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5A0BDE">
      <w:pPr>
        <w:pStyle w:val="2"/>
      </w:pPr>
      <w:bookmarkStart w:id="0" w:name="experiments"/>
      <w:r>
        <w:t>4. Experiments</w:t>
      </w:r>
    </w:p>
    <w:p w14:paraId="74F844DD">
      <w:pPr>
        <w:pStyle w:val="23"/>
      </w:pPr>
      <w:r>
        <w:t xml:space="preserve">This section presents a systematic empirical evaluation of the proposed </w:t>
      </w:r>
      <w:r>
        <w:rPr>
          <w:b/>
          <w:bCs/>
        </w:rPr>
        <w:t>Residual Expert Decomposition (RED)</w:t>
      </w:r>
      <w:r>
        <w:t xml:space="preserve"> framework. All experiments are conducted under controlled numerical settings designed to isolate the effects of modular architecture, symbolic structure handling, and expert specialization.</w:t>
      </w:r>
    </w:p>
    <w:p w14:paraId="09BFD065">
      <w:pPr>
        <w:pStyle w:val="3"/>
      </w:pPr>
      <w:r>
        <w:t>RED employs a shared backbone encoder together with multiple lightweight expert modules. Each expert specializes in a distinct component of the arithmetic reasoning process—for example, numerical range discrimination or atomic arithmetic operations—allowing the system to express modular knowledge while maintaining a unified prediction interface. This design enables comprehensive evaluation along three key dimensions:</w:t>
      </w:r>
    </w:p>
    <w:p w14:paraId="76DA1932">
      <w:pPr>
        <w:pStyle w:val="24"/>
        <w:numPr>
          <w:ilvl w:val="0"/>
          <w:numId w:val="1"/>
        </w:numPr>
      </w:pPr>
      <w:r>
        <w:rPr>
          <w:b/>
          <w:bCs/>
        </w:rPr>
        <w:t>Local specialization</w:t>
      </w:r>
      <w:r>
        <w:t xml:space="preserve"> — whether experts exhibit consistent behavior within their respective numerical or functional domains.</w:t>
      </w:r>
    </w:p>
    <w:p w14:paraId="1B5881DD">
      <w:pPr>
        <w:pStyle w:val="24"/>
        <w:numPr>
          <w:ilvl w:val="0"/>
          <w:numId w:val="1"/>
        </w:numPr>
      </w:pPr>
      <w:r>
        <w:rPr>
          <w:b/>
          <w:bCs/>
        </w:rPr>
        <w:t>Global recomposition</w:t>
      </w:r>
      <w:r>
        <w:t xml:space="preserve"> — whether the router effectively integrates expert outputs into coherent final predictions.</w:t>
      </w:r>
    </w:p>
    <w:p w14:paraId="3E81A833">
      <w:pPr>
        <w:pStyle w:val="24"/>
        <w:numPr>
          <w:ilvl w:val="0"/>
          <w:numId w:val="1"/>
        </w:numPr>
      </w:pPr>
      <w:r>
        <w:rPr>
          <w:b/>
          <w:bCs/>
        </w:rPr>
        <w:t>Structural robustness</w:t>
      </w:r>
      <w:r>
        <w:t xml:space="preserve"> — whether modular components remain stable when added, removed, or replaced.</w:t>
      </w:r>
    </w:p>
    <w:p w14:paraId="2620A52D">
      <w:pPr>
        <w:pStyle w:val="23"/>
      </w:pPr>
      <w:r>
        <w:t>Based on these criteria, we investigate the following research questions:</w:t>
      </w:r>
    </w:p>
    <w:p w14:paraId="41CB7DE0">
      <w:pPr>
        <w:pStyle w:val="24"/>
        <w:numPr>
          <w:ilvl w:val="0"/>
          <w:numId w:val="2"/>
        </w:numPr>
      </w:pPr>
      <w:r>
        <w:rPr>
          <w:b/>
          <w:bCs/>
        </w:rPr>
        <w:t>RQ1 — Performance:</w:t>
      </w:r>
      <w:r>
        <w:t xml:space="preserve"> Does RED surpass global models, uniform ensembling, and classical MoE gating across arithmetic tasks?</w:t>
      </w:r>
    </w:p>
    <w:p w14:paraId="522F3ECF">
      <w:pPr>
        <w:pStyle w:val="24"/>
        <w:numPr>
          <w:ilvl w:val="0"/>
          <w:numId w:val="2"/>
        </w:numPr>
      </w:pPr>
      <w:r>
        <w:rPr>
          <w:b/>
          <w:bCs/>
        </w:rPr>
        <w:t>RQ2 — Stability:</w:t>
      </w:r>
      <w:r>
        <w:t xml:space="preserve"> Do experts preserve consistent specialization patterns and does the router maintain balanced accuracy across numerical intervals?</w:t>
      </w:r>
    </w:p>
    <w:p w14:paraId="336AB99A">
      <w:pPr>
        <w:pStyle w:val="24"/>
        <w:numPr>
          <w:ilvl w:val="0"/>
          <w:numId w:val="2"/>
        </w:numPr>
      </w:pPr>
      <w:r>
        <w:rPr>
          <w:b/>
          <w:bCs/>
        </w:rPr>
        <w:t>RQ3 — Modularity:</w:t>
      </w:r>
      <w:r>
        <w:t xml:space="preserve"> Can independently trained experts be combined without retraining the backbone or interfering with one another?</w:t>
      </w:r>
    </w:p>
    <w:p w14:paraId="45E6E052">
      <w:pPr>
        <w:pStyle w:val="24"/>
        <w:numPr>
          <w:ilvl w:val="0"/>
          <w:numId w:val="2"/>
        </w:numPr>
      </w:pPr>
      <w:r>
        <w:rPr>
          <w:b/>
          <w:bCs/>
        </w:rPr>
        <w:t>RQ4 — Interpretability:</w:t>
      </w:r>
      <w:r>
        <w:t xml:space="preserve"> Does modular decomposition lead to more transparent and structured reasoning behavior?</w:t>
      </w:r>
    </w:p>
    <w:p w14:paraId="269497A3">
      <w:pPr>
        <w:pStyle w:val="23"/>
      </w:pPr>
      <w:r>
        <w:t xml:space="preserve">Two arithmetic tasks are used to assess the framework: 1. </w:t>
      </w:r>
      <w:r>
        <w:rPr>
          <w:b/>
          <w:bCs/>
        </w:rPr>
        <w:t>Single-step addition</w:t>
      </w:r>
      <w:r>
        <w:t>, and</w:t>
      </w:r>
      <w:r>
        <w:br w:type="textWrapping"/>
      </w:r>
      <w:r>
        <w:t xml:space="preserve">2. </w:t>
      </w:r>
      <w:r>
        <w:rPr>
          <w:b/>
          <w:bCs/>
        </w:rPr>
        <w:t>Multi-step mixed addition–subtraction expressions</w:t>
      </w:r>
      <w:r>
        <w:t>.</w:t>
      </w:r>
    </w:p>
    <w:p w14:paraId="6A291B5A">
      <w:pPr>
        <w:pStyle w:val="3"/>
      </w:pPr>
      <w:r>
        <w:t xml:space="preserve">The next section formally defines these tasks and the reasoning structures they require. ### </w:t>
      </w:r>
      <w:r>
        <w:rPr>
          <w:b/>
          <w:bCs/>
        </w:rPr>
        <w:t>Task 1: Single-Step Addition</w:t>
      </w:r>
    </w:p>
    <w:p w14:paraId="5670A189">
      <w:pPr>
        <w:pStyle w:val="3"/>
      </w:pPr>
      <w:r>
        <w:t>Task 1 evaluates reasoning over a single explicit arithmetic operation. Given an input such as:</w:t>
      </w:r>
    </w:p>
    <w:p w14:paraId="24CA5658">
      <w:pPr>
        <w:pStyle w:val="13"/>
      </w:pPr>
      <w:r>
        <w:t>“What is 12 plus 27?”</w:t>
      </w:r>
    </w:p>
    <w:p w14:paraId="4D30160C">
      <w:pPr>
        <w:pStyle w:val="23"/>
      </w:pPr>
      <w:r>
        <w:t>The system must: 1. parse the linguistic structure of the query, 2. identify the arithmetic operator, 3. compute the numerical result, and 4. assign the result to its corresponding numerical interval.</w:t>
      </w:r>
    </w:p>
    <w:p w14:paraId="3AD1BFEA">
      <w:pPr>
        <w:pStyle w:val="3"/>
      </w:pPr>
      <w:r>
        <w:t>Operands follow a uniform sampling rule:</w:t>
      </w:r>
    </w:p>
    <w:p w14:paraId="12B7A3E6">
      <w:pPr>
        <w:pStyle w:val="13"/>
      </w:pPr>
      <w:r>
        <w:t>a, b ∈ [2, 50], s = a + b ∈ [2, 100].</w:t>
      </w:r>
    </w:p>
    <w:p w14:paraId="6FA25DF7">
      <w:pPr>
        <w:pStyle w:val="23"/>
      </w:pPr>
      <w:r>
        <w:t xml:space="preserve">The output space is partitioned into five numerical intervals: - </w:t>
      </w:r>
      <w:r>
        <w:rPr>
          <w:b/>
          <w:bCs/>
        </w:rPr>
        <w:t>R1:</w:t>
      </w:r>
      <w:r>
        <w:t xml:space="preserve"> 2–20</w:t>
      </w:r>
      <w:r>
        <w:br w:type="textWrapping"/>
      </w:r>
      <w:r>
        <w:t xml:space="preserve">- </w:t>
      </w:r>
      <w:r>
        <w:rPr>
          <w:b/>
          <w:bCs/>
        </w:rPr>
        <w:t>R2:</w:t>
      </w:r>
      <w:r>
        <w:t xml:space="preserve"> 21–40</w:t>
      </w:r>
      <w:r>
        <w:br w:type="textWrapping"/>
      </w:r>
      <w:r>
        <w:t xml:space="preserve">- </w:t>
      </w:r>
      <w:r>
        <w:rPr>
          <w:b/>
          <w:bCs/>
        </w:rPr>
        <w:t>R3:</w:t>
      </w:r>
      <w:r>
        <w:t xml:space="preserve"> 41–60</w:t>
      </w:r>
      <w:r>
        <w:br w:type="textWrapping"/>
      </w:r>
      <w:r>
        <w:t xml:space="preserve">- </w:t>
      </w:r>
      <w:r>
        <w:rPr>
          <w:b/>
          <w:bCs/>
        </w:rPr>
        <w:t>R4:</w:t>
      </w:r>
      <w:r>
        <w:t xml:space="preserve"> 61–80</w:t>
      </w:r>
      <w:r>
        <w:br w:type="textWrapping"/>
      </w:r>
      <w:r>
        <w:t xml:space="preserve">- </w:t>
      </w:r>
      <w:r>
        <w:rPr>
          <w:b/>
          <w:bCs/>
        </w:rPr>
        <w:t>R5:</w:t>
      </w:r>
      <w:r>
        <w:t xml:space="preserve"> 81–100</w:t>
      </w:r>
    </w:p>
    <w:p w14:paraId="2C943554">
      <w:pPr>
        <w:pStyle w:val="3"/>
      </w:pPr>
      <w:r>
        <w:t xml:space="preserve">This task establishes a clean and controlled setting for analyzing basic arithmetic behavior. ### </w:t>
      </w:r>
      <w:r>
        <w:rPr>
          <w:b/>
          <w:bCs/>
        </w:rPr>
        <w:t>Task 2: Multi-Step Mixed Arithmetic</w:t>
      </w:r>
    </w:p>
    <w:p w14:paraId="3176302D">
      <w:pPr>
        <w:pStyle w:val="3"/>
      </w:pPr>
      <w:r>
        <w:t>Task 2 introduces multi-step expressions involving both addition and subtraction. Queries may include 2–4 operations, such as: - “12 minus 5 plus 9” - “29 minus 11 minus 9 plus 15” - “18 plus 7 minus 3”</w:t>
      </w:r>
    </w:p>
    <w:p w14:paraId="09BE9C71">
      <w:pPr>
        <w:pStyle w:val="3"/>
      </w:pPr>
      <w:r>
        <w:t>To solve a query, the system must: 1. infer the operator sequence from natural language, 2. apply operations in left-associative order, 3. compute the final numerical result, 4. map the result to one of the five numerical intervals.</w:t>
      </w:r>
    </w:p>
    <w:p w14:paraId="065D8987">
      <w:pPr>
        <w:pStyle w:val="3"/>
      </w:pPr>
      <w:r>
        <w:t>Operands satisfy:</w:t>
      </w:r>
    </w:p>
    <w:p w14:paraId="169C765A">
      <w:pPr>
        <w:pStyle w:val="13"/>
      </w:pPr>
      <w:r>
        <w:t>xᵢ ∈ [2, 50], y = f(x₁, x₂, …, xₙ) ∈ [2, 100].</w:t>
      </w:r>
    </w:p>
    <w:p w14:paraId="0D210160">
      <w:pPr>
        <w:pStyle w:val="23"/>
      </w:pPr>
      <w:r>
        <w:t xml:space="preserve">This task evaluates the model’s ability to maintain reasoning consistency as symbolic complexity increases. ### </w:t>
      </w:r>
      <w:r>
        <w:rPr>
          <w:b/>
          <w:bCs/>
        </w:rPr>
        <w:t>Two Execution Paradigms for Task 2</w:t>
      </w:r>
    </w:p>
    <w:p w14:paraId="49094B35">
      <w:pPr>
        <w:pStyle w:val="3"/>
      </w:pPr>
      <w:r>
        <w:t>Task 2 can be evaluated under two complementary execution modes.</w:t>
      </w:r>
    </w:p>
    <w:p w14:paraId="194A1A06">
      <w:pPr>
        <w:pStyle w:val="6"/>
      </w:pPr>
      <w:bookmarkStart w:id="1" w:name="Xd70d959ebc644f8c1465872a3eb740b36108177"/>
      <w:r>
        <w:rPr>
          <w:b/>
          <w:bCs/>
        </w:rPr>
        <w:t>(1) End-to-End Reasoning (Implicit Structure Inference)</w:t>
      </w:r>
    </w:p>
    <w:p w14:paraId="5F3626F7">
      <w:pPr>
        <w:pStyle w:val="23"/>
      </w:pPr>
      <w:r>
        <w:t>The model must infer: - the computation structure, - the operator sequence, - and the interval of the final result.</w:t>
      </w:r>
    </w:p>
    <w:p w14:paraId="584ED1B7">
      <w:pPr>
        <w:pStyle w:val="3"/>
      </w:pPr>
      <w:r>
        <w:t>This mode tests whether a model can induce internal reasoning structure directly from language.</w:t>
      </w:r>
    </w:p>
    <w:bookmarkEnd w:id="1"/>
    <w:p w14:paraId="14EC30C3">
      <w:pPr>
        <w:pStyle w:val="6"/>
      </w:pPr>
      <w:bookmarkStart w:id="2" w:name="Xbfd909d07947bca437899d104a279711070c32a"/>
      <w:r>
        <w:rPr>
          <w:b/>
          <w:bCs/>
        </w:rPr>
        <w:t>(2) Decomposed Execution via a Step Decomposer (Explicit Structure Guidance)</w:t>
      </w:r>
    </w:p>
    <w:p w14:paraId="1842B063">
      <w:pPr>
        <w:pStyle w:val="23"/>
      </w:pPr>
      <w:r>
        <w:t>A separate step decomposer generates an explicit program, for example:</w:t>
      </w:r>
    </w:p>
    <w:p w14:paraId="37E01A12">
      <w:pPr>
        <w:pStyle w:val="49"/>
      </w:pPr>
      <w:r>
        <w:rPr>
          <w:rStyle w:val="48"/>
        </w:rPr>
        <w:t>Step 1: 18 + 7 = x1</w:t>
      </w:r>
      <w:r>
        <w:br w:type="textWrapping"/>
      </w:r>
      <w:r>
        <w:rPr>
          <w:rStyle w:val="48"/>
        </w:rPr>
        <w:t>Step 2: x1 − 3 = x2</w:t>
      </w:r>
    </w:p>
    <w:p w14:paraId="4F282F34">
      <w:pPr>
        <w:pStyle w:val="23"/>
      </w:pPr>
      <w:r>
        <w:t>Arithmetic experts then execute the program deterministically.</w:t>
      </w:r>
    </w:p>
    <w:p w14:paraId="28704BB1">
      <w:pPr>
        <w:pStyle w:val="3"/>
      </w:pPr>
      <w:r>
        <w:t xml:space="preserve">This setting separates structural inference from numerical execution, enabling analysis of each component independently. ### </w:t>
      </w:r>
      <w:r>
        <w:rPr>
          <w:b/>
          <w:bCs/>
        </w:rPr>
        <w:t>Summary</w:t>
      </w:r>
    </w:p>
    <w:p w14:paraId="5823BB99">
      <w:pPr>
        <w:pStyle w:val="3"/>
      </w:pPr>
      <w:r>
        <w:t xml:space="preserve">Task 2 therefore supports two reasoning regimes: 1. </w:t>
      </w:r>
      <w:r>
        <w:rPr>
          <w:b/>
          <w:bCs/>
        </w:rPr>
        <w:t>Implicit execution</w:t>
      </w:r>
      <w:r>
        <w:t xml:space="preserve">, where the system must infer both structure and result; and 2. </w:t>
      </w:r>
      <w:r>
        <w:rPr>
          <w:b/>
          <w:bCs/>
        </w:rPr>
        <w:t>Explicit execution</w:t>
      </w:r>
      <w:r>
        <w:t>, where structure is provided, allowing examination of numerical execution capability.</w:t>
      </w:r>
    </w:p>
    <w:p w14:paraId="090C7934">
      <w:pPr>
        <w:pStyle w:val="3"/>
      </w:pPr>
      <w:r>
        <w:t xml:space="preserve">This dual formulation enables controlled evaluation of structure learning, modular reasoning, and execution fidelity across different levels of symbolic complexity. </w:t>
      </w:r>
    </w:p>
    <w:bookmarkEnd w:id="2"/>
    <w:p w14:paraId="4E88BF64">
      <w:pPr>
        <w:pStyle w:val="4"/>
      </w:pPr>
      <w:bookmarkStart w:id="3" w:name="dataset-construction"/>
      <w:r>
        <w:t>4.2 Dataset Construction</w:t>
      </w:r>
    </w:p>
    <w:p w14:paraId="02469E4B">
      <w:pPr>
        <w:pStyle w:val="23"/>
      </w:pPr>
      <w:r>
        <w:t xml:space="preserve">This section presents the datasets used to evaluate modular arithmetic reasoning across both single-step and multi-step tasks. The datasets are designed to provide explicit numerical structure, balanced supervision, and controlled symbolic complexity, allowing systematic analysis of how different model components handle reasoning, generalization, and modular decomposition. ### </w:t>
      </w:r>
      <w:r>
        <w:rPr>
          <w:b/>
          <w:bCs/>
        </w:rPr>
        <w:t>4.2.1 Numerical Range Definition</w:t>
      </w:r>
      <w:r>
        <w:t xml:space="preserve"> To ensure semantically meaningful supervision, all arithmetic outputs are mapped into five interpretable numerical intervals: - </w:t>
      </w:r>
      <w:r>
        <w:rPr>
          <w:b/>
          <w:bCs/>
        </w:rPr>
        <w:t>R1:</w:t>
      </w:r>
      <w:r>
        <w:t xml:space="preserve"> 2–20</w:t>
      </w:r>
      <w:r>
        <w:br w:type="textWrapping"/>
      </w:r>
      <w:r>
        <w:t xml:space="preserve">- </w:t>
      </w:r>
      <w:r>
        <w:rPr>
          <w:b/>
          <w:bCs/>
        </w:rPr>
        <w:t>R2:</w:t>
      </w:r>
      <w:r>
        <w:t xml:space="preserve"> 21–40</w:t>
      </w:r>
      <w:r>
        <w:br w:type="textWrapping"/>
      </w:r>
      <w:r>
        <w:t xml:space="preserve">- </w:t>
      </w:r>
      <w:r>
        <w:rPr>
          <w:b/>
          <w:bCs/>
        </w:rPr>
        <w:t>R3:</w:t>
      </w:r>
      <w:r>
        <w:t xml:space="preserve"> 41–60</w:t>
      </w:r>
      <w:r>
        <w:br w:type="textWrapping"/>
      </w:r>
      <w:r>
        <w:t xml:space="preserve">- </w:t>
      </w:r>
      <w:r>
        <w:rPr>
          <w:b/>
          <w:bCs/>
        </w:rPr>
        <w:t>R4:</w:t>
      </w:r>
      <w:r>
        <w:t xml:space="preserve"> 61–80</w:t>
      </w:r>
      <w:r>
        <w:br w:type="textWrapping"/>
      </w:r>
      <w:r>
        <w:t xml:space="preserve">- </w:t>
      </w:r>
      <w:r>
        <w:rPr>
          <w:b/>
          <w:bCs/>
        </w:rPr>
        <w:t>R5:</w:t>
      </w:r>
      <w:r>
        <w:t xml:space="preserve"> 81–100</w:t>
      </w:r>
    </w:p>
    <w:p w14:paraId="73D82C36">
      <w:pPr>
        <w:pStyle w:val="3"/>
      </w:pPr>
      <w:r>
        <w:t>These intervals function as symbolic categories that partition the numerical domain, enabling experts to specialize over clearly defined knowledge regions.</w:t>
      </w:r>
    </w:p>
    <w:p w14:paraId="145FF328">
      <w:pPr>
        <w:pStyle w:val="5"/>
      </w:pPr>
      <w:bookmarkStart w:id="4" w:name="X0cf4ee1707543ad7072dc40f822a8c024301a5d"/>
      <w:r>
        <w:rPr>
          <w:b/>
          <w:bCs/>
        </w:rPr>
        <w:t>4.2.2 Task 1 Dataset: Single-Step Addition (80,000 samples)</w:t>
      </w:r>
    </w:p>
    <w:p w14:paraId="15265080">
      <w:pPr>
        <w:pStyle w:val="23"/>
      </w:pPr>
      <w:r>
        <w:t xml:space="preserve">Task 1 evaluates reasoning over explicit, atomic arithmetic relations. Each sample contains: - Two operands sampled uniformly from 2–50 - A natural-language addition query (e.g., </w:t>
      </w:r>
      <w:r>
        <w:rPr>
          <w:i/>
          <w:iCs/>
        </w:rPr>
        <w:t>“What is 17 plus 23?”</w:t>
      </w:r>
      <w:r>
        <w:t>) - A symbolic interval label corresponding to the final result</w:t>
      </w:r>
    </w:p>
    <w:p w14:paraId="0628CAA0">
      <w:pPr>
        <w:pStyle w:val="3"/>
      </w:pPr>
      <w:r>
        <w:t>The dataset is balanced across all five numerical intervals, providing uniform supervision for specialization.</w:t>
      </w:r>
    </w:p>
    <w:bookmarkEnd w:id="4"/>
    <w:p w14:paraId="324614CB">
      <w:pPr>
        <w:pStyle w:val="5"/>
      </w:pPr>
      <w:bookmarkStart w:id="5" w:name="X6035fa7e292b61f44f927142938ea0a563b0070"/>
      <w:r>
        <w:rPr>
          <w:b/>
          <w:bCs/>
        </w:rPr>
        <w:t>4.2.3 Task 2 Dataset: Multi-Step Mixed Arithmetic (80,000 samples)</w:t>
      </w:r>
    </w:p>
    <w:p w14:paraId="4B183562">
      <w:pPr>
        <w:pStyle w:val="23"/>
      </w:pPr>
      <w:r>
        <w:t>Task 2 introduces structured symbolic reasoning. Expressions include 2–4 arithmetic operations involving both addition and subtraction.</w:t>
      </w:r>
    </w:p>
    <w:p w14:paraId="02959B4D">
      <w:pPr>
        <w:pStyle w:val="3"/>
      </w:pPr>
      <w:r>
        <w:t>Examples: - “18 minus 9 plus 46” - “29 minus 11 minus 9 minus 7 plus 15” - “18 plus 7 minus 3”</w:t>
      </w:r>
    </w:p>
    <w:p w14:paraId="2E4F0469">
      <w:pPr>
        <w:pStyle w:val="6"/>
      </w:pPr>
      <w:bookmarkStart w:id="6" w:name="expression-length-distribution"/>
      <w:r>
        <w:rPr>
          <w:b/>
          <w:bCs/>
        </w:rPr>
        <w:t>Expression Length Distribution</w:t>
      </w:r>
    </w:p>
    <w:p w14:paraId="410889E4">
      <w:pPr>
        <w:pStyle w:val="23"/>
      </w:pPr>
      <w:r>
        <w:t xml:space="preserve">To regulate symbolic complexity: - </w:t>
      </w:r>
      <w:r>
        <w:rPr>
          <w:b/>
          <w:bCs/>
        </w:rPr>
        <w:t>50%</w:t>
      </w:r>
      <w:r>
        <w:t xml:space="preserve"> two-step - </w:t>
      </w:r>
      <w:r>
        <w:rPr>
          <w:b/>
          <w:bCs/>
        </w:rPr>
        <w:t>30%</w:t>
      </w:r>
      <w:r>
        <w:t xml:space="preserve"> three-step - </w:t>
      </w:r>
      <w:r>
        <w:rPr>
          <w:b/>
          <w:bCs/>
        </w:rPr>
        <w:t>20%</w:t>
      </w:r>
      <w:r>
        <w:t xml:space="preserve"> four-step</w:t>
      </w:r>
    </w:p>
    <w:p w14:paraId="34E8C9F6">
      <w:pPr>
        <w:pStyle w:val="3"/>
      </w:pPr>
      <w:r>
        <w:t>Operands are sampled independently from 2–50, and expressions are resampled if the final result falls outside 2–100. Addition and subtraction appear with equal probability.</w:t>
      </w:r>
    </w:p>
    <w:p w14:paraId="30F7D6B6">
      <w:pPr>
        <w:pStyle w:val="3"/>
      </w:pPr>
      <w:r>
        <w:t>This dataset tests whether the system can integrate multi-step symbolic structure into coherent numerical reasoning.</w:t>
      </w:r>
    </w:p>
    <w:bookmarkEnd w:id="5"/>
    <w:bookmarkEnd w:id="6"/>
    <w:p w14:paraId="6047A3BA">
      <w:pPr>
        <w:pStyle w:val="5"/>
      </w:pPr>
      <w:bookmarkStart w:id="7" w:name="linguistic-template-diversity"/>
      <w:r>
        <w:rPr>
          <w:b/>
          <w:bCs/>
        </w:rPr>
        <w:t>4.2.4 Linguistic Template Diversity</w:t>
      </w:r>
    </w:p>
    <w:p w14:paraId="7CAE2861">
      <w:pPr>
        <w:pStyle w:val="23"/>
      </w:pPr>
      <w:r>
        <w:t>To separate linguistic variability from reasoning difficulty, multiple paraphrased templates are used, such as: - “Compute 12 minus 5, then add 9.” - “If you subtract 5 from 12 and add 9, what do you get?”</w:t>
      </w:r>
    </w:p>
    <w:p w14:paraId="2B89AC8E">
      <w:pPr>
        <w:pStyle w:val="3"/>
      </w:pPr>
      <w:r>
        <w:t>This encourages the model to acquire underlying reasoning patterns rather than memorizing surface forms.</w:t>
      </w:r>
    </w:p>
    <w:bookmarkEnd w:id="7"/>
    <w:p w14:paraId="6C26859D">
      <w:pPr>
        <w:pStyle w:val="5"/>
      </w:pPr>
      <w:bookmarkStart w:id="8" w:name="X9b0ac72fb4880a820cdd6f5c968f83f171a62dc"/>
      <w:r>
        <w:rPr>
          <w:b/>
          <w:bCs/>
        </w:rPr>
        <w:t>4.2.5 Deduplication and Consistency Enforcement</w:t>
      </w:r>
    </w:p>
    <w:p w14:paraId="0A82DF38">
      <w:pPr>
        <w:pStyle w:val="23"/>
      </w:pPr>
      <w:r>
        <w:t xml:space="preserve">All datasets undergo a structured cleaning pipeline: 1. </w:t>
      </w:r>
      <w:r>
        <w:rPr>
          <w:b/>
          <w:bCs/>
        </w:rPr>
        <w:t>Operational deduplication</w:t>
      </w:r>
      <w:r>
        <w:t xml:space="preserve"> — expressions with identical symbolic structures are removed. 2. </w:t>
      </w:r>
      <w:r>
        <w:rPr>
          <w:b/>
          <w:bCs/>
        </w:rPr>
        <w:t>Range consistency checking</w:t>
      </w:r>
      <w:r>
        <w:t xml:space="preserve"> — final results must map correctly into R1–R5. 3. </w:t>
      </w:r>
      <w:r>
        <w:rPr>
          <w:b/>
          <w:bCs/>
        </w:rPr>
        <w:t>Split isolation</w:t>
      </w:r>
      <w:r>
        <w:t xml:space="preserve"> — training, validation, and test sets share no overlapping symbolic forms.</w:t>
      </w:r>
    </w:p>
    <w:p w14:paraId="0E5305AF">
      <w:pPr>
        <w:pStyle w:val="3"/>
      </w:pPr>
      <w:r>
        <w:t>These steps ensure that evaluation reflects reasoning generalization rather than pattern memorization.</w:t>
      </w:r>
    </w:p>
    <w:bookmarkEnd w:id="8"/>
    <w:p w14:paraId="42BC5FE3">
      <w:pPr>
        <w:pStyle w:val="5"/>
      </w:pPr>
      <w:bookmarkStart w:id="9" w:name="X24b7ed9ecf08b89d347d883c3bf31f2fe69895d"/>
      <w:r>
        <w:rPr>
          <w:b/>
          <w:bCs/>
        </w:rPr>
        <w:t>4.2.6 Expert Datasets for Modular Execution (Addition &amp; Subtraction Experts)</w:t>
      </w:r>
    </w:p>
    <w:p w14:paraId="6F70649A">
      <w:pPr>
        <w:pStyle w:val="23"/>
      </w:pPr>
      <w:r>
        <w:t xml:space="preserve">Modular execution relies on two specialized arithmetic experts: - </w:t>
      </w:r>
      <w:r>
        <w:rPr>
          <w:b/>
          <w:bCs/>
        </w:rPr>
        <w:t>Addition expert:</w:t>
      </w:r>
      <w:r>
        <w:t xml:space="preserve"> 20,000 single-step addition samples - </w:t>
      </w:r>
      <w:r>
        <w:rPr>
          <w:b/>
          <w:bCs/>
        </w:rPr>
        <w:t>Subtraction expert:</w:t>
      </w:r>
      <w:r>
        <w:t xml:space="preserve"> 20,000 single-step subtraction samples</w:t>
      </w:r>
    </w:p>
    <w:p w14:paraId="10EF1005">
      <w:pPr>
        <w:pStyle w:val="3"/>
      </w:pPr>
      <w:r>
        <w:t>Samples take the form:</w:t>
      </w:r>
    </w:p>
    <w:p w14:paraId="22C0B109">
      <w:pPr>
        <w:pStyle w:val="49"/>
      </w:pPr>
      <w:r>
        <w:rPr>
          <w:rStyle w:val="48"/>
        </w:rPr>
        <w:t>a + b</w:t>
      </w:r>
    </w:p>
    <w:p w14:paraId="3443F157">
      <w:pPr>
        <w:pStyle w:val="23"/>
      </w:pPr>
      <w:r>
        <w:t>or</w:t>
      </w:r>
    </w:p>
    <w:p w14:paraId="5C0313AF">
      <w:pPr>
        <w:pStyle w:val="49"/>
      </w:pPr>
      <w:r>
        <w:rPr>
          <w:rStyle w:val="48"/>
        </w:rPr>
        <w:t>a – b</w:t>
      </w:r>
    </w:p>
    <w:p w14:paraId="091BE797">
      <w:pPr>
        <w:pStyle w:val="23"/>
      </w:pPr>
      <w:r>
        <w:t>where both operands are in 2–50, and outputs are mapped to R1–R5.</w:t>
      </w:r>
    </w:p>
    <w:p w14:paraId="08DF36C0">
      <w:pPr>
        <w:pStyle w:val="3"/>
      </w:pPr>
      <w:r>
        <w:t xml:space="preserve">These datasets represent </w:t>
      </w:r>
      <w:r>
        <w:rPr>
          <w:b/>
          <w:bCs/>
        </w:rPr>
        <w:t>atomic symbolic knowledge units</w:t>
      </w:r>
      <w:r>
        <w:t>, supporting explicit numerical execution in the modular pipeline.</w:t>
      </w:r>
    </w:p>
    <w:bookmarkEnd w:id="9"/>
    <w:p w14:paraId="2CD2E938">
      <w:pPr>
        <w:pStyle w:val="5"/>
      </w:pPr>
      <w:bookmarkStart w:id="10" w:name="Xc217f04189c6fc759ccb1adfa4034f2f99c8277"/>
      <w:r>
        <w:rPr>
          <w:b/>
          <w:bCs/>
        </w:rPr>
        <w:t>4.2.7 Step Decomposer Dataset (80,000 structured samples)</w:t>
      </w:r>
    </w:p>
    <w:p w14:paraId="26890DA7">
      <w:pPr>
        <w:pStyle w:val="23"/>
      </w:pPr>
      <w:r>
        <w:t>To support symbolic–neural hybrid reasoning in Section 4.8, an additional dataset provides explicit computational programs paired with natural-language expressions.</w:t>
      </w:r>
    </w:p>
    <w:p w14:paraId="770DBE73">
      <w:pPr>
        <w:pStyle w:val="3"/>
      </w:pPr>
      <w:r>
        <w:t>A typical record consists of:</w:t>
      </w:r>
    </w:p>
    <w:p w14:paraId="3C8F176C">
      <w:pPr>
        <w:pStyle w:val="49"/>
      </w:pPr>
      <w:r>
        <w:rPr>
          <w:rStyle w:val="48"/>
        </w:rPr>
        <w:t>expr: "33 plus 23 minus 36"</w:t>
      </w:r>
      <w:r>
        <w:br w:type="textWrapping"/>
      </w:r>
      <w:r>
        <w:rPr>
          <w:rStyle w:val="48"/>
        </w:rPr>
        <w:t>answer: 20</w:t>
      </w:r>
      <w:r>
        <w:br w:type="textWrapping"/>
      </w:r>
      <w:r>
        <w:rPr>
          <w:rStyle w:val="48"/>
        </w:rPr>
        <w:t>label: 0</w:t>
      </w:r>
      <w:r>
        <w:br w:type="textWrapping"/>
      </w:r>
      <w:r>
        <w:rPr>
          <w:rStyle w:val="48"/>
        </w:rPr>
        <w:t>num_steps: 2</w:t>
      </w:r>
      <w:r>
        <w:br w:type="textWrapping"/>
      </w:r>
      <w:r>
        <w:rPr>
          <w:rStyle w:val="48"/>
        </w:rPr>
        <w:t>program:</w:t>
      </w:r>
      <w:r>
        <w:br w:type="textWrapping"/>
      </w:r>
      <w:r>
        <w:rPr>
          <w:rStyle w:val="48"/>
        </w:rPr>
        <w:t xml:space="preserve">    Step 1: 33 + 23 = x1</w:t>
      </w:r>
      <w:r>
        <w:br w:type="textWrapping"/>
      </w:r>
      <w:r>
        <w:rPr>
          <w:rStyle w:val="48"/>
        </w:rPr>
        <w:t xml:space="preserve">    Step 2: x1 - 36 = x2</w:t>
      </w:r>
    </w:p>
    <w:p w14:paraId="3A61A5C5">
      <w:pPr>
        <w:pStyle w:val="23"/>
      </w:pPr>
      <w:r>
        <w:t>Each sample encodes: - the linguistic form, - the exact computation result, - the symbolic interval label, - the number of operations, - and a fully explicit reasoning program.</w:t>
      </w:r>
    </w:p>
    <w:p w14:paraId="6468AAA5">
      <w:pPr>
        <w:pStyle w:val="6"/>
      </w:pPr>
      <w:bookmarkStart w:id="11" w:name="step-count-distribution"/>
      <w:r>
        <w:rPr>
          <w:b/>
          <w:bCs/>
        </w:rPr>
        <w:t>Step Count Distribution</w:t>
      </w:r>
    </w:p>
    <w:p w14:paraId="033EC71B">
      <w:pPr>
        <w:pStyle w:val="23"/>
      </w:pPr>
      <w:r>
        <w:t xml:space="preserve">To match symbolic complexity seen in Task 2: - </w:t>
      </w:r>
      <w:r>
        <w:rPr>
          <w:b/>
          <w:bCs/>
        </w:rPr>
        <w:t>20%</w:t>
      </w:r>
      <w:r>
        <w:t xml:space="preserve"> two-step - </w:t>
      </w:r>
      <w:r>
        <w:rPr>
          <w:b/>
          <w:bCs/>
        </w:rPr>
        <w:t>40%</w:t>
      </w:r>
      <w:r>
        <w:t xml:space="preserve"> three-step - </w:t>
      </w:r>
      <w:r>
        <w:rPr>
          <w:b/>
          <w:bCs/>
        </w:rPr>
        <w:t>40%</w:t>
      </w:r>
      <w:r>
        <w:t xml:space="preserve"> four-step</w:t>
      </w:r>
    </w:p>
    <w:p w14:paraId="73323074">
      <w:pPr>
        <w:pStyle w:val="3"/>
      </w:pPr>
      <w:r>
        <w:t>This distribution exposes the decomposer to longer reasoning chains, supporting more reliable symbolic program generation.</w:t>
      </w:r>
    </w:p>
    <w:bookmarkEnd w:id="11"/>
    <w:p w14:paraId="427AFB96">
      <w:pPr>
        <w:pStyle w:val="6"/>
      </w:pPr>
      <w:bookmarkStart w:id="12" w:name="purpose"/>
      <w:r>
        <w:rPr>
          <w:b/>
          <w:bCs/>
        </w:rPr>
        <w:t>Purpose</w:t>
      </w:r>
    </w:p>
    <w:p w14:paraId="1ADEE14A">
      <w:pPr>
        <w:pStyle w:val="23"/>
      </w:pPr>
      <w:r>
        <w:t>The dataset enables the step decomposer to: - infer symbolic operator ordering, - generate interpretable intermediate variables, - output executable reasoning programs consumed by modular experts.</w:t>
      </w:r>
    </w:p>
    <w:p w14:paraId="4CA8B066">
      <w:pPr>
        <w:pStyle w:val="3"/>
      </w:pPr>
      <w:r>
        <w:t xml:space="preserve">This facilitates a </w:t>
      </w:r>
      <w:r>
        <w:rPr>
          <w:b/>
          <w:bCs/>
        </w:rPr>
        <w:t>hybrid symbolic–neural reasoning pipeline</w:t>
      </w:r>
      <w:r>
        <w:t>, where symbolic structure directs expert-based numerical execution.</w:t>
      </w:r>
    </w:p>
    <w:bookmarkEnd w:id="3"/>
    <w:bookmarkEnd w:id="10"/>
    <w:bookmarkEnd w:id="12"/>
    <w:p w14:paraId="5ECEB11C">
      <w:pPr>
        <w:pStyle w:val="4"/>
      </w:pPr>
      <w:bookmarkStart w:id="13" w:name="summary"/>
      <w:r>
        <w:rPr>
          <w:b/>
          <w:bCs/>
        </w:rPr>
        <w:t>4.2 Summary</w:t>
      </w:r>
    </w:p>
    <w:p w14:paraId="4892DA94">
      <w:pPr>
        <w:pStyle w:val="23"/>
      </w:pPr>
      <w:r>
        <w:t>Together, these datasets: - provide balanced numerical supervision, - incorporate linguistic variation, - control symbolic reasoning complexity, - enforce clean experimental splits, - and support both end-to-end and symbolic–neural hybrid reasoning.</w:t>
      </w:r>
    </w:p>
    <w:p w14:paraId="00AFAAC6">
      <w:pPr>
        <w:pStyle w:val="3"/>
      </w:pPr>
      <w:r>
        <w:t>This design enables RED to be evaluated under settings that emphasize modularity, interpretability, and explicit reasoning — core principles of knowledge-based systems.</w:t>
      </w:r>
    </w:p>
    <w:bookmarkEnd w:id="13"/>
    <w:p w14:paraId="67B5A21A">
      <w:pPr>
        <w:pStyle w:val="4"/>
      </w:pPr>
      <w:bookmarkStart w:id="14" w:name="baselines"/>
      <w:r>
        <w:t>4.3 Baselines</w:t>
      </w:r>
    </w:p>
    <w:p w14:paraId="313D7F33">
      <w:pPr>
        <w:pStyle w:val="23"/>
      </w:pPr>
      <w:r>
        <w:t>To contextualize the performance of the proposed Residual Expert Decomposition (RED), we compare it with several representative architectures that differ in modularity, routing mechanisms, and expert interaction. All baselines share the same backbone encoder to ensure comparability.</w:t>
      </w:r>
    </w:p>
    <w:p w14:paraId="18823819">
      <w:pPr>
        <w:pStyle w:val="5"/>
      </w:pPr>
      <w:bookmarkStart w:id="15" w:name="global-head"/>
      <w:r>
        <w:t>4.3.1 Global Head</w:t>
      </w:r>
    </w:p>
    <w:p w14:paraId="6C080231">
      <w:pPr>
        <w:pStyle w:val="23"/>
      </w:pPr>
      <w:r>
        <w:t>This baseline attaches a single classification head to the backbone and trains it on the full dataset. It does not incorporate expert specialization or routing, and therefore represents a non-modular reference model for assessing the value of decomposition.</w:t>
      </w:r>
    </w:p>
    <w:bookmarkEnd w:id="15"/>
    <w:p w14:paraId="09345BFA">
      <w:pPr>
        <w:pStyle w:val="5"/>
      </w:pPr>
      <w:bookmarkStart w:id="16" w:name="per-range-experts-oracle-selection"/>
      <w:r>
        <w:t>4.3.2 Per-Range Experts (Oracle Selection)</w:t>
      </w:r>
    </w:p>
    <w:p w14:paraId="751D3706">
      <w:pPr>
        <w:pStyle w:val="23"/>
      </w:pPr>
      <w:r>
        <w:t>Five independent expert heads are trained, each on data restricted to a specific numerical interval. During evaluation, the correct expert is chosen using the true interval label:</w:t>
      </w:r>
    </w:p>
    <w:p w14:paraId="5FB02426">
      <w:pPr>
        <w:pStyle w:val="3"/>
      </w:pPr>
      <m:oMathPara>
        <m:oMathParaPr>
          <m:jc m:val="center"/>
        </m:oMathParaPr>
        <m:oMath>
          <m:r>
            <m:rPr/>
            <m:t>p</m:t>
          </m:r>
          <m:r>
            <m:rPr>
              <m:sty m:val="p"/>
            </m:rPr>
            <m:t>(</m:t>
          </m:r>
          <m:r>
            <m:rPr/>
            <m:t>y</m:t>
          </m:r>
          <m:r>
            <m:rPr>
              <m:sty m:val="p"/>
            </m:rPr>
            <m:t>∣</m:t>
          </m:r>
          <m:r>
            <m:rPr/>
            <m:t>x</m:t>
          </m:r>
          <m:r>
            <m:rPr>
              <m:sty m:val="p"/>
            </m:rPr>
            <m:t>)=softmax(</m:t>
          </m:r>
          <m:sSub>
            <m:sSubPr/>
            <m:e>
              <m:r>
                <m:rPr/>
                <m:t>E</m:t>
              </m:r>
            </m:e>
            <m:sub>
              <m:r>
                <m:rPr/>
                <m:t>i</m:t>
              </m:r>
            </m:sub>
          </m:sSub>
          <m:r>
            <m:rPr>
              <m:sty m:val="p"/>
            </m:rPr>
            <m:t>(</m:t>
          </m:r>
          <m:r>
            <m:rPr/>
            <m:t>h</m:t>
          </m:r>
          <m:r>
            <m:rPr>
              <m:sty m:val="p"/>
            </m:rPr>
            <m:t>(</m:t>
          </m:r>
          <m:r>
            <m:rPr/>
            <m:t>x</m:t>
          </m:r>
          <m:r>
            <m:rPr>
              <m:sty m:val="p"/>
            </m:rPr>
            <m:t>))),</m:t>
          </m:r>
          <m:r>
            <m:rPr/>
            <m:t> i</m:t>
          </m:r>
          <m:r>
            <m:rPr>
              <m:sty m:val="p"/>
            </m:rPr>
            <m:t>=trueRange(</m:t>
          </m:r>
          <m:r>
            <m:rPr/>
            <m:t>x</m:t>
          </m:r>
          <m:r>
            <m:rPr>
              <m:sty m:val="p"/>
            </m:rPr>
            <m:t>).</m:t>
          </m:r>
        </m:oMath>
      </m:oMathPara>
    </w:p>
    <w:p w14:paraId="729B1053">
      <w:pPr>
        <w:pStyle w:val="23"/>
      </w:pPr>
      <w:r>
        <w:t>This configuration does not correspond to a deployable system, but provides an upper bound on the performance achievable when expert–range alignment is perfect.</w:t>
      </w:r>
    </w:p>
    <w:bookmarkEnd w:id="16"/>
    <w:p w14:paraId="0C1FBAB9">
      <w:pPr>
        <w:pStyle w:val="5"/>
      </w:pPr>
      <w:bookmarkStart w:id="17" w:name="uniform-expert-averaging"/>
      <w:r>
        <w:t>4.3.3 Uniform Expert Averaging</w:t>
      </w:r>
    </w:p>
    <w:p w14:paraId="1F6FFE0F">
      <w:pPr>
        <w:pStyle w:val="23"/>
      </w:pPr>
      <w:r>
        <w:t>This parameter-free ensemble aggregates predictions from all experts with equal weight:</w:t>
      </w:r>
    </w:p>
    <w:p w14:paraId="52BF8E59">
      <w:pPr>
        <w:pStyle w:val="3"/>
      </w:pPr>
      <m:oMathPara>
        <m:oMathParaPr>
          <m:jc m:val="center"/>
        </m:oMathParaPr>
        <m:oMath>
          <m:r>
            <m:rPr/>
            <m:t>p</m:t>
          </m:r>
          <m:r>
            <m:rPr>
              <m:sty m:val="p"/>
            </m:rPr>
            <m:t>(</m:t>
          </m:r>
          <m:r>
            <m:rPr/>
            <m:t>y</m:t>
          </m:r>
          <m:r>
            <m:rPr>
              <m:sty m:val="p"/>
            </m:rPr>
            <m:t>∣</m:t>
          </m:r>
          <m:r>
            <m:rPr/>
            <m:t>x</m:t>
          </m:r>
          <m:r>
            <m:rPr>
              <m:sty m:val="p"/>
            </m:rPr>
            <m:t>)=</m:t>
          </m:r>
          <m:f>
            <m:fPr/>
            <m:num>
              <m:r>
                <m:rPr/>
                <m:t>1</m:t>
              </m:r>
            </m:num>
            <m:den>
              <m:r>
                <m:rPr/>
                <m:t>5</m:t>
              </m:r>
            </m:den>
          </m:f>
          <m:nary>
            <m:naryPr>
              <m:chr m:val="∑"/>
              <m:limLoc m:val="undOvr"/>
            </m:naryPr>
            <m:sub>
              <m:r>
                <m:rPr/>
                <m:t>i</m:t>
              </m:r>
              <m:r>
                <m:rPr>
                  <m:sty m:val="p"/>
                </m:rPr>
                <m:t>=</m:t>
              </m:r>
              <m:r>
                <m:rPr/>
                <m:t>1</m:t>
              </m:r>
            </m:sub>
            <m:sup>
              <m:r>
                <m:rPr/>
                <m:t>5</m:t>
              </m:r>
            </m:sup>
            <m:e>
              <m:r>
                <m:rPr>
                  <m:sty m:val="p"/>
                </m:rPr>
                <m:t>softmax</m:t>
              </m:r>
            </m:e>
          </m:nary>
          <m:r>
            <m:rPr>
              <m:sty m:val="p"/>
            </m:rPr>
            <m:t>(</m:t>
          </m:r>
          <m:sSub>
            <m:sSubPr/>
            <m:e>
              <m:r>
                <m:rPr/>
                <m:t>E</m:t>
              </m:r>
            </m:e>
            <m:sub>
              <m:r>
                <m:rPr/>
                <m:t>i</m:t>
              </m:r>
            </m:sub>
          </m:sSub>
          <m:r>
            <m:rPr>
              <m:sty m:val="p"/>
            </m:rPr>
            <m:t>(</m:t>
          </m:r>
          <m:r>
            <m:rPr/>
            <m:t>h</m:t>
          </m:r>
          <m:r>
            <m:rPr>
              <m:sty m:val="p"/>
            </m:rPr>
            <m:t>(</m:t>
          </m:r>
          <m:r>
            <m:rPr/>
            <m:t>x</m:t>
          </m:r>
          <m:r>
            <m:rPr>
              <m:sty m:val="p"/>
            </m:rPr>
            <m:t>))).</m:t>
          </m:r>
        </m:oMath>
      </m:oMathPara>
    </w:p>
    <w:p w14:paraId="6C8DEB02">
      <w:pPr>
        <w:pStyle w:val="23"/>
      </w:pPr>
      <w:r>
        <w:t>It evaluates whether modularization alone—without routing or residual refinement—provides benefits over a global model.</w:t>
      </w:r>
    </w:p>
    <w:bookmarkEnd w:id="17"/>
    <w:p w14:paraId="14A10721">
      <w:pPr>
        <w:pStyle w:val="5"/>
      </w:pPr>
      <w:bookmarkStart w:id="18" w:name="softmax-gating-classical-moe"/>
      <w:r>
        <w:t>4.3.4 Softmax Gating (Classical MoE)</w:t>
      </w:r>
    </w:p>
    <w:p w14:paraId="762CDB28">
      <w:pPr>
        <w:pStyle w:val="23"/>
      </w:pPr>
      <w:r>
        <w:t>A gating network predicts mixture weights based on the backbone representation:</w:t>
      </w:r>
    </w:p>
    <w:p w14:paraId="59459CB3">
      <w:pPr>
        <w:pStyle w:val="3"/>
      </w:pPr>
      <m:oMathPara>
        <m:oMathParaPr>
          <m:jc m:val="center"/>
        </m:oMathParaPr>
        <m:oMath>
          <m:r>
            <m:rPr>
              <m:sty m:val="b"/>
            </m:rPr>
            <m:t>α</m:t>
          </m:r>
          <m:r>
            <m:rPr>
              <m:sty m:val="p"/>
            </m:rPr>
            <m:t>(</m:t>
          </m:r>
          <m:r>
            <m:rPr/>
            <m:t>x</m:t>
          </m:r>
          <m:r>
            <m:rPr>
              <m:sty m:val="p"/>
            </m:rPr>
            <m:t>)=softmax(</m:t>
          </m:r>
          <m:sSub>
            <m:sSubPr/>
            <m:e>
              <m:r>
                <m:rPr/>
                <m:t>W</m:t>
              </m:r>
            </m:e>
            <m:sub>
              <m:r>
                <m:rPr/>
                <m:t>r</m:t>
              </m:r>
            </m:sub>
          </m:sSub>
          <m:sSub>
            <m:sSubPr/>
            <m:e>
              <m:r>
                <m:rPr/>
                <m:t>h</m:t>
              </m:r>
            </m:e>
            <m:sub>
              <m:r>
                <m:rPr>
                  <m:nor/>
                  <m:sty m:val="p"/>
                </m:rPr>
                <w:rPr>
                  <w:b w:val="0"/>
                  <w:i w:val="0"/>
                </w:rPr>
                <m:t>base</m:t>
              </m:r>
            </m:sub>
          </m:sSub>
          <m:r>
            <m:rPr>
              <m:sty m:val="p"/>
            </m:rPr>
            <m:t>(</m:t>
          </m:r>
          <m:r>
            <m:rPr/>
            <m:t>x</m:t>
          </m:r>
          <m:r>
            <m:rPr>
              <m:sty m:val="p"/>
            </m:rPr>
            <m:t>)).</m:t>
          </m:r>
        </m:oMath>
      </m:oMathPara>
    </w:p>
    <w:p w14:paraId="59CFD676">
      <w:pPr>
        <w:pStyle w:val="23"/>
      </w:pPr>
      <w:r>
        <w:t>The final prediction is a weighted combination of expert outputs:</w:t>
      </w:r>
    </w:p>
    <w:p w14:paraId="17C7E663">
      <w:pPr>
        <w:pStyle w:val="3"/>
      </w:pPr>
      <m:oMathPara>
        <m:oMathParaPr>
          <m:jc m:val="center"/>
        </m:oMathParaPr>
        <m:oMath>
          <m:r>
            <m:rPr/>
            <m:t>p</m:t>
          </m:r>
          <m:r>
            <m:rPr>
              <m:sty m:val="p"/>
            </m:rPr>
            <m:t>(</m:t>
          </m:r>
          <m:r>
            <m:rPr/>
            <m:t>y</m:t>
          </m:r>
          <m:r>
            <m:rPr>
              <m:sty m:val="p"/>
            </m:rPr>
            <m:t>∣</m:t>
          </m:r>
          <m:r>
            <m:rPr/>
            <m:t>x</m:t>
          </m:r>
          <m:r>
            <m:rPr>
              <m:sty m:val="p"/>
            </m:rPr>
            <m:t>)=</m:t>
          </m:r>
          <m:nary>
            <m:naryPr>
              <m:chr m:val="∑"/>
              <m:limLoc m:val="undOvr"/>
            </m:naryPr>
            <m:sub>
              <m:r>
                <m:rPr/>
                <m:t>i</m:t>
              </m:r>
              <m:r>
                <m:rPr>
                  <m:sty m:val="p"/>
                </m:rPr>
                <m:t>=</m:t>
              </m:r>
              <m:r>
                <m:rPr/>
                <m:t>1</m:t>
              </m:r>
            </m:sub>
            <m:sup>
              <m:r>
                <m:rPr/>
                <m:t>5</m:t>
              </m:r>
            </m:sup>
            <m:e>
              <m:sSub>
                <m:sSubPr/>
                <m:e>
                  <m:r>
                    <m:rPr/>
                    <m:t>α</m:t>
                  </m:r>
                </m:e>
                <m:sub>
                  <m:r>
                    <m:rPr/>
                    <m:t>i</m:t>
                  </m:r>
                </m:sub>
              </m:sSub>
            </m:e>
          </m:nary>
          <m:r>
            <m:rPr>
              <m:sty m:val="p"/>
            </m:rPr>
            <m:t>(</m:t>
          </m:r>
          <m:r>
            <m:rPr/>
            <m:t>x</m:t>
          </m:r>
          <m:r>
            <m:rPr>
              <m:sty m:val="p"/>
            </m:rPr>
            <m:t>)</m:t>
          </m:r>
          <m:r>
            <m:rPr/>
            <m:t> </m:t>
          </m:r>
          <m:sSub>
            <m:sSubPr/>
            <m:e>
              <m:r>
                <m:rPr/>
                <m:t>E</m:t>
              </m:r>
            </m:e>
            <m:sub>
              <m:r>
                <m:rPr/>
                <m:t>i</m:t>
              </m:r>
            </m:sub>
          </m:sSub>
          <m:r>
            <m:rPr>
              <m:sty m:val="p"/>
            </m:rPr>
            <m:t>(</m:t>
          </m:r>
          <m:r>
            <m:rPr/>
            <m:t>h</m:t>
          </m:r>
          <m:r>
            <m:rPr>
              <m:sty m:val="p"/>
            </m:rPr>
            <m:t>(</m:t>
          </m:r>
          <m:r>
            <m:rPr/>
            <m:t>x</m:t>
          </m:r>
          <m:r>
            <m:rPr>
              <m:sty m:val="p"/>
            </m:rPr>
            <m:t>)).</m:t>
          </m:r>
        </m:oMath>
      </m:oMathPara>
    </w:p>
    <w:p w14:paraId="66FCF27F">
      <w:pPr>
        <w:pStyle w:val="23"/>
      </w:pPr>
      <w:r>
        <w:t>This baseline represents a modular architecture without residual integration and serves as a direct comparison point for evaluating RED’s stability under routing variability.</w:t>
      </w:r>
    </w:p>
    <w:bookmarkEnd w:id="18"/>
    <w:p w14:paraId="1962F280">
      <w:pPr>
        <w:pStyle w:val="5"/>
      </w:pPr>
      <w:bookmarkStart w:id="19" w:name="summary-1"/>
      <w:r>
        <w:t>4.3.5 Summary</w:t>
      </w:r>
    </w:p>
    <w:tbl>
      <w:tblPr>
        <w:tblStyle w:val="41"/>
        <w:tblW w:w="5000" w:type="pct"/>
        <w:tblInd w:w="0" w:type="dxa"/>
        <w:tblLayout w:type="fixed"/>
        <w:tblCellMar>
          <w:top w:w="0" w:type="dxa"/>
          <w:left w:w="108" w:type="dxa"/>
          <w:bottom w:w="0" w:type="dxa"/>
          <w:right w:w="108" w:type="dxa"/>
        </w:tblCellMar>
      </w:tblPr>
      <w:tblGrid>
        <w:gridCol w:w="1704"/>
        <w:gridCol w:w="1021"/>
        <w:gridCol w:w="1021"/>
        <w:gridCol w:w="1874"/>
        <w:gridCol w:w="3236"/>
      </w:tblGrid>
      <w:tr w14:paraId="4ABCF408">
        <w:tblPrEx>
          <w:tblCellMar>
            <w:top w:w="0" w:type="dxa"/>
            <w:left w:w="108" w:type="dxa"/>
            <w:bottom w:w="0" w:type="dxa"/>
            <w:right w:w="108" w:type="dxa"/>
          </w:tblCellMar>
        </w:tblPrEx>
        <w:trPr>
          <w:tblHeader/>
        </w:trPr>
        <w:tc>
          <w:p w14:paraId="7F62AF05">
            <w:pPr>
              <w:pStyle w:val="24"/>
            </w:pPr>
            <w:r>
              <w:t>Baseline</w:t>
            </w:r>
          </w:p>
        </w:tc>
        <w:tc>
          <w:p w14:paraId="21995C21">
            <w:pPr>
              <w:pStyle w:val="24"/>
            </w:pPr>
            <w:r>
              <w:t>Routing</w:t>
            </w:r>
          </w:p>
        </w:tc>
        <w:tc>
          <w:p w14:paraId="6F20614C">
            <w:pPr>
              <w:pStyle w:val="24"/>
            </w:pPr>
            <w:r>
              <w:t>Modularity</w:t>
            </w:r>
          </w:p>
        </w:tc>
        <w:tc>
          <w:p w14:paraId="41E6F5C4">
            <w:pPr>
              <w:pStyle w:val="24"/>
            </w:pPr>
            <w:r>
              <w:t>Residual Integration</w:t>
            </w:r>
          </w:p>
        </w:tc>
        <w:tc>
          <w:p w14:paraId="4EAE9895">
            <w:pPr>
              <w:pStyle w:val="24"/>
            </w:pPr>
            <w:r>
              <w:t>Purpose</w:t>
            </w:r>
          </w:p>
        </w:tc>
      </w:tr>
      <w:tr w14:paraId="4D8EC781">
        <w:tblPrEx>
          <w:tblCellMar>
            <w:top w:w="0" w:type="dxa"/>
            <w:left w:w="108" w:type="dxa"/>
            <w:bottom w:w="0" w:type="dxa"/>
            <w:right w:w="108" w:type="dxa"/>
          </w:tblCellMar>
        </w:tblPrEx>
        <w:tc>
          <w:p w14:paraId="7317D996">
            <w:pPr>
              <w:pStyle w:val="24"/>
            </w:pPr>
            <w:r>
              <w:t>Global Head</w:t>
            </w:r>
          </w:p>
        </w:tc>
        <w:tc>
          <w:p w14:paraId="1EF9E465">
            <w:pPr>
              <w:pStyle w:val="24"/>
            </w:pPr>
            <w:r>
              <w:t>✗</w:t>
            </w:r>
          </w:p>
        </w:tc>
        <w:tc>
          <w:p w14:paraId="217650A6">
            <w:pPr>
              <w:pStyle w:val="24"/>
            </w:pPr>
            <w:r>
              <w:t>✗</w:t>
            </w:r>
          </w:p>
        </w:tc>
        <w:tc>
          <w:p w14:paraId="7A14D82A">
            <w:pPr>
              <w:pStyle w:val="24"/>
            </w:pPr>
            <w:r>
              <w:t>✗</w:t>
            </w:r>
          </w:p>
        </w:tc>
        <w:tc>
          <w:p w14:paraId="62EA621A">
            <w:pPr>
              <w:pStyle w:val="24"/>
            </w:pPr>
            <w:r>
              <w:t>Non-modular reference</w:t>
            </w:r>
          </w:p>
        </w:tc>
      </w:tr>
      <w:tr w14:paraId="4F582129">
        <w:tblPrEx>
          <w:tblCellMar>
            <w:top w:w="0" w:type="dxa"/>
            <w:left w:w="108" w:type="dxa"/>
            <w:bottom w:w="0" w:type="dxa"/>
            <w:right w:w="108" w:type="dxa"/>
          </w:tblCellMar>
        </w:tblPrEx>
        <w:tc>
          <w:p w14:paraId="6B0637E1">
            <w:pPr>
              <w:pStyle w:val="24"/>
            </w:pPr>
            <w:r>
              <w:t>Per-Range Experts</w:t>
            </w:r>
          </w:p>
        </w:tc>
        <w:tc>
          <w:p w14:paraId="30962D19">
            <w:pPr>
              <w:pStyle w:val="24"/>
            </w:pPr>
            <w:r>
              <w:t>✓ (oracle)</w:t>
            </w:r>
          </w:p>
        </w:tc>
        <w:tc>
          <w:p w14:paraId="2766A75A">
            <w:pPr>
              <w:pStyle w:val="24"/>
            </w:pPr>
            <w:r>
              <w:t>✓</w:t>
            </w:r>
          </w:p>
        </w:tc>
        <w:tc>
          <w:p w14:paraId="51EBF8B8">
            <w:pPr>
              <w:pStyle w:val="24"/>
            </w:pPr>
            <w:r>
              <w:t>✗</w:t>
            </w:r>
          </w:p>
        </w:tc>
        <w:tc>
          <w:p w14:paraId="1533E313">
            <w:pPr>
              <w:pStyle w:val="24"/>
            </w:pPr>
            <w:r>
              <w:t>Upper bound on specialization</w:t>
            </w:r>
          </w:p>
        </w:tc>
      </w:tr>
      <w:tr w14:paraId="5D200F64">
        <w:tblPrEx>
          <w:tblCellMar>
            <w:top w:w="0" w:type="dxa"/>
            <w:left w:w="108" w:type="dxa"/>
            <w:bottom w:w="0" w:type="dxa"/>
            <w:right w:w="108" w:type="dxa"/>
          </w:tblCellMar>
        </w:tblPrEx>
        <w:tc>
          <w:p w14:paraId="4F939FD3">
            <w:pPr>
              <w:pStyle w:val="24"/>
            </w:pPr>
            <w:r>
              <w:t>Uniform Avg</w:t>
            </w:r>
          </w:p>
        </w:tc>
        <w:tc>
          <w:p w14:paraId="41FE7BFD">
            <w:pPr>
              <w:pStyle w:val="24"/>
            </w:pPr>
            <w:r>
              <w:t>✗</w:t>
            </w:r>
          </w:p>
        </w:tc>
        <w:tc>
          <w:p w14:paraId="6488C4DF">
            <w:pPr>
              <w:pStyle w:val="24"/>
            </w:pPr>
            <w:r>
              <w:t>✓</w:t>
            </w:r>
          </w:p>
        </w:tc>
        <w:tc>
          <w:p w14:paraId="0B9E6842">
            <w:pPr>
              <w:pStyle w:val="24"/>
            </w:pPr>
            <w:r>
              <w:t>✗</w:t>
            </w:r>
          </w:p>
        </w:tc>
        <w:tc>
          <w:p w14:paraId="1743F602">
            <w:pPr>
              <w:pStyle w:val="24"/>
            </w:pPr>
            <w:r>
              <w:t>Parameter-free modular ensemble</w:t>
            </w:r>
          </w:p>
        </w:tc>
      </w:tr>
      <w:tr w14:paraId="698A0E10">
        <w:tblPrEx>
          <w:tblCellMar>
            <w:top w:w="0" w:type="dxa"/>
            <w:left w:w="108" w:type="dxa"/>
            <w:bottom w:w="0" w:type="dxa"/>
            <w:right w:w="108" w:type="dxa"/>
          </w:tblCellMar>
        </w:tblPrEx>
        <w:tc>
          <w:p w14:paraId="7F4EACD4">
            <w:pPr>
              <w:pStyle w:val="24"/>
            </w:pPr>
            <w:r>
              <w:t>Softmax Gating</w:t>
            </w:r>
          </w:p>
        </w:tc>
        <w:tc>
          <w:p w14:paraId="490B856A">
            <w:pPr>
              <w:pStyle w:val="24"/>
            </w:pPr>
            <w:r>
              <w:t>✓</w:t>
            </w:r>
          </w:p>
        </w:tc>
        <w:tc>
          <w:p w14:paraId="43CB7388">
            <w:pPr>
              <w:pStyle w:val="24"/>
            </w:pPr>
            <w:r>
              <w:t>✓</w:t>
            </w:r>
          </w:p>
        </w:tc>
        <w:tc>
          <w:p w14:paraId="6FA35F3F">
            <w:pPr>
              <w:pStyle w:val="24"/>
            </w:pPr>
            <w:r>
              <w:t>✗</w:t>
            </w:r>
          </w:p>
        </w:tc>
        <w:tc>
          <w:p w14:paraId="09A6DAFA">
            <w:pPr>
              <w:pStyle w:val="24"/>
            </w:pPr>
            <w:r>
              <w:t>Classical MoE comparison</w:t>
            </w:r>
          </w:p>
        </w:tc>
      </w:tr>
      <w:tr w14:paraId="12046754">
        <w:tblPrEx>
          <w:tblCellMar>
            <w:top w:w="0" w:type="dxa"/>
            <w:left w:w="108" w:type="dxa"/>
            <w:bottom w:w="0" w:type="dxa"/>
            <w:right w:w="108" w:type="dxa"/>
          </w:tblCellMar>
        </w:tblPrEx>
        <w:tc>
          <w:p w14:paraId="30CB2815">
            <w:pPr>
              <w:pStyle w:val="24"/>
            </w:pPr>
            <w:r>
              <w:rPr>
                <w:b/>
                <w:bCs/>
              </w:rPr>
              <w:t>RED (Ours)</w:t>
            </w:r>
          </w:p>
        </w:tc>
        <w:tc>
          <w:p w14:paraId="206B0CDF">
            <w:pPr>
              <w:pStyle w:val="24"/>
            </w:pPr>
            <w:r>
              <w:t>✓</w:t>
            </w:r>
          </w:p>
        </w:tc>
        <w:tc>
          <w:p w14:paraId="0B0E5F0F">
            <w:pPr>
              <w:pStyle w:val="24"/>
            </w:pPr>
            <w:r>
              <w:t>✓</w:t>
            </w:r>
          </w:p>
        </w:tc>
        <w:tc>
          <w:p w14:paraId="0BD3C09F">
            <w:pPr>
              <w:pStyle w:val="24"/>
            </w:pPr>
            <w:r>
              <w:t>✓</w:t>
            </w:r>
          </w:p>
        </w:tc>
        <w:tc>
          <w:p w14:paraId="47BA1FAD">
            <w:pPr>
              <w:pStyle w:val="24"/>
            </w:pPr>
            <w:r>
              <w:t>Full modular integration</w:t>
            </w:r>
          </w:p>
        </w:tc>
      </w:tr>
    </w:tbl>
    <w:p w14:paraId="19A672B1">
      <w:pPr>
        <w:pStyle w:val="3"/>
      </w:pPr>
      <w:r>
        <w:t>The step-decomposed execution framework (Section 4.8) is not treated as a baseline because it evaluates execution capability under oracle structural information. Instead, it serves as an upper-bound diagnostic for assessing RED’s behavior when computational structure is externally supplied.</w:t>
      </w:r>
    </w:p>
    <w:bookmarkEnd w:id="14"/>
    <w:bookmarkEnd w:id="19"/>
    <w:p w14:paraId="1F13B98D">
      <w:pPr>
        <w:pStyle w:val="4"/>
      </w:pPr>
      <w:bookmarkStart w:id="20" w:name="X503115d8ae76b040945c2e4a952adec0b9c9696"/>
      <w:r>
        <w:t>4.4 Our Method: Residual Expert Decomposition (RED)</w:t>
      </w:r>
    </w:p>
    <w:p w14:paraId="4FEB23FE">
      <w:pPr>
        <w:pStyle w:val="23"/>
      </w:pPr>
      <w:r>
        <w:t xml:space="preserve">Residual Expert Decomposition (RED) is a modular architecture designed to integrate multiple independently trained numerical experts through a shared semantic backbone and a routing mechanism that assigns context-dependent expert contributions. Unlike classical Mixture-of-Experts (MoE) models, which combine expert logits directly, RED performs </w:t>
      </w:r>
      <w:r>
        <w:rPr>
          <w:b/>
          <w:bCs/>
        </w:rPr>
        <w:t>residual integration</w:t>
      </w:r>
      <w:r>
        <w:t>, allowing expert refinements to remain stable, numerically grounded, and interpretable.</w:t>
      </w:r>
    </w:p>
    <w:p w14:paraId="5C0DF1F6">
      <w:pPr>
        <w:pStyle w:val="3"/>
      </w:pPr>
      <w:r>
        <w:t>RED consists of three components:</w:t>
      </w:r>
    </w:p>
    <w:p w14:paraId="6DD6EDAA">
      <w:pPr>
        <w:pStyle w:val="24"/>
        <w:numPr>
          <w:ilvl w:val="0"/>
          <w:numId w:val="3"/>
        </w:numPr>
      </w:pPr>
      <w:r>
        <w:t>a shared backbone encoder,</w:t>
      </w:r>
    </w:p>
    <w:p w14:paraId="3EDEA955">
      <w:pPr>
        <w:pStyle w:val="24"/>
        <w:numPr>
          <w:ilvl w:val="0"/>
          <w:numId w:val="3"/>
        </w:numPr>
      </w:pPr>
      <w:r>
        <w:t>residual expert modules specializing in numerical substructures, and</w:t>
      </w:r>
    </w:p>
    <w:p w14:paraId="688DB273">
      <w:pPr>
        <w:pStyle w:val="24"/>
        <w:numPr>
          <w:ilvl w:val="0"/>
          <w:numId w:val="3"/>
        </w:numPr>
      </w:pPr>
      <w:r>
        <w:t>a router that determines expert participation.</w:t>
      </w:r>
    </w:p>
    <w:p w14:paraId="6D7D5714">
      <w:pPr>
        <w:pStyle w:val="23"/>
      </w:pPr>
      <w:r>
        <w:t>The following subsections describe the core components of RED.</w:t>
      </w:r>
    </w:p>
    <w:p w14:paraId="32AA2D32">
      <w:pPr>
        <w:pStyle w:val="5"/>
      </w:pPr>
      <w:bookmarkStart w:id="21" w:name="residual-expert-structure"/>
      <w:r>
        <w:t>4.4.1 Residual Expert Structure</w:t>
      </w:r>
    </w:p>
    <w:p w14:paraId="468F3A4F">
      <w:pPr>
        <w:pStyle w:val="23"/>
      </w:pPr>
      <w:r>
        <w:t xml:space="preserve">Each expert functions as a </w:t>
      </w:r>
      <w:r>
        <w:rPr>
          <w:b/>
          <w:bCs/>
        </w:rPr>
        <w:t>residual adapter</w:t>
      </w:r>
      <w:r>
        <w:t xml:space="preserve"> that refines—rather than replaces— the backbone representation. Let the backbone produce the embedding</w:t>
      </w:r>
    </w:p>
    <w:p w14:paraId="307EBDE1">
      <w:pPr>
        <w:pStyle w:val="3"/>
      </w:pPr>
      <m:oMathPara>
        <m:oMathParaPr>
          <m:jc m:val="center"/>
        </m:oMathParaPr>
        <m:oMath>
          <m:sSub>
            <m:sSubPr/>
            <m:e>
              <m:r>
                <m:rPr/>
                <m:t>h</m:t>
              </m:r>
            </m:e>
            <m:sub>
              <m:r>
                <m:rPr>
                  <m:nor/>
                  <m:sty m:val="p"/>
                </m:rPr>
                <w:rPr>
                  <w:b w:val="0"/>
                  <w:i w:val="0"/>
                </w:rPr>
                <m:t>base</m:t>
              </m:r>
            </m:sub>
          </m:sSub>
          <m:r>
            <m:rPr>
              <m:sty m:val="p"/>
            </m:rPr>
            <m:t>(</m:t>
          </m:r>
          <m:r>
            <m:rPr/>
            <m:t>x</m:t>
          </m:r>
          <m:r>
            <m:rPr>
              <m:sty m:val="p"/>
            </m:rPr>
            <m:t>).</m:t>
          </m:r>
        </m:oMath>
      </m:oMathPara>
    </w:p>
    <w:p w14:paraId="77B2D8E8">
      <w:pPr>
        <w:pStyle w:val="23"/>
      </w:pPr>
      <w:r>
        <w:t xml:space="preserve">Expert </w:t>
      </w:r>
      <m:oMath>
        <m:sSub>
          <m:sSubPr/>
          <m:e>
            <m:r>
              <m:rPr/>
              <m:t>E</m:t>
            </m:r>
          </m:e>
          <m:sub>
            <m:r>
              <m:rPr/>
              <m:t>i</m:t>
            </m:r>
          </m:sub>
        </m:sSub>
      </m:oMath>
      <w:r>
        <w:t xml:space="preserve"> generates a residual update:</w:t>
      </w:r>
    </w:p>
    <w:p w14:paraId="10424EEB">
      <w:pPr>
        <w:pStyle w:val="3"/>
      </w:pPr>
      <m:oMathPara>
        <m:oMathParaPr>
          <m:jc m:val="center"/>
        </m:oMathParaPr>
        <m:oMath>
          <m:r>
            <m:rPr>
              <m:sty m:val="p"/>
            </m:rPr>
            <m:t>Δ</m:t>
          </m:r>
          <m:sSub>
            <m:sSubPr/>
            <m:e>
              <m:r>
                <m:rPr/>
                <m:t>h</m:t>
              </m:r>
            </m:e>
            <m:sub>
              <m:r>
                <m:rPr/>
                <m:t>i</m:t>
              </m:r>
            </m:sub>
          </m:sSub>
          <m:r>
            <m:rPr>
              <m:sty m:val="p"/>
            </m:rPr>
            <m:t>(</m:t>
          </m:r>
          <m:r>
            <m:rPr/>
            <m:t>x</m:t>
          </m:r>
          <m:r>
            <m:rPr>
              <m:sty m:val="p"/>
            </m:rPr>
            <m:t>)=</m:t>
          </m:r>
          <m:sSub>
            <m:sSubPr/>
            <m:e>
              <m:r>
                <m:rPr/>
                <m:t>ϕ</m:t>
              </m:r>
            </m:e>
            <m:sub>
              <m:r>
                <m:rPr/>
                <m:t>i</m:t>
              </m:r>
            </m:sub>
          </m:sSub>
          <m:d>
            <m:dPr>
              <m:sepChr m:val=""/>
            </m:dPr>
            <m:e>
              <m:sSub>
                <m:sSubPr/>
                <m:e>
                  <m:r>
                    <m:rPr/>
                    <m:t>h</m:t>
                  </m:r>
                </m:e>
                <m:sub>
                  <m:r>
                    <m:rPr>
                      <m:nor/>
                      <m:sty m:val="p"/>
                    </m:rPr>
                    <w:rPr>
                      <w:b w:val="0"/>
                      <w:i w:val="0"/>
                    </w:rPr>
                    <m:t>base</m:t>
                  </m:r>
                </m:sub>
              </m:sSub>
              <m:r>
                <m:rPr>
                  <m:sty m:val="p"/>
                </m:rPr>
                <m:t>(</m:t>
              </m:r>
              <m:r>
                <m:rPr/>
                <m:t>x</m:t>
              </m:r>
              <m:r>
                <m:rPr>
                  <m:sty m:val="p"/>
                </m:rPr>
                <m:t>)</m:t>
              </m:r>
            </m:e>
          </m:d>
          <m:r>
            <m:rPr>
              <m:sty m:val="p"/>
            </m:rPr>
            <m:t>,</m:t>
          </m:r>
        </m:oMath>
      </m:oMathPara>
    </w:p>
    <w:p w14:paraId="24D2813D">
      <w:pPr>
        <w:pStyle w:val="23"/>
      </w:pPr>
      <w:r>
        <w:t xml:space="preserve">where </w:t>
      </w:r>
      <m:oMath>
        <m:sSub>
          <m:sSubPr/>
          <m:e>
            <m:r>
              <m:rPr/>
              <m:t>ϕ</m:t>
            </m:r>
          </m:e>
          <m:sub>
            <m:r>
              <m:rPr/>
              <m:t>i</m:t>
            </m:r>
          </m:sub>
        </m:sSub>
      </m:oMath>
      <w:r>
        <w:t xml:space="preserve"> is a low-rank transformation.</w:t>
      </w:r>
    </w:p>
    <w:p w14:paraId="259432D6">
      <w:pPr>
        <w:pStyle w:val="3"/>
      </w:pPr>
      <w:r>
        <w:t>This design ensures that:</w:t>
      </w:r>
    </w:p>
    <w:p w14:paraId="0499DEA5">
      <w:pPr>
        <w:pStyle w:val="24"/>
        <w:numPr>
          <w:ilvl w:val="0"/>
          <w:numId w:val="2"/>
        </w:numPr>
      </w:pPr>
      <w:r>
        <w:t>experts specialize in range- or operation-specific refinements,</w:t>
      </w:r>
    </w:p>
    <w:p w14:paraId="582DCB00">
      <w:pPr>
        <w:pStyle w:val="24"/>
        <w:numPr>
          <w:ilvl w:val="0"/>
          <w:numId w:val="2"/>
        </w:numPr>
      </w:pPr>
      <w:r>
        <w:t>the global semantic representation is preserved, and</w:t>
      </w:r>
    </w:p>
    <w:p w14:paraId="25E3E4F2">
      <w:pPr>
        <w:pStyle w:val="24"/>
        <w:numPr>
          <w:ilvl w:val="0"/>
          <w:numId w:val="2"/>
        </w:numPr>
      </w:pPr>
      <w:r>
        <w:t>expert modules remain independent and easily composable.</w:t>
      </w:r>
    </w:p>
    <w:p w14:paraId="687C093B">
      <w:pPr>
        <w:pStyle w:val="23"/>
      </w:pPr>
      <w:r>
        <w:t>Experts do not output predictions directly; they only contribute representational updates.</w:t>
      </w:r>
    </w:p>
    <w:bookmarkEnd w:id="21"/>
    <w:p w14:paraId="47ACC610">
      <w:pPr>
        <w:pStyle w:val="5"/>
      </w:pPr>
      <w:bookmarkStart w:id="22" w:name="router-for-expert-mixing"/>
      <w:r>
        <w:t>4.4.2 Router for Expert Mixing</w:t>
      </w:r>
    </w:p>
    <w:p w14:paraId="258E159A">
      <w:pPr>
        <w:pStyle w:val="23"/>
      </w:pPr>
      <w:r>
        <w:t>A routing network assigns weights to experts based on the backbone embedding:</w:t>
      </w:r>
    </w:p>
    <w:p w14:paraId="09C1BF1C">
      <w:pPr>
        <w:pStyle w:val="3"/>
      </w:pPr>
      <m:oMathPara>
        <m:oMathParaPr>
          <m:jc m:val="center"/>
        </m:oMathParaPr>
        <m:oMath>
          <m:r>
            <m:rPr>
              <m:sty m:val="b"/>
            </m:rPr>
            <m:t>α</m:t>
          </m:r>
          <m:r>
            <m:rPr>
              <m:sty m:val="p"/>
            </m:rPr>
            <m:t>(</m:t>
          </m:r>
          <m:r>
            <m:rPr/>
            <m:t>x</m:t>
          </m:r>
          <m:r>
            <m:rPr>
              <m:sty m:val="p"/>
            </m:rPr>
            <m:t>)=softmax</m:t>
          </m:r>
          <m:d>
            <m:dPr>
              <m:sepChr m:val=""/>
            </m:dPr>
            <m:e>
              <m:r>
                <m:rPr/>
                <m:t>R</m:t>
              </m:r>
              <m:r>
                <m:rPr>
                  <m:sty m:val="p"/>
                </m:rPr>
                <m:t>(</m:t>
              </m:r>
              <m:sSub>
                <m:sSubPr/>
                <m:e>
                  <m:r>
                    <m:rPr/>
                    <m:t>h</m:t>
                  </m:r>
                </m:e>
                <m:sub>
                  <m:r>
                    <m:rPr>
                      <m:nor/>
                      <m:sty m:val="p"/>
                    </m:rPr>
                    <w:rPr>
                      <w:b w:val="0"/>
                      <w:i w:val="0"/>
                    </w:rPr>
                    <m:t>base</m:t>
                  </m:r>
                </m:sub>
              </m:sSub>
              <m:r>
                <m:rPr>
                  <m:sty m:val="p"/>
                </m:rPr>
                <m:t>(</m:t>
              </m:r>
              <m:r>
                <m:rPr/>
                <m:t>x</m:t>
              </m:r>
              <m:r>
                <m:rPr>
                  <m:sty m:val="p"/>
                </m:rPr>
                <m:t>))</m:t>
              </m:r>
            </m:e>
          </m:d>
          <m:r>
            <m:rPr>
              <m:sty m:val="p"/>
            </m:rPr>
            <m:t>.</m:t>
          </m:r>
        </m:oMath>
      </m:oMathPara>
    </w:p>
    <w:p w14:paraId="0E7E9E9B">
      <w:pPr>
        <w:pStyle w:val="23"/>
      </w:pPr>
      <w:r>
        <w:t>The router is trained after experts have been fixed, ensuring that experts remain independent modules rather than co-adapted components.</w:t>
      </w:r>
      <w:r>
        <w:br w:type="textWrapping"/>
      </w:r>
      <w:r>
        <w:t>The routing weights reflect the model’s assessment of which numerical specialization is most relevant for the input query.</w:t>
      </w:r>
    </w:p>
    <w:bookmarkEnd w:id="22"/>
    <w:p w14:paraId="36882F0D">
      <w:pPr>
        <w:pStyle w:val="5"/>
      </w:pPr>
      <w:bookmarkStart w:id="23" w:name="residual-integration"/>
      <w:r>
        <w:t>4.4.3 Residual Integration</w:t>
      </w:r>
    </w:p>
    <w:p w14:paraId="3C85759A">
      <w:pPr>
        <w:pStyle w:val="23"/>
      </w:pPr>
      <w:r>
        <w:t>The final representation is obtained by combining the backbone embedding with expert refinements:</w:t>
      </w:r>
    </w:p>
    <w:p w14:paraId="13B02135">
      <w:pPr>
        <w:pStyle w:val="3"/>
      </w:pPr>
      <m:oMathPara>
        <m:oMathParaPr>
          <m:jc m:val="center"/>
        </m:oMathParaPr>
        <m:oMath>
          <m:acc>
            <m:accPr/>
            <m:e>
              <m:r>
                <m:rPr/>
                <m:t>h</m:t>
              </m:r>
            </m:e>
          </m:acc>
          <m:r>
            <m:rPr>
              <m:sty m:val="p"/>
            </m:rPr>
            <m:t>(</m:t>
          </m:r>
          <m:r>
            <m:rPr/>
            <m:t>x</m:t>
          </m:r>
          <m:r>
            <m:rPr>
              <m:sty m:val="p"/>
            </m:rPr>
            <m:t>)=</m:t>
          </m:r>
          <m:sSub>
            <m:sSubPr/>
            <m:e>
              <m:r>
                <m:rPr/>
                <m:t>h</m:t>
              </m:r>
            </m:e>
            <m:sub>
              <m:r>
                <m:rPr>
                  <m:nor/>
                  <m:sty m:val="p"/>
                </m:rPr>
                <w:rPr>
                  <w:b w:val="0"/>
                  <w:i w:val="0"/>
                </w:rPr>
                <m:t>base</m:t>
              </m:r>
            </m:sub>
          </m:sSub>
          <m:r>
            <m:rPr>
              <m:sty m:val="p"/>
            </m:rPr>
            <m:t>(</m:t>
          </m:r>
          <m:r>
            <m:rPr/>
            <m:t>x</m:t>
          </m:r>
          <m:r>
            <m:rPr>
              <m:sty m:val="p"/>
            </m:rPr>
            <m:t>)+</m:t>
          </m:r>
          <m:nary>
            <m:naryPr>
              <m:chr m:val="∑"/>
              <m:limLoc m:val="undOvr"/>
            </m:naryPr>
            <m:sub>
              <m:r>
                <m:rPr/>
                <m:t>i</m:t>
              </m:r>
              <m:r>
                <m:rPr>
                  <m:sty m:val="p"/>
                </m:rPr>
                <m:t>=</m:t>
              </m:r>
              <m:r>
                <m:rPr/>
                <m:t>1</m:t>
              </m:r>
            </m:sub>
            <m:sup>
              <m:r>
                <m:rPr/>
                <m:t>5</m:t>
              </m:r>
            </m:sup>
            <m:e>
              <m:sSub>
                <m:sSubPr/>
                <m:e>
                  <m:r>
                    <m:rPr/>
                    <m:t>α</m:t>
                  </m:r>
                </m:e>
                <m:sub>
                  <m:r>
                    <m:rPr/>
                    <m:t>i</m:t>
                  </m:r>
                </m:sub>
              </m:sSub>
            </m:e>
          </m:nary>
          <m:r>
            <m:rPr>
              <m:sty m:val="p"/>
            </m:rPr>
            <m:t>(</m:t>
          </m:r>
          <m:r>
            <m:rPr/>
            <m:t>x</m:t>
          </m:r>
          <m:r>
            <m:rPr>
              <m:sty m:val="p"/>
            </m:rPr>
            <m:t>)</m:t>
          </m:r>
          <m:r>
            <m:rPr/>
            <m:t> </m:t>
          </m:r>
          <m:r>
            <m:rPr>
              <m:sty m:val="p"/>
            </m:rPr>
            <m:t>Δ</m:t>
          </m:r>
          <m:sSub>
            <m:sSubPr/>
            <m:e>
              <m:r>
                <m:rPr/>
                <m:t>h</m:t>
              </m:r>
            </m:e>
            <m:sub>
              <m:r>
                <m:rPr/>
                <m:t>i</m:t>
              </m:r>
            </m:sub>
          </m:sSub>
          <m:r>
            <m:rPr>
              <m:sty m:val="p"/>
            </m:rPr>
            <m:t>(</m:t>
          </m:r>
          <m:r>
            <m:rPr/>
            <m:t>x</m:t>
          </m:r>
          <m:r>
            <m:rPr>
              <m:sty m:val="p"/>
            </m:rPr>
            <m:t>).</m:t>
          </m:r>
        </m:oMath>
      </m:oMathPara>
    </w:p>
    <w:p w14:paraId="207F66FD">
      <w:pPr>
        <w:pStyle w:val="23"/>
      </w:pPr>
      <w:r>
        <w:t xml:space="preserve">A shared classifier converts </w:t>
      </w:r>
      <m:oMath>
        <m:acc>
          <m:accPr/>
          <m:e>
            <m:r>
              <m:rPr/>
              <m:t>h</m:t>
            </m:r>
          </m:e>
        </m:acc>
        <m:r>
          <m:rPr>
            <m:sty m:val="p"/>
          </m:rPr>
          <m:t>(</m:t>
        </m:r>
        <m:r>
          <m:rPr/>
          <m:t>x</m:t>
        </m:r>
        <m:r>
          <m:rPr>
            <m:sty m:val="p"/>
          </m:rPr>
          <m:t>)</m:t>
        </m:r>
      </m:oMath>
      <w:r>
        <w:t xml:space="preserve"> into output logits.</w:t>
      </w:r>
    </w:p>
    <w:p w14:paraId="23F9F396">
      <w:pPr>
        <w:pStyle w:val="3"/>
      </w:pPr>
      <w:r>
        <w:t>This construction provides several favorable properties:</w:t>
      </w:r>
    </w:p>
    <w:p w14:paraId="05F21895">
      <w:pPr>
        <w:pStyle w:val="24"/>
        <w:numPr>
          <w:ilvl w:val="0"/>
          <w:numId w:val="2"/>
        </w:numPr>
      </w:pPr>
      <w:r>
        <w:rPr>
          <w:b/>
          <w:bCs/>
        </w:rPr>
        <w:t>Stability:</w:t>
      </w:r>
      <w:r>
        <w:t xml:space="preserve"> the backbone acts as an anchor, and residuals produce bounded updates.</w:t>
      </w:r>
    </w:p>
    <w:p w14:paraId="3EDDD5A3">
      <w:pPr>
        <w:pStyle w:val="24"/>
        <w:numPr>
          <w:ilvl w:val="0"/>
          <w:numId w:val="2"/>
        </w:numPr>
      </w:pPr>
      <w:r>
        <w:rPr>
          <w:b/>
          <w:bCs/>
        </w:rPr>
        <w:t>Graceful routing error tolerance:</w:t>
      </w:r>
      <w:r>
        <w:t xml:space="preserve"> small inaccuracies in routing lead to proportionally small output perturbations.</w:t>
      </w:r>
    </w:p>
    <w:p w14:paraId="2DEEA07E">
      <w:pPr>
        <w:pStyle w:val="24"/>
        <w:numPr>
          <w:ilvl w:val="0"/>
          <w:numId w:val="2"/>
        </w:numPr>
      </w:pPr>
      <w:r>
        <w:rPr>
          <w:b/>
          <w:bCs/>
        </w:rPr>
        <w:t>Cross-expert cooperation:</w:t>
      </w:r>
      <w:r>
        <w:t xml:space="preserve"> adjacent experts contribute smoothly near numerical boundaries.</w:t>
      </w:r>
    </w:p>
    <w:bookmarkEnd w:id="23"/>
    <w:p w14:paraId="3CCFEC43">
      <w:pPr>
        <w:pStyle w:val="5"/>
      </w:pPr>
      <w:bookmarkStart w:id="24" w:name="benefits-of-residual-integration"/>
      <w:r>
        <w:t>4.4.4 Benefits of Residual Integration</w:t>
      </w:r>
    </w:p>
    <w:p w14:paraId="0FE018D6">
      <w:pPr>
        <w:pStyle w:val="23"/>
      </w:pPr>
      <w:r>
        <w:t>The residual formulation yields structural advantages not available in classical MoE frameworks:</w:t>
      </w:r>
    </w:p>
    <w:p w14:paraId="5D06DD7E">
      <w:pPr>
        <w:pStyle w:val="3"/>
      </w:pPr>
      <w:r>
        <w:rPr>
          <w:b/>
          <w:bCs/>
        </w:rPr>
        <w:t>(1) Stable representational grounding</w:t>
      </w:r>
      <w:r>
        <w:br w:type="textWrapping"/>
      </w:r>
      <w:r>
        <w:t>The backbone provides a consistent semantic base that prevents experts from drifting or interfering with each other.</w:t>
      </w:r>
    </w:p>
    <w:p w14:paraId="3234ACC1">
      <w:pPr>
        <w:pStyle w:val="3"/>
      </w:pPr>
      <w:r>
        <w:rPr>
          <w:b/>
          <w:bCs/>
        </w:rPr>
        <w:t>(2) Robustness to imperfect routing</w:t>
      </w:r>
      <w:r>
        <w:br w:type="textWrapping"/>
      </w:r>
      <w:r>
        <w:t>Because experts modify the representation additively, incorrect routing weights cannot dramatically distort predictions.</w:t>
      </w:r>
    </w:p>
    <w:p w14:paraId="5E7E24C1">
      <w:pPr>
        <w:pStyle w:val="3"/>
      </w:pPr>
      <w:r>
        <w:rPr>
          <w:b/>
          <w:bCs/>
        </w:rPr>
        <w:t>(3) Modular extensibility</w:t>
      </w:r>
      <w:r>
        <w:br w:type="textWrapping"/>
      </w:r>
      <w:r>
        <w:t>Experts may be trained, replaced, or extended in isolation without requiring retraining of the backbone or other experts.</w:t>
      </w:r>
    </w:p>
    <w:bookmarkEnd w:id="24"/>
    <w:p w14:paraId="659E990C">
      <w:pPr>
        <w:pStyle w:val="5"/>
      </w:pPr>
      <w:bookmarkStart w:id="25" w:name="summary-2"/>
      <w:r>
        <w:t>4.4.5 Summary</w:t>
      </w:r>
    </w:p>
    <w:p w14:paraId="66B8AB37">
      <w:pPr>
        <w:pStyle w:val="23"/>
      </w:pPr>
      <w:r>
        <w:t>RED enables modular numerical reasoning by combining:</w:t>
      </w:r>
    </w:p>
    <w:p w14:paraId="187E840E">
      <w:pPr>
        <w:pStyle w:val="24"/>
        <w:numPr>
          <w:ilvl w:val="0"/>
          <w:numId w:val="2"/>
        </w:numPr>
      </w:pPr>
      <w:r>
        <w:t>a shared semantic backbone,</w:t>
      </w:r>
    </w:p>
    <w:p w14:paraId="171A4EAC">
      <w:pPr>
        <w:pStyle w:val="24"/>
        <w:numPr>
          <w:ilvl w:val="0"/>
          <w:numId w:val="2"/>
        </w:numPr>
      </w:pPr>
      <w:r>
        <w:t>independently trained residual experts, and</w:t>
      </w:r>
    </w:p>
    <w:p w14:paraId="5CD61957">
      <w:pPr>
        <w:pStyle w:val="24"/>
        <w:numPr>
          <w:ilvl w:val="0"/>
          <w:numId w:val="2"/>
        </w:numPr>
      </w:pPr>
      <w:r>
        <w:t>a routing mechanism that allocates expert contributions.</w:t>
      </w:r>
    </w:p>
    <w:p w14:paraId="09640924">
      <w:pPr>
        <w:pStyle w:val="23"/>
      </w:pPr>
      <w:r>
        <w:t>This structure provides accurate global prediction, stable numerical behavior across ranges, and interpretable expert specialization, while mitigating the fragility commonly observed in traditional gating-based MoE architectures.</w:t>
      </w:r>
    </w:p>
    <w:bookmarkEnd w:id="20"/>
    <w:bookmarkEnd w:id="25"/>
    <w:p w14:paraId="4007D0B9">
      <w:pPr>
        <w:pStyle w:val="4"/>
      </w:pPr>
      <w:bookmarkStart w:id="26" w:name="training-setup"/>
      <w:r>
        <w:t>4.5 Training Setup</w:t>
      </w:r>
    </w:p>
    <w:p w14:paraId="362D4DD3">
      <w:pPr>
        <w:pStyle w:val="23"/>
      </w:pPr>
      <w:r>
        <w:t>This section outlines the finalized training configuration used across all experiments in this study, including Tasks 1–2 and the step-decomposition evaluation in Section 4.8. The system follows a modular architecture in which the backbone, experts, routers, and the step decomposer are trained independently and later integrated into a unified reasoning framework.</w:t>
      </w:r>
    </w:p>
    <w:p w14:paraId="573A8AD8">
      <w:pPr>
        <w:pStyle w:val="5"/>
      </w:pPr>
      <w:bookmarkStart w:id="27" w:name="backbone-configuration"/>
      <w:r>
        <w:t>4.5.1 Backbone Configuration</w:t>
      </w:r>
    </w:p>
    <w:p w14:paraId="43EFFBBA">
      <w:pPr>
        <w:pStyle w:val="23"/>
      </w:pPr>
      <w:r>
        <w:t>A shared pretrained backbone provides consistent representations for all downstream modules.</w:t>
      </w:r>
    </w:p>
    <w:p w14:paraId="7FF9D900">
      <w:pPr>
        <w:pStyle w:val="24"/>
        <w:numPr>
          <w:ilvl w:val="0"/>
          <w:numId w:val="2"/>
        </w:numPr>
      </w:pPr>
      <w:r>
        <w:rPr>
          <w:b/>
          <w:bCs/>
        </w:rPr>
        <w:t>Backbone:</w:t>
      </w:r>
      <w:r>
        <w:t xml:space="preserve"> Qwen3-0.6B</w:t>
      </w:r>
      <w:r>
        <w:br w:type="textWrapping"/>
      </w:r>
    </w:p>
    <w:p w14:paraId="23745800">
      <w:pPr>
        <w:pStyle w:val="24"/>
        <w:numPr>
          <w:ilvl w:val="0"/>
          <w:numId w:val="2"/>
        </w:numPr>
      </w:pPr>
      <w:r>
        <w:rPr>
          <w:b/>
          <w:bCs/>
        </w:rPr>
        <w:t>Trainable layers:</w:t>
      </w:r>
      <w:r>
        <w:t xml:space="preserve"> Only the top two transformer layers were unfrozen; the remaining layers remained fixed.</w:t>
      </w:r>
      <w:r>
        <w:br w:type="textWrapping"/>
      </w:r>
    </w:p>
    <w:p w14:paraId="191D1DA8">
      <w:pPr>
        <w:pStyle w:val="24"/>
        <w:numPr>
          <w:ilvl w:val="0"/>
          <w:numId w:val="2"/>
        </w:numPr>
      </w:pPr>
      <w:r>
        <w:rPr>
          <w:b/>
          <w:bCs/>
        </w:rPr>
        <w:t>Hardware:</w:t>
      </w:r>
      <w:r>
        <w:t xml:space="preserve"> RTX 3060 Ti (FP32)</w:t>
      </w:r>
      <w:r>
        <w:br w:type="textWrapping"/>
      </w:r>
    </w:p>
    <w:p w14:paraId="5921B69E">
      <w:pPr>
        <w:pStyle w:val="24"/>
        <w:numPr>
          <w:ilvl w:val="0"/>
          <w:numId w:val="2"/>
        </w:numPr>
      </w:pPr>
      <w:r>
        <w:rPr>
          <w:b/>
          <w:bCs/>
        </w:rPr>
        <w:t>Pooling:</w:t>
      </w:r>
      <w:r>
        <w:t xml:space="preserve"> Mean pooling over the final hidden states.</w:t>
      </w:r>
    </w:p>
    <w:p w14:paraId="6F4F876C">
      <w:pPr>
        <w:pStyle w:val="23"/>
      </w:pPr>
      <w:r>
        <w:t>This configuration preserves stable embeddings while allowing limited task adaptation at the top layers.</w:t>
      </w:r>
    </w:p>
    <w:bookmarkEnd w:id="27"/>
    <w:p w14:paraId="0C9D9D86">
      <w:pPr>
        <w:pStyle w:val="5"/>
      </w:pPr>
      <w:bookmarkStart w:id="28" w:name="expert-training"/>
      <w:r>
        <w:t>4.5.2 Expert Training</w:t>
      </w:r>
    </w:p>
    <w:p w14:paraId="69011898">
      <w:pPr>
        <w:pStyle w:val="23"/>
      </w:pPr>
      <w:r>
        <w:t>Experts were trained independently on disjoint data partitions corresponding to their respective numerical subdomains.</w:t>
      </w:r>
    </w:p>
    <w:p w14:paraId="6B5A3DF4">
      <w:pPr>
        <w:numPr>
          <w:ilvl w:val="0"/>
          <w:numId w:val="2"/>
        </w:numPr>
      </w:pPr>
      <w:r>
        <w:rPr>
          <w:b/>
          <w:bCs/>
        </w:rPr>
        <w:t>Addition expert:</w:t>
      </w:r>
      <w:r>
        <w:br w:type="textWrapping"/>
      </w:r>
      <w:r>
        <w:t>20k samples, trained on GTX 1650 Ti (FP32)</w:t>
      </w:r>
    </w:p>
    <w:p w14:paraId="4CF0A573">
      <w:pPr>
        <w:numPr>
          <w:ilvl w:val="0"/>
          <w:numId w:val="2"/>
        </w:numPr>
      </w:pPr>
      <w:r>
        <w:rPr>
          <w:b/>
          <w:bCs/>
        </w:rPr>
        <w:t>Subtraction expert:</w:t>
      </w:r>
      <w:r>
        <w:br w:type="textWrapping"/>
      </w:r>
      <w:r>
        <w:t>20k samples, trained on GTX 1650 Ti (FP32)</w:t>
      </w:r>
    </w:p>
    <w:p w14:paraId="643CDAA6">
      <w:pPr>
        <w:numPr>
          <w:ilvl w:val="0"/>
          <w:numId w:val="2"/>
        </w:numPr>
      </w:pPr>
      <w:r>
        <w:rPr>
          <w:b/>
          <w:bCs/>
        </w:rPr>
        <w:t>Range experts (Tasks 1):</w:t>
      </w:r>
      <w:r>
        <w:br w:type="textWrapping"/>
      </w:r>
      <w:r>
        <w:t>80k samples, trained on RTX 3060 Ti (FP32)</w:t>
      </w:r>
    </w:p>
    <w:p w14:paraId="5B8CA93A">
      <w:pPr>
        <w:pStyle w:val="23"/>
      </w:pPr>
      <w:r>
        <w:rPr>
          <w:b/>
          <w:bCs/>
        </w:rPr>
        <w:t>Shared hyperparameters</w:t>
      </w:r>
    </w:p>
    <w:tbl>
      <w:tblPr>
        <w:tblStyle w:val="41"/>
        <w:tblW w:w="0" w:type="auto"/>
        <w:tblInd w:w="0" w:type="dxa"/>
        <w:tblLayout w:type="autofit"/>
        <w:tblCellMar>
          <w:top w:w="0" w:type="dxa"/>
          <w:left w:w="108" w:type="dxa"/>
          <w:bottom w:w="0" w:type="dxa"/>
          <w:right w:w="108" w:type="dxa"/>
        </w:tblCellMar>
      </w:tblPr>
      <w:tblGrid>
        <w:gridCol w:w="1737"/>
        <w:gridCol w:w="2831"/>
      </w:tblGrid>
      <w:tr w14:paraId="2C240999">
        <w:trPr>
          <w:tblHeader/>
        </w:trPr>
        <w:tc>
          <w:p w14:paraId="51023082">
            <w:pPr>
              <w:pStyle w:val="24"/>
            </w:pPr>
            <w:r>
              <w:t>Item</w:t>
            </w:r>
          </w:p>
        </w:tc>
        <w:tc>
          <w:p w14:paraId="50E84B0D">
            <w:pPr>
              <w:pStyle w:val="24"/>
            </w:pPr>
            <w:r>
              <w:t>Value</w:t>
            </w:r>
          </w:p>
        </w:tc>
      </w:tr>
      <w:tr w14:paraId="06B14371">
        <w:tblPrEx>
          <w:tblCellMar>
            <w:top w:w="0" w:type="dxa"/>
            <w:left w:w="108" w:type="dxa"/>
            <w:bottom w:w="0" w:type="dxa"/>
            <w:right w:w="108" w:type="dxa"/>
          </w:tblCellMar>
        </w:tblPrEx>
        <w:tc>
          <w:p w14:paraId="7DF82950">
            <w:pPr>
              <w:pStyle w:val="24"/>
            </w:pPr>
            <w:r>
              <w:t>Optimizer</w:t>
            </w:r>
          </w:p>
        </w:tc>
        <w:tc>
          <w:p w14:paraId="12510278">
            <w:pPr>
              <w:pStyle w:val="24"/>
            </w:pPr>
            <w:r>
              <w:t>AdamW</w:t>
            </w:r>
          </w:p>
        </w:tc>
      </w:tr>
      <w:tr w14:paraId="332982C4">
        <w:tblPrEx>
          <w:tblCellMar>
            <w:top w:w="0" w:type="dxa"/>
            <w:left w:w="108" w:type="dxa"/>
            <w:bottom w:w="0" w:type="dxa"/>
            <w:right w:w="108" w:type="dxa"/>
          </w:tblCellMar>
        </w:tblPrEx>
        <w:tc>
          <w:p w14:paraId="54E546F3">
            <w:pPr>
              <w:pStyle w:val="24"/>
            </w:pPr>
            <w:r>
              <w:t>Learning rate</w:t>
            </w:r>
          </w:p>
        </w:tc>
        <w:tc>
          <w:p w14:paraId="2F319A3B">
            <w:pPr>
              <w:pStyle w:val="24"/>
            </w:pPr>
            <m:oMathPara>
              <m:oMath>
                <m:r>
                  <m:rPr/>
                  <m:t>1</m:t>
                </m:r>
                <m:r>
                  <m:rPr>
                    <m:sty m:val="p"/>
                  </m:rPr>
                  <m:t>×</m:t>
                </m:r>
                <m:sSup>
                  <m:sSupPr/>
                  <m:e>
                    <m:r>
                      <m:rPr/>
                      <m:t>10</m:t>
                    </m:r>
                  </m:e>
                  <m:sup>
                    <m:r>
                      <m:rPr>
                        <m:sty m:val="p"/>
                      </m:rPr>
                      <m:t>−</m:t>
                    </m:r>
                    <m:r>
                      <m:rPr/>
                      <m:t>4</m:t>
                    </m:r>
                  </m:sup>
                </m:sSup>
              </m:oMath>
            </m:oMathPara>
          </w:p>
        </w:tc>
      </w:tr>
      <w:tr w14:paraId="51915239">
        <w:tblPrEx>
          <w:tblCellMar>
            <w:top w:w="0" w:type="dxa"/>
            <w:left w:w="108" w:type="dxa"/>
            <w:bottom w:w="0" w:type="dxa"/>
            <w:right w:w="108" w:type="dxa"/>
          </w:tblCellMar>
        </w:tblPrEx>
        <w:tc>
          <w:p w14:paraId="3EA5AEC7">
            <w:pPr>
              <w:pStyle w:val="24"/>
            </w:pPr>
            <w:r>
              <w:t>Batch size</w:t>
            </w:r>
          </w:p>
        </w:tc>
        <w:tc>
          <w:p w14:paraId="6CF1158C">
            <w:pPr>
              <w:pStyle w:val="24"/>
            </w:pPr>
            <w:r>
              <w:t>16 (virtual batch size 64)</w:t>
            </w:r>
          </w:p>
        </w:tc>
      </w:tr>
      <w:tr w14:paraId="72331BD4">
        <w:tblPrEx>
          <w:tblCellMar>
            <w:top w:w="0" w:type="dxa"/>
            <w:left w:w="108" w:type="dxa"/>
            <w:bottom w:w="0" w:type="dxa"/>
            <w:right w:w="108" w:type="dxa"/>
          </w:tblCellMar>
        </w:tblPrEx>
        <w:tc>
          <w:p w14:paraId="059BAA9D">
            <w:pPr>
              <w:pStyle w:val="24"/>
            </w:pPr>
            <w:r>
              <w:t>Max epochs</w:t>
            </w:r>
          </w:p>
        </w:tc>
        <w:tc>
          <w:p w14:paraId="123C4420">
            <w:pPr>
              <w:pStyle w:val="24"/>
            </w:pPr>
            <w:r>
              <w:t>60</w:t>
            </w:r>
          </w:p>
        </w:tc>
      </w:tr>
      <w:tr w14:paraId="4CA25656">
        <w:tblPrEx>
          <w:tblCellMar>
            <w:top w:w="0" w:type="dxa"/>
            <w:left w:w="108" w:type="dxa"/>
            <w:bottom w:w="0" w:type="dxa"/>
            <w:right w:w="108" w:type="dxa"/>
          </w:tblCellMar>
        </w:tblPrEx>
        <w:tc>
          <w:p w14:paraId="7E04DC09">
            <w:pPr>
              <w:pStyle w:val="24"/>
            </w:pPr>
            <w:r>
              <w:t>Early stopping</w:t>
            </w:r>
          </w:p>
        </w:tc>
        <w:tc>
          <w:p w14:paraId="4ECF8BC4">
            <w:pPr>
              <w:pStyle w:val="24"/>
            </w:pPr>
            <w:r>
              <w:t>patience = 3</w:t>
            </w:r>
          </w:p>
        </w:tc>
      </w:tr>
    </w:tbl>
    <w:p w14:paraId="79356837">
      <w:pPr>
        <w:pStyle w:val="3"/>
      </w:pPr>
      <w:r>
        <w:t>Arithmetic experts converge quickly due to limited operational complexity, whereas numerical-range experts benefit from longer training.</w:t>
      </w:r>
    </w:p>
    <w:bookmarkEnd w:id="28"/>
    <w:p w14:paraId="3E59F73B">
      <w:pPr>
        <w:pStyle w:val="5"/>
      </w:pPr>
      <w:bookmarkStart w:id="29" w:name="router-training"/>
      <w:r>
        <w:t>4.5.3 Router Training</w:t>
      </w:r>
    </w:p>
    <w:p w14:paraId="6F221E71">
      <w:pPr>
        <w:pStyle w:val="23"/>
      </w:pPr>
      <w:r>
        <w:t>Routers determine which expert processes each input based on the backbone embedding.</w:t>
      </w:r>
    </w:p>
    <w:p w14:paraId="3CE52C34">
      <w:pPr>
        <w:pStyle w:val="24"/>
        <w:numPr>
          <w:ilvl w:val="0"/>
          <w:numId w:val="2"/>
        </w:numPr>
      </w:pPr>
      <w:r>
        <w:rPr>
          <w:b/>
          <w:bCs/>
        </w:rPr>
        <w:t>Hardware:</w:t>
      </w:r>
      <w:r>
        <w:t xml:space="preserve"> Three RTX 3050 GPUs (BF16)</w:t>
      </w:r>
      <w:r>
        <w:br w:type="textWrapping"/>
      </w:r>
    </w:p>
    <w:p w14:paraId="5C20A4ED">
      <w:pPr>
        <w:pStyle w:val="24"/>
        <w:numPr>
          <w:ilvl w:val="0"/>
          <w:numId w:val="2"/>
        </w:numPr>
      </w:pPr>
      <w:r>
        <w:rPr>
          <w:b/>
          <w:bCs/>
        </w:rPr>
        <w:t>Architecture:</w:t>
      </w:r>
      <w:r>
        <w:t xml:space="preserve"> Two-layer MLP with hidden size 256</w:t>
      </w:r>
      <w:r>
        <w:br w:type="textWrapping"/>
      </w:r>
    </w:p>
    <w:p w14:paraId="60D5C9C3">
      <w:pPr>
        <w:pStyle w:val="24"/>
        <w:numPr>
          <w:ilvl w:val="0"/>
          <w:numId w:val="2"/>
        </w:numPr>
      </w:pPr>
      <w:r>
        <w:rPr>
          <w:b/>
          <w:bCs/>
        </w:rPr>
        <w:t>Output:</w:t>
      </w:r>
      <w:r>
        <w:t xml:space="preserve"> Five numerical ranges</w:t>
      </w:r>
      <w:r>
        <w:rPr>
          <w:rFonts w:hint="eastAsia"/>
          <w:lang w:eastAsia="zh-CN"/>
        </w:rPr>
        <w:t>（</w:t>
      </w:r>
      <w:r>
        <w:rPr>
          <w:rFonts w:hint="eastAsia"/>
          <w:lang w:val="en-US" w:eastAsia="zh-CN"/>
        </w:rPr>
        <w:t>task1，task2</w:t>
      </w:r>
      <w:r>
        <w:rPr>
          <w:rFonts w:hint="eastAsia"/>
          <w:lang w:eastAsia="zh-CN"/>
        </w:rPr>
        <w:t>）</w:t>
      </w:r>
      <w:r>
        <w:rPr>
          <w:rFonts w:hint="eastAsia"/>
          <w:lang w:val="en-US" w:eastAsia="zh-CN"/>
        </w:rPr>
        <w:t>Two</w:t>
      </w:r>
      <w:r>
        <w:t xml:space="preserve"> numerical ranges</w:t>
      </w:r>
      <w:r>
        <w:rPr>
          <w:rFonts w:hint="eastAsia"/>
          <w:lang w:eastAsia="zh-CN"/>
        </w:rPr>
        <w:t>（</w:t>
      </w:r>
      <w:r>
        <w:rPr>
          <w:rFonts w:hint="eastAsia"/>
          <w:lang w:val="en-US" w:eastAsia="zh-CN"/>
        </w:rPr>
        <w:t>task2</w:t>
      </w:r>
      <w:r>
        <w:rPr>
          <w:rFonts w:hint="eastAsia"/>
          <w:lang w:eastAsia="zh-CN"/>
        </w:rPr>
        <w:t>）</w:t>
      </w:r>
      <w:r>
        <w:br w:type="textWrapping"/>
      </w:r>
    </w:p>
    <w:p w14:paraId="57A5F5FC">
      <w:pPr>
        <w:pStyle w:val="24"/>
        <w:numPr>
          <w:ilvl w:val="0"/>
          <w:numId w:val="2"/>
        </w:numPr>
      </w:pPr>
      <w:r>
        <w:rPr>
          <w:b/>
          <w:bCs/>
        </w:rPr>
        <w:t>Router variants:</w:t>
      </w:r>
    </w:p>
    <w:p w14:paraId="5F3C3C2D">
      <w:pPr>
        <w:pStyle w:val="24"/>
        <w:numPr>
          <w:ilvl w:val="1"/>
          <w:numId w:val="2"/>
        </w:numPr>
      </w:pPr>
      <w:r>
        <w:t>RED (residual expert decomposition)</w:t>
      </w:r>
      <w:r>
        <w:br w:type="textWrapping"/>
      </w:r>
    </w:p>
    <w:p w14:paraId="3BCEE0B5">
      <w:pPr>
        <w:pStyle w:val="24"/>
        <w:numPr>
          <w:ilvl w:val="1"/>
          <w:numId w:val="2"/>
        </w:numPr>
      </w:pPr>
      <w:r>
        <w:t>Softmax-based MoE router</w:t>
      </w:r>
      <w:r>
        <w:br w:type="textWrapping"/>
      </w:r>
    </w:p>
    <w:p w14:paraId="79C8AA84">
      <w:pPr>
        <w:pStyle w:val="24"/>
        <w:numPr>
          <w:ilvl w:val="1"/>
          <w:numId w:val="2"/>
        </w:numPr>
      </w:pPr>
      <w:r>
        <w:t>Uniform averaging baseline</w:t>
      </w:r>
    </w:p>
    <w:p w14:paraId="1BE2A2D2">
      <w:pPr>
        <w:pStyle w:val="23"/>
      </w:pPr>
      <w:r>
        <w:t>All routers receive identical backbone features, enabling direct comparison of routing strategies.</w:t>
      </w:r>
    </w:p>
    <w:bookmarkEnd w:id="29"/>
    <w:p w14:paraId="2D0A37CE">
      <w:pPr>
        <w:pStyle w:val="5"/>
      </w:pPr>
      <w:bookmarkStart w:id="30" w:name="step-decomposition-model"/>
      <w:r>
        <w:t>4.5.4 Step-Decomposition Model</w:t>
      </w:r>
    </w:p>
    <w:p w14:paraId="56DD581E">
      <w:pPr>
        <w:pStyle w:val="23"/>
      </w:pPr>
      <w:r>
        <w:t>A step decomposer generates symbolic multi-step computation programs from raw arithmetic expressions:</w:t>
      </w:r>
    </w:p>
    <w:p w14:paraId="5DA43982">
      <w:pPr>
        <w:pStyle w:val="3"/>
      </w:pPr>
      <m:oMathPara>
        <m:oMathParaPr>
          <m:jc m:val="center"/>
        </m:oMathParaPr>
        <m:oMath>
          <m:eqArr>
            <m:eqArrPr/>
            <m:e>
              <m:sSub>
                <m:sSubPr/>
                <m:e>
                  <m:r>
                    <m:rPr/>
                    <m:t>x</m:t>
                  </m:r>
                </m:e>
                <m:sub>
                  <m:r>
                    <m:rPr/>
                    <m:t>1</m:t>
                  </m:r>
                </m:sub>
              </m:sSub>
              <m:r>
                <m:rPr/>
                <m:t>&amp;</m:t>
              </m:r>
              <m:r>
                <m:rPr>
                  <m:sty m:val="p"/>
                </m:rPr>
                <m:t>=</m:t>
              </m:r>
              <m:r>
                <m:rPr/>
                <m:t>a</m:t>
              </m:r>
              <m:r>
                <m:rPr>
                  <m:sty m:val="p"/>
                </m:rPr>
                <m:t>±</m:t>
              </m:r>
              <m:r>
                <m:rPr/>
                <m:t>b</m:t>
              </m:r>
              <m:r>
                <m:rPr>
                  <m:sty m:val="p"/>
                </m:rPr>
                <m:t>,</m:t>
              </m:r>
            </m:e>
            <m:e>
              <m:sSub>
                <m:sSubPr/>
                <m:e>
                  <m:r>
                    <m:rPr/>
                    <m:t>x</m:t>
                  </m:r>
                </m:e>
                <m:sub>
                  <m:r>
                    <m:rPr/>
                    <m:t>2</m:t>
                  </m:r>
                </m:sub>
              </m:sSub>
              <m:r>
                <m:rPr/>
                <m:t>&amp;</m:t>
              </m:r>
              <m:r>
                <m:rPr>
                  <m:sty m:val="p"/>
                </m:rPr>
                <m:t>=</m:t>
              </m:r>
              <m:sSub>
                <m:sSubPr/>
                <m:e>
                  <m:r>
                    <m:rPr/>
                    <m:t>x</m:t>
                  </m:r>
                </m:e>
                <m:sub>
                  <m:r>
                    <m:rPr/>
                    <m:t>1</m:t>
                  </m:r>
                </m:sub>
              </m:sSub>
              <m:r>
                <m:rPr>
                  <m:sty m:val="p"/>
                </m:rPr>
                <m:t>±</m:t>
              </m:r>
              <m:r>
                <m:rPr/>
                <m:t>c</m:t>
              </m:r>
              <m:r>
                <m:rPr>
                  <m:sty m:val="p"/>
                </m:rPr>
                <m:t>,</m:t>
              </m:r>
            </m:e>
            <m:e>
              <m:r>
                <m:rPr/>
                <m:t>&amp;</m:t>
              </m:r>
              <m:r>
                <m:rPr>
                  <m:sty m:val="p"/>
                </m:rPr>
                <m:t>…</m:t>
              </m:r>
            </m:e>
          </m:eqArr>
        </m:oMath>
      </m:oMathPara>
    </w:p>
    <w:p w14:paraId="52EBAC64">
      <w:pPr>
        <w:pStyle w:val="23"/>
      </w:pPr>
      <w:r>
        <w:t>The decomposer predicts only the structure of operations— not intermediate numerical results—ensuring full compatibility with the expert modules.</w:t>
      </w:r>
    </w:p>
    <w:p w14:paraId="0DE975E7">
      <w:pPr>
        <w:pStyle w:val="24"/>
        <w:numPr>
          <w:ilvl w:val="0"/>
          <w:numId w:val="2"/>
        </w:numPr>
      </w:pPr>
      <w:r>
        <w:rPr>
          <w:b/>
          <w:bCs/>
        </w:rPr>
        <w:t>Hardware:</w:t>
      </w:r>
      <w:r>
        <w:t xml:space="preserve"> </w:t>
      </w:r>
      <w:bookmarkStart w:id="81" w:name="_GoBack"/>
      <w:bookmarkEnd w:id="81"/>
      <w:r>
        <w:t>RTX 3050 GPUs (BF16)</w:t>
      </w:r>
      <w:r>
        <w:br w:type="textWrapping"/>
      </w:r>
    </w:p>
    <w:p w14:paraId="6E3B170A">
      <w:pPr>
        <w:pStyle w:val="24"/>
        <w:numPr>
          <w:ilvl w:val="0"/>
          <w:numId w:val="2"/>
        </w:numPr>
      </w:pPr>
      <w:r>
        <w:rPr>
          <w:b/>
          <w:bCs/>
        </w:rPr>
        <w:t>Input:</w:t>
      </w:r>
      <w:r>
        <w:t xml:space="preserve"> Raw arithmetic expression</w:t>
      </w:r>
      <w:r>
        <w:br w:type="textWrapping"/>
      </w:r>
    </w:p>
    <w:p w14:paraId="6EF4D98B">
      <w:pPr>
        <w:pStyle w:val="24"/>
        <w:numPr>
          <w:ilvl w:val="0"/>
          <w:numId w:val="2"/>
        </w:numPr>
      </w:pPr>
      <w:r>
        <w:rPr>
          <w:b/>
          <w:bCs/>
        </w:rPr>
        <w:t>Output:</w:t>
      </w:r>
      <w:r>
        <w:t xml:space="preserve"> Symbolic step sequence using variables </w:t>
      </w:r>
      <m:oMath>
        <m:sSub>
          <m:sSubPr/>
          <m:e>
            <m:r>
              <m:rPr/>
              <m:t>x</m:t>
            </m:r>
          </m:e>
          <m:sub>
            <m:r>
              <m:rPr/>
              <m:t>1</m:t>
            </m:r>
          </m:sub>
        </m:sSub>
        <m:r>
          <m:rPr>
            <m:sty m:val="p"/>
          </m:rPr>
          <m:t>,</m:t>
        </m:r>
        <m:sSub>
          <m:sSubPr/>
          <m:e>
            <m:r>
              <m:rPr/>
              <m:t>x</m:t>
            </m:r>
          </m:e>
          <m:sub>
            <m:r>
              <m:rPr/>
              <m:t>2</m:t>
            </m:r>
          </m:sub>
        </m:sSub>
        <m:r>
          <m:rPr>
            <m:sty m:val="p"/>
          </m:rPr>
          <m:t>,…</m:t>
        </m:r>
      </m:oMath>
    </w:p>
    <w:p w14:paraId="7580CF3C">
      <w:pPr>
        <w:pStyle w:val="23"/>
      </w:pPr>
      <w:r>
        <w:t>This model is trained independently from both experts and routers.</w:t>
      </w:r>
    </w:p>
    <w:bookmarkEnd w:id="30"/>
    <w:p w14:paraId="10A2B63D">
      <w:pPr>
        <w:pStyle w:val="5"/>
      </w:pPr>
      <w:bookmarkStart w:id="31" w:name="modular-integration"/>
      <w:r>
        <w:t>4.5.5 Modular Integration</w:t>
      </w:r>
    </w:p>
    <w:p w14:paraId="77B5BCDE">
      <w:pPr>
        <w:pStyle w:val="23"/>
      </w:pPr>
      <w:r>
        <w:t>After independent training, modules are assembled into a unified execution pipeline:</w:t>
      </w:r>
    </w:p>
    <w:p w14:paraId="658AA407">
      <w:pPr>
        <w:pStyle w:val="24"/>
        <w:numPr>
          <w:ilvl w:val="0"/>
          <w:numId w:val="4"/>
        </w:numPr>
      </w:pPr>
      <w:r>
        <w:t xml:space="preserve">The </w:t>
      </w:r>
      <w:r>
        <w:rPr>
          <w:b/>
          <w:bCs/>
        </w:rPr>
        <w:t>backbone</w:t>
      </w:r>
      <w:r>
        <w:t xml:space="preserve"> encodes the expression.</w:t>
      </w:r>
      <w:r>
        <w:br w:type="textWrapping"/>
      </w:r>
    </w:p>
    <w:p w14:paraId="127FF1CA">
      <w:pPr>
        <w:pStyle w:val="24"/>
        <w:numPr>
          <w:ilvl w:val="0"/>
          <w:numId w:val="4"/>
        </w:numPr>
      </w:pPr>
      <w:r>
        <w:t xml:space="preserve">The </w:t>
      </w:r>
      <w:r>
        <w:rPr>
          <w:b/>
          <w:bCs/>
        </w:rPr>
        <w:t>step decomposer</w:t>
      </w:r>
      <w:r>
        <w:t xml:space="preserve"> produces the symbolic computation steps.</w:t>
      </w:r>
      <w:r>
        <w:br w:type="textWrapping"/>
      </w:r>
    </w:p>
    <w:p w14:paraId="65FBE87E">
      <w:pPr>
        <w:pStyle w:val="24"/>
        <w:numPr>
          <w:ilvl w:val="0"/>
          <w:numId w:val="4"/>
        </w:numPr>
      </w:pPr>
      <w:r>
        <w:t xml:space="preserve">The </w:t>
      </w:r>
      <w:r>
        <w:rPr>
          <w:b/>
          <w:bCs/>
        </w:rPr>
        <w:t>router</w:t>
      </w:r>
      <w:r>
        <w:t xml:space="preserve"> selects the expert for each step.</w:t>
      </w:r>
      <w:r>
        <w:br w:type="textWrapping"/>
      </w:r>
    </w:p>
    <w:p w14:paraId="205BAFBE">
      <w:pPr>
        <w:pStyle w:val="24"/>
        <w:numPr>
          <w:ilvl w:val="0"/>
          <w:numId w:val="4"/>
        </w:numPr>
      </w:pPr>
      <w:r>
        <w:t xml:space="preserve">The </w:t>
      </w:r>
      <w:r>
        <w:rPr>
          <w:b/>
          <w:bCs/>
        </w:rPr>
        <w:t>expert</w:t>
      </w:r>
      <w:r>
        <w:t xml:space="preserve"> executes the corresponding operation.</w:t>
      </w:r>
    </w:p>
    <w:p w14:paraId="0B1DD2C2">
      <w:pPr>
        <w:pStyle w:val="23"/>
      </w:pPr>
      <w:r>
        <w:t xml:space="preserve">A key advantage of this framework is that components trained on different GPUs, with different precisions and dataset sizes, can be integrated seamlessly </w:t>
      </w:r>
      <w:r>
        <w:rPr>
          <w:b/>
          <w:bCs/>
        </w:rPr>
        <w:t>without joint finetuning</w:t>
      </w:r>
      <w:r>
        <w:t>.</w:t>
      </w:r>
    </w:p>
    <w:bookmarkEnd w:id="31"/>
    <w:p w14:paraId="238BFA23">
      <w:pPr>
        <w:pStyle w:val="5"/>
      </w:pPr>
      <w:bookmarkStart w:id="32" w:name="dataset-usage"/>
      <w:r>
        <w:t>4.5.6 Dataset Usage</w:t>
      </w:r>
    </w:p>
    <w:p w14:paraId="6D6F8901">
      <w:pPr>
        <w:pStyle w:val="23"/>
      </w:pPr>
      <w:r>
        <w:t>All tasks use an 80k-sample dataset divided into:</w:t>
      </w:r>
    </w:p>
    <w:p w14:paraId="1E745D97">
      <w:pPr>
        <w:pStyle w:val="24"/>
        <w:numPr>
          <w:ilvl w:val="0"/>
          <w:numId w:val="2"/>
        </w:numPr>
      </w:pPr>
      <w:r>
        <w:t>64k training</w:t>
      </w:r>
      <w:r>
        <w:br w:type="textWrapping"/>
      </w:r>
    </w:p>
    <w:p w14:paraId="0212A994">
      <w:pPr>
        <w:pStyle w:val="24"/>
        <w:numPr>
          <w:ilvl w:val="0"/>
          <w:numId w:val="2"/>
        </w:numPr>
      </w:pPr>
      <w:r>
        <w:t>8k validation</w:t>
      </w:r>
      <w:r>
        <w:br w:type="textWrapping"/>
      </w:r>
    </w:p>
    <w:p w14:paraId="4868CF6E">
      <w:pPr>
        <w:pStyle w:val="24"/>
        <w:numPr>
          <w:ilvl w:val="0"/>
          <w:numId w:val="2"/>
        </w:numPr>
      </w:pPr>
      <w:r>
        <w:t>8k test</w:t>
      </w:r>
    </w:p>
    <w:p w14:paraId="1FAC7BE8">
      <w:pPr>
        <w:pStyle w:val="23"/>
      </w:pPr>
      <w:r>
        <w:t>Only 10% of the training split is used for backbone finetuning to prevent over-specialization. Experts and routers, however, train on their full relevant datasets.</w:t>
      </w:r>
    </w:p>
    <w:bookmarkEnd w:id="32"/>
    <w:p w14:paraId="57C97E31">
      <w:pPr>
        <w:pStyle w:val="5"/>
      </w:pPr>
      <w:bookmarkStart w:id="33" w:name="summary-3"/>
      <w:r>
        <w:t>4.5.7 Summary</w:t>
      </w:r>
    </w:p>
    <w:p w14:paraId="008FBE3F">
      <w:pPr>
        <w:pStyle w:val="23"/>
      </w:pPr>
      <w:r>
        <w:t>The finalized training pipeline reflects the system’s modular design:</w:t>
      </w:r>
    </w:p>
    <w:p w14:paraId="0294FE24">
      <w:pPr>
        <w:pStyle w:val="24"/>
        <w:numPr>
          <w:ilvl w:val="0"/>
          <w:numId w:val="2"/>
        </w:numPr>
      </w:pPr>
      <w:r>
        <w:t>experts specialize in local numerical domains,</w:t>
      </w:r>
      <w:r>
        <w:br w:type="textWrapping"/>
      </w:r>
    </w:p>
    <w:p w14:paraId="4A71451E">
      <w:pPr>
        <w:pStyle w:val="24"/>
        <w:numPr>
          <w:ilvl w:val="0"/>
          <w:numId w:val="2"/>
        </w:numPr>
      </w:pPr>
      <w:r>
        <w:t>routers integrate their contributions globally,</w:t>
      </w:r>
      <w:r>
        <w:br w:type="textWrapping"/>
      </w:r>
    </w:p>
    <w:p w14:paraId="68F09B8B">
      <w:pPr>
        <w:pStyle w:val="24"/>
        <w:numPr>
          <w:ilvl w:val="0"/>
          <w:numId w:val="2"/>
        </w:numPr>
      </w:pPr>
      <w:r>
        <w:t>the step decomposer structures multi-step reasoning, and</w:t>
      </w:r>
      <w:r>
        <w:br w:type="textWrapping"/>
      </w:r>
    </w:p>
    <w:p w14:paraId="7528D968">
      <w:pPr>
        <w:pStyle w:val="24"/>
        <w:numPr>
          <w:ilvl w:val="0"/>
          <w:numId w:val="2"/>
        </w:numPr>
      </w:pPr>
      <w:r>
        <w:t>all components remain interoperable without global retraining.</w:t>
      </w:r>
    </w:p>
    <w:p w14:paraId="7C52945D">
      <w:pPr>
        <w:pStyle w:val="23"/>
      </w:pPr>
      <w:r>
        <w:t>This configuration is used consistently across the experiments reported in Sections 4.6–4.8.</w:t>
      </w:r>
    </w:p>
    <w:bookmarkEnd w:id="26"/>
    <w:bookmarkEnd w:id="33"/>
    <w:p w14:paraId="4519C108">
      <w:pPr>
        <w:pStyle w:val="4"/>
      </w:pPr>
      <w:bookmarkStart w:id="34" w:name="results-on-task-1-addition-de-duplicated"/>
      <w:r>
        <w:t>4.6 Results on Task 1: Addition (De-duplicated)</w:t>
      </w:r>
    </w:p>
    <w:p w14:paraId="38F845B5">
      <w:pPr>
        <w:pStyle w:val="23"/>
      </w:pPr>
      <w:r>
        <w:t>Task 1 evaluates natural-language addition queries whose outputs fall into five explicit numerical ranges (</w:t>
      </w:r>
      <m:oMath>
        <m:sSub>
          <m:sSubPr/>
          <m:e>
            <m:r>
              <m:rPr/>
              <m:t>R</m:t>
            </m:r>
          </m:e>
          <m:sub>
            <m:r>
              <m:rPr/>
              <m:t>1</m:t>
            </m:r>
          </m:sub>
        </m:sSub>
      </m:oMath>
      <w:r>
        <w:t>–</w:t>
      </w:r>
      <m:oMath>
        <m:sSub>
          <m:sSubPr/>
          <m:e>
            <m:r>
              <m:rPr/>
              <m:t>R</m:t>
            </m:r>
          </m:e>
          <m:sub>
            <m:r>
              <m:rPr/>
              <m:t>5</m:t>
            </m:r>
          </m:sub>
        </m:sSub>
      </m:oMath>
      <w:r>
        <w:t>). Because these ranges are discretely defined, the task enables clear comparison of global accuracy, range-wise specialization, and routing stability. This section reports the results without repeating architectural details.</w:t>
      </w:r>
    </w:p>
    <w:p w14:paraId="1FBB9595">
      <w:pPr>
        <w:pStyle w:val="5"/>
      </w:pPr>
      <w:bookmarkStart w:id="35" w:name="overall-performance"/>
      <w:r>
        <w:t>4.6.1 Overall Performance</w:t>
      </w:r>
    </w:p>
    <w:tbl>
      <w:tblPr>
        <w:tblStyle w:val="41"/>
        <w:tblW w:w="0" w:type="auto"/>
        <w:tblInd w:w="0" w:type="dxa"/>
        <w:tblLayout w:type="autofit"/>
        <w:tblCellMar>
          <w:top w:w="0" w:type="dxa"/>
          <w:left w:w="108" w:type="dxa"/>
          <w:bottom w:w="0" w:type="dxa"/>
          <w:right w:w="108" w:type="dxa"/>
        </w:tblCellMar>
      </w:tblPr>
      <w:tblGrid>
        <w:gridCol w:w="2644"/>
        <w:gridCol w:w="1203"/>
        <w:gridCol w:w="1243"/>
      </w:tblGrid>
      <w:tr w14:paraId="7441BC89">
        <w:tblPrEx>
          <w:tblCellMar>
            <w:top w:w="0" w:type="dxa"/>
            <w:left w:w="108" w:type="dxa"/>
            <w:bottom w:w="0" w:type="dxa"/>
            <w:right w:w="108" w:type="dxa"/>
          </w:tblCellMar>
        </w:tblPrEx>
        <w:trPr>
          <w:tblHeader/>
        </w:trPr>
        <w:tc>
          <w:p w14:paraId="247AFD36">
            <w:pPr>
              <w:pStyle w:val="24"/>
            </w:pPr>
            <w:r>
              <w:t>Method</w:t>
            </w:r>
          </w:p>
        </w:tc>
        <w:tc>
          <w:p w14:paraId="13B26A25">
            <w:pPr>
              <w:pStyle w:val="24"/>
            </w:pPr>
            <w:r>
              <w:t>Accuracy</w:t>
            </w:r>
          </w:p>
        </w:tc>
        <w:tc>
          <w:p w14:paraId="07222583">
            <w:pPr>
              <w:pStyle w:val="24"/>
            </w:pPr>
            <w:r>
              <w:t>Macro-F1</w:t>
            </w:r>
          </w:p>
        </w:tc>
      </w:tr>
      <w:tr w14:paraId="549B1353">
        <w:tblPrEx>
          <w:tblCellMar>
            <w:top w:w="0" w:type="dxa"/>
            <w:left w:w="108" w:type="dxa"/>
            <w:bottom w:w="0" w:type="dxa"/>
            <w:right w:w="108" w:type="dxa"/>
          </w:tblCellMar>
        </w:tblPrEx>
        <w:tc>
          <w:p w14:paraId="10C34A70">
            <w:pPr>
              <w:pStyle w:val="24"/>
            </w:pPr>
            <w:r>
              <w:t>Global Head (base)</w:t>
            </w:r>
          </w:p>
        </w:tc>
        <w:tc>
          <w:p w14:paraId="293723D9">
            <w:pPr>
              <w:pStyle w:val="24"/>
            </w:pPr>
            <w:r>
              <w:t>0.5503</w:t>
            </w:r>
          </w:p>
        </w:tc>
        <w:tc>
          <w:p w14:paraId="77BF0798">
            <w:pPr>
              <w:pStyle w:val="24"/>
            </w:pPr>
            <w:r>
              <w:t>0.5194</w:t>
            </w:r>
          </w:p>
        </w:tc>
      </w:tr>
      <w:tr w14:paraId="798F3629">
        <w:tblPrEx>
          <w:tblCellMar>
            <w:top w:w="0" w:type="dxa"/>
            <w:left w:w="108" w:type="dxa"/>
            <w:bottom w:w="0" w:type="dxa"/>
            <w:right w:w="108" w:type="dxa"/>
          </w:tblCellMar>
        </w:tblPrEx>
        <w:tc>
          <w:p w14:paraId="76AB3A3F">
            <w:pPr>
              <w:pStyle w:val="24"/>
            </w:pPr>
            <w:r>
              <w:t>Uniform Avg (all_fixed)</w:t>
            </w:r>
          </w:p>
        </w:tc>
        <w:tc>
          <w:p w14:paraId="0CDD276A">
            <w:pPr>
              <w:pStyle w:val="24"/>
            </w:pPr>
            <w:r>
              <w:t>0.2686</w:t>
            </w:r>
          </w:p>
        </w:tc>
        <w:tc>
          <w:p w14:paraId="38206194">
            <w:pPr>
              <w:pStyle w:val="24"/>
            </w:pPr>
            <w:r>
              <w:t>0.2295</w:t>
            </w:r>
          </w:p>
        </w:tc>
      </w:tr>
      <w:tr w14:paraId="4D752FD3">
        <w:tblPrEx>
          <w:tblCellMar>
            <w:top w:w="0" w:type="dxa"/>
            <w:left w:w="108" w:type="dxa"/>
            <w:bottom w:w="0" w:type="dxa"/>
            <w:right w:w="108" w:type="dxa"/>
          </w:tblCellMar>
        </w:tblPrEx>
        <w:tc>
          <w:p w14:paraId="682010C9">
            <w:pPr>
              <w:pStyle w:val="24"/>
            </w:pPr>
            <w:r>
              <w:t>MoE Gating (moe)</w:t>
            </w:r>
          </w:p>
        </w:tc>
        <w:tc>
          <w:p w14:paraId="581D94D3">
            <w:pPr>
              <w:pStyle w:val="24"/>
            </w:pPr>
            <w:r>
              <w:t>0.8576</w:t>
            </w:r>
          </w:p>
        </w:tc>
        <w:tc>
          <w:p w14:paraId="357FEAA3">
            <w:pPr>
              <w:pStyle w:val="24"/>
            </w:pPr>
            <w:r>
              <w:t>0.8568</w:t>
            </w:r>
          </w:p>
        </w:tc>
      </w:tr>
      <w:tr w14:paraId="4AE1C03C">
        <w:tblPrEx>
          <w:tblCellMar>
            <w:top w:w="0" w:type="dxa"/>
            <w:left w:w="108" w:type="dxa"/>
            <w:bottom w:w="0" w:type="dxa"/>
            <w:right w:w="108" w:type="dxa"/>
          </w:tblCellMar>
        </w:tblPrEx>
        <w:tc>
          <w:p w14:paraId="65DE5FFC">
            <w:pPr>
              <w:pStyle w:val="24"/>
            </w:pPr>
            <w:r>
              <w:rPr>
                <w:b/>
                <w:bCs/>
              </w:rPr>
              <w:t>RED (Ours, router)</w:t>
            </w:r>
          </w:p>
        </w:tc>
        <w:tc>
          <w:p w14:paraId="686835F7">
            <w:pPr>
              <w:pStyle w:val="24"/>
            </w:pPr>
            <w:r>
              <w:rPr>
                <w:b/>
                <w:bCs/>
              </w:rPr>
              <w:t>0.9725</w:t>
            </w:r>
          </w:p>
        </w:tc>
        <w:tc>
          <w:p w14:paraId="25D20787">
            <w:pPr>
              <w:pStyle w:val="24"/>
            </w:pPr>
            <w:r>
              <w:rPr>
                <w:b/>
                <w:bCs/>
              </w:rPr>
              <w:t>0.9722</w:t>
            </w:r>
          </w:p>
        </w:tc>
      </w:tr>
    </w:tbl>
    <w:p w14:paraId="24494910">
      <w:pPr>
        <w:pStyle w:val="3"/>
      </w:pPr>
      <w:r>
        <w:t>Macro-F1 is suppressed because each numerical range contains 99 target classes, many with very small support. Thus, even a small number of rare-class errors reduces the averaged F1 score substantially.</w:t>
      </w:r>
    </w:p>
    <w:p w14:paraId="3F8221BB">
      <w:pPr>
        <w:pStyle w:val="3"/>
      </w:pPr>
      <w:r>
        <w:rPr>
          <w:b/>
          <w:bCs/>
        </w:rPr>
        <w:t>Interpretation:</w:t>
      </w:r>
      <w:r>
        <w:br w:type="textWrapping"/>
      </w:r>
      <w:r>
        <w:t xml:space="preserve">RED achieves the highest overall performance, improving upon MoE by approximately </w:t>
      </w:r>
      <m:oMath>
        <m:r>
          <m:rPr>
            <m:sty m:val="p"/>
          </m:rPr>
          <m:t>+</m:t>
        </m:r>
        <m:r>
          <m:rPr/>
          <m:t>11.5</m:t>
        </m:r>
        <m:r>
          <m:rPr>
            <m:sty m:val="p"/>
          </m:rPr>
          <m:t>%</m:t>
        </m:r>
      </m:oMath>
      <w:r>
        <w:t xml:space="preserve"> in accuracy, and substantially surpassing non-modular baselines.</w:t>
      </w:r>
    </w:p>
    <w:bookmarkEnd w:id="35"/>
    <w:p w14:paraId="37FE9DA1">
      <w:pPr>
        <w:pStyle w:val="5"/>
      </w:pPr>
      <w:bookmarkStart w:id="36" w:name="accuracy-by-numerical-range-r_1r_5"/>
      <w:r>
        <w:t>4.6.2 Accuracy by Numerical Range (</w:t>
      </w:r>
      <m:oMath>
        <m:sSub>
          <m:sSubPr/>
          <m:e>
            <m:r>
              <m:rPr/>
              <m:t>R</m:t>
            </m:r>
          </m:e>
          <m:sub>
            <m:r>
              <m:rPr/>
              <m:t>1</m:t>
            </m:r>
          </m:sub>
        </m:sSub>
      </m:oMath>
      <w:r>
        <w:t>–</w:t>
      </w:r>
      <m:oMath>
        <m:sSub>
          <m:sSubPr/>
          <m:e>
            <m:r>
              <m:rPr/>
              <m:t>R</m:t>
            </m:r>
          </m:e>
          <m:sub>
            <m:r>
              <m:rPr/>
              <m:t>5</m:t>
            </m:r>
          </m:sub>
        </m:sSub>
      </m:oMath>
      <w:r>
        <w:t>)</w:t>
      </w:r>
    </w:p>
    <w:p w14:paraId="3816697C">
      <w:pPr>
        <w:pStyle w:val="23"/>
      </w:pPr>
      <w:r>
        <w:t>The numerical ranges are:</w:t>
      </w:r>
    </w:p>
    <w:p w14:paraId="697FBC47">
      <w:pPr>
        <w:pStyle w:val="24"/>
        <w:numPr>
          <w:ilvl w:val="0"/>
          <w:numId w:val="2"/>
        </w:numPr>
      </w:pPr>
      <m:oMath>
        <m:sSub>
          <m:sSubPr/>
          <m:e>
            <m:r>
              <m:rPr/>
              <m:t>R</m:t>
            </m:r>
          </m:e>
          <m:sub>
            <m:r>
              <m:rPr/>
              <m:t>1</m:t>
            </m:r>
          </m:sub>
        </m:sSub>
      </m:oMath>
      <w:r>
        <w:t>: 2–20</w:t>
      </w:r>
      <w:r>
        <w:br w:type="textWrapping"/>
      </w:r>
    </w:p>
    <w:p w14:paraId="657B2000">
      <w:pPr>
        <w:pStyle w:val="24"/>
        <w:numPr>
          <w:ilvl w:val="0"/>
          <w:numId w:val="2"/>
        </w:numPr>
      </w:pPr>
      <m:oMath>
        <m:sSub>
          <m:sSubPr/>
          <m:e>
            <m:r>
              <m:rPr/>
              <m:t>R</m:t>
            </m:r>
          </m:e>
          <m:sub>
            <m:r>
              <m:rPr/>
              <m:t>2</m:t>
            </m:r>
          </m:sub>
        </m:sSub>
      </m:oMath>
      <w:r>
        <w:t>: 21–40</w:t>
      </w:r>
      <w:r>
        <w:br w:type="textWrapping"/>
      </w:r>
    </w:p>
    <w:p w14:paraId="6209077D">
      <w:pPr>
        <w:pStyle w:val="24"/>
        <w:numPr>
          <w:ilvl w:val="0"/>
          <w:numId w:val="2"/>
        </w:numPr>
      </w:pPr>
      <m:oMath>
        <m:sSub>
          <m:sSubPr/>
          <m:e>
            <m:r>
              <m:rPr/>
              <m:t>R</m:t>
            </m:r>
          </m:e>
          <m:sub>
            <m:r>
              <m:rPr/>
              <m:t>3</m:t>
            </m:r>
          </m:sub>
        </m:sSub>
      </m:oMath>
      <w:r>
        <w:t>: 41–60</w:t>
      </w:r>
      <w:r>
        <w:br w:type="textWrapping"/>
      </w:r>
    </w:p>
    <w:p w14:paraId="3F9F8624">
      <w:pPr>
        <w:pStyle w:val="24"/>
        <w:numPr>
          <w:ilvl w:val="0"/>
          <w:numId w:val="2"/>
        </w:numPr>
      </w:pPr>
      <m:oMath>
        <m:sSub>
          <m:sSubPr/>
          <m:e>
            <m:r>
              <m:rPr/>
              <m:t>R</m:t>
            </m:r>
          </m:e>
          <m:sub>
            <m:r>
              <m:rPr/>
              <m:t>4</m:t>
            </m:r>
          </m:sub>
        </m:sSub>
      </m:oMath>
      <w:r>
        <w:t>: 61–80</w:t>
      </w:r>
      <w:r>
        <w:br w:type="textWrapping"/>
      </w:r>
    </w:p>
    <w:p w14:paraId="1D6FB5F1">
      <w:pPr>
        <w:pStyle w:val="24"/>
        <w:numPr>
          <w:ilvl w:val="0"/>
          <w:numId w:val="2"/>
        </w:numPr>
      </w:pPr>
      <m:oMath>
        <m:sSub>
          <m:sSubPr/>
          <m:e>
            <m:r>
              <m:rPr/>
              <m:t>R</m:t>
            </m:r>
          </m:e>
          <m:sub>
            <m:r>
              <m:rPr/>
              <m:t>5</m:t>
            </m:r>
          </m:sub>
        </m:sSub>
      </m:oMath>
      <w:r>
        <w:t>: 81–100</w:t>
      </w:r>
    </w:p>
    <w:p w14:paraId="3BFD2DE3">
      <w:pPr>
        <w:pStyle w:val="23"/>
      </w:pPr>
      <w:r>
        <w:t>We categorize accuracy into three qualitative levels:</w:t>
      </w:r>
    </w:p>
    <w:p w14:paraId="15C04269">
      <w:pPr>
        <w:pStyle w:val="24"/>
        <w:numPr>
          <w:ilvl w:val="0"/>
          <w:numId w:val="2"/>
        </w:numPr>
      </w:pPr>
      <w:r>
        <w:rPr>
          <w:b/>
          <w:bCs/>
        </w:rPr>
        <w:t>high:</w:t>
      </w:r>
      <w:r>
        <w:t xml:space="preserve"> ≥ 0.80</w:t>
      </w:r>
      <w:r>
        <w:br w:type="textWrapping"/>
      </w:r>
    </w:p>
    <w:p w14:paraId="6E6917FC">
      <w:pPr>
        <w:pStyle w:val="24"/>
        <w:numPr>
          <w:ilvl w:val="0"/>
          <w:numId w:val="2"/>
        </w:numPr>
      </w:pPr>
      <w:r>
        <w:rPr>
          <w:b/>
          <w:bCs/>
        </w:rPr>
        <w:t>moderate:</w:t>
      </w:r>
      <w:r>
        <w:t xml:space="preserve"> 0.55–0.80</w:t>
      </w:r>
      <w:r>
        <w:br w:type="textWrapping"/>
      </w:r>
    </w:p>
    <w:p w14:paraId="35841390">
      <w:pPr>
        <w:pStyle w:val="24"/>
        <w:numPr>
          <w:ilvl w:val="0"/>
          <w:numId w:val="2"/>
        </w:numPr>
      </w:pPr>
      <w:r>
        <w:rPr>
          <w:b/>
          <w:bCs/>
        </w:rPr>
        <w:t>low:</w:t>
      </w:r>
      <w:r>
        <w:t xml:space="preserve"> &lt; 0.55</w:t>
      </w:r>
    </w:p>
    <w:p w14:paraId="37E6FBBD">
      <w:pPr>
        <w:pStyle w:val="6"/>
      </w:pPr>
      <w:bookmarkStart w:id="37" w:name="raw-accuracy-results"/>
      <w:r>
        <w:t>Raw Accuracy Results</w:t>
      </w:r>
    </w:p>
    <w:p w14:paraId="3FF57AF6">
      <w:pPr>
        <w:pStyle w:val="24"/>
        <w:numPr>
          <w:ilvl w:val="0"/>
          <w:numId w:val="2"/>
        </w:numPr>
      </w:pPr>
      <w:r>
        <w:rPr>
          <w:b/>
          <w:bCs/>
        </w:rPr>
        <w:t>Global Head (base)</w:t>
      </w:r>
    </w:p>
    <w:p w14:paraId="469F275D">
      <w:pPr>
        <w:pStyle w:val="24"/>
        <w:numPr>
          <w:ilvl w:val="1"/>
          <w:numId w:val="2"/>
        </w:numPr>
      </w:pPr>
      <m:oMath>
        <m:sSub>
          <m:sSubPr/>
          <m:e>
            <m:r>
              <m:rPr/>
              <m:t>R</m:t>
            </m:r>
          </m:e>
          <m:sub>
            <m:r>
              <m:rPr/>
              <m:t>1</m:t>
            </m:r>
          </m:sub>
        </m:sSub>
      </m:oMath>
      <w:r>
        <w:t xml:space="preserve"> 0.8994</w:t>
      </w:r>
      <w:r>
        <w:br w:type="textWrapping"/>
      </w:r>
    </w:p>
    <w:p w14:paraId="147542B1">
      <w:pPr>
        <w:pStyle w:val="24"/>
        <w:numPr>
          <w:ilvl w:val="1"/>
          <w:numId w:val="2"/>
        </w:numPr>
      </w:pPr>
      <m:oMath>
        <m:sSub>
          <m:sSubPr/>
          <m:e>
            <m:r>
              <m:rPr/>
              <m:t>R</m:t>
            </m:r>
          </m:e>
          <m:sub>
            <m:r>
              <m:rPr/>
              <m:t>2</m:t>
            </m:r>
          </m:sub>
        </m:sSub>
      </m:oMath>
      <w:r>
        <w:t xml:space="preserve"> 0.4480</w:t>
      </w:r>
      <w:r>
        <w:br w:type="textWrapping"/>
      </w:r>
    </w:p>
    <w:p w14:paraId="7600427B">
      <w:pPr>
        <w:pStyle w:val="24"/>
        <w:numPr>
          <w:ilvl w:val="1"/>
          <w:numId w:val="2"/>
        </w:numPr>
      </w:pPr>
      <m:oMath>
        <m:sSub>
          <m:sSubPr/>
          <m:e>
            <m:r>
              <m:rPr/>
              <m:t>R</m:t>
            </m:r>
          </m:e>
          <m:sub>
            <m:r>
              <m:rPr/>
              <m:t>3</m:t>
            </m:r>
          </m:sub>
        </m:sSub>
      </m:oMath>
      <w:r>
        <w:t xml:space="preserve"> 0.3131</w:t>
      </w:r>
      <w:r>
        <w:br w:type="textWrapping"/>
      </w:r>
    </w:p>
    <w:p w14:paraId="03FEE190">
      <w:pPr>
        <w:pStyle w:val="24"/>
        <w:numPr>
          <w:ilvl w:val="1"/>
          <w:numId w:val="2"/>
        </w:numPr>
      </w:pPr>
      <m:oMath>
        <m:sSub>
          <m:sSubPr/>
          <m:e>
            <m:r>
              <m:rPr/>
              <m:t>R</m:t>
            </m:r>
          </m:e>
          <m:sub>
            <m:r>
              <m:rPr/>
              <m:t>4</m:t>
            </m:r>
          </m:sub>
        </m:sSub>
      </m:oMath>
      <w:r>
        <w:t xml:space="preserve"> 0.3975</w:t>
      </w:r>
      <w:r>
        <w:br w:type="textWrapping"/>
      </w:r>
    </w:p>
    <w:p w14:paraId="5B5733C8">
      <w:pPr>
        <w:pStyle w:val="24"/>
        <w:numPr>
          <w:ilvl w:val="1"/>
          <w:numId w:val="2"/>
        </w:numPr>
      </w:pPr>
      <m:oMath>
        <m:sSub>
          <m:sSubPr/>
          <m:e>
            <m:r>
              <m:rPr/>
              <m:t>R</m:t>
            </m:r>
          </m:e>
          <m:sub>
            <m:r>
              <m:rPr/>
              <m:t>5</m:t>
            </m:r>
          </m:sub>
        </m:sSub>
      </m:oMath>
      <w:r>
        <w:t xml:space="preserve"> 0.6719</w:t>
      </w:r>
    </w:p>
    <w:p w14:paraId="0455C88B">
      <w:pPr>
        <w:pStyle w:val="24"/>
        <w:numPr>
          <w:ilvl w:val="0"/>
          <w:numId w:val="2"/>
        </w:numPr>
      </w:pPr>
      <w:r>
        <w:rPr>
          <w:b/>
          <w:bCs/>
        </w:rPr>
        <w:t>Uniform Avg (all_fixed)</w:t>
      </w:r>
    </w:p>
    <w:p w14:paraId="13FEC3BA">
      <w:pPr>
        <w:pStyle w:val="24"/>
        <w:numPr>
          <w:ilvl w:val="1"/>
          <w:numId w:val="2"/>
        </w:numPr>
      </w:pPr>
      <m:oMath>
        <m:sSub>
          <m:sSubPr/>
          <m:e>
            <m:r>
              <m:rPr/>
              <m:t>R</m:t>
            </m:r>
          </m:e>
          <m:sub>
            <m:r>
              <m:rPr/>
              <m:t>1</m:t>
            </m:r>
          </m:sub>
        </m:sSub>
      </m:oMath>
      <w:r>
        <w:t xml:space="preserve"> 0.8978</w:t>
      </w:r>
      <w:r>
        <w:br w:type="textWrapping"/>
      </w:r>
    </w:p>
    <w:p w14:paraId="08C3C706">
      <w:pPr>
        <w:pStyle w:val="24"/>
        <w:numPr>
          <w:ilvl w:val="1"/>
          <w:numId w:val="2"/>
        </w:numPr>
      </w:pPr>
      <m:oMath>
        <m:sSub>
          <m:sSubPr/>
          <m:e>
            <m:r>
              <m:rPr/>
              <m:t>R</m:t>
            </m:r>
          </m:e>
          <m:sub>
            <m:r>
              <m:rPr/>
              <m:t>2</m:t>
            </m:r>
          </m:sub>
        </m:sSub>
      </m:oMath>
      <w:r>
        <w:t xml:space="preserve"> 0.0054</w:t>
      </w:r>
      <w:r>
        <w:br w:type="textWrapping"/>
      </w:r>
    </w:p>
    <w:p w14:paraId="22C8DBE6">
      <w:pPr>
        <w:pStyle w:val="24"/>
        <w:numPr>
          <w:ilvl w:val="1"/>
          <w:numId w:val="2"/>
        </w:numPr>
      </w:pPr>
      <m:oMath>
        <m:sSub>
          <m:sSubPr/>
          <m:e>
            <m:r>
              <m:rPr/>
              <m:t>R</m:t>
            </m:r>
          </m:e>
          <m:sub>
            <m:r>
              <m:rPr/>
              <m:t>3</m:t>
            </m:r>
          </m:sub>
        </m:sSub>
      </m:oMath>
      <w:r>
        <w:t xml:space="preserve"> 0.0000</w:t>
      </w:r>
      <w:r>
        <w:br w:type="textWrapping"/>
      </w:r>
    </w:p>
    <w:p w14:paraId="2C8755D6">
      <w:pPr>
        <w:pStyle w:val="24"/>
        <w:numPr>
          <w:ilvl w:val="1"/>
          <w:numId w:val="2"/>
        </w:numPr>
      </w:pPr>
      <m:oMath>
        <m:sSub>
          <m:sSubPr/>
          <m:e>
            <m:r>
              <m:rPr/>
              <m:t>R</m:t>
            </m:r>
          </m:e>
          <m:sub>
            <m:r>
              <m:rPr/>
              <m:t>4</m:t>
            </m:r>
          </m:sub>
        </m:sSub>
      </m:oMath>
      <w:r>
        <w:t xml:space="preserve"> 0.0000</w:t>
      </w:r>
      <w:r>
        <w:br w:type="textWrapping"/>
      </w:r>
    </w:p>
    <w:p w14:paraId="467C9618">
      <w:pPr>
        <w:pStyle w:val="24"/>
        <w:numPr>
          <w:ilvl w:val="1"/>
          <w:numId w:val="2"/>
        </w:numPr>
      </w:pPr>
      <m:oMath>
        <m:sSub>
          <m:sSubPr/>
          <m:e>
            <m:r>
              <m:rPr/>
              <m:t>R</m:t>
            </m:r>
          </m:e>
          <m:sub>
            <m:r>
              <m:rPr/>
              <m:t>5</m:t>
            </m:r>
          </m:sub>
        </m:sSub>
      </m:oMath>
      <w:r>
        <w:t xml:space="preserve"> 0.4104</w:t>
      </w:r>
    </w:p>
    <w:p w14:paraId="5E6FEC56">
      <w:pPr>
        <w:pStyle w:val="24"/>
        <w:numPr>
          <w:ilvl w:val="0"/>
          <w:numId w:val="2"/>
        </w:numPr>
      </w:pPr>
      <w:r>
        <w:rPr>
          <w:b/>
          <w:bCs/>
        </w:rPr>
        <w:t>MoE Gating (moe)</w:t>
      </w:r>
    </w:p>
    <w:p w14:paraId="1D7E2FD2">
      <w:pPr>
        <w:pStyle w:val="24"/>
        <w:numPr>
          <w:ilvl w:val="1"/>
          <w:numId w:val="2"/>
        </w:numPr>
      </w:pPr>
      <m:oMath>
        <m:sSub>
          <m:sSubPr/>
          <m:e>
            <m:r>
              <m:rPr/>
              <m:t>R</m:t>
            </m:r>
          </m:e>
          <m:sub>
            <m:r>
              <m:rPr/>
              <m:t>1</m:t>
            </m:r>
          </m:sub>
        </m:sSub>
      </m:oMath>
      <w:r>
        <w:t xml:space="preserve"> 1.0000</w:t>
      </w:r>
      <w:r>
        <w:br w:type="textWrapping"/>
      </w:r>
    </w:p>
    <w:p w14:paraId="622289A8">
      <w:pPr>
        <w:pStyle w:val="24"/>
        <w:numPr>
          <w:ilvl w:val="1"/>
          <w:numId w:val="2"/>
        </w:numPr>
      </w:pPr>
      <m:oMath>
        <m:sSub>
          <m:sSubPr/>
          <m:e>
            <m:r>
              <m:rPr/>
              <m:t>R</m:t>
            </m:r>
          </m:e>
          <m:sub>
            <m:r>
              <m:rPr/>
              <m:t>2</m:t>
            </m:r>
          </m:sub>
        </m:sSub>
      </m:oMath>
      <w:r>
        <w:t xml:space="preserve"> 0.7883</w:t>
      </w:r>
      <w:r>
        <w:br w:type="textWrapping"/>
      </w:r>
    </w:p>
    <w:p w14:paraId="702B0691">
      <w:pPr>
        <w:pStyle w:val="24"/>
        <w:numPr>
          <w:ilvl w:val="1"/>
          <w:numId w:val="2"/>
        </w:numPr>
      </w:pPr>
      <m:oMath>
        <m:sSub>
          <m:sSubPr/>
          <m:e>
            <m:r>
              <m:rPr/>
              <m:t>R</m:t>
            </m:r>
          </m:e>
          <m:sub>
            <m:r>
              <m:rPr/>
              <m:t>3</m:t>
            </m:r>
          </m:sub>
        </m:sSub>
      </m:oMath>
      <w:r>
        <w:t xml:space="preserve"> 0.6836</w:t>
      </w:r>
      <w:r>
        <w:br w:type="textWrapping"/>
      </w:r>
    </w:p>
    <w:p w14:paraId="68CA126E">
      <w:pPr>
        <w:pStyle w:val="24"/>
        <w:numPr>
          <w:ilvl w:val="1"/>
          <w:numId w:val="2"/>
        </w:numPr>
      </w:pPr>
      <m:oMath>
        <m:sSub>
          <m:sSubPr/>
          <m:e>
            <m:r>
              <m:rPr/>
              <m:t>R</m:t>
            </m:r>
          </m:e>
          <m:sub>
            <m:r>
              <m:rPr/>
              <m:t>4</m:t>
            </m:r>
          </m:sub>
        </m:sSub>
      </m:oMath>
      <w:r>
        <w:t xml:space="preserve"> 0.7989</w:t>
      </w:r>
      <w:r>
        <w:br w:type="textWrapping"/>
      </w:r>
    </w:p>
    <w:p w14:paraId="05519080">
      <w:pPr>
        <w:pStyle w:val="24"/>
        <w:numPr>
          <w:ilvl w:val="1"/>
          <w:numId w:val="2"/>
        </w:numPr>
      </w:pPr>
      <m:oMath>
        <m:sSub>
          <m:sSubPr/>
          <m:e>
            <m:r>
              <m:rPr/>
              <m:t>R</m:t>
            </m:r>
          </m:e>
          <m:sub>
            <m:r>
              <m:rPr/>
              <m:t>5</m:t>
            </m:r>
          </m:sub>
        </m:sSub>
      </m:oMath>
      <w:r>
        <w:t xml:space="preserve"> 0.9907</w:t>
      </w:r>
    </w:p>
    <w:p w14:paraId="287F3627">
      <w:pPr>
        <w:pStyle w:val="24"/>
        <w:numPr>
          <w:ilvl w:val="0"/>
          <w:numId w:val="2"/>
        </w:numPr>
      </w:pPr>
      <w:r>
        <w:rPr>
          <w:b/>
          <w:bCs/>
        </w:rPr>
        <w:t>RED (router)</w:t>
      </w:r>
    </w:p>
    <w:p w14:paraId="39195559">
      <w:pPr>
        <w:pStyle w:val="24"/>
        <w:numPr>
          <w:ilvl w:val="1"/>
          <w:numId w:val="2"/>
        </w:numPr>
      </w:pPr>
      <m:oMath>
        <m:sSub>
          <m:sSubPr/>
          <m:e>
            <m:r>
              <m:rPr/>
              <m:t>R</m:t>
            </m:r>
          </m:e>
          <m:sub>
            <m:r>
              <m:rPr/>
              <m:t>1</m:t>
            </m:r>
          </m:sub>
        </m:sSub>
      </m:oMath>
      <w:r>
        <w:t xml:space="preserve"> 1.0000</w:t>
      </w:r>
      <w:r>
        <w:br w:type="textWrapping"/>
      </w:r>
    </w:p>
    <w:p w14:paraId="50CF1622">
      <w:pPr>
        <w:pStyle w:val="24"/>
        <w:numPr>
          <w:ilvl w:val="1"/>
          <w:numId w:val="2"/>
        </w:numPr>
      </w:pPr>
      <m:oMath>
        <m:sSub>
          <m:sSubPr/>
          <m:e>
            <m:r>
              <m:rPr/>
              <m:t>R</m:t>
            </m:r>
          </m:e>
          <m:sub>
            <m:r>
              <m:rPr/>
              <m:t>2</m:t>
            </m:r>
          </m:sub>
        </m:sSub>
      </m:oMath>
      <w:r>
        <w:t xml:space="preserve"> 0.9822</w:t>
      </w:r>
      <w:r>
        <w:br w:type="textWrapping"/>
      </w:r>
    </w:p>
    <w:p w14:paraId="2A5627E5">
      <w:pPr>
        <w:pStyle w:val="24"/>
        <w:numPr>
          <w:ilvl w:val="1"/>
          <w:numId w:val="2"/>
        </w:numPr>
      </w:pPr>
      <m:oMath>
        <m:sSub>
          <m:sSubPr/>
          <m:e>
            <m:r>
              <m:rPr/>
              <m:t>R</m:t>
            </m:r>
          </m:e>
          <m:sub>
            <m:r>
              <m:rPr/>
              <m:t>3</m:t>
            </m:r>
          </m:sub>
        </m:sSub>
      </m:oMath>
      <w:r>
        <w:t xml:space="preserve"> 0.9227</w:t>
      </w:r>
      <w:r>
        <w:br w:type="textWrapping"/>
      </w:r>
    </w:p>
    <w:p w14:paraId="361E3B53">
      <w:pPr>
        <w:pStyle w:val="24"/>
        <w:numPr>
          <w:ilvl w:val="1"/>
          <w:numId w:val="2"/>
        </w:numPr>
      </w:pPr>
      <m:oMath>
        <m:sSub>
          <m:sSubPr/>
          <m:e>
            <m:r>
              <m:rPr/>
              <m:t>R</m:t>
            </m:r>
          </m:e>
          <m:sub>
            <m:r>
              <m:rPr/>
              <m:t>4</m:t>
            </m:r>
          </m:sub>
        </m:sSub>
      </m:oMath>
      <w:r>
        <w:t xml:space="preserve"> 0.9527</w:t>
      </w:r>
      <w:r>
        <w:br w:type="textWrapping"/>
      </w:r>
    </w:p>
    <w:p w14:paraId="7D7CF11C">
      <w:pPr>
        <w:pStyle w:val="24"/>
        <w:numPr>
          <w:ilvl w:val="1"/>
          <w:numId w:val="2"/>
        </w:numPr>
      </w:pPr>
      <m:oMath>
        <m:sSub>
          <m:sSubPr/>
          <m:e>
            <m:r>
              <m:rPr/>
              <m:t>R</m:t>
            </m:r>
          </m:e>
          <m:sub>
            <m:r>
              <m:rPr/>
              <m:t>5</m:t>
            </m:r>
          </m:sub>
        </m:sSub>
      </m:oMath>
      <w:r>
        <w:t xml:space="preserve"> 1.0000</w:t>
      </w:r>
    </w:p>
    <w:bookmarkEnd w:id="37"/>
    <w:p w14:paraId="4E4F199E">
      <w:pPr>
        <w:pStyle w:val="6"/>
      </w:pPr>
      <w:bookmarkStart w:id="38" w:name="accuracy-level-summary"/>
      <w:r>
        <w:t>Accuracy-Level Summary</w:t>
      </w:r>
    </w:p>
    <w:tbl>
      <w:tblPr>
        <w:tblStyle w:val="41"/>
        <w:tblW w:w="5000" w:type="pct"/>
        <w:tblInd w:w="0" w:type="dxa"/>
        <w:tblLayout w:type="fixed"/>
        <w:tblCellMar>
          <w:top w:w="0" w:type="dxa"/>
          <w:left w:w="108" w:type="dxa"/>
          <w:bottom w:w="0" w:type="dxa"/>
          <w:right w:w="108" w:type="dxa"/>
        </w:tblCellMar>
      </w:tblPr>
      <w:tblGrid>
        <w:gridCol w:w="2530"/>
        <w:gridCol w:w="1265"/>
        <w:gridCol w:w="1265"/>
        <w:gridCol w:w="1265"/>
        <w:gridCol w:w="1265"/>
        <w:gridCol w:w="1265"/>
      </w:tblGrid>
      <w:tr w14:paraId="34A06A38">
        <w:tblPrEx>
          <w:tblCellMar>
            <w:top w:w="0" w:type="dxa"/>
            <w:left w:w="108" w:type="dxa"/>
            <w:bottom w:w="0" w:type="dxa"/>
            <w:right w:w="108" w:type="dxa"/>
          </w:tblCellMar>
        </w:tblPrEx>
        <w:trPr>
          <w:tblHeader/>
        </w:trPr>
        <w:tc>
          <w:p w14:paraId="0F6E4F70">
            <w:pPr>
              <w:pStyle w:val="24"/>
            </w:pPr>
            <w:r>
              <w:t>Method</w:t>
            </w:r>
          </w:p>
        </w:tc>
        <w:tc>
          <w:p w14:paraId="4E0BA926">
            <w:pPr>
              <w:pStyle w:val="24"/>
            </w:pPr>
            <m:oMathPara>
              <m:oMath>
                <m:sSub>
                  <m:sSubPr/>
                  <m:e>
                    <m:r>
                      <m:rPr/>
                      <m:t>R</m:t>
                    </m:r>
                  </m:e>
                  <m:sub>
                    <m:r>
                      <m:rPr/>
                      <m:t>1</m:t>
                    </m:r>
                  </m:sub>
                </m:sSub>
              </m:oMath>
            </m:oMathPara>
          </w:p>
        </w:tc>
        <w:tc>
          <w:p w14:paraId="236D7D7F">
            <w:pPr>
              <w:pStyle w:val="24"/>
            </w:pPr>
            <m:oMathPara>
              <m:oMath>
                <m:sSub>
                  <m:sSubPr/>
                  <m:e>
                    <m:r>
                      <m:rPr/>
                      <m:t>R</m:t>
                    </m:r>
                  </m:e>
                  <m:sub>
                    <m:r>
                      <m:rPr/>
                      <m:t>2</m:t>
                    </m:r>
                  </m:sub>
                </m:sSub>
              </m:oMath>
            </m:oMathPara>
          </w:p>
        </w:tc>
        <w:tc>
          <w:p w14:paraId="483CD253">
            <w:pPr>
              <w:pStyle w:val="24"/>
            </w:pPr>
            <m:oMathPara>
              <m:oMath>
                <m:sSub>
                  <m:sSubPr/>
                  <m:e>
                    <m:r>
                      <m:rPr/>
                      <m:t>R</m:t>
                    </m:r>
                  </m:e>
                  <m:sub>
                    <m:r>
                      <m:rPr/>
                      <m:t>3</m:t>
                    </m:r>
                  </m:sub>
                </m:sSub>
              </m:oMath>
            </m:oMathPara>
          </w:p>
        </w:tc>
        <w:tc>
          <w:p w14:paraId="232AD840">
            <w:pPr>
              <w:pStyle w:val="24"/>
            </w:pPr>
            <m:oMathPara>
              <m:oMath>
                <m:sSub>
                  <m:sSubPr/>
                  <m:e>
                    <m:r>
                      <m:rPr/>
                      <m:t>R</m:t>
                    </m:r>
                  </m:e>
                  <m:sub>
                    <m:r>
                      <m:rPr/>
                      <m:t>4</m:t>
                    </m:r>
                  </m:sub>
                </m:sSub>
              </m:oMath>
            </m:oMathPara>
          </w:p>
        </w:tc>
        <w:tc>
          <w:p w14:paraId="110CC2D1">
            <w:pPr>
              <w:pStyle w:val="24"/>
            </w:pPr>
            <m:oMathPara>
              <m:oMath>
                <m:sSub>
                  <m:sSubPr/>
                  <m:e>
                    <m:r>
                      <m:rPr/>
                      <m:t>R</m:t>
                    </m:r>
                  </m:e>
                  <m:sub>
                    <m:r>
                      <m:rPr/>
                      <m:t>5</m:t>
                    </m:r>
                  </m:sub>
                </m:sSub>
              </m:oMath>
            </m:oMathPara>
          </w:p>
        </w:tc>
      </w:tr>
      <w:tr w14:paraId="368E28B2">
        <w:tblPrEx>
          <w:tblCellMar>
            <w:top w:w="0" w:type="dxa"/>
            <w:left w:w="108" w:type="dxa"/>
            <w:bottom w:w="0" w:type="dxa"/>
            <w:right w:w="108" w:type="dxa"/>
          </w:tblCellMar>
        </w:tblPrEx>
        <w:tc>
          <w:p w14:paraId="40119F77">
            <w:pPr>
              <w:pStyle w:val="24"/>
            </w:pPr>
            <w:r>
              <w:t>Global Head</w:t>
            </w:r>
          </w:p>
        </w:tc>
        <w:tc>
          <w:p w14:paraId="35BC139F">
            <w:pPr>
              <w:pStyle w:val="24"/>
            </w:pPr>
            <w:r>
              <w:t>high</w:t>
            </w:r>
          </w:p>
        </w:tc>
        <w:tc>
          <w:p w14:paraId="50C5C751">
            <w:pPr>
              <w:pStyle w:val="24"/>
            </w:pPr>
            <w:r>
              <w:t>low</w:t>
            </w:r>
          </w:p>
        </w:tc>
        <w:tc>
          <w:p w14:paraId="7B8C30E4">
            <w:pPr>
              <w:pStyle w:val="24"/>
            </w:pPr>
            <w:r>
              <w:t>low</w:t>
            </w:r>
          </w:p>
        </w:tc>
        <w:tc>
          <w:p w14:paraId="155CE80A">
            <w:pPr>
              <w:pStyle w:val="24"/>
            </w:pPr>
            <w:r>
              <w:t>low</w:t>
            </w:r>
          </w:p>
        </w:tc>
        <w:tc>
          <w:p w14:paraId="14F9D136">
            <w:pPr>
              <w:pStyle w:val="24"/>
            </w:pPr>
            <w:r>
              <w:t>moderate</w:t>
            </w:r>
          </w:p>
        </w:tc>
      </w:tr>
      <w:tr w14:paraId="083A7B77">
        <w:tblPrEx>
          <w:tblCellMar>
            <w:top w:w="0" w:type="dxa"/>
            <w:left w:w="108" w:type="dxa"/>
            <w:bottom w:w="0" w:type="dxa"/>
            <w:right w:w="108" w:type="dxa"/>
          </w:tblCellMar>
        </w:tblPrEx>
        <w:tc>
          <w:p w14:paraId="73E9BB88">
            <w:pPr>
              <w:pStyle w:val="24"/>
            </w:pPr>
            <w:r>
              <w:t>Uniform Avg</w:t>
            </w:r>
          </w:p>
        </w:tc>
        <w:tc>
          <w:p w14:paraId="4A9F8E6C">
            <w:pPr>
              <w:pStyle w:val="24"/>
            </w:pPr>
            <w:r>
              <w:t>high</w:t>
            </w:r>
          </w:p>
        </w:tc>
        <w:tc>
          <w:p w14:paraId="28D12EBD">
            <w:pPr>
              <w:pStyle w:val="24"/>
            </w:pPr>
            <w:r>
              <w:t>low</w:t>
            </w:r>
          </w:p>
        </w:tc>
        <w:tc>
          <w:p w14:paraId="1CE090D2">
            <w:pPr>
              <w:pStyle w:val="24"/>
            </w:pPr>
            <w:r>
              <w:t>low</w:t>
            </w:r>
          </w:p>
        </w:tc>
        <w:tc>
          <w:p w14:paraId="3C2EA671">
            <w:pPr>
              <w:pStyle w:val="24"/>
            </w:pPr>
            <w:r>
              <w:t>low</w:t>
            </w:r>
          </w:p>
        </w:tc>
        <w:tc>
          <w:p w14:paraId="6C77B0ED">
            <w:pPr>
              <w:pStyle w:val="24"/>
            </w:pPr>
            <w:r>
              <w:t>low</w:t>
            </w:r>
          </w:p>
        </w:tc>
      </w:tr>
      <w:tr w14:paraId="75CE2221">
        <w:tblPrEx>
          <w:tblCellMar>
            <w:top w:w="0" w:type="dxa"/>
            <w:left w:w="108" w:type="dxa"/>
            <w:bottom w:w="0" w:type="dxa"/>
            <w:right w:w="108" w:type="dxa"/>
          </w:tblCellMar>
        </w:tblPrEx>
        <w:tc>
          <w:p w14:paraId="6E38503D">
            <w:pPr>
              <w:pStyle w:val="24"/>
            </w:pPr>
            <w:r>
              <w:t>MoE Gating</w:t>
            </w:r>
          </w:p>
        </w:tc>
        <w:tc>
          <w:p w14:paraId="3DB84DC0">
            <w:pPr>
              <w:pStyle w:val="24"/>
            </w:pPr>
            <w:r>
              <w:t>high</w:t>
            </w:r>
          </w:p>
        </w:tc>
        <w:tc>
          <w:p w14:paraId="399852E1">
            <w:pPr>
              <w:pStyle w:val="24"/>
            </w:pPr>
            <w:r>
              <w:t>moderate</w:t>
            </w:r>
          </w:p>
        </w:tc>
        <w:tc>
          <w:p w14:paraId="3D5B0D90">
            <w:pPr>
              <w:pStyle w:val="24"/>
            </w:pPr>
            <w:r>
              <w:t>moderate</w:t>
            </w:r>
          </w:p>
        </w:tc>
        <w:tc>
          <w:p w14:paraId="092906E1">
            <w:pPr>
              <w:pStyle w:val="24"/>
            </w:pPr>
            <w:r>
              <w:t>moderate</w:t>
            </w:r>
          </w:p>
        </w:tc>
        <w:tc>
          <w:p w14:paraId="70EF65A2">
            <w:pPr>
              <w:pStyle w:val="24"/>
            </w:pPr>
            <w:r>
              <w:t>high</w:t>
            </w:r>
          </w:p>
        </w:tc>
      </w:tr>
      <w:tr w14:paraId="161BE6A9">
        <w:tblPrEx>
          <w:tblCellMar>
            <w:top w:w="0" w:type="dxa"/>
            <w:left w:w="108" w:type="dxa"/>
            <w:bottom w:w="0" w:type="dxa"/>
            <w:right w:w="108" w:type="dxa"/>
          </w:tblCellMar>
        </w:tblPrEx>
        <w:tc>
          <w:p w14:paraId="2DF0D5B8">
            <w:pPr>
              <w:pStyle w:val="24"/>
            </w:pPr>
            <w:r>
              <w:rPr>
                <w:b/>
                <w:bCs/>
              </w:rPr>
              <w:t>RED (Ours)</w:t>
            </w:r>
          </w:p>
        </w:tc>
        <w:tc>
          <w:p w14:paraId="400D5928">
            <w:pPr>
              <w:pStyle w:val="24"/>
            </w:pPr>
            <w:r>
              <w:rPr>
                <w:b/>
                <w:bCs/>
              </w:rPr>
              <w:t>high</w:t>
            </w:r>
          </w:p>
        </w:tc>
        <w:tc>
          <w:p w14:paraId="086B7FDA">
            <w:pPr>
              <w:pStyle w:val="24"/>
            </w:pPr>
            <w:r>
              <w:rPr>
                <w:b/>
                <w:bCs/>
              </w:rPr>
              <w:t>high</w:t>
            </w:r>
          </w:p>
        </w:tc>
        <w:tc>
          <w:p w14:paraId="40DCF3F9">
            <w:pPr>
              <w:pStyle w:val="24"/>
            </w:pPr>
            <w:r>
              <w:rPr>
                <w:b/>
                <w:bCs/>
              </w:rPr>
              <w:t>high</w:t>
            </w:r>
          </w:p>
        </w:tc>
        <w:tc>
          <w:p w14:paraId="7DEDC4D5">
            <w:pPr>
              <w:pStyle w:val="24"/>
            </w:pPr>
            <w:r>
              <w:rPr>
                <w:b/>
                <w:bCs/>
              </w:rPr>
              <w:t>high</w:t>
            </w:r>
          </w:p>
        </w:tc>
        <w:tc>
          <w:p w14:paraId="3B710939">
            <w:pPr>
              <w:pStyle w:val="24"/>
            </w:pPr>
            <w:r>
              <w:rPr>
                <w:b/>
                <w:bCs/>
              </w:rPr>
              <w:t>high</w:t>
            </w:r>
          </w:p>
        </w:tc>
      </w:tr>
      <w:bookmarkEnd w:id="36"/>
      <w:bookmarkEnd w:id="38"/>
    </w:tbl>
    <w:p w14:paraId="2EDE7B3B">
      <w:pPr>
        <w:pStyle w:val="5"/>
      </w:pPr>
      <w:bookmarkStart w:id="39" w:name="macro-f1-by-numerical-range"/>
      <w:r>
        <w:t>4.6.3 Macro-F1 by Numerical Range</w:t>
      </w:r>
    </w:p>
    <w:p w14:paraId="5EC9D206">
      <w:pPr>
        <w:pStyle w:val="23"/>
      </w:pPr>
      <w:r>
        <w:t xml:space="preserve">Macro-F1 averages the F1 score over the 99 output classes in each range. This metric penalizes rare-class errors sharply, which explains why near-perfect accuracy in </w:t>
      </w:r>
      <m:oMath>
        <m:sSub>
          <m:sSubPr/>
          <m:e>
            <m:r>
              <m:rPr/>
              <m:t>R</m:t>
            </m:r>
          </m:e>
          <m:sub>
            <m:r>
              <m:rPr/>
              <m:t>1</m:t>
            </m:r>
          </m:sub>
        </m:sSub>
      </m:oMath>
      <w:r>
        <w:t xml:space="preserve"> and </w:t>
      </w:r>
      <m:oMath>
        <m:sSub>
          <m:sSubPr/>
          <m:e>
            <m:r>
              <m:rPr/>
              <m:t>R</m:t>
            </m:r>
          </m:e>
          <m:sub>
            <m:r>
              <m:rPr/>
              <m:t>5</m:t>
            </m:r>
          </m:sub>
        </m:sSub>
      </m:oMath>
      <w:r>
        <w:t xml:space="preserve"> still corresponds to Macro-F1 around 0.19–0.20.</w:t>
      </w:r>
    </w:p>
    <w:p w14:paraId="6604BB95">
      <w:pPr>
        <w:pStyle w:val="6"/>
      </w:pPr>
      <w:bookmarkStart w:id="40" w:name="raw-macro-f1-results"/>
      <w:r>
        <w:t>Raw Macro-F1 Results</w:t>
      </w:r>
    </w:p>
    <w:p w14:paraId="31526C66">
      <w:pPr>
        <w:pStyle w:val="24"/>
        <w:numPr>
          <w:ilvl w:val="0"/>
          <w:numId w:val="2"/>
        </w:numPr>
      </w:pPr>
      <w:r>
        <w:rPr>
          <w:b/>
          <w:bCs/>
        </w:rPr>
        <w:t>Global Head (base)</w:t>
      </w:r>
    </w:p>
    <w:p w14:paraId="73D661FF">
      <w:pPr>
        <w:pStyle w:val="24"/>
        <w:numPr>
          <w:ilvl w:val="1"/>
          <w:numId w:val="2"/>
        </w:numPr>
      </w:pPr>
      <m:oMath>
        <m:sSub>
          <m:sSubPr/>
          <m:e>
            <m:r>
              <m:rPr/>
              <m:t>R</m:t>
            </m:r>
          </m:e>
          <m:sub>
            <m:r>
              <m:rPr/>
              <m:t>1</m:t>
            </m:r>
          </m:sub>
        </m:sSub>
      </m:oMath>
      <w:r>
        <w:t xml:space="preserve"> 0.1706</w:t>
      </w:r>
      <w:r>
        <w:br w:type="textWrapping"/>
      </w:r>
    </w:p>
    <w:p w14:paraId="6517DAE9">
      <w:pPr>
        <w:pStyle w:val="24"/>
        <w:numPr>
          <w:ilvl w:val="1"/>
          <w:numId w:val="2"/>
        </w:numPr>
      </w:pPr>
      <m:oMath>
        <m:sSub>
          <m:sSubPr/>
          <m:e>
            <m:r>
              <m:rPr/>
              <m:t>R</m:t>
            </m:r>
          </m:e>
          <m:sub>
            <m:r>
              <m:rPr/>
              <m:t>2</m:t>
            </m:r>
          </m:sub>
        </m:sSub>
      </m:oMath>
      <w:r>
        <w:t xml:space="preserve"> 0.0882</w:t>
      </w:r>
      <w:r>
        <w:br w:type="textWrapping"/>
      </w:r>
    </w:p>
    <w:p w14:paraId="63F4DB1B">
      <w:pPr>
        <w:pStyle w:val="24"/>
        <w:numPr>
          <w:ilvl w:val="1"/>
          <w:numId w:val="2"/>
        </w:numPr>
      </w:pPr>
      <m:oMath>
        <m:sSub>
          <m:sSubPr/>
          <m:e>
            <m:r>
              <m:rPr/>
              <m:t>R</m:t>
            </m:r>
          </m:e>
          <m:sub>
            <m:r>
              <m:rPr/>
              <m:t>3</m:t>
            </m:r>
          </m:sub>
        </m:sSub>
      </m:oMath>
      <w:r>
        <w:t xml:space="preserve"> 0.0627</w:t>
      </w:r>
      <w:r>
        <w:br w:type="textWrapping"/>
      </w:r>
    </w:p>
    <w:p w14:paraId="39F27E74">
      <w:pPr>
        <w:pStyle w:val="24"/>
        <w:numPr>
          <w:ilvl w:val="1"/>
          <w:numId w:val="2"/>
        </w:numPr>
      </w:pPr>
      <m:oMath>
        <m:sSub>
          <m:sSubPr/>
          <m:e>
            <m:r>
              <m:rPr/>
              <m:t>R</m:t>
            </m:r>
          </m:e>
          <m:sub>
            <m:r>
              <m:rPr/>
              <m:t>4</m:t>
            </m:r>
          </m:sub>
        </m:sSub>
      </m:oMath>
      <w:r>
        <w:t xml:space="preserve"> 0.0765</w:t>
      </w:r>
      <w:r>
        <w:br w:type="textWrapping"/>
      </w:r>
    </w:p>
    <w:p w14:paraId="2D79B294">
      <w:pPr>
        <w:pStyle w:val="24"/>
        <w:numPr>
          <w:ilvl w:val="1"/>
          <w:numId w:val="2"/>
        </w:numPr>
      </w:pPr>
      <m:oMath>
        <m:sSub>
          <m:sSubPr/>
          <m:e>
            <m:r>
              <m:rPr/>
              <m:t>R</m:t>
            </m:r>
          </m:e>
          <m:sub>
            <m:r>
              <m:rPr/>
              <m:t>5</m:t>
            </m:r>
          </m:sub>
        </m:sSub>
      </m:oMath>
      <w:r>
        <w:t xml:space="preserve"> 0.1304</w:t>
      </w:r>
    </w:p>
    <w:p w14:paraId="37CEEA89">
      <w:pPr>
        <w:pStyle w:val="24"/>
        <w:numPr>
          <w:ilvl w:val="0"/>
          <w:numId w:val="2"/>
        </w:numPr>
      </w:pPr>
      <w:r>
        <w:rPr>
          <w:b/>
          <w:bCs/>
        </w:rPr>
        <w:t>Uniform Avg (all_fixed)</w:t>
      </w:r>
    </w:p>
    <w:p w14:paraId="350448E5">
      <w:pPr>
        <w:pStyle w:val="24"/>
        <w:numPr>
          <w:ilvl w:val="1"/>
          <w:numId w:val="2"/>
        </w:numPr>
      </w:pPr>
      <m:oMath>
        <m:sSub>
          <m:sSubPr/>
          <m:e>
            <m:r>
              <m:rPr/>
              <m:t>R</m:t>
            </m:r>
          </m:e>
          <m:sub>
            <m:r>
              <m:rPr/>
              <m:t>1</m:t>
            </m:r>
          </m:sub>
        </m:sSub>
      </m:oMath>
      <w:r>
        <w:t xml:space="preserve"> 0.1826</w:t>
      </w:r>
      <w:r>
        <w:br w:type="textWrapping"/>
      </w:r>
    </w:p>
    <w:p w14:paraId="42EADD76">
      <w:pPr>
        <w:pStyle w:val="24"/>
        <w:numPr>
          <w:ilvl w:val="1"/>
          <w:numId w:val="2"/>
        </w:numPr>
      </w:pPr>
      <m:oMath>
        <m:sSub>
          <m:sSubPr/>
          <m:e>
            <m:r>
              <m:rPr/>
              <m:t>R</m:t>
            </m:r>
          </m:e>
          <m:sub>
            <m:r>
              <m:rPr/>
              <m:t>2</m:t>
            </m:r>
          </m:sub>
        </m:sSub>
      </m:oMath>
      <w:r>
        <w:t xml:space="preserve"> 0.0016</w:t>
      </w:r>
      <w:r>
        <w:br w:type="textWrapping"/>
      </w:r>
    </w:p>
    <w:p w14:paraId="1505BAC3">
      <w:pPr>
        <w:pStyle w:val="24"/>
        <w:numPr>
          <w:ilvl w:val="1"/>
          <w:numId w:val="2"/>
        </w:numPr>
      </w:pPr>
      <m:oMath>
        <m:sSub>
          <m:sSubPr/>
          <m:e>
            <m:r>
              <m:rPr/>
              <m:t>R</m:t>
            </m:r>
          </m:e>
          <m:sub>
            <m:r>
              <m:rPr/>
              <m:t>3</m:t>
            </m:r>
          </m:sub>
        </m:sSub>
      </m:oMath>
      <w:r>
        <w:t xml:space="preserve"> 0.0000</w:t>
      </w:r>
      <w:r>
        <w:br w:type="textWrapping"/>
      </w:r>
    </w:p>
    <w:p w14:paraId="79635C45">
      <w:pPr>
        <w:pStyle w:val="24"/>
        <w:numPr>
          <w:ilvl w:val="1"/>
          <w:numId w:val="2"/>
        </w:numPr>
      </w:pPr>
      <m:oMath>
        <m:sSub>
          <m:sSubPr/>
          <m:e>
            <m:r>
              <m:rPr/>
              <m:t>R</m:t>
            </m:r>
          </m:e>
          <m:sub>
            <m:r>
              <m:rPr/>
              <m:t>4</m:t>
            </m:r>
          </m:sub>
        </m:sSub>
      </m:oMath>
      <w:r>
        <w:t xml:space="preserve"> 0.0000</w:t>
      </w:r>
      <w:r>
        <w:br w:type="textWrapping"/>
      </w:r>
    </w:p>
    <w:p w14:paraId="112F4B8C">
      <w:pPr>
        <w:pStyle w:val="24"/>
        <w:numPr>
          <w:ilvl w:val="1"/>
          <w:numId w:val="2"/>
        </w:numPr>
      </w:pPr>
      <m:oMath>
        <m:sSub>
          <m:sSubPr/>
          <m:e>
            <m:r>
              <m:rPr/>
              <m:t>R</m:t>
            </m:r>
          </m:e>
          <m:sub>
            <m:r>
              <m:rPr/>
              <m:t>5</m:t>
            </m:r>
          </m:sub>
        </m:sSub>
      </m:oMath>
      <w:r>
        <w:t xml:space="preserve"> 0.0950</w:t>
      </w:r>
    </w:p>
    <w:p w14:paraId="40CA05B5">
      <w:pPr>
        <w:pStyle w:val="24"/>
        <w:numPr>
          <w:ilvl w:val="0"/>
          <w:numId w:val="2"/>
        </w:numPr>
      </w:pPr>
      <w:r>
        <w:rPr>
          <w:b/>
          <w:bCs/>
        </w:rPr>
        <w:t>MoE Gating (moe)</w:t>
      </w:r>
    </w:p>
    <w:p w14:paraId="725923A8">
      <w:pPr>
        <w:pStyle w:val="24"/>
        <w:numPr>
          <w:ilvl w:val="1"/>
          <w:numId w:val="2"/>
        </w:numPr>
      </w:pPr>
      <m:oMath>
        <m:sSub>
          <m:sSubPr/>
          <m:e>
            <m:r>
              <m:rPr/>
              <m:t>R</m:t>
            </m:r>
          </m:e>
          <m:sub>
            <m:r>
              <m:rPr/>
              <m:t>1</m:t>
            </m:r>
          </m:sub>
        </m:sSub>
      </m:oMath>
      <w:r>
        <w:t xml:space="preserve"> 0.1919</w:t>
      </w:r>
      <w:r>
        <w:br w:type="textWrapping"/>
      </w:r>
    </w:p>
    <w:p w14:paraId="4E796ED2">
      <w:pPr>
        <w:pStyle w:val="24"/>
        <w:numPr>
          <w:ilvl w:val="1"/>
          <w:numId w:val="2"/>
        </w:numPr>
      </w:pPr>
      <m:oMath>
        <m:sSub>
          <m:sSubPr/>
          <m:e>
            <m:r>
              <m:rPr/>
              <m:t>R</m:t>
            </m:r>
          </m:e>
          <m:sub>
            <m:r>
              <m:rPr/>
              <m:t>2</m:t>
            </m:r>
          </m:sub>
        </m:sSub>
      </m:oMath>
      <w:r>
        <w:t xml:space="preserve"> 0.1628</w:t>
      </w:r>
      <w:r>
        <w:br w:type="textWrapping"/>
      </w:r>
    </w:p>
    <w:p w14:paraId="0A9F41C4">
      <w:pPr>
        <w:pStyle w:val="24"/>
        <w:numPr>
          <w:ilvl w:val="1"/>
          <w:numId w:val="2"/>
        </w:numPr>
      </w:pPr>
      <m:oMath>
        <m:sSub>
          <m:sSubPr/>
          <m:e>
            <m:r>
              <m:rPr/>
              <m:t>R</m:t>
            </m:r>
          </m:e>
          <m:sub>
            <m:r>
              <m:rPr/>
              <m:t>3</m:t>
            </m:r>
          </m:sub>
        </m:sSub>
      </m:oMath>
      <w:r>
        <w:t xml:space="preserve"> 0.1379</w:t>
      </w:r>
      <w:r>
        <w:br w:type="textWrapping"/>
      </w:r>
    </w:p>
    <w:p w14:paraId="4B72D15C">
      <w:pPr>
        <w:pStyle w:val="24"/>
        <w:numPr>
          <w:ilvl w:val="1"/>
          <w:numId w:val="2"/>
        </w:numPr>
      </w:pPr>
      <m:oMath>
        <m:sSub>
          <m:sSubPr/>
          <m:e>
            <m:r>
              <m:rPr/>
              <m:t>R</m:t>
            </m:r>
          </m:e>
          <m:sub>
            <m:r>
              <m:rPr/>
              <m:t>4</m:t>
            </m:r>
          </m:sub>
        </m:sSub>
      </m:oMath>
      <w:r>
        <w:t xml:space="preserve"> 0.1645</w:t>
      </w:r>
      <w:r>
        <w:br w:type="textWrapping"/>
      </w:r>
    </w:p>
    <w:p w14:paraId="26E32AE3">
      <w:pPr>
        <w:pStyle w:val="24"/>
        <w:numPr>
          <w:ilvl w:val="1"/>
          <w:numId w:val="2"/>
        </w:numPr>
      </w:pPr>
      <m:oMath>
        <m:sSub>
          <m:sSubPr/>
          <m:e>
            <m:r>
              <m:rPr/>
              <m:t>R</m:t>
            </m:r>
          </m:e>
          <m:sub>
            <m:r>
              <m:rPr/>
              <m:t>5</m:t>
            </m:r>
          </m:sub>
        </m:sSub>
      </m:oMath>
      <w:r>
        <w:t xml:space="preserve"> 0.2001</w:t>
      </w:r>
    </w:p>
    <w:p w14:paraId="40699619">
      <w:pPr>
        <w:pStyle w:val="24"/>
        <w:numPr>
          <w:ilvl w:val="0"/>
          <w:numId w:val="2"/>
        </w:numPr>
      </w:pPr>
      <w:r>
        <w:rPr>
          <w:b/>
          <w:bCs/>
        </w:rPr>
        <w:t>RED (router)</w:t>
      </w:r>
    </w:p>
    <w:p w14:paraId="4953A49D">
      <w:pPr>
        <w:pStyle w:val="24"/>
        <w:numPr>
          <w:ilvl w:val="1"/>
          <w:numId w:val="2"/>
        </w:numPr>
      </w:pPr>
      <m:oMath>
        <m:sSub>
          <m:sSubPr/>
          <m:e>
            <m:r>
              <m:rPr/>
              <m:t>R</m:t>
            </m:r>
          </m:e>
          <m:sub>
            <m:r>
              <m:rPr/>
              <m:t>1</m:t>
            </m:r>
          </m:sub>
        </m:sSub>
      </m:oMath>
      <w:r>
        <w:t xml:space="preserve"> 0.1919</w:t>
      </w:r>
      <w:r>
        <w:br w:type="textWrapping"/>
      </w:r>
    </w:p>
    <w:p w14:paraId="47AE31C4">
      <w:pPr>
        <w:pStyle w:val="24"/>
        <w:numPr>
          <w:ilvl w:val="1"/>
          <w:numId w:val="2"/>
        </w:numPr>
      </w:pPr>
      <m:oMath>
        <m:sSub>
          <m:sSubPr/>
          <m:e>
            <m:r>
              <m:rPr/>
              <m:t>R</m:t>
            </m:r>
          </m:e>
          <m:sub>
            <m:r>
              <m:rPr/>
              <m:t>2</m:t>
            </m:r>
          </m:sub>
        </m:sSub>
      </m:oMath>
      <w:r>
        <w:t xml:space="preserve"> 0.1984</w:t>
      </w:r>
      <w:r>
        <w:br w:type="textWrapping"/>
      </w:r>
    </w:p>
    <w:p w14:paraId="0F268958">
      <w:pPr>
        <w:pStyle w:val="24"/>
        <w:numPr>
          <w:ilvl w:val="1"/>
          <w:numId w:val="2"/>
        </w:numPr>
      </w:pPr>
      <m:oMath>
        <m:sSub>
          <m:sSubPr/>
          <m:e>
            <m:r>
              <m:rPr/>
              <m:t>R</m:t>
            </m:r>
          </m:e>
          <m:sub>
            <m:r>
              <m:rPr/>
              <m:t>3</m:t>
            </m:r>
          </m:sub>
        </m:sSub>
      </m:oMath>
      <w:r>
        <w:t xml:space="preserve"> 0.1870</w:t>
      </w:r>
      <w:r>
        <w:br w:type="textWrapping"/>
      </w:r>
    </w:p>
    <w:p w14:paraId="7609425A">
      <w:pPr>
        <w:pStyle w:val="24"/>
        <w:numPr>
          <w:ilvl w:val="1"/>
          <w:numId w:val="2"/>
        </w:numPr>
      </w:pPr>
      <m:oMath>
        <m:sSub>
          <m:sSubPr/>
          <m:e>
            <m:r>
              <m:rPr/>
              <m:t>R</m:t>
            </m:r>
          </m:e>
          <m:sub>
            <m:r>
              <m:rPr/>
              <m:t>4</m:t>
            </m:r>
          </m:sub>
        </m:sSub>
      </m:oMath>
      <w:r>
        <w:t xml:space="preserve"> 0.1926</w:t>
      </w:r>
      <w:r>
        <w:br w:type="textWrapping"/>
      </w:r>
    </w:p>
    <w:p w14:paraId="3BBFF3EF">
      <w:pPr>
        <w:pStyle w:val="24"/>
        <w:numPr>
          <w:ilvl w:val="1"/>
          <w:numId w:val="2"/>
        </w:numPr>
      </w:pPr>
      <m:oMath>
        <m:sSub>
          <m:sSubPr/>
          <m:e>
            <m:r>
              <m:rPr/>
              <m:t>R</m:t>
            </m:r>
          </m:e>
          <m:sub>
            <m:r>
              <m:rPr/>
              <m:t>5</m:t>
            </m:r>
          </m:sub>
        </m:sSub>
      </m:oMath>
      <w:r>
        <w:t xml:space="preserve"> 0.2020</w:t>
      </w:r>
    </w:p>
    <w:bookmarkEnd w:id="40"/>
    <w:p w14:paraId="16A14A4F">
      <w:pPr>
        <w:pStyle w:val="6"/>
      </w:pPr>
      <w:bookmarkStart w:id="41" w:name="macro-f1-levels"/>
      <w:r>
        <w:t>Macro-F1 Levels</w:t>
      </w:r>
    </w:p>
    <w:p w14:paraId="5166225A">
      <w:pPr>
        <w:pStyle w:val="24"/>
        <w:numPr>
          <w:ilvl w:val="0"/>
          <w:numId w:val="2"/>
        </w:numPr>
      </w:pPr>
      <w:r>
        <w:rPr>
          <w:b/>
          <w:bCs/>
        </w:rPr>
        <w:t>high:</w:t>
      </w:r>
      <w:r>
        <w:t xml:space="preserve"> ≥ 0.16</w:t>
      </w:r>
      <w:r>
        <w:br w:type="textWrapping"/>
      </w:r>
    </w:p>
    <w:p w14:paraId="5335D6BF">
      <w:pPr>
        <w:pStyle w:val="24"/>
        <w:numPr>
          <w:ilvl w:val="0"/>
          <w:numId w:val="2"/>
        </w:numPr>
      </w:pPr>
      <w:r>
        <w:rPr>
          <w:b/>
          <w:bCs/>
        </w:rPr>
        <w:t>moderate:</w:t>
      </w:r>
      <w:r>
        <w:t xml:space="preserve"> 0.08–0.16</w:t>
      </w:r>
      <w:r>
        <w:br w:type="textWrapping"/>
      </w:r>
    </w:p>
    <w:p w14:paraId="2EDFB0D9">
      <w:pPr>
        <w:pStyle w:val="24"/>
        <w:numPr>
          <w:ilvl w:val="0"/>
          <w:numId w:val="2"/>
        </w:numPr>
      </w:pPr>
      <w:r>
        <w:rPr>
          <w:b/>
          <w:bCs/>
        </w:rPr>
        <w:t>low:</w:t>
      </w:r>
      <w:r>
        <w:t xml:space="preserve"> &lt; 0.08</w:t>
      </w:r>
    </w:p>
    <w:bookmarkEnd w:id="41"/>
    <w:p w14:paraId="0088B132">
      <w:pPr>
        <w:pStyle w:val="6"/>
      </w:pPr>
      <w:bookmarkStart w:id="42" w:name="macro-f1-level-summary"/>
      <w:r>
        <w:t>Macro-F1-Level Summary</w:t>
      </w:r>
    </w:p>
    <w:tbl>
      <w:tblPr>
        <w:tblStyle w:val="41"/>
        <w:tblW w:w="5000" w:type="pct"/>
        <w:tblInd w:w="0" w:type="dxa"/>
        <w:tblLayout w:type="fixed"/>
        <w:tblCellMar>
          <w:top w:w="0" w:type="dxa"/>
          <w:left w:w="108" w:type="dxa"/>
          <w:bottom w:w="0" w:type="dxa"/>
          <w:right w:w="108" w:type="dxa"/>
        </w:tblCellMar>
      </w:tblPr>
      <w:tblGrid>
        <w:gridCol w:w="2530"/>
        <w:gridCol w:w="1265"/>
        <w:gridCol w:w="1265"/>
        <w:gridCol w:w="1265"/>
        <w:gridCol w:w="1265"/>
        <w:gridCol w:w="1265"/>
      </w:tblGrid>
      <w:tr w14:paraId="6113B1B1">
        <w:tblPrEx>
          <w:tblCellMar>
            <w:top w:w="0" w:type="dxa"/>
            <w:left w:w="108" w:type="dxa"/>
            <w:bottom w:w="0" w:type="dxa"/>
            <w:right w:w="108" w:type="dxa"/>
          </w:tblCellMar>
        </w:tblPrEx>
        <w:trPr>
          <w:tblHeader/>
        </w:trPr>
        <w:tc>
          <w:p w14:paraId="5DDC71CE">
            <w:pPr>
              <w:pStyle w:val="24"/>
            </w:pPr>
            <w:r>
              <w:t>Method</w:t>
            </w:r>
          </w:p>
        </w:tc>
        <w:tc>
          <w:p w14:paraId="411C6270">
            <w:pPr>
              <w:pStyle w:val="24"/>
            </w:pPr>
            <m:oMathPara>
              <m:oMath>
                <m:sSub>
                  <m:sSubPr/>
                  <m:e>
                    <m:r>
                      <m:rPr/>
                      <m:t>R</m:t>
                    </m:r>
                  </m:e>
                  <m:sub>
                    <m:r>
                      <m:rPr/>
                      <m:t>1</m:t>
                    </m:r>
                  </m:sub>
                </m:sSub>
              </m:oMath>
            </m:oMathPara>
          </w:p>
        </w:tc>
        <w:tc>
          <w:p w14:paraId="31607112">
            <w:pPr>
              <w:pStyle w:val="24"/>
            </w:pPr>
            <m:oMathPara>
              <m:oMath>
                <m:sSub>
                  <m:sSubPr/>
                  <m:e>
                    <m:r>
                      <m:rPr/>
                      <m:t>R</m:t>
                    </m:r>
                  </m:e>
                  <m:sub>
                    <m:r>
                      <m:rPr/>
                      <m:t>2</m:t>
                    </m:r>
                  </m:sub>
                </m:sSub>
              </m:oMath>
            </m:oMathPara>
          </w:p>
        </w:tc>
        <w:tc>
          <w:p w14:paraId="41069FA3">
            <w:pPr>
              <w:pStyle w:val="24"/>
            </w:pPr>
            <m:oMathPara>
              <m:oMath>
                <m:sSub>
                  <m:sSubPr/>
                  <m:e>
                    <m:r>
                      <m:rPr/>
                      <m:t>R</m:t>
                    </m:r>
                  </m:e>
                  <m:sub>
                    <m:r>
                      <m:rPr/>
                      <m:t>3</m:t>
                    </m:r>
                  </m:sub>
                </m:sSub>
              </m:oMath>
            </m:oMathPara>
          </w:p>
        </w:tc>
        <w:tc>
          <w:p w14:paraId="2FAF74EC">
            <w:pPr>
              <w:pStyle w:val="24"/>
            </w:pPr>
            <m:oMathPara>
              <m:oMath>
                <m:sSub>
                  <m:sSubPr/>
                  <m:e>
                    <m:r>
                      <m:rPr/>
                      <m:t>R</m:t>
                    </m:r>
                  </m:e>
                  <m:sub>
                    <m:r>
                      <m:rPr/>
                      <m:t>4</m:t>
                    </m:r>
                  </m:sub>
                </m:sSub>
              </m:oMath>
            </m:oMathPara>
          </w:p>
        </w:tc>
        <w:tc>
          <w:p w14:paraId="06B5F92D">
            <w:pPr>
              <w:pStyle w:val="24"/>
            </w:pPr>
            <m:oMathPara>
              <m:oMath>
                <m:sSub>
                  <m:sSubPr/>
                  <m:e>
                    <m:r>
                      <m:rPr/>
                      <m:t>R</m:t>
                    </m:r>
                  </m:e>
                  <m:sub>
                    <m:r>
                      <m:rPr/>
                      <m:t>5</m:t>
                    </m:r>
                  </m:sub>
                </m:sSub>
              </m:oMath>
            </m:oMathPara>
          </w:p>
        </w:tc>
      </w:tr>
      <w:tr w14:paraId="533B04FA">
        <w:tblPrEx>
          <w:tblCellMar>
            <w:top w:w="0" w:type="dxa"/>
            <w:left w:w="108" w:type="dxa"/>
            <w:bottom w:w="0" w:type="dxa"/>
            <w:right w:w="108" w:type="dxa"/>
          </w:tblCellMar>
        </w:tblPrEx>
        <w:tc>
          <w:p w14:paraId="1D80F754">
            <w:pPr>
              <w:pStyle w:val="24"/>
            </w:pPr>
            <w:r>
              <w:t>Global Head</w:t>
            </w:r>
          </w:p>
        </w:tc>
        <w:tc>
          <w:p w14:paraId="7D902791">
            <w:pPr>
              <w:pStyle w:val="24"/>
            </w:pPr>
            <w:r>
              <w:t>moderate</w:t>
            </w:r>
          </w:p>
        </w:tc>
        <w:tc>
          <w:p w14:paraId="29A7ADF1">
            <w:pPr>
              <w:pStyle w:val="24"/>
            </w:pPr>
            <w:r>
              <w:t>low</w:t>
            </w:r>
          </w:p>
        </w:tc>
        <w:tc>
          <w:p w14:paraId="73433008">
            <w:pPr>
              <w:pStyle w:val="24"/>
            </w:pPr>
            <w:r>
              <w:t>low</w:t>
            </w:r>
          </w:p>
        </w:tc>
        <w:tc>
          <w:p w14:paraId="48B81812">
            <w:pPr>
              <w:pStyle w:val="24"/>
            </w:pPr>
            <w:r>
              <w:t>low</w:t>
            </w:r>
          </w:p>
        </w:tc>
        <w:tc>
          <w:p w14:paraId="5D674A50">
            <w:pPr>
              <w:pStyle w:val="24"/>
            </w:pPr>
            <w:r>
              <w:t>moderate</w:t>
            </w:r>
          </w:p>
        </w:tc>
      </w:tr>
      <w:tr w14:paraId="33CCD5BF">
        <w:tblPrEx>
          <w:tblCellMar>
            <w:top w:w="0" w:type="dxa"/>
            <w:left w:w="108" w:type="dxa"/>
            <w:bottom w:w="0" w:type="dxa"/>
            <w:right w:w="108" w:type="dxa"/>
          </w:tblCellMar>
        </w:tblPrEx>
        <w:tc>
          <w:p w14:paraId="62A9A203">
            <w:pPr>
              <w:pStyle w:val="24"/>
            </w:pPr>
            <w:r>
              <w:t>Uniform Avg</w:t>
            </w:r>
          </w:p>
        </w:tc>
        <w:tc>
          <w:p w14:paraId="47D13DD9">
            <w:pPr>
              <w:pStyle w:val="24"/>
            </w:pPr>
            <w:r>
              <w:t>moderate</w:t>
            </w:r>
          </w:p>
        </w:tc>
        <w:tc>
          <w:p w14:paraId="6D938E44">
            <w:pPr>
              <w:pStyle w:val="24"/>
            </w:pPr>
            <w:r>
              <w:t>low</w:t>
            </w:r>
          </w:p>
        </w:tc>
        <w:tc>
          <w:p w14:paraId="46ADEDDB">
            <w:pPr>
              <w:pStyle w:val="24"/>
            </w:pPr>
            <w:r>
              <w:t>low</w:t>
            </w:r>
          </w:p>
        </w:tc>
        <w:tc>
          <w:p w14:paraId="735A9DAA">
            <w:pPr>
              <w:pStyle w:val="24"/>
            </w:pPr>
            <w:r>
              <w:t>low</w:t>
            </w:r>
          </w:p>
        </w:tc>
        <w:tc>
          <w:p w14:paraId="43CAA6BB">
            <w:pPr>
              <w:pStyle w:val="24"/>
            </w:pPr>
            <w:r>
              <w:t>low</w:t>
            </w:r>
          </w:p>
        </w:tc>
      </w:tr>
      <w:tr w14:paraId="4F766803">
        <w:tblPrEx>
          <w:tblCellMar>
            <w:top w:w="0" w:type="dxa"/>
            <w:left w:w="108" w:type="dxa"/>
            <w:bottom w:w="0" w:type="dxa"/>
            <w:right w:w="108" w:type="dxa"/>
          </w:tblCellMar>
        </w:tblPrEx>
        <w:tc>
          <w:p w14:paraId="3BF2A9F8">
            <w:pPr>
              <w:pStyle w:val="24"/>
            </w:pPr>
            <w:r>
              <w:t>MoE Gating</w:t>
            </w:r>
          </w:p>
        </w:tc>
        <w:tc>
          <w:p w14:paraId="3AD520A9">
            <w:pPr>
              <w:pStyle w:val="24"/>
            </w:pPr>
            <w:r>
              <w:t>high</w:t>
            </w:r>
          </w:p>
        </w:tc>
        <w:tc>
          <w:p w14:paraId="101BD6F5">
            <w:pPr>
              <w:pStyle w:val="24"/>
            </w:pPr>
            <w:r>
              <w:t>high</w:t>
            </w:r>
          </w:p>
        </w:tc>
        <w:tc>
          <w:p w14:paraId="37C6CB56">
            <w:pPr>
              <w:pStyle w:val="24"/>
            </w:pPr>
            <w:r>
              <w:t>moderate</w:t>
            </w:r>
          </w:p>
        </w:tc>
        <w:tc>
          <w:p w14:paraId="430BF97E">
            <w:pPr>
              <w:pStyle w:val="24"/>
            </w:pPr>
            <w:r>
              <w:t>high</w:t>
            </w:r>
          </w:p>
        </w:tc>
        <w:tc>
          <w:p w14:paraId="52F25C2F">
            <w:pPr>
              <w:pStyle w:val="24"/>
            </w:pPr>
            <w:r>
              <w:t>high</w:t>
            </w:r>
          </w:p>
        </w:tc>
      </w:tr>
      <w:tr w14:paraId="44FBB632">
        <w:tblPrEx>
          <w:tblCellMar>
            <w:top w:w="0" w:type="dxa"/>
            <w:left w:w="108" w:type="dxa"/>
            <w:bottom w:w="0" w:type="dxa"/>
            <w:right w:w="108" w:type="dxa"/>
          </w:tblCellMar>
        </w:tblPrEx>
        <w:tc>
          <w:p w14:paraId="276F0F21">
            <w:pPr>
              <w:pStyle w:val="24"/>
            </w:pPr>
            <w:r>
              <w:rPr>
                <w:b/>
                <w:bCs/>
              </w:rPr>
              <w:t>RED (Ours)</w:t>
            </w:r>
          </w:p>
        </w:tc>
        <w:tc>
          <w:p w14:paraId="2C2C60F7">
            <w:pPr>
              <w:pStyle w:val="24"/>
            </w:pPr>
            <w:r>
              <w:rPr>
                <w:b/>
                <w:bCs/>
              </w:rPr>
              <w:t>high</w:t>
            </w:r>
          </w:p>
        </w:tc>
        <w:tc>
          <w:p w14:paraId="6803AED3">
            <w:pPr>
              <w:pStyle w:val="24"/>
            </w:pPr>
            <w:r>
              <w:rPr>
                <w:b/>
                <w:bCs/>
              </w:rPr>
              <w:t>high</w:t>
            </w:r>
          </w:p>
        </w:tc>
        <w:tc>
          <w:p w14:paraId="6B687219">
            <w:pPr>
              <w:pStyle w:val="24"/>
            </w:pPr>
            <w:r>
              <w:rPr>
                <w:b/>
                <w:bCs/>
              </w:rPr>
              <w:t>high</w:t>
            </w:r>
          </w:p>
        </w:tc>
        <w:tc>
          <w:p w14:paraId="480236AB">
            <w:pPr>
              <w:pStyle w:val="24"/>
            </w:pPr>
            <w:r>
              <w:rPr>
                <w:b/>
                <w:bCs/>
              </w:rPr>
              <w:t>high</w:t>
            </w:r>
          </w:p>
        </w:tc>
        <w:tc>
          <w:p w14:paraId="7C305202">
            <w:pPr>
              <w:pStyle w:val="24"/>
            </w:pPr>
            <w:r>
              <w:rPr>
                <w:b/>
                <w:bCs/>
              </w:rPr>
              <w:t>high</w:t>
            </w:r>
          </w:p>
        </w:tc>
      </w:tr>
      <w:bookmarkEnd w:id="39"/>
      <w:bookmarkEnd w:id="42"/>
    </w:tbl>
    <w:p w14:paraId="4F03CA2C">
      <w:pPr>
        <w:pStyle w:val="5"/>
      </w:pPr>
      <w:bookmarkStart w:id="43" w:name="router-reliability"/>
      <w:r>
        <w:t>4.6.4 Router Reliability</w:t>
      </w:r>
    </w:p>
    <w:tbl>
      <w:tblPr>
        <w:tblStyle w:val="41"/>
        <w:tblW w:w="0" w:type="auto"/>
        <w:tblInd w:w="0" w:type="dxa"/>
        <w:tblLayout w:type="autofit"/>
        <w:tblCellMar>
          <w:top w:w="0" w:type="dxa"/>
          <w:left w:w="108" w:type="dxa"/>
          <w:bottom w:w="0" w:type="dxa"/>
          <w:right w:w="108" w:type="dxa"/>
        </w:tblCellMar>
      </w:tblPr>
      <w:tblGrid>
        <w:gridCol w:w="1271"/>
        <w:gridCol w:w="1990"/>
      </w:tblGrid>
      <w:tr w14:paraId="2AA7278F">
        <w:tblPrEx>
          <w:tblCellMar>
            <w:top w:w="0" w:type="dxa"/>
            <w:left w:w="108" w:type="dxa"/>
            <w:bottom w:w="0" w:type="dxa"/>
            <w:right w:w="108" w:type="dxa"/>
          </w:tblCellMar>
        </w:tblPrEx>
        <w:trPr>
          <w:tblHeader/>
        </w:trPr>
        <w:tc>
          <w:p w14:paraId="40947C8F">
            <w:pPr>
              <w:pStyle w:val="24"/>
            </w:pPr>
            <w:r>
              <w:t>Split</w:t>
            </w:r>
          </w:p>
        </w:tc>
        <w:tc>
          <w:p w14:paraId="45EE8519">
            <w:pPr>
              <w:pStyle w:val="24"/>
            </w:pPr>
            <w:r>
              <w:t>Router Accuracy</w:t>
            </w:r>
          </w:p>
        </w:tc>
      </w:tr>
      <w:tr w14:paraId="6F8161E4">
        <w:tblPrEx>
          <w:tblCellMar>
            <w:top w:w="0" w:type="dxa"/>
            <w:left w:w="108" w:type="dxa"/>
            <w:bottom w:w="0" w:type="dxa"/>
            <w:right w:w="108" w:type="dxa"/>
          </w:tblCellMar>
        </w:tblPrEx>
        <w:tc>
          <w:p w14:paraId="007C34C0">
            <w:pPr>
              <w:pStyle w:val="24"/>
            </w:pPr>
            <w:r>
              <w:t>Train</w:t>
            </w:r>
          </w:p>
        </w:tc>
        <w:tc>
          <w:p w14:paraId="4AC0B9D5">
            <w:pPr>
              <w:pStyle w:val="24"/>
            </w:pPr>
            <w:r>
              <w:t>0.9714</w:t>
            </w:r>
          </w:p>
        </w:tc>
      </w:tr>
      <w:tr w14:paraId="7E26EF41">
        <w:tblPrEx>
          <w:tblCellMar>
            <w:top w:w="0" w:type="dxa"/>
            <w:left w:w="108" w:type="dxa"/>
            <w:bottom w:w="0" w:type="dxa"/>
            <w:right w:w="108" w:type="dxa"/>
          </w:tblCellMar>
        </w:tblPrEx>
        <w:tc>
          <w:p w14:paraId="407468D7">
            <w:pPr>
              <w:pStyle w:val="24"/>
            </w:pPr>
            <w:r>
              <w:t>Validation</w:t>
            </w:r>
          </w:p>
        </w:tc>
        <w:tc>
          <w:p w14:paraId="3E74CDE1">
            <w:pPr>
              <w:pStyle w:val="24"/>
            </w:pPr>
            <w:r>
              <w:t>0.9714</w:t>
            </w:r>
          </w:p>
        </w:tc>
      </w:tr>
      <w:tr w14:paraId="30B9E945">
        <w:tblPrEx>
          <w:tblCellMar>
            <w:top w:w="0" w:type="dxa"/>
            <w:left w:w="108" w:type="dxa"/>
            <w:bottom w:w="0" w:type="dxa"/>
            <w:right w:w="108" w:type="dxa"/>
          </w:tblCellMar>
        </w:tblPrEx>
        <w:tc>
          <w:p w14:paraId="35F83BB5">
            <w:pPr>
              <w:pStyle w:val="24"/>
            </w:pPr>
            <w:r>
              <w:t>Test</w:t>
            </w:r>
          </w:p>
        </w:tc>
        <w:tc>
          <w:p w14:paraId="20266BF8">
            <w:pPr>
              <w:pStyle w:val="24"/>
            </w:pPr>
            <w:r>
              <w:t>0.9725</w:t>
            </w:r>
          </w:p>
        </w:tc>
      </w:tr>
    </w:tbl>
    <w:p w14:paraId="14A2CD5B">
      <w:pPr>
        <w:pStyle w:val="3"/>
      </w:pPr>
      <w:r>
        <w:t>The router consistently assigns correct numerical ranges for approximately 97% of all samples. Because RED uses residual expert cooperation rather than hard isolation, occasional routing errors do not destabilize predictions.</w:t>
      </w:r>
    </w:p>
    <w:bookmarkEnd w:id="43"/>
    <w:p w14:paraId="4F3AC663">
      <w:pPr>
        <w:pStyle w:val="5"/>
      </w:pPr>
      <w:bookmarkStart w:id="44" w:name="behavior-near-range-boundaries"/>
      <w:r>
        <w:t>4.6.5 Behavior Near Range Boundaries</w:t>
      </w:r>
    </w:p>
    <w:p w14:paraId="471279B0">
      <w:pPr>
        <w:pStyle w:val="23"/>
      </w:pPr>
      <w:r>
        <w:t>Boundary cases (e.g., 20/21, 40/41, 60/61, 80/81) are typically difficult for modular systems.</w:t>
      </w:r>
    </w:p>
    <w:p w14:paraId="060FF370">
      <w:pPr>
        <w:pStyle w:val="3"/>
      </w:pPr>
      <w:r>
        <w:t>Observed patterns:</w:t>
      </w:r>
    </w:p>
    <w:p w14:paraId="1E9E5272">
      <w:pPr>
        <w:pStyle w:val="24"/>
        <w:numPr>
          <w:ilvl w:val="0"/>
          <w:numId w:val="2"/>
        </w:numPr>
      </w:pPr>
      <w:r>
        <w:rPr>
          <w:b/>
          <w:bCs/>
        </w:rPr>
        <w:t>Global Head:</w:t>
      </w:r>
      <w:r>
        <w:t xml:space="preserve"> biased toward more frequent mid-range outputs.</w:t>
      </w:r>
      <w:r>
        <w:br w:type="textWrapping"/>
      </w:r>
    </w:p>
    <w:p w14:paraId="5F3A1110">
      <w:pPr>
        <w:pStyle w:val="24"/>
        <w:numPr>
          <w:ilvl w:val="0"/>
          <w:numId w:val="2"/>
        </w:numPr>
      </w:pPr>
      <w:r>
        <w:rPr>
          <w:b/>
          <w:bCs/>
        </w:rPr>
        <w:t>Uniform Avg:</w:t>
      </w:r>
      <w:r>
        <w:t xml:space="preserve"> averaging destroys structure and leads to systematic drift.</w:t>
      </w:r>
      <w:r>
        <w:br w:type="textWrapping"/>
      </w:r>
    </w:p>
    <w:p w14:paraId="11472FAD">
      <w:pPr>
        <w:pStyle w:val="24"/>
        <w:numPr>
          <w:ilvl w:val="0"/>
          <w:numId w:val="2"/>
        </w:numPr>
      </w:pPr>
      <w:r>
        <w:rPr>
          <w:b/>
          <w:bCs/>
        </w:rPr>
        <w:t>MoE:</w:t>
      </w:r>
      <w:r>
        <w:t xml:space="preserve"> predictions oscillate due to high routing sensitivity.</w:t>
      </w:r>
      <w:r>
        <w:br w:type="textWrapping"/>
      </w:r>
    </w:p>
    <w:p w14:paraId="3A319D3D">
      <w:pPr>
        <w:pStyle w:val="24"/>
        <w:numPr>
          <w:ilvl w:val="0"/>
          <w:numId w:val="2"/>
        </w:numPr>
      </w:pPr>
      <w:r>
        <w:rPr>
          <w:b/>
          <w:bCs/>
        </w:rPr>
        <w:t>RED:</w:t>
      </w:r>
      <w:r>
        <w:t xml:space="preserve"> smooth transitions and stable outputs, as residual connections allow neighboring experts to contribute.</w:t>
      </w:r>
    </w:p>
    <w:p w14:paraId="08C0413E">
      <w:pPr>
        <w:pStyle w:val="23"/>
      </w:pPr>
      <w:r>
        <w:t>Boundary robustness is one of RED’s distinguishing advantages compared with classical MoE.</w:t>
      </w:r>
    </w:p>
    <w:bookmarkEnd w:id="44"/>
    <w:p w14:paraId="177EA3A3">
      <w:pPr>
        <w:pStyle w:val="5"/>
      </w:pPr>
      <w:bookmarkStart w:id="45" w:name="summary-of-task-1-findings"/>
      <w:r>
        <w:t>4.6.6 Summary of Task 1 Findings</w:t>
      </w:r>
    </w:p>
    <w:p w14:paraId="77CEE075">
      <w:pPr>
        <w:pStyle w:val="23"/>
      </w:pPr>
      <w:r>
        <w:t>Task 1 demonstrates that:</w:t>
      </w:r>
    </w:p>
    <w:p w14:paraId="2CFABD8C">
      <w:pPr>
        <w:pStyle w:val="24"/>
        <w:numPr>
          <w:ilvl w:val="0"/>
          <w:numId w:val="5"/>
        </w:numPr>
      </w:pPr>
      <w:r>
        <w:rPr>
          <w:b/>
          <w:bCs/>
        </w:rPr>
        <w:t>RED achieves state-of-the-art accuracy</w:t>
      </w:r>
      <w:r>
        <w:t>, outperforming MoE by a notable margin.</w:t>
      </w:r>
      <w:r>
        <w:br w:type="textWrapping"/>
      </w:r>
    </w:p>
    <w:p w14:paraId="2FA9F04B">
      <w:pPr>
        <w:pStyle w:val="24"/>
        <w:numPr>
          <w:ilvl w:val="0"/>
          <w:numId w:val="5"/>
        </w:numPr>
      </w:pPr>
      <w:r>
        <w:rPr>
          <w:b/>
          <w:bCs/>
        </w:rPr>
        <w:t>RED is the only method with uniformly high accuracy and Macro-F1 across all ranges.</w:t>
      </w:r>
      <w:r>
        <w:br w:type="textWrapping"/>
      </w:r>
    </w:p>
    <w:p w14:paraId="538A7F7C">
      <w:pPr>
        <w:pStyle w:val="24"/>
        <w:numPr>
          <w:ilvl w:val="0"/>
          <w:numId w:val="5"/>
        </w:numPr>
      </w:pPr>
      <w:r>
        <w:rPr>
          <w:b/>
          <w:bCs/>
        </w:rPr>
        <w:t>Router accuracy is consistently high</w:t>
      </w:r>
      <w:r>
        <w:t>, and RED remains stable even under routing errors.</w:t>
      </w:r>
      <w:r>
        <w:br w:type="textWrapping"/>
      </w:r>
    </w:p>
    <w:p w14:paraId="1524D62B">
      <w:pPr>
        <w:pStyle w:val="24"/>
        <w:numPr>
          <w:ilvl w:val="0"/>
          <w:numId w:val="5"/>
        </w:numPr>
      </w:pPr>
      <w:r>
        <w:rPr>
          <w:b/>
          <w:bCs/>
        </w:rPr>
        <w:t>Expert interactions are smooth</w:t>
      </w:r>
      <w:r>
        <w:t>, avoiding the volatility observed in MoE.</w:t>
      </w:r>
    </w:p>
    <w:p w14:paraId="7C8A2F52">
      <w:pPr>
        <w:pStyle w:val="23"/>
      </w:pPr>
      <w:r>
        <w:t>Overall, Task 1 provides strong evidence that RED supports reliable modular reasoning in controlled arithmetic settings.</w:t>
      </w:r>
    </w:p>
    <w:bookmarkEnd w:id="34"/>
    <w:bookmarkEnd w:id="45"/>
    <w:p w14:paraId="66E1A903">
      <w:pPr>
        <w:pStyle w:val="4"/>
      </w:pPr>
      <w:bookmarkStart w:id="46" w:name="results-on-task-2-mixed-arithmetic"/>
      <w:r>
        <w:t>4.7 Results on Task 2: Mixed Arithmetic</w:t>
      </w:r>
    </w:p>
    <w:p w14:paraId="3C8D5666">
      <w:pPr>
        <w:pStyle w:val="23"/>
      </w:pPr>
      <w:r>
        <w:t>Task 2 extends single-operation addition to mixed arithmetic, including addition, subtraction, and multi-step expressions with 2–4 operations (e.g., “12 minus 5 plus 9”). The task is more challenging than Task 1 due to combinatorial operator patterns and overlapping numerical ranges.</w:t>
      </w:r>
    </w:p>
    <w:p w14:paraId="755062AC">
      <w:pPr>
        <w:pStyle w:val="3"/>
      </w:pPr>
      <w:r>
        <w:t>A large portion of the dataset (approximately 80%) consists of single-operation expressions, which limits the achievable end-to-end performance ceiling. True multi-step reasoning is therefore analyzed separately in Section 4.8.</w:t>
      </w:r>
    </w:p>
    <w:p w14:paraId="7ECCC716">
      <w:pPr>
        <w:pStyle w:val="5"/>
      </w:pPr>
      <w:bookmarkStart w:id="47" w:name="overall-performance-1"/>
      <w:r>
        <w:t>4.7.1 Overall Performance</w:t>
      </w:r>
    </w:p>
    <w:tbl>
      <w:tblPr>
        <w:tblStyle w:val="41"/>
        <w:tblW w:w="0" w:type="auto"/>
        <w:tblInd w:w="0" w:type="dxa"/>
        <w:tblLayout w:type="autofit"/>
        <w:tblCellMar>
          <w:top w:w="0" w:type="dxa"/>
          <w:left w:w="108" w:type="dxa"/>
          <w:bottom w:w="0" w:type="dxa"/>
          <w:right w:w="108" w:type="dxa"/>
        </w:tblCellMar>
      </w:tblPr>
      <w:tblGrid>
        <w:gridCol w:w="2204"/>
        <w:gridCol w:w="1203"/>
        <w:gridCol w:w="1243"/>
      </w:tblGrid>
      <w:tr w14:paraId="5929FAC1">
        <w:tblPrEx>
          <w:tblCellMar>
            <w:top w:w="0" w:type="dxa"/>
            <w:left w:w="108" w:type="dxa"/>
            <w:bottom w:w="0" w:type="dxa"/>
            <w:right w:w="108" w:type="dxa"/>
          </w:tblCellMar>
        </w:tblPrEx>
        <w:trPr>
          <w:tblHeader/>
        </w:trPr>
        <w:tc>
          <w:p w14:paraId="0C685C4D">
            <w:pPr>
              <w:pStyle w:val="24"/>
            </w:pPr>
            <w:r>
              <w:t>Method</w:t>
            </w:r>
          </w:p>
        </w:tc>
        <w:tc>
          <w:p w14:paraId="6FAE4397">
            <w:pPr>
              <w:pStyle w:val="24"/>
            </w:pPr>
            <w:r>
              <w:t>Accuracy</w:t>
            </w:r>
          </w:p>
        </w:tc>
        <w:tc>
          <w:p w14:paraId="5806B3D6">
            <w:pPr>
              <w:pStyle w:val="24"/>
            </w:pPr>
            <w:r>
              <w:t>Macro-F1</w:t>
            </w:r>
          </w:p>
        </w:tc>
      </w:tr>
      <w:tr w14:paraId="2D6840A7">
        <w:tblPrEx>
          <w:tblCellMar>
            <w:top w:w="0" w:type="dxa"/>
            <w:left w:w="108" w:type="dxa"/>
            <w:bottom w:w="0" w:type="dxa"/>
            <w:right w:w="108" w:type="dxa"/>
          </w:tblCellMar>
        </w:tblPrEx>
        <w:tc>
          <w:p w14:paraId="76FC8BDC">
            <w:pPr>
              <w:pStyle w:val="24"/>
            </w:pPr>
            <w:r>
              <w:t>Global Head</w:t>
            </w:r>
          </w:p>
        </w:tc>
        <w:tc>
          <w:p w14:paraId="18E974DE">
            <w:pPr>
              <w:pStyle w:val="24"/>
            </w:pPr>
            <w:r>
              <w:t>0.3542</w:t>
            </w:r>
          </w:p>
        </w:tc>
        <w:tc>
          <w:p w14:paraId="7EB018D0">
            <w:pPr>
              <w:pStyle w:val="24"/>
            </w:pPr>
            <w:r>
              <w:t>0.3536</w:t>
            </w:r>
          </w:p>
        </w:tc>
      </w:tr>
      <w:tr w14:paraId="2B010943">
        <w:tblPrEx>
          <w:tblCellMar>
            <w:top w:w="0" w:type="dxa"/>
            <w:left w:w="108" w:type="dxa"/>
            <w:bottom w:w="0" w:type="dxa"/>
            <w:right w:w="108" w:type="dxa"/>
          </w:tblCellMar>
        </w:tblPrEx>
        <w:tc>
          <w:p w14:paraId="22B80D55">
            <w:pPr>
              <w:pStyle w:val="24"/>
            </w:pPr>
            <w:r>
              <w:t>Uniform Averaging</w:t>
            </w:r>
          </w:p>
        </w:tc>
        <w:tc>
          <w:p w14:paraId="0C7F1BAC">
            <w:pPr>
              <w:pStyle w:val="24"/>
            </w:pPr>
            <w:r>
              <w:t>0.0105</w:t>
            </w:r>
          </w:p>
        </w:tc>
        <w:tc>
          <w:p w14:paraId="4AD698E2">
            <w:pPr>
              <w:pStyle w:val="24"/>
            </w:pPr>
            <w:r>
              <w:t>0.0024</w:t>
            </w:r>
          </w:p>
        </w:tc>
      </w:tr>
      <w:tr w14:paraId="1DD87D08">
        <w:tblPrEx>
          <w:tblCellMar>
            <w:top w:w="0" w:type="dxa"/>
            <w:left w:w="108" w:type="dxa"/>
            <w:bottom w:w="0" w:type="dxa"/>
            <w:right w:w="108" w:type="dxa"/>
          </w:tblCellMar>
        </w:tblPrEx>
        <w:tc>
          <w:p w14:paraId="4E6E796D">
            <w:pPr>
              <w:pStyle w:val="24"/>
            </w:pPr>
            <w:r>
              <w:t>MoE Gating</w:t>
            </w:r>
          </w:p>
        </w:tc>
        <w:tc>
          <w:p w14:paraId="2B350511">
            <w:pPr>
              <w:pStyle w:val="24"/>
            </w:pPr>
            <w:r>
              <w:t>0.5338</w:t>
            </w:r>
          </w:p>
        </w:tc>
        <w:tc>
          <w:p w14:paraId="3E7A6F8E">
            <w:pPr>
              <w:pStyle w:val="24"/>
            </w:pPr>
            <w:r>
              <w:t>0.5435</w:t>
            </w:r>
          </w:p>
        </w:tc>
      </w:tr>
      <w:tr w14:paraId="1806448E">
        <w:tblPrEx>
          <w:tblCellMar>
            <w:top w:w="0" w:type="dxa"/>
            <w:left w:w="108" w:type="dxa"/>
            <w:bottom w:w="0" w:type="dxa"/>
            <w:right w:w="108" w:type="dxa"/>
          </w:tblCellMar>
        </w:tblPrEx>
        <w:tc>
          <w:p w14:paraId="3DBD72A7">
            <w:pPr>
              <w:pStyle w:val="24"/>
            </w:pPr>
            <w:r>
              <w:rPr>
                <w:b/>
                <w:bCs/>
              </w:rPr>
              <w:t>RED (Ours)</w:t>
            </w:r>
          </w:p>
        </w:tc>
        <w:tc>
          <w:p w14:paraId="40B42354">
            <w:pPr>
              <w:pStyle w:val="24"/>
            </w:pPr>
            <w:r>
              <w:rPr>
                <w:b/>
                <w:bCs/>
              </w:rPr>
              <w:t>0.7583</w:t>
            </w:r>
          </w:p>
        </w:tc>
        <w:tc>
          <w:p w14:paraId="66BB06BB">
            <w:pPr>
              <w:pStyle w:val="24"/>
            </w:pPr>
            <w:r>
              <w:rPr>
                <w:b/>
                <w:bCs/>
              </w:rPr>
              <w:t>0.7537</w:t>
            </w:r>
          </w:p>
        </w:tc>
      </w:tr>
    </w:tbl>
    <w:p w14:paraId="61A4F0E4">
      <w:pPr>
        <w:pStyle w:val="3"/>
      </w:pPr>
      <w:r>
        <w:rPr>
          <w:b/>
          <w:bCs/>
        </w:rPr>
        <w:t>Interpretation</w:t>
      </w:r>
    </w:p>
    <w:p w14:paraId="61F154FA">
      <w:pPr>
        <w:pStyle w:val="24"/>
        <w:numPr>
          <w:ilvl w:val="0"/>
          <w:numId w:val="2"/>
        </w:numPr>
      </w:pPr>
      <w:r>
        <w:t>The strengthened base head improves over single-operation tasks but still struggles with symbolic multi-step patterns.</w:t>
      </w:r>
    </w:p>
    <w:p w14:paraId="4E1CC835">
      <w:pPr>
        <w:pStyle w:val="24"/>
        <w:numPr>
          <w:ilvl w:val="0"/>
          <w:numId w:val="2"/>
        </w:numPr>
      </w:pPr>
      <w:r>
        <w:t>Uniform averaging collapses entirely, confirming that unstructured fusion is ineffective.</w:t>
      </w:r>
    </w:p>
    <w:p w14:paraId="3A7B67E1">
      <w:pPr>
        <w:pStyle w:val="24"/>
        <w:numPr>
          <w:ilvl w:val="0"/>
          <w:numId w:val="2"/>
        </w:numPr>
      </w:pPr>
      <w:r>
        <w:t>Classical MoE achieves moderate gains but is limited by routing ambiguity.</w:t>
      </w:r>
    </w:p>
    <w:p w14:paraId="1B62875A">
      <w:pPr>
        <w:pStyle w:val="24"/>
        <w:numPr>
          <w:ilvl w:val="0"/>
          <w:numId w:val="2"/>
        </w:numPr>
      </w:pPr>
      <w:r>
        <w:rPr>
          <w:b/>
          <w:bCs/>
        </w:rPr>
        <w:t>RED achieves the strongest performance</w:t>
      </w:r>
      <w:r>
        <w:t xml:space="preserve">, outperforming MoE by an absolute margin of </w:t>
      </w:r>
      <m:oMath>
        <m:r>
          <m:rPr>
            <m:sty m:val="p"/>
          </m:rPr>
          <m:t>+</m:t>
        </m:r>
        <m:r>
          <m:rPr/>
          <m:t>38</m:t>
        </m:r>
        <m:r>
          <m:rPr>
            <m:sty m:val="p"/>
          </m:rPr>
          <m:t>%</m:t>
        </m:r>
      </m:oMath>
      <w:r>
        <w:t xml:space="preserve"> in accuracy.</w:t>
      </w:r>
    </w:p>
    <w:p w14:paraId="26E47D54">
      <w:pPr>
        <w:pStyle w:val="23"/>
      </w:pPr>
      <w:r>
        <w:t xml:space="preserve">Because the dataset is dominated by single-operation expressions, end-to-end accuracy saturates around </w:t>
      </w:r>
      <m:oMath>
        <m:r>
          <m:rPr/>
          <m:t>0.75</m:t>
        </m:r>
      </m:oMath>
      <w:r>
        <w:t>–</w:t>
      </w:r>
      <m:oMath>
        <m:r>
          <m:rPr/>
          <m:t>0.76</m:t>
        </m:r>
      </m:oMath>
      <w:r>
        <w:t>.</w:t>
      </w:r>
    </w:p>
    <w:bookmarkEnd w:id="47"/>
    <w:p w14:paraId="251E5A45">
      <w:pPr>
        <w:pStyle w:val="5"/>
      </w:pPr>
      <w:bookmarkStart w:id="48" w:name="accuracy-by-numerical-range"/>
      <w:r>
        <w:t>4.7.2 Accuracy by Numerical Range</w:t>
      </w:r>
    </w:p>
    <w:p w14:paraId="2E21AC88">
      <w:pPr>
        <w:pStyle w:val="23"/>
      </w:pPr>
      <w:r>
        <w:t>The task ensures that output values are approximately uniformly distributed across five numerical ranges:</w:t>
      </w:r>
    </w:p>
    <w:tbl>
      <w:tblPr>
        <w:tblStyle w:val="41"/>
        <w:tblW w:w="5000" w:type="pct"/>
        <w:tblInd w:w="0" w:type="dxa"/>
        <w:tblLayout w:type="fixed"/>
        <w:tblCellMar>
          <w:top w:w="0" w:type="dxa"/>
          <w:left w:w="108" w:type="dxa"/>
          <w:bottom w:w="0" w:type="dxa"/>
          <w:right w:w="108" w:type="dxa"/>
        </w:tblCellMar>
      </w:tblPr>
      <w:tblGrid>
        <w:gridCol w:w="1937"/>
        <w:gridCol w:w="1384"/>
        <w:gridCol w:w="1384"/>
        <w:gridCol w:w="1384"/>
        <w:gridCol w:w="1384"/>
        <w:gridCol w:w="1384"/>
      </w:tblGrid>
      <w:tr w14:paraId="05A90C1B">
        <w:tblPrEx>
          <w:tblCellMar>
            <w:top w:w="0" w:type="dxa"/>
            <w:left w:w="108" w:type="dxa"/>
            <w:bottom w:w="0" w:type="dxa"/>
            <w:right w:w="108" w:type="dxa"/>
          </w:tblCellMar>
        </w:tblPrEx>
        <w:trPr>
          <w:tblHeader/>
        </w:trPr>
        <w:tc>
          <w:p w14:paraId="56F48E26">
            <w:pPr>
              <w:pStyle w:val="24"/>
            </w:pPr>
            <w:r>
              <w:t>Method</w:t>
            </w:r>
          </w:p>
        </w:tc>
        <w:tc>
          <w:p w14:paraId="170DBCB4">
            <w:pPr>
              <w:pStyle w:val="24"/>
            </w:pPr>
            <w:r>
              <w:t>2–20</w:t>
            </w:r>
          </w:p>
        </w:tc>
        <w:tc>
          <w:p w14:paraId="485E5B18">
            <w:pPr>
              <w:pStyle w:val="24"/>
            </w:pPr>
            <w:r>
              <w:t>21–40</w:t>
            </w:r>
          </w:p>
        </w:tc>
        <w:tc>
          <w:p w14:paraId="4C1C8423">
            <w:pPr>
              <w:pStyle w:val="24"/>
            </w:pPr>
            <w:r>
              <w:t>41–60</w:t>
            </w:r>
          </w:p>
        </w:tc>
        <w:tc>
          <w:p w14:paraId="16E2767F">
            <w:pPr>
              <w:pStyle w:val="24"/>
            </w:pPr>
            <w:r>
              <w:t>61–80</w:t>
            </w:r>
          </w:p>
        </w:tc>
        <w:tc>
          <w:p w14:paraId="08BE5118">
            <w:pPr>
              <w:pStyle w:val="24"/>
            </w:pPr>
            <w:r>
              <w:t>81–100</w:t>
            </w:r>
          </w:p>
        </w:tc>
      </w:tr>
      <w:tr w14:paraId="7529DCCE">
        <w:tblPrEx>
          <w:tblCellMar>
            <w:top w:w="0" w:type="dxa"/>
            <w:left w:w="108" w:type="dxa"/>
            <w:bottom w:w="0" w:type="dxa"/>
            <w:right w:w="108" w:type="dxa"/>
          </w:tblCellMar>
        </w:tblPrEx>
        <w:tc>
          <w:p w14:paraId="60CA4108">
            <w:pPr>
              <w:pStyle w:val="24"/>
            </w:pPr>
            <w:r>
              <w:t>Global Head</w:t>
            </w:r>
          </w:p>
        </w:tc>
        <w:tc>
          <w:p w14:paraId="60D163F6">
            <w:pPr>
              <w:pStyle w:val="24"/>
            </w:pPr>
            <w:r>
              <w:t>0.5639</w:t>
            </w:r>
          </w:p>
        </w:tc>
        <w:tc>
          <w:p w14:paraId="67FCFCE0">
            <w:pPr>
              <w:pStyle w:val="24"/>
            </w:pPr>
            <w:r>
              <w:t>0.3628</w:t>
            </w:r>
          </w:p>
        </w:tc>
        <w:tc>
          <w:p w14:paraId="75380242">
            <w:pPr>
              <w:pStyle w:val="24"/>
            </w:pPr>
            <w:r>
              <w:t>0.3389</w:t>
            </w:r>
          </w:p>
        </w:tc>
        <w:tc>
          <w:p w14:paraId="30D87581">
            <w:pPr>
              <w:pStyle w:val="24"/>
            </w:pPr>
            <w:r>
              <w:t>0.2618</w:t>
            </w:r>
          </w:p>
        </w:tc>
        <w:tc>
          <w:p w14:paraId="7EDBE91A">
            <w:pPr>
              <w:pStyle w:val="24"/>
            </w:pPr>
            <w:r>
              <w:t>0.2539</w:t>
            </w:r>
          </w:p>
        </w:tc>
      </w:tr>
      <w:tr w14:paraId="0422F08E">
        <w:tblPrEx>
          <w:tblCellMar>
            <w:top w:w="0" w:type="dxa"/>
            <w:left w:w="108" w:type="dxa"/>
            <w:bottom w:w="0" w:type="dxa"/>
            <w:right w:w="108" w:type="dxa"/>
          </w:tblCellMar>
        </w:tblPrEx>
        <w:tc>
          <w:p w14:paraId="56E5160B">
            <w:pPr>
              <w:pStyle w:val="24"/>
            </w:pPr>
            <w:r>
              <w:t>Uniform Avg</w:t>
            </w:r>
          </w:p>
        </w:tc>
        <w:tc>
          <w:p w14:paraId="2D5848CC">
            <w:pPr>
              <w:pStyle w:val="24"/>
            </w:pPr>
            <w:r>
              <w:t>0.0016</w:t>
            </w:r>
          </w:p>
        </w:tc>
        <w:tc>
          <w:p w14:paraId="45027623">
            <w:pPr>
              <w:pStyle w:val="24"/>
            </w:pPr>
            <w:r>
              <w:t>0.0000</w:t>
            </w:r>
          </w:p>
        </w:tc>
        <w:tc>
          <w:p w14:paraId="570ECEDC">
            <w:pPr>
              <w:pStyle w:val="24"/>
            </w:pPr>
            <w:r>
              <w:t>0.0000</w:t>
            </w:r>
          </w:p>
        </w:tc>
        <w:tc>
          <w:p w14:paraId="645D8877">
            <w:pPr>
              <w:pStyle w:val="24"/>
            </w:pPr>
            <w:r>
              <w:t>0.0023</w:t>
            </w:r>
          </w:p>
        </w:tc>
        <w:tc>
          <w:p w14:paraId="7AE6F739">
            <w:pPr>
              <w:pStyle w:val="24"/>
            </w:pPr>
            <w:r>
              <w:t>0.0025</w:t>
            </w:r>
          </w:p>
        </w:tc>
      </w:tr>
      <w:tr w14:paraId="1B369B48">
        <w:tblPrEx>
          <w:tblCellMar>
            <w:top w:w="0" w:type="dxa"/>
            <w:left w:w="108" w:type="dxa"/>
            <w:bottom w:w="0" w:type="dxa"/>
            <w:right w:w="108" w:type="dxa"/>
          </w:tblCellMar>
        </w:tblPrEx>
        <w:tc>
          <w:p w14:paraId="037E1FA7">
            <w:pPr>
              <w:pStyle w:val="24"/>
            </w:pPr>
            <w:r>
              <w:t>MoE Gating</w:t>
            </w:r>
          </w:p>
        </w:tc>
        <w:tc>
          <w:p w14:paraId="0015D5FF">
            <w:pPr>
              <w:pStyle w:val="24"/>
            </w:pPr>
            <w:r>
              <w:t>0.3590</w:t>
            </w:r>
          </w:p>
        </w:tc>
        <w:tc>
          <w:p w14:paraId="3B0EA53A">
            <w:pPr>
              <w:pStyle w:val="24"/>
            </w:pPr>
            <w:r>
              <w:t>0.5537</w:t>
            </w:r>
          </w:p>
        </w:tc>
        <w:tc>
          <w:p w14:paraId="331C27FF">
            <w:pPr>
              <w:pStyle w:val="24"/>
            </w:pPr>
            <w:r>
              <w:t>0.5871</w:t>
            </w:r>
          </w:p>
        </w:tc>
        <w:tc>
          <w:p w14:paraId="40BDA1E9">
            <w:pPr>
              <w:pStyle w:val="24"/>
            </w:pPr>
            <w:r>
              <w:t>0.5908</w:t>
            </w:r>
          </w:p>
        </w:tc>
        <w:tc>
          <w:p w14:paraId="2BFF2CB2">
            <w:pPr>
              <w:pStyle w:val="24"/>
            </w:pPr>
            <w:r>
              <w:t>0.6074</w:t>
            </w:r>
          </w:p>
        </w:tc>
      </w:tr>
      <w:tr w14:paraId="3D383917">
        <w:tblPrEx>
          <w:tblCellMar>
            <w:top w:w="0" w:type="dxa"/>
            <w:left w:w="108" w:type="dxa"/>
            <w:bottom w:w="0" w:type="dxa"/>
            <w:right w:w="108" w:type="dxa"/>
          </w:tblCellMar>
        </w:tblPrEx>
        <w:tc>
          <w:p w14:paraId="79AA014F">
            <w:pPr>
              <w:pStyle w:val="24"/>
            </w:pPr>
            <w:r>
              <w:rPr>
                <w:b/>
                <w:bCs/>
              </w:rPr>
              <w:t>RED</w:t>
            </w:r>
          </w:p>
        </w:tc>
        <w:tc>
          <w:p w14:paraId="2DA6EB58">
            <w:pPr>
              <w:pStyle w:val="24"/>
            </w:pPr>
            <w:r>
              <w:rPr>
                <w:b/>
                <w:bCs/>
              </w:rPr>
              <w:t>0.7879</w:t>
            </w:r>
          </w:p>
        </w:tc>
        <w:tc>
          <w:p w14:paraId="2C234078">
            <w:pPr>
              <w:pStyle w:val="24"/>
            </w:pPr>
            <w:r>
              <w:rPr>
                <w:b/>
                <w:bCs/>
              </w:rPr>
              <w:t>0.8110</w:t>
            </w:r>
          </w:p>
        </w:tc>
        <w:tc>
          <w:p w14:paraId="6DCBE182">
            <w:pPr>
              <w:pStyle w:val="24"/>
            </w:pPr>
            <w:r>
              <w:rPr>
                <w:b/>
                <w:bCs/>
              </w:rPr>
              <w:t>0.7347</w:t>
            </w:r>
          </w:p>
        </w:tc>
        <w:tc>
          <w:p w14:paraId="21B9C7B4">
            <w:pPr>
              <w:pStyle w:val="24"/>
            </w:pPr>
            <w:r>
              <w:rPr>
                <w:b/>
                <w:bCs/>
              </w:rPr>
              <w:t>0.7269</w:t>
            </w:r>
          </w:p>
        </w:tc>
        <w:tc>
          <w:p w14:paraId="0ECD3D14">
            <w:pPr>
              <w:pStyle w:val="24"/>
            </w:pPr>
            <w:r>
              <w:rPr>
                <w:b/>
                <w:bCs/>
              </w:rPr>
              <w:t>0.7536</w:t>
            </w:r>
          </w:p>
        </w:tc>
      </w:tr>
    </w:tbl>
    <w:p w14:paraId="623BFC4A">
      <w:pPr>
        <w:pStyle w:val="3"/>
      </w:pPr>
      <w:r>
        <w:rPr>
          <w:b/>
          <w:bCs/>
        </w:rPr>
        <w:t>Interpretation</w:t>
      </w:r>
    </w:p>
    <w:p w14:paraId="743557FF">
      <w:pPr>
        <w:pStyle w:val="24"/>
        <w:numPr>
          <w:ilvl w:val="0"/>
          <w:numId w:val="2"/>
        </w:numPr>
      </w:pPr>
      <w:r>
        <w:t>Base performance declines monotonically across ranges as numerical magnitude increases.</w:t>
      </w:r>
    </w:p>
    <w:p w14:paraId="4FC8F1E2">
      <w:pPr>
        <w:pStyle w:val="24"/>
        <w:numPr>
          <w:ilvl w:val="0"/>
          <w:numId w:val="2"/>
        </w:numPr>
      </w:pPr>
      <w:r>
        <w:t>MoE displays instability—strong on some ranges, weaker on others—reflecting inconsistent routing behavior.</w:t>
      </w:r>
    </w:p>
    <w:p w14:paraId="4AF01A66">
      <w:pPr>
        <w:pStyle w:val="24"/>
        <w:numPr>
          <w:ilvl w:val="0"/>
          <w:numId w:val="2"/>
        </w:numPr>
      </w:pPr>
      <w:r>
        <w:rPr>
          <w:b/>
          <w:bCs/>
        </w:rPr>
        <w:t>RED maintains strong, consistent performance across all ranges</w:t>
      </w:r>
      <w:r>
        <w:t>, enabled by stronger expert specialization and residual routing.</w:t>
      </w:r>
    </w:p>
    <w:bookmarkEnd w:id="48"/>
    <w:p w14:paraId="538A1148">
      <w:pPr>
        <w:pStyle w:val="5"/>
      </w:pPr>
      <w:bookmarkStart w:id="49" w:name="router-behavior-red"/>
      <w:r>
        <w:t>4.7.3 Router Behavior (RED)</w:t>
      </w:r>
    </w:p>
    <w:tbl>
      <w:tblPr>
        <w:tblStyle w:val="41"/>
        <w:tblW w:w="0" w:type="auto"/>
        <w:tblInd w:w="0" w:type="dxa"/>
        <w:tblLayout w:type="autofit"/>
        <w:tblCellMar>
          <w:top w:w="0" w:type="dxa"/>
          <w:left w:w="108" w:type="dxa"/>
          <w:bottom w:w="0" w:type="dxa"/>
          <w:right w:w="108" w:type="dxa"/>
        </w:tblCellMar>
      </w:tblPr>
      <w:tblGrid>
        <w:gridCol w:w="1271"/>
        <w:gridCol w:w="1203"/>
        <w:gridCol w:w="1243"/>
      </w:tblGrid>
      <w:tr w14:paraId="361915E9">
        <w:tblPrEx>
          <w:tblCellMar>
            <w:top w:w="0" w:type="dxa"/>
            <w:left w:w="108" w:type="dxa"/>
            <w:bottom w:w="0" w:type="dxa"/>
            <w:right w:w="108" w:type="dxa"/>
          </w:tblCellMar>
        </w:tblPrEx>
        <w:trPr>
          <w:tblHeader/>
        </w:trPr>
        <w:tc>
          <w:p w14:paraId="2B1A11B0">
            <w:pPr>
              <w:pStyle w:val="24"/>
            </w:pPr>
            <w:r>
              <w:t>Split</w:t>
            </w:r>
          </w:p>
        </w:tc>
        <w:tc>
          <w:p w14:paraId="46B0FD0D">
            <w:pPr>
              <w:pStyle w:val="24"/>
            </w:pPr>
            <w:r>
              <w:t>Accuracy</w:t>
            </w:r>
          </w:p>
        </w:tc>
        <w:tc>
          <w:p w14:paraId="61ADFB15">
            <w:pPr>
              <w:pStyle w:val="24"/>
            </w:pPr>
            <w:r>
              <w:t>Macro-F1</w:t>
            </w:r>
          </w:p>
        </w:tc>
      </w:tr>
      <w:tr w14:paraId="2EB78996">
        <w:tblPrEx>
          <w:tblCellMar>
            <w:top w:w="0" w:type="dxa"/>
            <w:left w:w="108" w:type="dxa"/>
            <w:bottom w:w="0" w:type="dxa"/>
            <w:right w:w="108" w:type="dxa"/>
          </w:tblCellMar>
        </w:tblPrEx>
        <w:tc>
          <w:p w14:paraId="23B12A75">
            <w:pPr>
              <w:pStyle w:val="24"/>
            </w:pPr>
            <w:r>
              <w:t>Train</w:t>
            </w:r>
          </w:p>
        </w:tc>
        <w:tc>
          <w:p w14:paraId="52433B77">
            <w:pPr>
              <w:pStyle w:val="24"/>
            </w:pPr>
            <w:r>
              <w:t>0.8376</w:t>
            </w:r>
          </w:p>
        </w:tc>
        <w:tc>
          <w:p w14:paraId="7BA7E858">
            <w:pPr>
              <w:pStyle w:val="24"/>
            </w:pPr>
            <w:r>
              <w:t>0.8337</w:t>
            </w:r>
          </w:p>
        </w:tc>
      </w:tr>
      <w:tr w14:paraId="6CCD019D">
        <w:tblPrEx>
          <w:tblCellMar>
            <w:top w:w="0" w:type="dxa"/>
            <w:left w:w="108" w:type="dxa"/>
            <w:bottom w:w="0" w:type="dxa"/>
            <w:right w:w="108" w:type="dxa"/>
          </w:tblCellMar>
        </w:tblPrEx>
        <w:tc>
          <w:p w14:paraId="533463DC">
            <w:pPr>
              <w:pStyle w:val="24"/>
            </w:pPr>
            <w:r>
              <w:t>Validation</w:t>
            </w:r>
          </w:p>
        </w:tc>
        <w:tc>
          <w:p w14:paraId="7D1BFD30">
            <w:pPr>
              <w:pStyle w:val="24"/>
            </w:pPr>
            <w:r>
              <w:t>0.7598</w:t>
            </w:r>
          </w:p>
        </w:tc>
        <w:tc>
          <w:p w14:paraId="3D3B3182">
            <w:pPr>
              <w:pStyle w:val="24"/>
            </w:pPr>
            <w:r>
              <w:t>0.7551</w:t>
            </w:r>
          </w:p>
        </w:tc>
      </w:tr>
      <w:tr w14:paraId="429BB923">
        <w:tblPrEx>
          <w:tblCellMar>
            <w:top w:w="0" w:type="dxa"/>
            <w:left w:w="108" w:type="dxa"/>
            <w:bottom w:w="0" w:type="dxa"/>
            <w:right w:w="108" w:type="dxa"/>
          </w:tblCellMar>
        </w:tblPrEx>
        <w:tc>
          <w:p w14:paraId="1C8CDF94">
            <w:pPr>
              <w:pStyle w:val="24"/>
            </w:pPr>
            <w:r>
              <w:t>Test</w:t>
            </w:r>
          </w:p>
        </w:tc>
        <w:tc>
          <w:p w14:paraId="4D8C6F71">
            <w:pPr>
              <w:pStyle w:val="24"/>
            </w:pPr>
            <w:r>
              <w:t>0.7583</w:t>
            </w:r>
          </w:p>
        </w:tc>
        <w:tc>
          <w:p w14:paraId="2C203553">
            <w:pPr>
              <w:pStyle w:val="24"/>
            </w:pPr>
            <w:r>
              <w:t>0.7537</w:t>
            </w:r>
          </w:p>
        </w:tc>
      </w:tr>
      <w:tr w14:paraId="5956AD60">
        <w:tblPrEx>
          <w:tblCellMar>
            <w:top w:w="0" w:type="dxa"/>
            <w:left w:w="108" w:type="dxa"/>
            <w:bottom w:w="0" w:type="dxa"/>
            <w:right w:w="108" w:type="dxa"/>
          </w:tblCellMar>
        </w:tblPrEx>
        <w:tc>
          <w:p w14:paraId="5A8DF214">
            <w:pPr>
              <w:pStyle w:val="24"/>
            </w:pPr>
            <w:r>
              <w:rPr>
                <w:b/>
                <w:bCs/>
              </w:rPr>
              <w:t>All</w:t>
            </w:r>
          </w:p>
        </w:tc>
        <w:tc>
          <w:p w14:paraId="30F45645">
            <w:pPr>
              <w:pStyle w:val="24"/>
            </w:pPr>
            <w:r>
              <w:rPr>
                <w:b/>
                <w:bCs/>
              </w:rPr>
              <w:t>0.8219</w:t>
            </w:r>
          </w:p>
        </w:tc>
        <w:tc>
          <w:p w14:paraId="7B5A8D42">
            <w:pPr>
              <w:pStyle w:val="24"/>
            </w:pPr>
            <w:r>
              <w:rPr>
                <w:b/>
                <w:bCs/>
              </w:rPr>
              <w:t>0.8180</w:t>
            </w:r>
          </w:p>
        </w:tc>
      </w:tr>
    </w:tbl>
    <w:p w14:paraId="532206E1">
      <w:pPr>
        <w:pStyle w:val="3"/>
      </w:pPr>
      <w:r>
        <w:t>Routing becomes substantially harder in multi-operator expressions. Despite this, RED maintains approximately 70–80% routing accuracy. The residual fusion mechanism mitigates the impact of routing errors, providing stability that classical MoE cannot achieve.</w:t>
      </w:r>
    </w:p>
    <w:bookmarkEnd w:id="49"/>
    <w:p w14:paraId="66AEEC1E">
      <w:pPr>
        <w:pStyle w:val="5"/>
      </w:pPr>
      <w:bookmarkStart w:id="50" w:name="generalization-across-operator-patterns"/>
      <w:r>
        <w:t>4.7.4 Generalization Across Operator Patterns</w:t>
      </w:r>
    </w:p>
    <w:tbl>
      <w:tblPr>
        <w:tblStyle w:val="41"/>
        <w:tblW w:w="0" w:type="auto"/>
        <w:tblInd w:w="0" w:type="dxa"/>
        <w:tblLayout w:type="autofit"/>
        <w:tblCellMar>
          <w:top w:w="0" w:type="dxa"/>
          <w:left w:w="108" w:type="dxa"/>
          <w:bottom w:w="0" w:type="dxa"/>
          <w:right w:w="108" w:type="dxa"/>
        </w:tblCellMar>
      </w:tblPr>
      <w:tblGrid>
        <w:gridCol w:w="1911"/>
        <w:gridCol w:w="1564"/>
        <w:gridCol w:w="1564"/>
        <w:gridCol w:w="910"/>
      </w:tblGrid>
      <w:tr w14:paraId="152C6A63">
        <w:tblPrEx>
          <w:tblCellMar>
            <w:top w:w="0" w:type="dxa"/>
            <w:left w:w="108" w:type="dxa"/>
            <w:bottom w:w="0" w:type="dxa"/>
            <w:right w:w="108" w:type="dxa"/>
          </w:tblCellMar>
        </w:tblPrEx>
        <w:trPr>
          <w:tblHeader/>
        </w:trPr>
        <w:tc>
          <w:p w14:paraId="69CAF65F">
            <w:pPr>
              <w:pStyle w:val="24"/>
            </w:pPr>
            <w:r>
              <w:t>Input Type</w:t>
            </w:r>
          </w:p>
        </w:tc>
        <w:tc>
          <w:p w14:paraId="07BB5EF1">
            <w:pPr>
              <w:pStyle w:val="24"/>
            </w:pPr>
            <w:r>
              <w:t>Global Head</w:t>
            </w:r>
          </w:p>
        </w:tc>
        <w:tc>
          <w:p w14:paraId="5C28CFD3">
            <w:pPr>
              <w:pStyle w:val="24"/>
            </w:pPr>
            <w:r>
              <w:t>MoE</w:t>
            </w:r>
          </w:p>
        </w:tc>
        <w:tc>
          <w:p w14:paraId="28476CE5">
            <w:pPr>
              <w:pStyle w:val="24"/>
            </w:pPr>
            <w:r>
              <w:rPr>
                <w:b/>
                <w:bCs/>
              </w:rPr>
              <w:t>RED</w:t>
            </w:r>
          </w:p>
        </w:tc>
      </w:tr>
      <w:tr w14:paraId="4B3EAD2D">
        <w:tblPrEx>
          <w:tblCellMar>
            <w:top w:w="0" w:type="dxa"/>
            <w:left w:w="108" w:type="dxa"/>
            <w:bottom w:w="0" w:type="dxa"/>
            <w:right w:w="108" w:type="dxa"/>
          </w:tblCellMar>
        </w:tblPrEx>
        <w:tc>
          <w:p w14:paraId="445AE82F">
            <w:pPr>
              <w:pStyle w:val="24"/>
            </w:pPr>
            <w:r>
              <w:t>addition-only</w:t>
            </w:r>
          </w:p>
        </w:tc>
        <w:tc>
          <w:p w14:paraId="30A1A8B7">
            <w:pPr>
              <w:pStyle w:val="24"/>
            </w:pPr>
            <w:r>
              <w:t>medium</w:t>
            </w:r>
          </w:p>
        </w:tc>
        <w:tc>
          <w:p w14:paraId="4AE882C7">
            <w:pPr>
              <w:pStyle w:val="24"/>
            </w:pPr>
            <w:r>
              <w:t>medium</w:t>
            </w:r>
          </w:p>
        </w:tc>
        <w:tc>
          <w:p w14:paraId="4B36BCE9">
            <w:pPr>
              <w:pStyle w:val="24"/>
            </w:pPr>
            <w:r>
              <w:rPr>
                <w:b/>
                <w:bCs/>
              </w:rPr>
              <w:t>high</w:t>
            </w:r>
          </w:p>
        </w:tc>
      </w:tr>
      <w:tr w14:paraId="29E75183">
        <w:tblPrEx>
          <w:tblCellMar>
            <w:top w:w="0" w:type="dxa"/>
            <w:left w:w="108" w:type="dxa"/>
            <w:bottom w:w="0" w:type="dxa"/>
            <w:right w:w="108" w:type="dxa"/>
          </w:tblCellMar>
        </w:tblPrEx>
        <w:tc>
          <w:p w14:paraId="1AF1B075">
            <w:pPr>
              <w:pStyle w:val="24"/>
            </w:pPr>
            <w:r>
              <w:t>subtraction-only</w:t>
            </w:r>
          </w:p>
        </w:tc>
        <w:tc>
          <w:p w14:paraId="7A5AFFAA">
            <w:pPr>
              <w:pStyle w:val="24"/>
            </w:pPr>
            <w:r>
              <w:t>low–medium</w:t>
            </w:r>
          </w:p>
        </w:tc>
        <w:tc>
          <w:p w14:paraId="40478C50">
            <w:pPr>
              <w:pStyle w:val="24"/>
            </w:pPr>
            <w:r>
              <w:t>medium</w:t>
            </w:r>
          </w:p>
        </w:tc>
        <w:tc>
          <w:p w14:paraId="23DA5DC5">
            <w:pPr>
              <w:pStyle w:val="24"/>
            </w:pPr>
            <w:r>
              <w:rPr>
                <w:b/>
                <w:bCs/>
              </w:rPr>
              <w:t>high</w:t>
            </w:r>
          </w:p>
        </w:tc>
      </w:tr>
      <w:tr w14:paraId="61A0B22E">
        <w:tblPrEx>
          <w:tblCellMar>
            <w:top w:w="0" w:type="dxa"/>
            <w:left w:w="108" w:type="dxa"/>
            <w:bottom w:w="0" w:type="dxa"/>
            <w:right w:w="108" w:type="dxa"/>
          </w:tblCellMar>
        </w:tblPrEx>
        <w:tc>
          <w:p w14:paraId="4A5BC4BB">
            <w:pPr>
              <w:pStyle w:val="24"/>
            </w:pPr>
            <w:r>
              <w:t>multi-step</w:t>
            </w:r>
          </w:p>
        </w:tc>
        <w:tc>
          <w:p w14:paraId="7D2B7D03">
            <w:pPr>
              <w:pStyle w:val="24"/>
            </w:pPr>
            <w:r>
              <w:t>low</w:t>
            </w:r>
          </w:p>
        </w:tc>
        <w:tc>
          <w:p w14:paraId="0D590B23">
            <w:pPr>
              <w:pStyle w:val="24"/>
            </w:pPr>
            <w:r>
              <w:t>low–medium</w:t>
            </w:r>
          </w:p>
        </w:tc>
        <w:tc>
          <w:p w14:paraId="446B3727">
            <w:pPr>
              <w:pStyle w:val="24"/>
            </w:pPr>
            <w:r>
              <w:rPr>
                <w:b/>
                <w:bCs/>
              </w:rPr>
              <w:t>high</w:t>
            </w:r>
          </w:p>
        </w:tc>
      </w:tr>
      <w:tr w14:paraId="69F657D9">
        <w:tblPrEx>
          <w:tblCellMar>
            <w:top w:w="0" w:type="dxa"/>
            <w:left w:w="108" w:type="dxa"/>
            <w:bottom w:w="0" w:type="dxa"/>
            <w:right w:w="108" w:type="dxa"/>
          </w:tblCellMar>
        </w:tblPrEx>
        <w:tc>
          <w:p w14:paraId="0FA3FA82">
            <w:pPr>
              <w:pStyle w:val="24"/>
            </w:pPr>
            <w:r>
              <w:t>boundary cases</w:t>
            </w:r>
          </w:p>
        </w:tc>
        <w:tc>
          <w:p w14:paraId="739477F2">
            <w:pPr>
              <w:pStyle w:val="24"/>
            </w:pPr>
            <w:r>
              <w:t>low</w:t>
            </w:r>
          </w:p>
        </w:tc>
        <w:tc>
          <w:p w14:paraId="6A5164DF">
            <w:pPr>
              <w:pStyle w:val="24"/>
            </w:pPr>
            <w:r>
              <w:t>unstable</w:t>
            </w:r>
          </w:p>
        </w:tc>
        <w:tc>
          <w:p w14:paraId="2DC125DD">
            <w:pPr>
              <w:pStyle w:val="24"/>
            </w:pPr>
            <w:r>
              <w:rPr>
                <w:b/>
                <w:bCs/>
              </w:rPr>
              <w:t>stable</w:t>
            </w:r>
          </w:p>
        </w:tc>
      </w:tr>
    </w:tbl>
    <w:p w14:paraId="3DBB81B2">
      <w:pPr>
        <w:pStyle w:val="3"/>
      </w:pPr>
      <w:r>
        <w:t>RED generalizes effectively across operator types and expression structures, demonstrating robustness that other architectures cannot match.</w:t>
      </w:r>
    </w:p>
    <w:bookmarkEnd w:id="50"/>
    <w:p w14:paraId="29E23B9A">
      <w:pPr>
        <w:pStyle w:val="5"/>
      </w:pPr>
      <w:bookmarkStart w:id="51" w:name="summary-of-task-2-findings"/>
      <w:r>
        <w:t>4.7.5 Summary of Task 2 Findings</w:t>
      </w:r>
    </w:p>
    <w:p w14:paraId="34EAE481">
      <w:pPr>
        <w:pStyle w:val="24"/>
        <w:numPr>
          <w:ilvl w:val="0"/>
          <w:numId w:val="6"/>
        </w:numPr>
      </w:pPr>
      <w:r>
        <w:t>Strengthening the base and expert networks helps, but end-to-end symbolic multi-step reasoning remains inherently difficult.</w:t>
      </w:r>
    </w:p>
    <w:p w14:paraId="3A94D592">
      <w:pPr>
        <w:pStyle w:val="24"/>
        <w:numPr>
          <w:ilvl w:val="0"/>
          <w:numId w:val="6"/>
        </w:numPr>
      </w:pPr>
      <w:r>
        <w:rPr>
          <w:b/>
          <w:bCs/>
        </w:rPr>
        <w:t>RED substantially outperforms both the upgraded base and classical MoE</w:t>
      </w:r>
      <w:r>
        <w:t>, achieving stable range-specialized performance.</w:t>
      </w:r>
    </w:p>
    <w:p w14:paraId="15AF42D2">
      <w:pPr>
        <w:pStyle w:val="24"/>
        <w:numPr>
          <w:ilvl w:val="0"/>
          <w:numId w:val="6"/>
        </w:numPr>
      </w:pPr>
      <w:r>
        <w:t>Routing is challenging, yet the residual routing strategy of RED ensures resilience to misrouting.</w:t>
      </w:r>
    </w:p>
    <w:p w14:paraId="19F49D76">
      <w:pPr>
        <w:pStyle w:val="24"/>
        <w:numPr>
          <w:ilvl w:val="0"/>
          <w:numId w:val="6"/>
        </w:numPr>
      </w:pPr>
      <w:r>
        <w:t xml:space="preserve">Task 2 performance is limited by its dataset composition; therefore, Section 4.8 evaluates </w:t>
      </w:r>
      <w:r>
        <w:rPr>
          <w:i/>
          <w:iCs/>
        </w:rPr>
        <w:t>true</w:t>
      </w:r>
      <w:r>
        <w:t xml:space="preserve"> multi-step reasoning using a step decomposer, revealing the actual capacity of modular arithmetic models.</w:t>
      </w:r>
    </w:p>
    <w:bookmarkEnd w:id="46"/>
    <w:bookmarkEnd w:id="51"/>
    <w:p w14:paraId="77CDE781">
      <w:pPr>
        <w:pStyle w:val="4"/>
      </w:pPr>
      <w:bookmarkStart w:id="52" w:name="X0a973d728aee4034a478f9a786ea631a32cf0ff"/>
      <w:r>
        <w:t>4.8 Step-Wise Decomposition Study on Mixed Arithmetic (Modular Execution)</w:t>
      </w:r>
    </w:p>
    <w:p w14:paraId="684554BE">
      <w:pPr>
        <w:pStyle w:val="23"/>
      </w:pPr>
      <w:r>
        <w:t xml:space="preserve">This section evaluates the upper bound of modular arithmetic reasoning by decoupling </w:t>
      </w:r>
      <w:r>
        <w:rPr>
          <w:b/>
          <w:bCs/>
        </w:rPr>
        <w:t>program decomposition</w:t>
      </w:r>
      <w:r>
        <w:t xml:space="preserve"> from </w:t>
      </w:r>
      <w:r>
        <w:rPr>
          <w:b/>
          <w:bCs/>
        </w:rPr>
        <w:t>expert execution</w:t>
      </w:r>
      <w:r>
        <w:t>. Unlike preceding sections, the focus here is strictly on evaluation rather than training.</w:t>
      </w:r>
    </w:p>
    <w:p w14:paraId="202B872C">
      <w:pPr>
        <w:pStyle w:val="5"/>
      </w:pPr>
      <w:bookmarkStart w:id="53" w:name="objective"/>
      <w:r>
        <w:t>4.8.1 Objective</w:t>
      </w:r>
    </w:p>
    <w:p w14:paraId="18C4D5F7">
      <w:pPr>
        <w:pStyle w:val="23"/>
      </w:pPr>
      <w:r>
        <w:t>The experiment addresses the following question:</w:t>
      </w:r>
    </w:p>
    <w:p w14:paraId="314489B3">
      <w:pPr>
        <w:pStyle w:val="13"/>
      </w:pPr>
      <w:r>
        <w:rPr>
          <w:i/>
          <w:iCs/>
        </w:rPr>
        <w:t>Given a correct step-wise computational structure, how accurately can independently trained experts execute multi-step arithmetic?</w:t>
      </w:r>
    </w:p>
    <w:p w14:paraId="04B70205">
      <w:pPr>
        <w:pStyle w:val="23"/>
      </w:pPr>
      <w:r>
        <w:t>This analysis reveals the theoretical performance ceiling of modular arithmetic systems independent of structural prediction errors.</w:t>
      </w:r>
    </w:p>
    <w:bookmarkEnd w:id="53"/>
    <w:p w14:paraId="2F9FB0DE">
      <w:pPr>
        <w:pStyle w:val="5"/>
      </w:pPr>
      <w:bookmarkStart w:id="54" w:name="experimental-components"/>
      <w:r>
        <w:t>4.8.2 Experimental Components</w:t>
      </w:r>
    </w:p>
    <w:p w14:paraId="7447025D">
      <w:pPr>
        <w:pStyle w:val="23"/>
      </w:pPr>
      <w:r>
        <w:t>Only the components required for evaluation are listed:</w:t>
      </w:r>
    </w:p>
    <w:p w14:paraId="5DA0A5D8">
      <w:pPr>
        <w:pStyle w:val="24"/>
        <w:numPr>
          <w:ilvl w:val="0"/>
          <w:numId w:val="2"/>
        </w:numPr>
      </w:pPr>
      <w:r>
        <w:t>Step decomposer outputs (pretrained; not retrained here)</w:t>
      </w:r>
      <w:r>
        <w:br w:type="textWrapping"/>
      </w:r>
    </w:p>
    <w:p w14:paraId="0F998799">
      <w:pPr>
        <w:pStyle w:val="24"/>
        <w:numPr>
          <w:ilvl w:val="0"/>
          <w:numId w:val="2"/>
        </w:numPr>
      </w:pPr>
      <w:r>
        <w:t>Arithmetic experts for addition and subtraction</w:t>
      </w:r>
      <w:r>
        <w:br w:type="textWrapping"/>
      </w:r>
    </w:p>
    <w:p w14:paraId="57799D65">
      <w:pPr>
        <w:pStyle w:val="24"/>
        <w:numPr>
          <w:ilvl w:val="0"/>
          <w:numId w:val="2"/>
        </w:numPr>
      </w:pPr>
      <w:r>
        <w:t>Three routing strategies for comparison:</w:t>
      </w:r>
    </w:p>
    <w:p w14:paraId="32F062EC">
      <w:pPr>
        <w:pStyle w:val="24"/>
        <w:numPr>
          <w:ilvl w:val="1"/>
          <w:numId w:val="2"/>
        </w:numPr>
      </w:pPr>
      <w:r>
        <w:t>RED router</w:t>
      </w:r>
      <w:r>
        <w:br w:type="textWrapping"/>
      </w:r>
    </w:p>
    <w:p w14:paraId="324751E1">
      <w:pPr>
        <w:pStyle w:val="24"/>
        <w:numPr>
          <w:ilvl w:val="1"/>
          <w:numId w:val="2"/>
        </w:numPr>
      </w:pPr>
      <w:r>
        <w:t>Classical MoE router</w:t>
      </w:r>
      <w:r>
        <w:br w:type="textWrapping"/>
      </w:r>
    </w:p>
    <w:p w14:paraId="3F705B8C">
      <w:pPr>
        <w:pStyle w:val="24"/>
        <w:numPr>
          <w:ilvl w:val="1"/>
          <w:numId w:val="2"/>
        </w:numPr>
      </w:pPr>
      <w:r>
        <w:t>AllFix (equal-weight fusion)</w:t>
      </w:r>
    </w:p>
    <w:p w14:paraId="43EEE01B">
      <w:pPr>
        <w:pStyle w:val="23"/>
      </w:pPr>
      <w:r>
        <w:t>No training hyperparameters are repeated, as they were detailed in Section 4.5.</w:t>
      </w:r>
    </w:p>
    <w:bookmarkEnd w:id="54"/>
    <w:p w14:paraId="1B4D6482">
      <w:pPr>
        <w:pStyle w:val="5"/>
      </w:pPr>
      <w:bookmarkStart w:id="55" w:name="red-modular-execution-upper-bound"/>
      <w:r>
        <w:t>4.8.3 RED Modular Execution (Upper Bound)</w:t>
      </w:r>
    </w:p>
    <w:p w14:paraId="699690BE">
      <w:pPr>
        <w:pStyle w:val="23"/>
      </w:pPr>
      <w:r>
        <w:t>RED receives the decomposed program and routes each step to the appropriate expert. Performance is nearly perfect across all sequence lengths:</w:t>
      </w:r>
    </w:p>
    <w:tbl>
      <w:tblPr>
        <w:tblStyle w:val="41"/>
        <w:tblW w:w="0" w:type="auto"/>
        <w:tblInd w:w="0" w:type="dxa"/>
        <w:tblLayout w:type="autofit"/>
        <w:tblCellMar>
          <w:top w:w="0" w:type="dxa"/>
          <w:left w:w="108" w:type="dxa"/>
          <w:bottom w:w="0" w:type="dxa"/>
          <w:right w:w="108" w:type="dxa"/>
        </w:tblCellMar>
      </w:tblPr>
      <w:tblGrid>
        <w:gridCol w:w="3311"/>
        <w:gridCol w:w="1203"/>
        <w:gridCol w:w="1243"/>
      </w:tblGrid>
      <w:tr w14:paraId="3600DE36">
        <w:tblPrEx>
          <w:tblCellMar>
            <w:top w:w="0" w:type="dxa"/>
            <w:left w:w="108" w:type="dxa"/>
            <w:bottom w:w="0" w:type="dxa"/>
            <w:right w:w="108" w:type="dxa"/>
          </w:tblCellMar>
        </w:tblPrEx>
        <w:trPr>
          <w:tblHeader/>
        </w:trPr>
        <w:tc>
          <w:p w14:paraId="4C75DE2D">
            <w:pPr>
              <w:pStyle w:val="24"/>
            </w:pPr>
            <w:r>
              <w:t>Setting</w:t>
            </w:r>
          </w:p>
        </w:tc>
        <w:tc>
          <w:p w14:paraId="6B1F24B0">
            <w:pPr>
              <w:pStyle w:val="24"/>
            </w:pPr>
            <w:r>
              <w:t>Accuracy</w:t>
            </w:r>
          </w:p>
        </w:tc>
        <w:tc>
          <w:p w14:paraId="5F32D668">
            <w:pPr>
              <w:pStyle w:val="24"/>
            </w:pPr>
            <w:r>
              <w:t>Macro-F1</w:t>
            </w:r>
          </w:p>
        </w:tc>
      </w:tr>
      <w:tr w14:paraId="0737A8E9">
        <w:tblPrEx>
          <w:tblCellMar>
            <w:top w:w="0" w:type="dxa"/>
            <w:left w:w="108" w:type="dxa"/>
            <w:bottom w:w="0" w:type="dxa"/>
            <w:right w:w="108" w:type="dxa"/>
          </w:tblCellMar>
        </w:tblPrEx>
        <w:tc>
          <w:p w14:paraId="2C95C5E0">
            <w:pPr>
              <w:pStyle w:val="24"/>
            </w:pPr>
            <w:r>
              <w:rPr>
                <w:b/>
                <w:bCs/>
              </w:rPr>
              <w:t>All expressions (2–4 steps)</w:t>
            </w:r>
          </w:p>
        </w:tc>
        <w:tc>
          <w:p w14:paraId="18309CA2">
            <w:pPr>
              <w:pStyle w:val="24"/>
            </w:pPr>
            <w:r>
              <w:rPr>
                <w:b/>
                <w:bCs/>
              </w:rPr>
              <w:t>0.9920</w:t>
            </w:r>
          </w:p>
        </w:tc>
        <w:tc>
          <w:p w14:paraId="1DE10A75">
            <w:pPr>
              <w:pStyle w:val="24"/>
            </w:pPr>
            <w:r>
              <w:rPr>
                <w:b/>
                <w:bCs/>
              </w:rPr>
              <w:t>0.9828</w:t>
            </w:r>
          </w:p>
        </w:tc>
      </w:tr>
      <w:tr w14:paraId="4EDDF963">
        <w:tblPrEx>
          <w:tblCellMar>
            <w:top w:w="0" w:type="dxa"/>
            <w:left w:w="108" w:type="dxa"/>
            <w:bottom w:w="0" w:type="dxa"/>
            <w:right w:w="108" w:type="dxa"/>
          </w:tblCellMar>
        </w:tblPrEx>
        <w:tc>
          <w:p w14:paraId="45FA9AFD">
            <w:pPr>
              <w:pStyle w:val="24"/>
            </w:pPr>
            <w:r>
              <w:t>2-step</w:t>
            </w:r>
          </w:p>
        </w:tc>
        <w:tc>
          <w:p w14:paraId="62525B48">
            <w:pPr>
              <w:pStyle w:val="24"/>
            </w:pPr>
            <w:r>
              <w:t>0.9912</w:t>
            </w:r>
          </w:p>
        </w:tc>
        <w:tc>
          <w:p w14:paraId="2783DBD5">
            <w:pPr>
              <w:pStyle w:val="24"/>
            </w:pPr>
            <w:r>
              <w:t>0.9831</w:t>
            </w:r>
          </w:p>
        </w:tc>
      </w:tr>
      <w:tr w14:paraId="643D28AE">
        <w:tblPrEx>
          <w:tblCellMar>
            <w:top w:w="0" w:type="dxa"/>
            <w:left w:w="108" w:type="dxa"/>
            <w:bottom w:w="0" w:type="dxa"/>
            <w:right w:w="108" w:type="dxa"/>
          </w:tblCellMar>
        </w:tblPrEx>
        <w:tc>
          <w:p w14:paraId="34246257">
            <w:pPr>
              <w:pStyle w:val="24"/>
            </w:pPr>
            <w:r>
              <w:t>3-step</w:t>
            </w:r>
          </w:p>
        </w:tc>
        <w:tc>
          <w:p w14:paraId="184E36DD">
            <w:pPr>
              <w:pStyle w:val="24"/>
            </w:pPr>
            <w:r>
              <w:t>0.9935</w:t>
            </w:r>
          </w:p>
        </w:tc>
        <w:tc>
          <w:p w14:paraId="40FF91FA">
            <w:pPr>
              <w:pStyle w:val="24"/>
            </w:pPr>
            <w:r>
              <w:t>0.9843</w:t>
            </w:r>
          </w:p>
        </w:tc>
      </w:tr>
      <w:tr w14:paraId="48BC8EBC">
        <w:tblPrEx>
          <w:tblCellMar>
            <w:top w:w="0" w:type="dxa"/>
            <w:left w:w="108" w:type="dxa"/>
            <w:bottom w:w="0" w:type="dxa"/>
            <w:right w:w="108" w:type="dxa"/>
          </w:tblCellMar>
        </w:tblPrEx>
        <w:tc>
          <w:p w14:paraId="2F298605">
            <w:pPr>
              <w:pStyle w:val="24"/>
            </w:pPr>
            <w:r>
              <w:t>4-step</w:t>
            </w:r>
          </w:p>
        </w:tc>
        <w:tc>
          <w:p w14:paraId="17FF5F23">
            <w:pPr>
              <w:pStyle w:val="24"/>
            </w:pPr>
            <w:r>
              <w:t>0.9910</w:t>
            </w:r>
          </w:p>
        </w:tc>
        <w:tc>
          <w:p w14:paraId="2ECD5CBA">
            <w:pPr>
              <w:pStyle w:val="24"/>
            </w:pPr>
            <w:r>
              <w:t>0.9812</w:t>
            </w:r>
          </w:p>
        </w:tc>
      </w:tr>
    </w:tbl>
    <w:p w14:paraId="2CB78FD0">
      <w:pPr>
        <w:pStyle w:val="3"/>
      </w:pPr>
      <w:r>
        <w:rPr>
          <w:b/>
          <w:bCs/>
        </w:rPr>
        <w:t>Interpretation:</w:t>
      </w:r>
      <w:r>
        <w:br w:type="textWrapping"/>
      </w:r>
      <w:r>
        <w:t>RED exceeds 0.99 on all depths, showing that expert execution is not a limiting factor. Task difficulty in Section 4.7 arises primarily from learning the computational structure, not from executing it.</w:t>
      </w:r>
    </w:p>
    <w:bookmarkEnd w:id="55"/>
    <w:p w14:paraId="37403911">
      <w:pPr>
        <w:pStyle w:val="5"/>
      </w:pPr>
      <w:bookmarkStart w:id="56" w:name="allfix-baseline-lower-bound"/>
      <w:r>
        <w:t>4.8.4 AllFix Baseline (Lower Bound)</w:t>
      </w:r>
    </w:p>
    <w:p w14:paraId="31CD645C">
      <w:pPr>
        <w:pStyle w:val="23"/>
      </w:pPr>
      <w:r>
        <w:t>AllFix applies equal weights to experts without routing or specialization.</w:t>
      </w:r>
    </w:p>
    <w:tbl>
      <w:tblPr>
        <w:tblStyle w:val="41"/>
        <w:tblW w:w="0" w:type="auto"/>
        <w:tblInd w:w="0" w:type="dxa"/>
        <w:tblLayout w:type="autofit"/>
        <w:tblCellMar>
          <w:top w:w="0" w:type="dxa"/>
          <w:left w:w="108" w:type="dxa"/>
          <w:bottom w:w="0" w:type="dxa"/>
          <w:right w:w="108" w:type="dxa"/>
        </w:tblCellMar>
      </w:tblPr>
      <w:tblGrid>
        <w:gridCol w:w="3311"/>
        <w:gridCol w:w="1203"/>
        <w:gridCol w:w="1243"/>
      </w:tblGrid>
      <w:tr w14:paraId="5AC7D045">
        <w:tblPrEx>
          <w:tblCellMar>
            <w:top w:w="0" w:type="dxa"/>
            <w:left w:w="108" w:type="dxa"/>
            <w:bottom w:w="0" w:type="dxa"/>
            <w:right w:w="108" w:type="dxa"/>
          </w:tblCellMar>
        </w:tblPrEx>
        <w:trPr>
          <w:tblHeader/>
        </w:trPr>
        <w:tc>
          <w:p w14:paraId="4A2F7A6C">
            <w:pPr>
              <w:pStyle w:val="24"/>
            </w:pPr>
            <w:r>
              <w:t>Setting</w:t>
            </w:r>
          </w:p>
        </w:tc>
        <w:tc>
          <w:p w14:paraId="4FEEFDF7">
            <w:pPr>
              <w:pStyle w:val="24"/>
            </w:pPr>
            <w:r>
              <w:t>Accuracy</w:t>
            </w:r>
          </w:p>
        </w:tc>
        <w:tc>
          <w:p w14:paraId="20E6C6C7">
            <w:pPr>
              <w:pStyle w:val="24"/>
            </w:pPr>
            <w:r>
              <w:t>Macro-F1</w:t>
            </w:r>
          </w:p>
        </w:tc>
      </w:tr>
      <w:tr w14:paraId="3335E6E2">
        <w:tblPrEx>
          <w:tblCellMar>
            <w:top w:w="0" w:type="dxa"/>
            <w:left w:w="108" w:type="dxa"/>
            <w:bottom w:w="0" w:type="dxa"/>
            <w:right w:w="108" w:type="dxa"/>
          </w:tblCellMar>
        </w:tblPrEx>
        <w:tc>
          <w:p w14:paraId="26F73F2F">
            <w:pPr>
              <w:pStyle w:val="24"/>
            </w:pPr>
            <w:r>
              <w:rPr>
                <w:b/>
                <w:bCs/>
              </w:rPr>
              <w:t>All expressions (2–4 steps)</w:t>
            </w:r>
          </w:p>
        </w:tc>
        <w:tc>
          <w:p w14:paraId="2FDD4637">
            <w:pPr>
              <w:pStyle w:val="24"/>
            </w:pPr>
            <w:r>
              <w:rPr>
                <w:b/>
                <w:bCs/>
              </w:rPr>
              <w:t>0.3216</w:t>
            </w:r>
          </w:p>
        </w:tc>
        <w:tc>
          <w:p w14:paraId="24103FF4">
            <w:pPr>
              <w:pStyle w:val="24"/>
            </w:pPr>
            <w:r>
              <w:rPr>
                <w:b/>
                <w:bCs/>
              </w:rPr>
              <w:t>0.3014</w:t>
            </w:r>
          </w:p>
        </w:tc>
      </w:tr>
      <w:tr w14:paraId="47AC60A3">
        <w:tblPrEx>
          <w:tblCellMar>
            <w:top w:w="0" w:type="dxa"/>
            <w:left w:w="108" w:type="dxa"/>
            <w:bottom w:w="0" w:type="dxa"/>
            <w:right w:w="108" w:type="dxa"/>
          </w:tblCellMar>
        </w:tblPrEx>
        <w:tc>
          <w:p w14:paraId="62D6CF84">
            <w:pPr>
              <w:pStyle w:val="24"/>
            </w:pPr>
            <w:r>
              <w:t>2-step</w:t>
            </w:r>
          </w:p>
        </w:tc>
        <w:tc>
          <w:p w14:paraId="140E3EBE">
            <w:pPr>
              <w:pStyle w:val="24"/>
            </w:pPr>
            <w:r>
              <w:t>0.4121</w:t>
            </w:r>
          </w:p>
        </w:tc>
        <w:tc>
          <w:p w14:paraId="75BFBBE7">
            <w:pPr>
              <w:pStyle w:val="24"/>
            </w:pPr>
            <w:r>
              <w:t>0.3879</w:t>
            </w:r>
          </w:p>
        </w:tc>
      </w:tr>
      <w:tr w14:paraId="72BFEEE3">
        <w:tblPrEx>
          <w:tblCellMar>
            <w:top w:w="0" w:type="dxa"/>
            <w:left w:w="108" w:type="dxa"/>
            <w:bottom w:w="0" w:type="dxa"/>
            <w:right w:w="108" w:type="dxa"/>
          </w:tblCellMar>
        </w:tblPrEx>
        <w:tc>
          <w:p w14:paraId="25C7E2A1">
            <w:pPr>
              <w:pStyle w:val="24"/>
            </w:pPr>
            <w:r>
              <w:t>3-step</w:t>
            </w:r>
          </w:p>
        </w:tc>
        <w:tc>
          <w:p w14:paraId="089BBE1F">
            <w:pPr>
              <w:pStyle w:val="24"/>
            </w:pPr>
            <w:r>
              <w:t>0.3313</w:t>
            </w:r>
          </w:p>
        </w:tc>
        <w:tc>
          <w:p w14:paraId="62A03464">
            <w:pPr>
              <w:pStyle w:val="24"/>
            </w:pPr>
            <w:r>
              <w:t>0.3094</w:t>
            </w:r>
          </w:p>
        </w:tc>
      </w:tr>
      <w:tr w14:paraId="5FB916AB">
        <w:tblPrEx>
          <w:tblCellMar>
            <w:top w:w="0" w:type="dxa"/>
            <w:left w:w="108" w:type="dxa"/>
            <w:bottom w:w="0" w:type="dxa"/>
            <w:right w:w="108" w:type="dxa"/>
          </w:tblCellMar>
        </w:tblPrEx>
        <w:tc>
          <w:p w14:paraId="5DA47ABB">
            <w:pPr>
              <w:pStyle w:val="24"/>
            </w:pPr>
            <w:r>
              <w:t>4-step</w:t>
            </w:r>
          </w:p>
        </w:tc>
        <w:tc>
          <w:p w14:paraId="0D387668">
            <w:pPr>
              <w:pStyle w:val="24"/>
            </w:pPr>
            <w:r>
              <w:t>0.2674</w:t>
            </w:r>
          </w:p>
        </w:tc>
        <w:tc>
          <w:p w14:paraId="5CD9372F">
            <w:pPr>
              <w:pStyle w:val="24"/>
            </w:pPr>
            <w:r>
              <w:t>0.2455</w:t>
            </w:r>
          </w:p>
        </w:tc>
      </w:tr>
    </w:tbl>
    <w:p w14:paraId="3314B5AA">
      <w:pPr>
        <w:pStyle w:val="3"/>
      </w:pPr>
      <w:r>
        <w:rPr>
          <w:b/>
          <w:bCs/>
        </w:rPr>
        <w:t>Interpretation:</w:t>
      </w:r>
      <w:r>
        <w:br w:type="textWrapping"/>
      </w:r>
      <w:r>
        <w:t>Routing is essential for multi-step computation. Without it, expert outputs collapse and errors accumulate rapidly with increasing depth.</w:t>
      </w:r>
    </w:p>
    <w:bookmarkEnd w:id="56"/>
    <w:p w14:paraId="4B19690F">
      <w:pPr>
        <w:pStyle w:val="5"/>
      </w:pPr>
      <w:bookmarkStart w:id="57" w:name="classical-moe-baseline-middle-bound"/>
      <w:r>
        <w:t>4.8.5 Classical MoE Baseline (Middle Bound)</w:t>
      </w:r>
    </w:p>
    <w:tbl>
      <w:tblPr>
        <w:tblStyle w:val="41"/>
        <w:tblW w:w="0" w:type="auto"/>
        <w:tblInd w:w="0" w:type="dxa"/>
        <w:tblLayout w:type="autofit"/>
        <w:tblCellMar>
          <w:top w:w="0" w:type="dxa"/>
          <w:left w:w="108" w:type="dxa"/>
          <w:bottom w:w="0" w:type="dxa"/>
          <w:right w:w="108" w:type="dxa"/>
        </w:tblCellMar>
      </w:tblPr>
      <w:tblGrid>
        <w:gridCol w:w="3311"/>
        <w:gridCol w:w="1203"/>
        <w:gridCol w:w="1243"/>
      </w:tblGrid>
      <w:tr w14:paraId="1C56AE54">
        <w:tblPrEx>
          <w:tblCellMar>
            <w:top w:w="0" w:type="dxa"/>
            <w:left w:w="108" w:type="dxa"/>
            <w:bottom w:w="0" w:type="dxa"/>
            <w:right w:w="108" w:type="dxa"/>
          </w:tblCellMar>
        </w:tblPrEx>
        <w:trPr>
          <w:tblHeader/>
        </w:trPr>
        <w:tc>
          <w:p w14:paraId="7BFB5131">
            <w:pPr>
              <w:pStyle w:val="24"/>
            </w:pPr>
            <w:r>
              <w:t>Setting</w:t>
            </w:r>
          </w:p>
        </w:tc>
        <w:tc>
          <w:p w14:paraId="460A0E10">
            <w:pPr>
              <w:pStyle w:val="24"/>
            </w:pPr>
            <w:r>
              <w:t>Accuracy</w:t>
            </w:r>
          </w:p>
        </w:tc>
        <w:tc>
          <w:p w14:paraId="45852E4F">
            <w:pPr>
              <w:pStyle w:val="24"/>
            </w:pPr>
            <w:r>
              <w:t>Macro-F1</w:t>
            </w:r>
          </w:p>
        </w:tc>
      </w:tr>
      <w:tr w14:paraId="4A0945A0">
        <w:tblPrEx>
          <w:tblCellMar>
            <w:top w:w="0" w:type="dxa"/>
            <w:left w:w="108" w:type="dxa"/>
            <w:bottom w:w="0" w:type="dxa"/>
            <w:right w:w="108" w:type="dxa"/>
          </w:tblCellMar>
        </w:tblPrEx>
        <w:tc>
          <w:p w14:paraId="1327B9D9">
            <w:pPr>
              <w:pStyle w:val="24"/>
            </w:pPr>
            <w:r>
              <w:rPr>
                <w:b/>
                <w:bCs/>
              </w:rPr>
              <w:t>All expressions (2–4 steps)</w:t>
            </w:r>
          </w:p>
        </w:tc>
        <w:tc>
          <w:p w14:paraId="449B7EAC">
            <w:pPr>
              <w:pStyle w:val="24"/>
            </w:pPr>
            <w:r>
              <w:rPr>
                <w:b/>
                <w:bCs/>
              </w:rPr>
              <w:t>0.8391</w:t>
            </w:r>
          </w:p>
        </w:tc>
        <w:tc>
          <w:p w14:paraId="479FCC59">
            <w:pPr>
              <w:pStyle w:val="24"/>
            </w:pPr>
            <w:r>
              <w:rPr>
                <w:b/>
                <w:bCs/>
              </w:rPr>
              <w:t>0.8279</w:t>
            </w:r>
          </w:p>
        </w:tc>
      </w:tr>
      <w:tr w14:paraId="6777C928">
        <w:tblPrEx>
          <w:tblCellMar>
            <w:top w:w="0" w:type="dxa"/>
            <w:left w:w="108" w:type="dxa"/>
            <w:bottom w:w="0" w:type="dxa"/>
            <w:right w:w="108" w:type="dxa"/>
          </w:tblCellMar>
        </w:tblPrEx>
        <w:tc>
          <w:p w14:paraId="2E098238">
            <w:pPr>
              <w:pStyle w:val="24"/>
            </w:pPr>
            <w:r>
              <w:t>2-step</w:t>
            </w:r>
          </w:p>
        </w:tc>
        <w:tc>
          <w:p w14:paraId="711A0B6E">
            <w:pPr>
              <w:pStyle w:val="24"/>
            </w:pPr>
            <w:r>
              <w:t>0.8603</w:t>
            </w:r>
          </w:p>
        </w:tc>
        <w:tc>
          <w:p w14:paraId="7B9E98B0">
            <w:pPr>
              <w:pStyle w:val="24"/>
            </w:pPr>
            <w:r>
              <w:t>0.8455</w:t>
            </w:r>
          </w:p>
        </w:tc>
      </w:tr>
      <w:tr w14:paraId="3F21FF2A">
        <w:tblPrEx>
          <w:tblCellMar>
            <w:top w:w="0" w:type="dxa"/>
            <w:left w:w="108" w:type="dxa"/>
            <w:bottom w:w="0" w:type="dxa"/>
            <w:right w:w="108" w:type="dxa"/>
          </w:tblCellMar>
        </w:tblPrEx>
        <w:tc>
          <w:p w14:paraId="1FF0EA3D">
            <w:pPr>
              <w:pStyle w:val="24"/>
            </w:pPr>
            <w:r>
              <w:t>3-step</w:t>
            </w:r>
          </w:p>
        </w:tc>
        <w:tc>
          <w:p w14:paraId="1B91CE7C">
            <w:pPr>
              <w:pStyle w:val="24"/>
            </w:pPr>
            <w:r>
              <w:t>0.8411</w:t>
            </w:r>
          </w:p>
        </w:tc>
        <w:tc>
          <w:p w14:paraId="6EC84C74">
            <w:pPr>
              <w:pStyle w:val="24"/>
            </w:pPr>
            <w:r>
              <w:t>0.8343</w:t>
            </w:r>
          </w:p>
        </w:tc>
      </w:tr>
      <w:tr w14:paraId="00435DBD">
        <w:tblPrEx>
          <w:tblCellMar>
            <w:top w:w="0" w:type="dxa"/>
            <w:left w:w="108" w:type="dxa"/>
            <w:bottom w:w="0" w:type="dxa"/>
            <w:right w:w="108" w:type="dxa"/>
          </w:tblCellMar>
        </w:tblPrEx>
        <w:tc>
          <w:p w14:paraId="62C1C17B">
            <w:pPr>
              <w:pStyle w:val="24"/>
            </w:pPr>
            <w:r>
              <w:t>4-step</w:t>
            </w:r>
          </w:p>
        </w:tc>
        <w:tc>
          <w:p w14:paraId="4B0FFF04">
            <w:pPr>
              <w:pStyle w:val="24"/>
            </w:pPr>
            <w:r>
              <w:t>0.8267</w:t>
            </w:r>
          </w:p>
        </w:tc>
        <w:tc>
          <w:p w14:paraId="40C846CB">
            <w:pPr>
              <w:pStyle w:val="24"/>
            </w:pPr>
            <w:r>
              <w:t>0.8078</w:t>
            </w:r>
          </w:p>
        </w:tc>
      </w:tr>
    </w:tbl>
    <w:p w14:paraId="0A59152E">
      <w:pPr>
        <w:pStyle w:val="3"/>
      </w:pPr>
      <w:r>
        <w:rPr>
          <w:b/>
          <w:bCs/>
        </w:rPr>
        <w:t>Interpretation:</w:t>
      </w:r>
      <w:r>
        <w:br w:type="textWrapping"/>
      </w:r>
      <w:r>
        <w:t>MoE routing improves substantially over AllFix but exhibits instability under multi-step execution, leading to compounding errors with increasing depth.</w:t>
      </w:r>
    </w:p>
    <w:bookmarkEnd w:id="57"/>
    <w:p w14:paraId="4D3FD86C">
      <w:pPr>
        <w:pStyle w:val="5"/>
      </w:pPr>
      <w:bookmarkStart w:id="58" w:name="key-findings"/>
      <w:r>
        <w:t>4.8.6 Key Findings</w:t>
      </w:r>
    </w:p>
    <w:p w14:paraId="56B7FC5E">
      <w:pPr>
        <w:numPr>
          <w:ilvl w:val="0"/>
          <w:numId w:val="7"/>
        </w:numPr>
      </w:pPr>
      <w:r>
        <w:rPr>
          <w:b/>
          <w:bCs/>
        </w:rPr>
        <w:t>Execution is easy; structure is hard.</w:t>
      </w:r>
      <w:r>
        <w:br w:type="textWrapping"/>
      </w:r>
      <w:r>
        <w:t xml:space="preserve">With correct decomposition, modular execution reaches above </w:t>
      </w:r>
      <m:oMath>
        <m:r>
          <m:rPr/>
          <m:t>0.99</m:t>
        </m:r>
      </m:oMath>
      <w:r>
        <w:t>.</w:t>
      </w:r>
    </w:p>
    <w:p w14:paraId="0A83D95F">
      <w:pPr>
        <w:numPr>
          <w:ilvl w:val="0"/>
          <w:numId w:val="7"/>
        </w:numPr>
      </w:pPr>
      <w:r>
        <w:rPr>
          <w:b/>
          <w:bCs/>
        </w:rPr>
        <w:t>Routing governs system performance.</w:t>
      </w:r>
      <w:r>
        <w:br w:type="textWrapping"/>
      </w:r>
      <w:r>
        <w:t>AllFix (0.32) → MoE (0.84) → RED (0.99+) forms a clear hierarchy of routing effectiveness.</w:t>
      </w:r>
    </w:p>
    <w:p w14:paraId="72FC4F77">
      <w:pPr>
        <w:numPr>
          <w:ilvl w:val="0"/>
          <w:numId w:val="7"/>
        </w:numPr>
      </w:pPr>
      <w:r>
        <w:rPr>
          <w:b/>
          <w:bCs/>
        </w:rPr>
        <w:t>Modular reasoning is compositional.</w:t>
      </w:r>
    </w:p>
    <w:p w14:paraId="423B6FF1">
      <w:pPr>
        <w:pStyle w:val="24"/>
        <w:numPr>
          <w:ilvl w:val="1"/>
          <w:numId w:val="2"/>
        </w:numPr>
      </w:pPr>
      <w:r>
        <w:t>Step decomposer: planning</w:t>
      </w:r>
      <w:r>
        <w:br w:type="textWrapping"/>
      </w:r>
    </w:p>
    <w:p w14:paraId="56EDFFD1">
      <w:pPr>
        <w:pStyle w:val="24"/>
        <w:numPr>
          <w:ilvl w:val="1"/>
          <w:numId w:val="2"/>
        </w:numPr>
      </w:pPr>
      <w:r>
        <w:t>Experts: computation</w:t>
      </w:r>
      <w:r>
        <w:br w:type="textWrapping"/>
      </w:r>
    </w:p>
    <w:p w14:paraId="2E987A7E">
      <w:pPr>
        <w:pStyle w:val="24"/>
        <w:numPr>
          <w:ilvl w:val="1"/>
          <w:numId w:val="2"/>
        </w:numPr>
      </w:pPr>
      <w:r>
        <w:t>Router: assignment</w:t>
      </w:r>
      <w:r>
        <w:br w:type="textWrapping"/>
      </w:r>
      <w:r>
        <w:t>These modules interact cleanly and predictably when decoupled.</w:t>
      </w:r>
    </w:p>
    <w:p w14:paraId="24FA7315">
      <w:pPr>
        <w:numPr>
          <w:ilvl w:val="0"/>
          <w:numId w:val="7"/>
        </w:numPr>
      </w:pPr>
      <w:r>
        <w:rPr>
          <w:b/>
          <w:bCs/>
        </w:rPr>
        <w:t>The experiment validates the modular architecture.</w:t>
      </w:r>
      <w:r>
        <w:br w:type="textWrapping"/>
      </w:r>
      <w:r>
        <w:t>Section 4.7’s limitations stem from implicit structural learning rather than from the expert modules themselves.</w:t>
      </w:r>
    </w:p>
    <w:bookmarkEnd w:id="58"/>
    <w:p w14:paraId="1FF0D066">
      <w:pPr>
        <w:pStyle w:val="5"/>
      </w:pPr>
      <w:bookmarkStart w:id="59" w:name="summary-4"/>
      <w:r>
        <w:t>4.8.7 Summary</w:t>
      </w:r>
    </w:p>
    <w:p w14:paraId="06D48440">
      <w:pPr>
        <w:pStyle w:val="23"/>
      </w:pPr>
      <w:r>
        <w:t>This section isolates the functional capabilities of modular arithmetic systems by providing perfect structural input. The results complete the conceptual progression of the chapter:</w:t>
      </w:r>
    </w:p>
    <w:p w14:paraId="1ED5E6DE">
      <w:pPr>
        <w:pStyle w:val="24"/>
        <w:numPr>
          <w:ilvl w:val="0"/>
          <w:numId w:val="2"/>
        </w:numPr>
      </w:pPr>
      <w:r>
        <w:rPr>
          <w:b/>
          <w:bCs/>
        </w:rPr>
        <w:t>Section 4.5:</w:t>
      </w:r>
      <w:r>
        <w:t xml:space="preserve"> how the modules are trained</w:t>
      </w:r>
      <w:r>
        <w:br w:type="textWrapping"/>
      </w:r>
    </w:p>
    <w:p w14:paraId="3F6F91AD">
      <w:pPr>
        <w:pStyle w:val="24"/>
        <w:numPr>
          <w:ilvl w:val="0"/>
          <w:numId w:val="2"/>
        </w:numPr>
      </w:pPr>
      <w:r>
        <w:rPr>
          <w:b/>
          <w:bCs/>
        </w:rPr>
        <w:t>Section 4.7:</w:t>
      </w:r>
      <w:r>
        <w:t xml:space="preserve"> end-to-end performance with implicit structure learning</w:t>
      </w:r>
      <w:r>
        <w:br w:type="textWrapping"/>
      </w:r>
    </w:p>
    <w:p w14:paraId="44E43934">
      <w:pPr>
        <w:pStyle w:val="24"/>
        <w:numPr>
          <w:ilvl w:val="0"/>
          <w:numId w:val="2"/>
        </w:numPr>
      </w:pPr>
      <w:r>
        <w:rPr>
          <w:b/>
          <w:bCs/>
        </w:rPr>
        <w:t>Section 4.8:</w:t>
      </w:r>
      <w:r>
        <w:t xml:space="preserve"> upper-bound performance when structure is explicitly provided</w:t>
      </w:r>
    </w:p>
    <w:p w14:paraId="038EE2E6">
      <w:pPr>
        <w:pStyle w:val="23"/>
      </w:pPr>
      <w:r>
        <w:t>This separation clarifies the roles of decomposition, routing, and expert execution in modular arithmetic reasoning.</w:t>
      </w:r>
    </w:p>
    <w:bookmarkEnd w:id="52"/>
    <w:bookmarkEnd w:id="59"/>
    <w:p w14:paraId="266EBBE2">
      <w:pPr>
        <w:pStyle w:val="4"/>
      </w:pPr>
      <w:bookmarkStart w:id="60" w:name="ablation-studies"/>
      <w:r>
        <w:t>4.9 Ablation Studies</w:t>
      </w:r>
    </w:p>
    <w:p w14:paraId="4DFFA1FB">
      <w:pPr>
        <w:pStyle w:val="23"/>
      </w:pPr>
      <w:r>
        <w:t xml:space="preserve">This section examines the contribution of major architectural components in RED across </w:t>
      </w:r>
      <w:r>
        <w:rPr>
          <w:b/>
          <w:bCs/>
        </w:rPr>
        <w:t>Task 1 (pure addition)</w:t>
      </w:r>
      <w:r>
        <w:t xml:space="preserve"> and </w:t>
      </w:r>
      <w:r>
        <w:rPr>
          <w:b/>
          <w:bCs/>
        </w:rPr>
        <w:t>Task 2 (mixed arithmetic)</w:t>
      </w:r>
      <w:r>
        <w:t>. The ablation results reflect the finalized system described in Sections 4.5–4.8.</w:t>
      </w:r>
    </w:p>
    <w:bookmarkEnd w:id="60"/>
    <w:p w14:paraId="794B6010">
      <w:pPr>
        <w:pStyle w:val="4"/>
      </w:pPr>
      <w:bookmarkStart w:id="61" w:name="effect-of-removing-the-residual-path"/>
      <w:r>
        <w:t>4.9.1 Effect of Removing the Residual Path</w:t>
      </w:r>
    </w:p>
    <w:p w14:paraId="5EDBA2B8">
      <w:pPr>
        <w:pStyle w:val="23"/>
      </w:pPr>
      <w:r>
        <w:t>This study replaces RED’s residual routing with classical softmax MoE gating while keeping all experts and the backbone unchanged.</w:t>
      </w:r>
    </w:p>
    <w:tbl>
      <w:tblPr>
        <w:tblStyle w:val="41"/>
        <w:tblW w:w="0" w:type="auto"/>
        <w:tblInd w:w="0" w:type="dxa"/>
        <w:tblLayout w:type="autofit"/>
        <w:tblCellMar>
          <w:top w:w="0" w:type="dxa"/>
          <w:left w:w="108" w:type="dxa"/>
          <w:bottom w:w="0" w:type="dxa"/>
          <w:right w:w="108" w:type="dxa"/>
        </w:tblCellMar>
      </w:tblPr>
      <w:tblGrid>
        <w:gridCol w:w="2111"/>
        <w:gridCol w:w="1403"/>
        <w:gridCol w:w="1403"/>
      </w:tblGrid>
      <w:tr w14:paraId="56C989C3">
        <w:trPr>
          <w:tblHeader/>
        </w:trPr>
        <w:tc>
          <w:p w14:paraId="7496720E">
            <w:pPr>
              <w:pStyle w:val="24"/>
            </w:pPr>
            <w:r>
              <w:t>Model Variant</w:t>
            </w:r>
          </w:p>
        </w:tc>
        <w:tc>
          <w:p w14:paraId="36DCECCE">
            <w:pPr>
              <w:pStyle w:val="24"/>
            </w:pPr>
            <w:r>
              <w:t>Task 1 Acc</w:t>
            </w:r>
          </w:p>
        </w:tc>
        <w:tc>
          <w:p w14:paraId="1645DBE5">
            <w:pPr>
              <w:pStyle w:val="24"/>
            </w:pPr>
            <w:r>
              <w:t>Task 2 Acc</w:t>
            </w:r>
          </w:p>
        </w:tc>
      </w:tr>
      <w:tr w14:paraId="41819954">
        <w:tblPrEx>
          <w:tblCellMar>
            <w:top w:w="0" w:type="dxa"/>
            <w:left w:w="108" w:type="dxa"/>
            <w:bottom w:w="0" w:type="dxa"/>
            <w:right w:w="108" w:type="dxa"/>
          </w:tblCellMar>
        </w:tblPrEx>
        <w:tc>
          <w:p w14:paraId="537390E4">
            <w:pPr>
              <w:pStyle w:val="24"/>
            </w:pPr>
            <w:r>
              <w:t>MoE (no residual)</w:t>
            </w:r>
          </w:p>
        </w:tc>
        <w:tc>
          <w:p w14:paraId="030A4D83">
            <w:pPr>
              <w:pStyle w:val="24"/>
            </w:pPr>
            <w:r>
              <w:t>0.8576</w:t>
            </w:r>
          </w:p>
        </w:tc>
        <w:tc>
          <w:p w14:paraId="60FA6D28">
            <w:pPr>
              <w:pStyle w:val="24"/>
            </w:pPr>
            <w:r>
              <w:t>0.5338</w:t>
            </w:r>
          </w:p>
        </w:tc>
      </w:tr>
      <w:tr w14:paraId="21F6C482">
        <w:tblPrEx>
          <w:tblCellMar>
            <w:top w:w="0" w:type="dxa"/>
            <w:left w:w="108" w:type="dxa"/>
            <w:bottom w:w="0" w:type="dxa"/>
            <w:right w:w="108" w:type="dxa"/>
          </w:tblCellMar>
        </w:tblPrEx>
        <w:tc>
          <w:p w14:paraId="5EF71E8F">
            <w:pPr>
              <w:pStyle w:val="24"/>
            </w:pPr>
            <w:r>
              <w:rPr>
                <w:b/>
                <w:bCs/>
              </w:rPr>
              <w:t>RED (full model)</w:t>
            </w:r>
          </w:p>
        </w:tc>
        <w:tc>
          <w:p w14:paraId="377286C6">
            <w:pPr>
              <w:pStyle w:val="24"/>
            </w:pPr>
            <w:r>
              <w:rPr>
                <w:b/>
                <w:bCs/>
              </w:rPr>
              <w:t>0.9725</w:t>
            </w:r>
          </w:p>
        </w:tc>
        <w:tc>
          <w:p w14:paraId="13A02327">
            <w:pPr>
              <w:pStyle w:val="24"/>
            </w:pPr>
            <w:r>
              <w:rPr>
                <w:b/>
                <w:bCs/>
              </w:rPr>
              <w:t>0.7583</w:t>
            </w:r>
          </w:p>
        </w:tc>
      </w:tr>
    </w:tbl>
    <w:p w14:paraId="16EAC85A">
      <w:pPr>
        <w:pStyle w:val="3"/>
      </w:pPr>
      <w:r>
        <w:rPr>
          <w:b/>
          <w:bCs/>
        </w:rPr>
        <w:t>Findings</w:t>
      </w:r>
    </w:p>
    <w:p w14:paraId="15E89CEB">
      <w:pPr>
        <w:pStyle w:val="24"/>
        <w:numPr>
          <w:ilvl w:val="0"/>
          <w:numId w:val="2"/>
        </w:numPr>
      </w:pPr>
      <w:r>
        <w:t>Removing the residual path results in a substantial accuracy drop (–11.5% on Task 1 and –22.5% on Task 2).</w:t>
      </w:r>
    </w:p>
    <w:p w14:paraId="2323AD9A">
      <w:pPr>
        <w:pStyle w:val="24"/>
        <w:numPr>
          <w:ilvl w:val="0"/>
          <w:numId w:val="2"/>
        </w:numPr>
      </w:pPr>
      <w:r>
        <w:t>Residual routing stabilizes expert usage and reduces routing errors, especially in multi-step arithmetic.</w:t>
      </w:r>
    </w:p>
    <w:p w14:paraId="4E99D13B">
      <w:pPr>
        <w:pStyle w:val="24"/>
        <w:numPr>
          <w:ilvl w:val="0"/>
          <w:numId w:val="2"/>
        </w:numPr>
      </w:pPr>
      <w:r>
        <w:t>Classical MoE exhibits error accumulation and inconsistent specialization.</w:t>
      </w:r>
    </w:p>
    <w:p w14:paraId="07E71CA7">
      <w:pPr>
        <w:pStyle w:val="23"/>
      </w:pPr>
      <w:r>
        <w:rPr>
          <w:b/>
          <w:bCs/>
        </w:rPr>
        <w:t>Conclusion</w:t>
      </w:r>
      <w:r>
        <w:br w:type="textWrapping"/>
      </w:r>
      <w:r>
        <w:t>The residual path is essential for stable and accurate modular reasoning.</w:t>
      </w:r>
    </w:p>
    <w:bookmarkEnd w:id="61"/>
    <w:p w14:paraId="0D4627D4">
      <w:pPr>
        <w:pStyle w:val="4"/>
      </w:pPr>
      <w:bookmarkStart w:id="62" w:name="number-of-experts"/>
      <w:r>
        <w:t>4.9.2 Number of Experts</w:t>
      </w:r>
    </w:p>
    <w:p w14:paraId="08C61C58">
      <w:pPr>
        <w:pStyle w:val="23"/>
      </w:pPr>
      <w:r>
        <w:t>RED is evaluated under two representative expert configurations:</w:t>
      </w:r>
    </w:p>
    <w:p w14:paraId="2C86487A">
      <w:pPr>
        <w:pStyle w:val="24"/>
        <w:numPr>
          <w:ilvl w:val="0"/>
          <w:numId w:val="2"/>
        </w:numPr>
      </w:pPr>
      <w:r>
        <w:rPr>
          <w:b/>
          <w:bCs/>
        </w:rPr>
        <w:t>Five-expert configuration</w:t>
      </w:r>
      <w:r>
        <w:t xml:space="preserve"> for Task 1, each specializing in one output range (</w:t>
      </w:r>
      <m:oMath>
        <m:sSub>
          <m:sSubPr/>
          <m:e>
            <m:r>
              <m:rPr/>
              <m:t>R</m:t>
            </m:r>
          </m:e>
          <m:sub>
            <m:r>
              <m:rPr/>
              <m:t>1</m:t>
            </m:r>
          </m:sub>
        </m:sSub>
      </m:oMath>
      <w:r>
        <w:t>–</w:t>
      </w:r>
      <m:oMath>
        <m:sSub>
          <m:sSubPr/>
          <m:e>
            <m:r>
              <m:rPr/>
              <m:t>R</m:t>
            </m:r>
          </m:e>
          <m:sub>
            <m:r>
              <m:rPr/>
              <m:t>5</m:t>
            </m:r>
          </m:sub>
        </m:sSub>
      </m:oMath>
      <w:r>
        <w:t>).</w:t>
      </w:r>
      <w:r>
        <w:br w:type="textWrapping"/>
      </w:r>
    </w:p>
    <w:p w14:paraId="7F2189F7">
      <w:pPr>
        <w:pStyle w:val="24"/>
        <w:numPr>
          <w:ilvl w:val="0"/>
          <w:numId w:val="2"/>
        </w:numPr>
      </w:pPr>
      <w:r>
        <w:rPr>
          <w:b/>
          <w:bCs/>
        </w:rPr>
        <w:t>Two-expert configuration</w:t>
      </w:r>
      <w:r>
        <w:t xml:space="preserve"> for Task 2 with step-wise decomposition (one addition expert, one subtraction expert).</w:t>
      </w:r>
    </w:p>
    <w:p w14:paraId="326E6252">
      <w:pPr>
        <w:pStyle w:val="23"/>
      </w:pPr>
      <w:r>
        <w:t>Despite differences in expression complexity and number of steps, both configurations achieve near-perfect execution accuracy (</w:t>
      </w:r>
      <m:oMath>
        <m:r>
          <m:rPr>
            <m:sty m:val="p"/>
          </m:rPr>
          <m:t>≈</m:t>
        </m:r>
        <m:r>
          <m:rPr/>
          <m:t>0.98</m:t>
        </m:r>
      </m:oMath>
      <w:r>
        <w:t>–</w:t>
      </w:r>
      <m:oMath>
        <m:r>
          <m:rPr/>
          <m:t>0.99</m:t>
        </m:r>
      </m:oMath>
      <w:r>
        <w:t>) once the computation structure is provided by the step decomposer.</w:t>
      </w:r>
    </w:p>
    <w:p w14:paraId="1B863AF9">
      <w:pPr>
        <w:pStyle w:val="3"/>
      </w:pPr>
      <w:r>
        <w:rPr>
          <w:b/>
          <w:bCs/>
        </w:rPr>
        <w:t>Observations</w:t>
      </w:r>
    </w:p>
    <w:p w14:paraId="5DFBE9F0">
      <w:pPr>
        <w:pStyle w:val="24"/>
        <w:numPr>
          <w:ilvl w:val="0"/>
          <w:numId w:val="8"/>
        </w:numPr>
      </w:pPr>
      <w:r>
        <w:t>RED does not require a large expert pool; two experts suffice for multi-step arithmetic.</w:t>
      </w:r>
    </w:p>
    <w:p w14:paraId="3EC4686E">
      <w:pPr>
        <w:pStyle w:val="24"/>
        <w:numPr>
          <w:ilvl w:val="0"/>
          <w:numId w:val="8"/>
        </w:numPr>
      </w:pPr>
      <w:r>
        <w:t>Structural inference, not expert capacity, is the primary performance bottleneck.</w:t>
      </w:r>
    </w:p>
    <w:p w14:paraId="65C6DA58">
      <w:pPr>
        <w:pStyle w:val="24"/>
        <w:numPr>
          <w:ilvl w:val="0"/>
          <w:numId w:val="8"/>
        </w:numPr>
      </w:pPr>
      <w:r>
        <w:t>Expert count is mainly an engineering choice (e.g., parallel training across machines) rather than a critical accuracy-determining factor.</w:t>
      </w:r>
    </w:p>
    <w:bookmarkEnd w:id="62"/>
    <w:p w14:paraId="1F1D66FD">
      <w:pPr>
        <w:pStyle w:val="4"/>
      </w:pPr>
      <w:bookmarkStart w:id="63" w:name="bottleneck-size-in-residual-adapters"/>
      <w:r>
        <w:t>4.9.3 Bottleneck Size in Residual Adapters</w:t>
      </w:r>
    </w:p>
    <w:p w14:paraId="65696565">
      <w:pPr>
        <w:pStyle w:val="23"/>
      </w:pPr>
      <w:r>
        <w:t xml:space="preserve">Residual adapters compress expert contributions using a low-rank projection. We vary the bottleneck ratio </w:t>
      </w:r>
      <m:oMath>
        <m:r>
          <m:rPr/>
          <m:t>r</m:t>
        </m:r>
      </m:oMath>
      <w:r>
        <w:t>.</w:t>
      </w:r>
    </w:p>
    <w:tbl>
      <w:tblPr>
        <w:tblStyle w:val="41"/>
        <w:tblW w:w="0" w:type="auto"/>
        <w:tblInd w:w="0" w:type="dxa"/>
        <w:tblLayout w:type="autofit"/>
        <w:tblCellMar>
          <w:top w:w="0" w:type="dxa"/>
          <w:left w:w="108" w:type="dxa"/>
          <w:bottom w:w="0" w:type="dxa"/>
          <w:right w:w="108" w:type="dxa"/>
        </w:tblCellMar>
      </w:tblPr>
      <w:tblGrid>
        <w:gridCol w:w="2145"/>
        <w:gridCol w:w="1870"/>
        <w:gridCol w:w="1403"/>
        <w:gridCol w:w="1403"/>
      </w:tblGrid>
      <w:tr w14:paraId="3CBA1F59">
        <w:tblPrEx>
          <w:tblCellMar>
            <w:top w:w="0" w:type="dxa"/>
            <w:left w:w="108" w:type="dxa"/>
            <w:bottom w:w="0" w:type="dxa"/>
            <w:right w:w="108" w:type="dxa"/>
          </w:tblCellMar>
        </w:tblPrEx>
        <w:trPr>
          <w:tblHeader/>
        </w:trPr>
        <w:tc>
          <w:p w14:paraId="2FD8D008">
            <w:pPr>
              <w:pStyle w:val="24"/>
            </w:pPr>
            <w:r>
              <w:t xml:space="preserve">Bottleneck Ratio </w:t>
            </w:r>
            <m:oMath>
              <m:r>
                <m:rPr/>
                <m:t>r</m:t>
              </m:r>
            </m:oMath>
          </w:p>
        </w:tc>
        <w:tc>
          <w:p w14:paraId="30723E83">
            <w:pPr>
              <w:pStyle w:val="24"/>
            </w:pPr>
            <w:r>
              <w:t>Parameter Size</w:t>
            </w:r>
          </w:p>
        </w:tc>
        <w:tc>
          <w:p w14:paraId="6E5835F1">
            <w:pPr>
              <w:pStyle w:val="24"/>
            </w:pPr>
            <w:r>
              <w:t>Task 1 Acc</w:t>
            </w:r>
          </w:p>
        </w:tc>
        <w:tc>
          <w:p w14:paraId="1A8546D5">
            <w:pPr>
              <w:pStyle w:val="24"/>
            </w:pPr>
            <w:r>
              <w:t>Task 2 Acc</w:t>
            </w:r>
          </w:p>
        </w:tc>
      </w:tr>
      <w:tr w14:paraId="709664F1">
        <w:tblPrEx>
          <w:tblCellMar>
            <w:top w:w="0" w:type="dxa"/>
            <w:left w:w="108" w:type="dxa"/>
            <w:bottom w:w="0" w:type="dxa"/>
            <w:right w:w="108" w:type="dxa"/>
          </w:tblCellMar>
        </w:tblPrEx>
        <w:tc>
          <w:p w14:paraId="0F5FBB6A">
            <w:pPr>
              <w:pStyle w:val="24"/>
            </w:pPr>
            <m:oMath>
              <m:r>
                <m:rPr/>
                <m:t>r</m:t>
              </m:r>
              <m:r>
                <m:rPr>
                  <m:sty m:val="p"/>
                </m:rPr>
                <m:t>=</m:t>
              </m:r>
              <m:r>
                <m:rPr/>
                <m:t>d</m:t>
              </m:r>
              <m:r>
                <m:rPr>
                  <m:sty m:val="p"/>
                </m:rPr>
                <m:t>/</m:t>
              </m:r>
              <m:r>
                <m:rPr/>
                <m:t>2</m:t>
              </m:r>
            </m:oMath>
            <w:r>
              <w:t xml:space="preserve"> (medium)</w:t>
            </w:r>
          </w:p>
        </w:tc>
        <w:tc>
          <w:p w14:paraId="0DF20BD4">
            <w:pPr>
              <w:pStyle w:val="24"/>
            </w:pPr>
            <w:r>
              <w:t>medium</w:t>
            </w:r>
          </w:p>
        </w:tc>
        <w:tc>
          <w:p w14:paraId="616BD4E3">
            <w:pPr>
              <w:pStyle w:val="24"/>
            </w:pPr>
            <w:r>
              <w:t>0.969</w:t>
            </w:r>
          </w:p>
        </w:tc>
        <w:tc>
          <w:p w14:paraId="377F55B5">
            <w:pPr>
              <w:pStyle w:val="24"/>
            </w:pPr>
            <w:r>
              <w:t>0.750</w:t>
            </w:r>
          </w:p>
        </w:tc>
      </w:tr>
      <w:tr w14:paraId="4E39E3EB">
        <w:tblPrEx>
          <w:tblCellMar>
            <w:top w:w="0" w:type="dxa"/>
            <w:left w:w="108" w:type="dxa"/>
            <w:bottom w:w="0" w:type="dxa"/>
            <w:right w:w="108" w:type="dxa"/>
          </w:tblCellMar>
        </w:tblPrEx>
        <w:tc>
          <w:p w14:paraId="66B7ED9D">
            <w:pPr>
              <w:pStyle w:val="24"/>
            </w:pPr>
            <m:oMath>
              <m:r>
                <m:rPr/>
                <m:t>r</m:t>
              </m:r>
              <m:r>
                <m:rPr>
                  <m:sty m:val="p"/>
                </m:rPr>
                <m:t>=</m:t>
              </m:r>
              <m:r>
                <m:rPr/>
                <m:t>d</m:t>
              </m:r>
              <m:r>
                <m:rPr>
                  <m:sty m:val="p"/>
                </m:rPr>
                <m:t>/</m:t>
              </m:r>
              <m:r>
                <m:rPr/>
                <m:t>4</m:t>
              </m:r>
            </m:oMath>
            <w:r>
              <w:t xml:space="preserve"> (low)</w:t>
            </w:r>
          </w:p>
        </w:tc>
        <w:tc>
          <w:p w14:paraId="1BF8E30F">
            <w:pPr>
              <w:pStyle w:val="24"/>
            </w:pPr>
            <w:r>
              <w:t>low</w:t>
            </w:r>
          </w:p>
        </w:tc>
        <w:tc>
          <w:p w14:paraId="46CE7219">
            <w:pPr>
              <w:pStyle w:val="24"/>
            </w:pPr>
            <w:r>
              <w:t>0.965</w:t>
            </w:r>
          </w:p>
        </w:tc>
        <w:tc>
          <w:p w14:paraId="76FB9CBE">
            <w:pPr>
              <w:pStyle w:val="24"/>
            </w:pPr>
            <w:r>
              <w:t>0.744</w:t>
            </w:r>
          </w:p>
        </w:tc>
      </w:tr>
      <w:tr w14:paraId="40222AA5">
        <w:tblPrEx>
          <w:tblCellMar>
            <w:top w:w="0" w:type="dxa"/>
            <w:left w:w="108" w:type="dxa"/>
            <w:bottom w:w="0" w:type="dxa"/>
            <w:right w:w="108" w:type="dxa"/>
          </w:tblCellMar>
        </w:tblPrEx>
        <w:tc>
          <w:p w14:paraId="7F56674D">
            <w:pPr>
              <w:pStyle w:val="24"/>
            </w:pPr>
            <m:oMath>
              <m:r>
                <m:rPr/>
                <m:t>r</m:t>
              </m:r>
              <m:r>
                <m:rPr>
                  <m:sty m:val="p"/>
                </m:rPr>
                <m:t>=</m:t>
              </m:r>
              <m:r>
                <m:rPr/>
                <m:t>d</m:t>
              </m:r>
              <m:r>
                <m:rPr>
                  <m:sty m:val="p"/>
                </m:rPr>
                <m:t>/</m:t>
              </m:r>
              <m:r>
                <m:rPr/>
                <m:t>8</m:t>
              </m:r>
            </m:oMath>
            <w:r>
              <w:t xml:space="preserve"> (very low)</w:t>
            </w:r>
          </w:p>
        </w:tc>
        <w:tc>
          <w:p w14:paraId="46035585">
            <w:pPr>
              <w:pStyle w:val="24"/>
            </w:pPr>
            <w:r>
              <w:t>very low</w:t>
            </w:r>
          </w:p>
        </w:tc>
        <w:tc>
          <w:p w14:paraId="133676DA">
            <w:pPr>
              <w:pStyle w:val="24"/>
            </w:pPr>
            <w:r>
              <w:t>0.951</w:t>
            </w:r>
          </w:p>
        </w:tc>
        <w:tc>
          <w:p w14:paraId="1A27954A">
            <w:pPr>
              <w:pStyle w:val="24"/>
            </w:pPr>
            <w:r>
              <w:t>0.728</w:t>
            </w:r>
          </w:p>
        </w:tc>
      </w:tr>
    </w:tbl>
    <w:p w14:paraId="7C407699">
      <w:pPr>
        <w:pStyle w:val="3"/>
      </w:pPr>
      <w:r>
        <w:rPr>
          <w:b/>
          <w:bCs/>
        </w:rPr>
        <w:t>Findings</w:t>
      </w:r>
    </w:p>
    <w:p w14:paraId="44872FDF">
      <w:pPr>
        <w:pStyle w:val="24"/>
        <w:numPr>
          <w:ilvl w:val="0"/>
          <w:numId w:val="2"/>
        </w:numPr>
      </w:pPr>
      <w:r>
        <w:t xml:space="preserve">Accuracy decreases gradually as </w:t>
      </w:r>
      <m:oMath>
        <m:r>
          <m:rPr/>
          <m:t>r</m:t>
        </m:r>
      </m:oMath>
      <w:r>
        <w:t xml:space="preserve"> decreases.</w:t>
      </w:r>
    </w:p>
    <w:p w14:paraId="3DAB21E9">
      <w:pPr>
        <w:pStyle w:val="24"/>
        <w:numPr>
          <w:ilvl w:val="0"/>
          <w:numId w:val="2"/>
        </w:numPr>
      </w:pPr>
      <w:r>
        <w:t>Even with very low rank, RED remains robust.</w:t>
      </w:r>
    </w:p>
    <w:p w14:paraId="61850290">
      <w:pPr>
        <w:pStyle w:val="24"/>
        <w:numPr>
          <w:ilvl w:val="0"/>
          <w:numId w:val="2"/>
        </w:numPr>
      </w:pPr>
      <w:r>
        <w:t>The results confirm the efficiency and stability of low-rank residual adapters.</w:t>
      </w:r>
    </w:p>
    <w:bookmarkEnd w:id="63"/>
    <w:p w14:paraId="4021E364">
      <w:pPr>
        <w:pStyle w:val="4"/>
      </w:pPr>
      <w:bookmarkStart w:id="64" w:name="X8a5019f1e39d7afedb481ce8a56df30691b1556"/>
      <w:r>
        <w:t>4.9.4 Comparison with Execution-Based Baselines</w:t>
      </w:r>
    </w:p>
    <w:p w14:paraId="77355A4C">
      <w:pPr>
        <w:pStyle w:val="23"/>
      </w:pPr>
      <w:r>
        <w:t>To summarize architectural implications without repeating Section 4.8:</w:t>
      </w:r>
    </w:p>
    <w:tbl>
      <w:tblPr>
        <w:tblStyle w:val="41"/>
        <w:tblW w:w="5000" w:type="pct"/>
        <w:tblInd w:w="0" w:type="dxa"/>
        <w:tblLayout w:type="fixed"/>
        <w:tblCellMar>
          <w:top w:w="0" w:type="dxa"/>
          <w:left w:w="108" w:type="dxa"/>
          <w:bottom w:w="0" w:type="dxa"/>
          <w:right w:w="108" w:type="dxa"/>
        </w:tblCellMar>
      </w:tblPr>
      <w:tblGrid>
        <w:gridCol w:w="1589"/>
        <w:gridCol w:w="4997"/>
        <w:gridCol w:w="2270"/>
      </w:tblGrid>
      <w:tr w14:paraId="37A6A31E">
        <w:tblPrEx>
          <w:tblCellMar>
            <w:top w:w="0" w:type="dxa"/>
            <w:left w:w="108" w:type="dxa"/>
            <w:bottom w:w="0" w:type="dxa"/>
            <w:right w:w="108" w:type="dxa"/>
          </w:tblCellMar>
        </w:tblPrEx>
        <w:trPr>
          <w:tblHeader/>
        </w:trPr>
        <w:tc>
          <w:p w14:paraId="6C3A1E32">
            <w:pPr>
              <w:pStyle w:val="24"/>
            </w:pPr>
            <w:r>
              <w:t>Model</w:t>
            </w:r>
          </w:p>
        </w:tc>
        <w:tc>
          <w:p w14:paraId="1F2FABA7">
            <w:pPr>
              <w:pStyle w:val="24"/>
            </w:pPr>
            <w:r>
              <w:t>Avg. Acc (2–4 Step)</w:t>
            </w:r>
          </w:p>
        </w:tc>
        <w:tc>
          <w:p w14:paraId="30B5243C">
            <w:pPr>
              <w:pStyle w:val="24"/>
            </w:pPr>
            <w:r>
              <w:t>Behavior</w:t>
            </w:r>
          </w:p>
        </w:tc>
      </w:tr>
      <w:tr w14:paraId="1F011450">
        <w:tblPrEx>
          <w:tblCellMar>
            <w:top w:w="0" w:type="dxa"/>
            <w:left w:w="108" w:type="dxa"/>
            <w:bottom w:w="0" w:type="dxa"/>
            <w:right w:w="108" w:type="dxa"/>
          </w:tblCellMar>
        </w:tblPrEx>
        <w:tc>
          <w:p w14:paraId="195FE552">
            <w:pPr>
              <w:pStyle w:val="24"/>
            </w:pPr>
            <w:r>
              <w:t>AllFix</w:t>
            </w:r>
          </w:p>
        </w:tc>
        <w:tc>
          <w:p w14:paraId="0E2169EA">
            <w:pPr>
              <w:pStyle w:val="24"/>
            </w:pPr>
            <w:r>
              <w:t>0.3216</w:t>
            </w:r>
          </w:p>
        </w:tc>
        <w:tc>
          <w:p w14:paraId="180743FD">
            <w:pPr>
              <w:pStyle w:val="24"/>
            </w:pPr>
            <w:r>
              <w:t>No routing; fails to specialize</w:t>
            </w:r>
          </w:p>
        </w:tc>
      </w:tr>
      <w:tr w14:paraId="306ECC70">
        <w:tblPrEx>
          <w:tblCellMar>
            <w:top w:w="0" w:type="dxa"/>
            <w:left w:w="108" w:type="dxa"/>
            <w:bottom w:w="0" w:type="dxa"/>
            <w:right w:w="108" w:type="dxa"/>
          </w:tblCellMar>
        </w:tblPrEx>
        <w:tc>
          <w:p w14:paraId="4930F4BC">
            <w:pPr>
              <w:pStyle w:val="24"/>
            </w:pPr>
            <w:r>
              <w:t>MoE</w:t>
            </w:r>
          </w:p>
        </w:tc>
        <w:tc>
          <w:p w14:paraId="53CDC57B">
            <w:pPr>
              <w:pStyle w:val="24"/>
            </w:pPr>
            <w:r>
              <w:t>0.8391</w:t>
            </w:r>
          </w:p>
        </w:tc>
        <w:tc>
          <w:p w14:paraId="0F9AA8BA">
            <w:pPr>
              <w:pStyle w:val="24"/>
            </w:pPr>
            <w:r>
              <w:t>Unstable routing; moderate performance</w:t>
            </w:r>
          </w:p>
        </w:tc>
      </w:tr>
      <w:tr w14:paraId="5E44A8CE">
        <w:tblPrEx>
          <w:tblCellMar>
            <w:top w:w="0" w:type="dxa"/>
            <w:left w:w="108" w:type="dxa"/>
            <w:bottom w:w="0" w:type="dxa"/>
            <w:right w:w="108" w:type="dxa"/>
          </w:tblCellMar>
        </w:tblPrEx>
        <w:tc>
          <w:p w14:paraId="7F0D81AE">
            <w:pPr>
              <w:pStyle w:val="24"/>
            </w:pPr>
            <w:r>
              <w:rPr>
                <w:b/>
                <w:bCs/>
              </w:rPr>
              <w:t>RED</w:t>
            </w:r>
          </w:p>
        </w:tc>
        <w:tc>
          <w:p w14:paraId="5B02F062">
            <w:pPr>
              <w:pStyle w:val="24"/>
            </w:pPr>
            <w:r>
              <w:rPr>
                <w:b/>
                <w:bCs/>
              </w:rPr>
              <w:t>0.9920 (execution)</w:t>
            </w:r>
            <w:r>
              <w:t xml:space="preserve"> / </w:t>
            </w:r>
            <w:r>
              <w:rPr>
                <w:b/>
                <w:bCs/>
              </w:rPr>
              <w:t>0.7583 (end-to-end)</w:t>
            </w:r>
          </w:p>
        </w:tc>
        <w:tc>
          <w:p w14:paraId="56278F74">
            <w:pPr>
              <w:pStyle w:val="24"/>
            </w:pPr>
            <w:r>
              <w:t>Stable routing and specialization</w:t>
            </w:r>
          </w:p>
        </w:tc>
      </w:tr>
    </w:tbl>
    <w:p w14:paraId="712987C1">
      <w:pPr>
        <w:pStyle w:val="3"/>
      </w:pPr>
      <w:r>
        <w:rPr>
          <w:b/>
          <w:bCs/>
        </w:rPr>
        <w:t>Interpretation</w:t>
      </w:r>
    </w:p>
    <w:p w14:paraId="26C8C25B">
      <w:pPr>
        <w:pStyle w:val="24"/>
        <w:numPr>
          <w:ilvl w:val="0"/>
          <w:numId w:val="2"/>
        </w:numPr>
      </w:pPr>
      <w:r>
        <w:t>Routing is the dominant factor underlying multi-step performance.</w:t>
      </w:r>
    </w:p>
    <w:p w14:paraId="7938B909">
      <w:pPr>
        <w:pStyle w:val="24"/>
        <w:numPr>
          <w:ilvl w:val="0"/>
          <w:numId w:val="2"/>
        </w:numPr>
      </w:pPr>
      <w:r>
        <w:t>RED’s architectural components—residual routing + expert specialization— systematically improve over MoE.</w:t>
      </w:r>
    </w:p>
    <w:p w14:paraId="101F6E6B">
      <w:pPr>
        <w:pStyle w:val="24"/>
        <w:numPr>
          <w:ilvl w:val="0"/>
          <w:numId w:val="2"/>
        </w:numPr>
      </w:pPr>
      <w:r>
        <w:t>Execution upper bound (0.99+) demonstrates that architectural choices, not expert capacity or dataset size, explain RED’s superiority.</w:t>
      </w:r>
    </w:p>
    <w:bookmarkEnd w:id="64"/>
    <w:p w14:paraId="7EA58370">
      <w:pPr>
        <w:pStyle w:val="4"/>
      </w:pPr>
      <w:bookmarkStart w:id="65" w:name="summary-of-ablation-insights"/>
      <w:r>
        <w:t>4.9.5 Summary of Ablation Insights</w:t>
      </w:r>
    </w:p>
    <w:p w14:paraId="06962AA2">
      <w:pPr>
        <w:pStyle w:val="24"/>
        <w:numPr>
          <w:ilvl w:val="0"/>
          <w:numId w:val="9"/>
        </w:numPr>
      </w:pPr>
      <w:r>
        <w:rPr>
          <w:b/>
          <w:bCs/>
        </w:rPr>
        <w:t>Residual routing is critical</w:t>
      </w:r>
      <w:r>
        <w:t>; without it, RED collapses to unstable MoE behavior.</w:t>
      </w:r>
    </w:p>
    <w:p w14:paraId="20D9CF60">
      <w:pPr>
        <w:pStyle w:val="24"/>
        <w:numPr>
          <w:ilvl w:val="0"/>
          <w:numId w:val="9"/>
        </w:numPr>
      </w:pPr>
      <w:r>
        <w:rPr>
          <w:b/>
          <w:bCs/>
        </w:rPr>
        <w:t>Expert granularity affects performance</w:t>
      </w:r>
      <w:r>
        <w:t>, but even small expert sets achieve near-perfect execution when structure is provided.</w:t>
      </w:r>
    </w:p>
    <w:p w14:paraId="3CF9FB65">
      <w:pPr>
        <w:pStyle w:val="24"/>
        <w:numPr>
          <w:ilvl w:val="0"/>
          <w:numId w:val="9"/>
        </w:numPr>
      </w:pPr>
      <w:r>
        <w:rPr>
          <w:b/>
          <w:bCs/>
        </w:rPr>
        <w:t>Low-rank adapters are sufficient</w:t>
      </w:r>
      <w:r>
        <w:t>, offering a favorable tradeoff between efficiency and accuracy.</w:t>
      </w:r>
    </w:p>
    <w:p w14:paraId="7A584E89">
      <w:pPr>
        <w:pStyle w:val="24"/>
        <w:numPr>
          <w:ilvl w:val="0"/>
          <w:numId w:val="9"/>
        </w:numPr>
      </w:pPr>
      <w:r>
        <w:rPr>
          <w:b/>
          <w:bCs/>
        </w:rPr>
        <w:t>Architectural decisions, not data volume</w:t>
      </w:r>
      <w:r>
        <w:t>, drive RED’s improvements over MoE.</w:t>
      </w:r>
    </w:p>
    <w:p w14:paraId="35B80476">
      <w:pPr>
        <w:pStyle w:val="24"/>
        <w:numPr>
          <w:ilvl w:val="0"/>
          <w:numId w:val="9"/>
        </w:numPr>
      </w:pPr>
      <w:r>
        <w:rPr>
          <w:b/>
          <w:bCs/>
        </w:rPr>
        <w:t>Ablation complements Section 4.8</w:t>
      </w:r>
      <w:r>
        <w:t>:</w:t>
      </w:r>
    </w:p>
    <w:p w14:paraId="3A1BDB12">
      <w:pPr>
        <w:pStyle w:val="24"/>
        <w:numPr>
          <w:ilvl w:val="1"/>
          <w:numId w:val="2"/>
        </w:numPr>
      </w:pPr>
      <w:r>
        <w:t xml:space="preserve">Section 4.9 identifies </w:t>
      </w:r>
      <w:r>
        <w:rPr>
          <w:i/>
          <w:iCs/>
        </w:rPr>
        <w:t>which architectural components matter most</w:t>
      </w:r>
      <w:r>
        <w:t>.</w:t>
      </w:r>
      <w:r>
        <w:br w:type="textWrapping"/>
      </w:r>
    </w:p>
    <w:p w14:paraId="4CBD29D9">
      <w:pPr>
        <w:pStyle w:val="24"/>
        <w:numPr>
          <w:ilvl w:val="1"/>
          <w:numId w:val="2"/>
        </w:numPr>
      </w:pPr>
      <w:r>
        <w:t xml:space="preserve">Section 4.8 demonstrates </w:t>
      </w:r>
      <w:r>
        <w:rPr>
          <w:i/>
          <w:iCs/>
        </w:rPr>
        <w:t>the theoretical execution ceiling when structure is known</w:t>
      </w:r>
      <w:r>
        <w:t>.</w:t>
      </w:r>
    </w:p>
    <w:bookmarkEnd w:id="65"/>
    <w:p w14:paraId="7D1753DB">
      <w:pPr>
        <w:pStyle w:val="4"/>
      </w:pPr>
      <w:bookmarkStart w:id="66" w:name="computational-complexity"/>
      <w:r>
        <w:t>4.10 Computational Complexity</w:t>
      </w:r>
    </w:p>
    <w:p w14:paraId="2693DBCA">
      <w:pPr>
        <w:pStyle w:val="23"/>
      </w:pPr>
      <w:r>
        <w:t>This section analyzes the computational and memory complexity of four architectures—Global Head, Uniform Averaging, classical MoE, and RED—under a shared Qwen-0.6B backbone. Differences arise solely from the modular components; architectural details are provided in Section 4.4.</w:t>
      </w:r>
    </w:p>
    <w:p w14:paraId="6B41B00E">
      <w:pPr>
        <w:pStyle w:val="5"/>
      </w:pPr>
      <w:bookmarkStart w:id="67" w:name="parameter-cost"/>
      <w:r>
        <w:t>4.10.1 Parameter Cost</w:t>
      </w:r>
    </w:p>
    <w:p w14:paraId="6DD4252C">
      <w:pPr>
        <w:pStyle w:val="23"/>
      </w:pPr>
      <w:r>
        <w:t xml:space="preserve">Let </w:t>
      </w:r>
      <m:oMath>
        <m:r>
          <m:rPr/>
          <m:t>d</m:t>
        </m:r>
      </m:oMath>
      <w:r>
        <w:t xml:space="preserve"> denote the hidden dimension, </w:t>
      </w:r>
      <m:oMath>
        <m:r>
          <m:rPr/>
          <m:t>C</m:t>
        </m:r>
      </m:oMath>
      <w:r>
        <w:t xml:space="preserve"> the number of output classes, and </w:t>
      </w:r>
      <m:oMath>
        <m:r>
          <m:rPr/>
          <m:t>K</m:t>
        </m:r>
        <m:r>
          <m:rPr>
            <m:sty m:val="p"/>
          </m:rPr>
          <m:t>=</m:t>
        </m:r>
        <m:r>
          <m:rPr/>
          <m:t>5</m:t>
        </m:r>
      </m:oMath>
      <w:r>
        <w:t xml:space="preserve"> the number of experts. RED employs a low-rank residual bottleneck of dimension </w:t>
      </w:r>
      <m:oMath>
        <m:r>
          <m:rPr/>
          <m:t>r</m:t>
        </m:r>
        <m:r>
          <m:rPr>
            <m:sty m:val="p"/>
          </m:rPr>
          <m:t>≪</m:t>
        </m:r>
        <m:r>
          <m:rPr/>
          <m:t>d</m:t>
        </m:r>
      </m:oMath>
      <w:r>
        <w:t>.</w:t>
      </w:r>
    </w:p>
    <w:tbl>
      <w:tblPr>
        <w:tblStyle w:val="41"/>
        <w:tblW w:w="5000" w:type="pct"/>
        <w:tblInd w:w="0" w:type="dxa"/>
        <w:tblLayout w:type="fixed"/>
        <w:tblCellMar>
          <w:top w:w="0" w:type="dxa"/>
          <w:left w:w="108" w:type="dxa"/>
          <w:bottom w:w="0" w:type="dxa"/>
          <w:right w:w="108" w:type="dxa"/>
        </w:tblCellMar>
      </w:tblPr>
      <w:tblGrid>
        <w:gridCol w:w="1446"/>
        <w:gridCol w:w="6145"/>
        <w:gridCol w:w="1265"/>
      </w:tblGrid>
      <w:tr w14:paraId="266D3C1D">
        <w:tblPrEx>
          <w:tblCellMar>
            <w:top w:w="0" w:type="dxa"/>
            <w:left w:w="108" w:type="dxa"/>
            <w:bottom w:w="0" w:type="dxa"/>
            <w:right w:w="108" w:type="dxa"/>
          </w:tblCellMar>
        </w:tblPrEx>
        <w:trPr>
          <w:tblHeader/>
        </w:trPr>
        <w:tc>
          <w:p w14:paraId="53A4F7AC">
            <w:pPr>
              <w:pStyle w:val="24"/>
            </w:pPr>
            <w:r>
              <w:t>Method</w:t>
            </w:r>
          </w:p>
        </w:tc>
        <w:tc>
          <w:p w14:paraId="49E32FE9">
            <w:pPr>
              <w:pStyle w:val="24"/>
            </w:pPr>
            <w:r>
              <w:t>Parameter Cost (beyond backbone)</w:t>
            </w:r>
          </w:p>
        </w:tc>
        <w:tc>
          <w:p w14:paraId="0D2E8709">
            <w:pPr>
              <w:pStyle w:val="24"/>
            </w:pPr>
            <w:r>
              <w:t>Notes</w:t>
            </w:r>
          </w:p>
        </w:tc>
      </w:tr>
      <w:tr w14:paraId="460D2744">
        <w:tblPrEx>
          <w:tblCellMar>
            <w:top w:w="0" w:type="dxa"/>
            <w:left w:w="108" w:type="dxa"/>
            <w:bottom w:w="0" w:type="dxa"/>
            <w:right w:w="108" w:type="dxa"/>
          </w:tblCellMar>
        </w:tblPrEx>
        <w:tc>
          <w:p w14:paraId="279E4D04">
            <w:pPr>
              <w:pStyle w:val="24"/>
            </w:pPr>
            <w:r>
              <w:t>Global Head</w:t>
            </w:r>
          </w:p>
        </w:tc>
        <w:tc>
          <w:p w14:paraId="2BBCA6D7">
            <w:pPr>
              <w:pStyle w:val="24"/>
            </w:pPr>
            <m:oMathPara>
              <m:oMath>
                <m:r>
                  <m:rPr/>
                  <m:t>O</m:t>
                </m:r>
                <m:r>
                  <m:rPr>
                    <m:sty m:val="p"/>
                  </m:rPr>
                  <m:t>(</m:t>
                </m:r>
                <m:r>
                  <m:rPr/>
                  <m:t>dC</m:t>
                </m:r>
                <m:r>
                  <m:rPr>
                    <m:sty m:val="p"/>
                  </m:rPr>
                  <m:t>)</m:t>
                </m:r>
              </m:oMath>
            </m:oMathPara>
          </w:p>
        </w:tc>
        <w:tc>
          <w:p w14:paraId="1828B036">
            <w:pPr>
              <w:pStyle w:val="24"/>
            </w:pPr>
            <w:r>
              <w:t>single classifier</w:t>
            </w:r>
          </w:p>
        </w:tc>
      </w:tr>
      <w:tr w14:paraId="33BDFF93">
        <w:tblPrEx>
          <w:tblCellMar>
            <w:top w:w="0" w:type="dxa"/>
            <w:left w:w="108" w:type="dxa"/>
            <w:bottom w:w="0" w:type="dxa"/>
            <w:right w:w="108" w:type="dxa"/>
          </w:tblCellMar>
        </w:tblPrEx>
        <w:tc>
          <w:p w14:paraId="4D02B04F">
            <w:pPr>
              <w:pStyle w:val="24"/>
            </w:pPr>
            <w:r>
              <w:t>Uniform Avg</w:t>
            </w:r>
          </w:p>
        </w:tc>
        <w:tc>
          <w:p w14:paraId="05727211">
            <w:pPr>
              <w:pStyle w:val="24"/>
            </w:pPr>
            <m:oMathPara>
              <m:oMath>
                <m:r>
                  <m:rPr/>
                  <m:t>O</m:t>
                </m:r>
                <m:r>
                  <m:rPr>
                    <m:sty m:val="p"/>
                  </m:rPr>
                  <m:t>(</m:t>
                </m:r>
                <m:r>
                  <m:rPr/>
                  <m:t>KdC</m:t>
                </m:r>
                <m:r>
                  <m:rPr>
                    <m:sty m:val="p"/>
                  </m:rPr>
                  <m:t>)</m:t>
                </m:r>
              </m:oMath>
            </m:oMathPara>
          </w:p>
        </w:tc>
        <w:tc>
          <w:p w14:paraId="7CD2A404">
            <w:pPr>
              <w:pStyle w:val="24"/>
            </w:pPr>
            <m:oMath>
              <m:r>
                <m:rPr/>
                <m:t>K</m:t>
              </m:r>
            </m:oMath>
            <w:r>
              <w:t xml:space="preserve"> independent heads</w:t>
            </w:r>
          </w:p>
        </w:tc>
      </w:tr>
      <w:tr w14:paraId="0C5D4BE4">
        <w:tblPrEx>
          <w:tblCellMar>
            <w:top w:w="0" w:type="dxa"/>
            <w:left w:w="108" w:type="dxa"/>
            <w:bottom w:w="0" w:type="dxa"/>
            <w:right w:w="108" w:type="dxa"/>
          </w:tblCellMar>
        </w:tblPrEx>
        <w:tc>
          <w:p w14:paraId="3B229295">
            <w:pPr>
              <w:pStyle w:val="24"/>
            </w:pPr>
            <w:r>
              <w:t>MoE (no residual)</w:t>
            </w:r>
          </w:p>
        </w:tc>
        <w:tc>
          <w:p w14:paraId="283EED31">
            <w:pPr>
              <w:pStyle w:val="24"/>
            </w:pPr>
            <m:oMathPara>
              <m:oMath>
                <m:r>
                  <m:rPr/>
                  <m:t>O</m:t>
                </m:r>
                <m:r>
                  <m:rPr>
                    <m:sty m:val="p"/>
                  </m:rPr>
                  <m:t>(</m:t>
                </m:r>
                <m:r>
                  <m:rPr/>
                  <m:t>KdC</m:t>
                </m:r>
                <m:r>
                  <m:rPr>
                    <m:sty m:val="p"/>
                  </m:rPr>
                  <m:t>)+</m:t>
                </m:r>
                <m:r>
                  <m:rPr/>
                  <m:t>O</m:t>
                </m:r>
                <m:r>
                  <m:rPr>
                    <m:sty m:val="p"/>
                  </m:rPr>
                  <m:t>(</m:t>
                </m:r>
                <m:r>
                  <m:rPr/>
                  <m:t>Kd</m:t>
                </m:r>
                <m:r>
                  <m:rPr>
                    <m:sty m:val="p"/>
                  </m:rPr>
                  <m:t>)</m:t>
                </m:r>
              </m:oMath>
            </m:oMathPara>
          </w:p>
        </w:tc>
        <w:tc>
          <w:p w14:paraId="37CE89E9">
            <w:pPr>
              <w:pStyle w:val="24"/>
            </w:pPr>
            <w:r>
              <w:t>full-rank experts + router</w:t>
            </w:r>
          </w:p>
        </w:tc>
      </w:tr>
      <w:tr w14:paraId="51074792">
        <w:tblPrEx>
          <w:tblCellMar>
            <w:top w:w="0" w:type="dxa"/>
            <w:left w:w="108" w:type="dxa"/>
            <w:bottom w:w="0" w:type="dxa"/>
            <w:right w:w="108" w:type="dxa"/>
          </w:tblCellMar>
        </w:tblPrEx>
        <w:tc>
          <w:p w14:paraId="4F330270">
            <w:pPr>
              <w:pStyle w:val="24"/>
            </w:pPr>
            <w:r>
              <w:rPr>
                <w:b/>
                <w:bCs/>
              </w:rPr>
              <w:t>RED (Ours)</w:t>
            </w:r>
          </w:p>
        </w:tc>
        <w:tc>
          <w:p w14:paraId="18185A19">
            <w:pPr>
              <w:pStyle w:val="24"/>
            </w:pPr>
            <m:oMathPara>
              <m:oMath>
                <m:r>
                  <m:rPr/>
                  <m:t>O</m:t>
                </m:r>
                <m:r>
                  <m:rPr>
                    <m:sty m:val="p"/>
                  </m:rPr>
                  <m:t>(</m:t>
                </m:r>
                <m:r>
                  <m:rPr/>
                  <m:t>K</m:t>
                </m:r>
                <m:r>
                  <m:rPr>
                    <m:sty m:val="p"/>
                  </m:rPr>
                  <m:t>(</m:t>
                </m:r>
                <m:r>
                  <m:rPr/>
                  <m:t>dr</m:t>
                </m:r>
                <m:r>
                  <m:rPr>
                    <m:sty m:val="p"/>
                  </m:rPr>
                  <m:t>+</m:t>
                </m:r>
                <m:r>
                  <m:rPr/>
                  <m:t>rC</m:t>
                </m:r>
                <m:r>
                  <m:rPr>
                    <m:sty m:val="p"/>
                  </m:rPr>
                  <m:t>))+</m:t>
                </m:r>
                <m:r>
                  <m:rPr/>
                  <m:t>O</m:t>
                </m:r>
                <m:r>
                  <m:rPr>
                    <m:sty m:val="p"/>
                  </m:rPr>
                  <m:t>(</m:t>
                </m:r>
                <m:r>
                  <m:rPr/>
                  <m:t>Kd</m:t>
                </m:r>
                <m:r>
                  <m:rPr>
                    <m:sty m:val="p"/>
                  </m:rPr>
                  <m:t>)</m:t>
                </m:r>
              </m:oMath>
            </m:oMathPara>
          </w:p>
        </w:tc>
        <w:tc>
          <w:p w14:paraId="2554E100">
            <w:pPr>
              <w:pStyle w:val="24"/>
            </w:pPr>
            <w:r>
              <w:t>low-rank experts + router</w:t>
            </w:r>
          </w:p>
        </w:tc>
      </w:tr>
    </w:tbl>
    <w:p w14:paraId="7DE1C2F2">
      <w:pPr>
        <w:pStyle w:val="3"/>
      </w:pPr>
      <w:r>
        <w:rPr>
          <w:b/>
          <w:bCs/>
        </w:rPr>
        <w:t>Interpretation</w:t>
      </w:r>
    </w:p>
    <w:p w14:paraId="0E98199C">
      <w:pPr>
        <w:pStyle w:val="3"/>
      </w:pPr>
      <w:r>
        <w:t xml:space="preserve">Because </w:t>
      </w:r>
      <m:oMath>
        <m:r>
          <m:rPr/>
          <m:t>r</m:t>
        </m:r>
        <m:r>
          <m:rPr>
            <m:sty m:val="p"/>
          </m:rPr>
          <m:t>≪</m:t>
        </m:r>
        <m:r>
          <m:rPr/>
          <m:t>d</m:t>
        </m:r>
      </m:oMath>
      <w:r>
        <w:t xml:space="preserve">, RED reduces parameter count by </w:t>
      </w:r>
      <w:r>
        <w:rPr>
          <w:b/>
          <w:bCs/>
        </w:rPr>
        <w:t>1–2 orders of magnitude</w:t>
      </w:r>
      <w:r>
        <w:t xml:space="preserve"> compared with full-rank MoE experts, making it the most parameter-efficient multi-expert design.</w:t>
      </w:r>
    </w:p>
    <w:bookmarkEnd w:id="67"/>
    <w:p w14:paraId="700F2039">
      <w:pPr>
        <w:pStyle w:val="5"/>
      </w:pPr>
      <w:bookmarkStart w:id="68" w:name="inference-flops"/>
      <w:r>
        <w:t>4.10.2 Inference FLOPs</w:t>
      </w:r>
    </w:p>
    <w:p w14:paraId="1E0844D9">
      <w:pPr>
        <w:pStyle w:val="23"/>
      </w:pPr>
      <w:r>
        <w:t>All architectures share the same backbone forward pass; thus, only additional FLOPs are compared.</w:t>
      </w:r>
    </w:p>
    <w:tbl>
      <w:tblPr>
        <w:tblStyle w:val="41"/>
        <w:tblW w:w="0" w:type="auto"/>
        <w:tblInd w:w="0" w:type="dxa"/>
        <w:tblLayout w:type="autofit"/>
        <w:tblCellMar>
          <w:top w:w="0" w:type="dxa"/>
          <w:left w:w="108" w:type="dxa"/>
          <w:bottom w:w="0" w:type="dxa"/>
          <w:right w:w="108" w:type="dxa"/>
        </w:tblCellMar>
      </w:tblPr>
      <w:tblGrid>
        <w:gridCol w:w="2111"/>
        <w:gridCol w:w="1590"/>
        <w:gridCol w:w="3485"/>
      </w:tblGrid>
      <w:tr w14:paraId="287E3B1E">
        <w:tblPrEx>
          <w:tblCellMar>
            <w:top w:w="0" w:type="dxa"/>
            <w:left w:w="108" w:type="dxa"/>
            <w:bottom w:w="0" w:type="dxa"/>
            <w:right w:w="108" w:type="dxa"/>
          </w:tblCellMar>
        </w:tblPrEx>
        <w:trPr>
          <w:tblHeader/>
        </w:trPr>
        <w:tc>
          <w:p w14:paraId="7EA9EFA5">
            <w:pPr>
              <w:pStyle w:val="24"/>
            </w:pPr>
            <w:r>
              <w:t>Method</w:t>
            </w:r>
          </w:p>
        </w:tc>
        <w:tc>
          <w:p w14:paraId="698D264F">
            <w:pPr>
              <w:pStyle w:val="24"/>
            </w:pPr>
            <w:r>
              <w:t>Extra FLOPs</w:t>
            </w:r>
          </w:p>
        </w:tc>
        <w:tc>
          <w:p w14:paraId="5A2FAAA7">
            <w:pPr>
              <w:pStyle w:val="24"/>
            </w:pPr>
            <w:r>
              <w:t>Explanation</w:t>
            </w:r>
          </w:p>
        </w:tc>
      </w:tr>
      <w:tr w14:paraId="1E7C6CF1">
        <w:tblPrEx>
          <w:tblCellMar>
            <w:top w:w="0" w:type="dxa"/>
            <w:left w:w="108" w:type="dxa"/>
            <w:bottom w:w="0" w:type="dxa"/>
            <w:right w:w="108" w:type="dxa"/>
          </w:tblCellMar>
        </w:tblPrEx>
        <w:tc>
          <w:p w14:paraId="0E7E60F5">
            <w:pPr>
              <w:pStyle w:val="24"/>
            </w:pPr>
            <w:r>
              <w:t>Global Head</w:t>
            </w:r>
          </w:p>
        </w:tc>
        <w:tc>
          <w:p w14:paraId="42ECB692">
            <w:pPr>
              <w:pStyle w:val="24"/>
            </w:pPr>
            <w:r>
              <w:t>negligible</w:t>
            </w:r>
          </w:p>
        </w:tc>
        <w:tc>
          <w:p w14:paraId="46D5EBA3">
            <w:pPr>
              <w:pStyle w:val="24"/>
            </w:pPr>
            <w:r>
              <w:t>single linear projection</w:t>
            </w:r>
          </w:p>
        </w:tc>
      </w:tr>
      <w:tr w14:paraId="7D941E7B">
        <w:tblPrEx>
          <w:tblCellMar>
            <w:top w:w="0" w:type="dxa"/>
            <w:left w:w="108" w:type="dxa"/>
            <w:bottom w:w="0" w:type="dxa"/>
            <w:right w:w="108" w:type="dxa"/>
          </w:tblCellMar>
        </w:tblPrEx>
        <w:tc>
          <w:p w14:paraId="1F97EF19">
            <w:pPr>
              <w:pStyle w:val="24"/>
            </w:pPr>
            <w:r>
              <w:t>Uniform Avg</w:t>
            </w:r>
          </w:p>
        </w:tc>
        <w:tc>
          <w:p w14:paraId="6121F341">
            <w:pPr>
              <w:pStyle w:val="24"/>
            </w:pPr>
            <w:r>
              <w:t>very low</w:t>
            </w:r>
          </w:p>
        </w:tc>
        <w:tc>
          <w:p w14:paraId="05843EBF">
            <w:pPr>
              <w:pStyle w:val="24"/>
            </w:pPr>
            <m:oMath>
              <m:r>
                <m:rPr/>
                <m:t>K</m:t>
              </m:r>
            </m:oMath>
            <w:r>
              <w:t xml:space="preserve"> classifiers</w:t>
            </w:r>
          </w:p>
        </w:tc>
      </w:tr>
      <w:tr w14:paraId="3DAB34B0">
        <w:tblPrEx>
          <w:tblCellMar>
            <w:top w:w="0" w:type="dxa"/>
            <w:left w:w="108" w:type="dxa"/>
            <w:bottom w:w="0" w:type="dxa"/>
            <w:right w:w="108" w:type="dxa"/>
          </w:tblCellMar>
        </w:tblPrEx>
        <w:tc>
          <w:p w14:paraId="4E99D1D8">
            <w:pPr>
              <w:pStyle w:val="24"/>
            </w:pPr>
            <w:r>
              <w:t>MoE (no residual)</w:t>
            </w:r>
          </w:p>
        </w:tc>
        <w:tc>
          <w:p w14:paraId="3A8E1207">
            <w:pPr>
              <w:pStyle w:val="24"/>
            </w:pPr>
            <w:r>
              <w:t>low</w:t>
            </w:r>
          </w:p>
        </w:tc>
        <w:tc>
          <w:p w14:paraId="1F9A5053">
            <w:pPr>
              <w:pStyle w:val="24"/>
            </w:pPr>
            <m:oMath>
              <m:r>
                <m:rPr/>
                <m:t>K</m:t>
              </m:r>
            </m:oMath>
            <w:r>
              <w:t xml:space="preserve"> full-rank heads + router</w:t>
            </w:r>
          </w:p>
        </w:tc>
      </w:tr>
      <w:tr w14:paraId="01E13D80">
        <w:tblPrEx>
          <w:tblCellMar>
            <w:top w:w="0" w:type="dxa"/>
            <w:left w:w="108" w:type="dxa"/>
            <w:bottom w:w="0" w:type="dxa"/>
            <w:right w:w="108" w:type="dxa"/>
          </w:tblCellMar>
        </w:tblPrEx>
        <w:tc>
          <w:p w14:paraId="69A38FF5">
            <w:pPr>
              <w:pStyle w:val="24"/>
            </w:pPr>
            <w:r>
              <w:rPr>
                <w:b/>
                <w:bCs/>
              </w:rPr>
              <w:t>RED (Ours)</w:t>
            </w:r>
          </w:p>
        </w:tc>
        <w:tc>
          <w:p w14:paraId="5C698524">
            <w:pPr>
              <w:pStyle w:val="24"/>
            </w:pPr>
            <w:r>
              <w:t>low–medium</w:t>
            </w:r>
          </w:p>
        </w:tc>
        <w:tc>
          <w:p w14:paraId="57A5E8C4">
            <w:pPr>
              <w:pStyle w:val="24"/>
            </w:pPr>
            <m:oMath>
              <m:r>
                <m:rPr/>
                <m:t>K</m:t>
              </m:r>
            </m:oMath>
            <w:r>
              <w:t xml:space="preserve"> low-rank projections + router</w:t>
            </w:r>
          </w:p>
        </w:tc>
      </w:tr>
    </w:tbl>
    <w:p w14:paraId="4443FACA">
      <w:pPr>
        <w:pStyle w:val="3"/>
      </w:pPr>
      <w:r>
        <w:rPr>
          <w:b/>
          <w:bCs/>
        </w:rPr>
        <w:t>Interpretation</w:t>
      </w:r>
    </w:p>
    <w:p w14:paraId="14C80085">
      <w:pPr>
        <w:pStyle w:val="3"/>
      </w:pPr>
      <w:r>
        <w:t>RED’s overhead stems mainly from low-rank projections, which are significantly cheaper than MoE’s full-rank heads. Router computation contributes less than 0.5% of backbone FLOPs.</w:t>
      </w:r>
    </w:p>
    <w:bookmarkEnd w:id="68"/>
    <w:p w14:paraId="62B66BC6">
      <w:pPr>
        <w:pStyle w:val="5"/>
      </w:pPr>
      <w:bookmarkStart w:id="69" w:name="memory-footprint"/>
      <w:r>
        <w:t>4.10.3 Memory Footprint</w:t>
      </w:r>
    </w:p>
    <w:p w14:paraId="5F96ED6E">
      <w:pPr>
        <w:pStyle w:val="23"/>
      </w:pPr>
      <w:r>
        <w:t>During training and inference:</w:t>
      </w:r>
    </w:p>
    <w:p w14:paraId="07305579">
      <w:pPr>
        <w:pStyle w:val="24"/>
        <w:numPr>
          <w:ilvl w:val="0"/>
          <w:numId w:val="2"/>
        </w:numPr>
      </w:pPr>
      <w:r>
        <w:t>Only the top two backbone layers are unfrozen.</w:t>
      </w:r>
    </w:p>
    <w:p w14:paraId="2404E070">
      <w:pPr>
        <w:pStyle w:val="24"/>
        <w:numPr>
          <w:ilvl w:val="0"/>
          <w:numId w:val="2"/>
        </w:numPr>
      </w:pPr>
      <w:r>
        <w:t>Expert modules remain lightweight even under multi-expert settings.</w:t>
      </w:r>
    </w:p>
    <w:p w14:paraId="3B8DC63D">
      <w:pPr>
        <w:pStyle w:val="24"/>
        <w:numPr>
          <w:ilvl w:val="0"/>
          <w:numId w:val="2"/>
        </w:numPr>
      </w:pPr>
      <w:r>
        <w:t>The router operates solely on pooled embeddings.</w:t>
      </w:r>
    </w:p>
    <w:p w14:paraId="2CC54DDF">
      <w:pPr>
        <w:pStyle w:val="23"/>
      </w:pPr>
      <w:r>
        <w:rPr>
          <w:b/>
          <w:bCs/>
        </w:rPr>
        <w:t>Peak VRAM usage</w:t>
      </w:r>
      <w:r>
        <w:t xml:space="preserve"> on an RTX 3060 Ti (8 GB): </w:t>
      </w:r>
      <w:r>
        <w:rPr>
          <w:b/>
          <w:bCs/>
        </w:rPr>
        <w:t>&lt; 6.5 GB</w:t>
      </w:r>
      <w:r>
        <w:t>, with no requirement for tensor parallelism or activation checkpointing.</w:t>
      </w:r>
    </w:p>
    <w:bookmarkEnd w:id="69"/>
    <w:p w14:paraId="39475559">
      <w:pPr>
        <w:pStyle w:val="5"/>
      </w:pPr>
      <w:bookmarkStart w:id="70" w:name="summary-5"/>
      <w:r>
        <w:t>4.10.4 Summary</w:t>
      </w:r>
    </w:p>
    <w:p w14:paraId="125D7F08">
      <w:pPr>
        <w:pStyle w:val="23"/>
      </w:pPr>
      <w:r>
        <w:t>The complexity analysis demonstrates that:</w:t>
      </w:r>
    </w:p>
    <w:p w14:paraId="447DF594">
      <w:pPr>
        <w:pStyle w:val="24"/>
        <w:numPr>
          <w:ilvl w:val="0"/>
          <w:numId w:val="10"/>
        </w:numPr>
      </w:pPr>
      <w:r>
        <w:rPr>
          <w:b/>
          <w:bCs/>
        </w:rPr>
        <w:t>RED achieves the best accuracy–efficiency tradeoff</w:t>
      </w:r>
      <w:r>
        <w:t xml:space="preserve"> among all multi-expert models.</w:t>
      </w:r>
      <w:r>
        <w:br w:type="textWrapping"/>
      </w:r>
    </w:p>
    <w:p w14:paraId="7DF5B507">
      <w:pPr>
        <w:pStyle w:val="24"/>
        <w:numPr>
          <w:ilvl w:val="0"/>
          <w:numId w:val="10"/>
        </w:numPr>
      </w:pPr>
      <w:r>
        <w:rPr>
          <w:b/>
          <w:bCs/>
        </w:rPr>
        <w:t>Low-rank residual experts</w:t>
      </w:r>
      <w:r>
        <w:t xml:space="preserve"> significantly reduce parameter count relative to MoE.</w:t>
      </w:r>
      <w:r>
        <w:br w:type="textWrapping"/>
      </w:r>
    </w:p>
    <w:p w14:paraId="067C138C">
      <w:pPr>
        <w:pStyle w:val="24"/>
        <w:numPr>
          <w:ilvl w:val="0"/>
          <w:numId w:val="10"/>
        </w:numPr>
      </w:pPr>
      <w:r>
        <w:rPr>
          <w:b/>
          <w:bCs/>
        </w:rPr>
        <w:t>Inference overhead is small</w:t>
      </w:r>
      <w:r>
        <w:t>, maintaining efficiency while improving stability.</w:t>
      </w:r>
      <w:r>
        <w:br w:type="textWrapping"/>
      </w:r>
    </w:p>
    <w:p w14:paraId="585AEF3B">
      <w:pPr>
        <w:pStyle w:val="24"/>
        <w:numPr>
          <w:ilvl w:val="0"/>
          <w:numId w:val="10"/>
        </w:numPr>
      </w:pPr>
      <w:r>
        <w:rPr>
          <w:b/>
          <w:bCs/>
        </w:rPr>
        <w:t>Memory use remains modest</w:t>
      </w:r>
      <w:r>
        <w:t>, enabling deployment on commodity GPUs.</w:t>
      </w:r>
    </w:p>
    <w:p w14:paraId="5613FD13">
      <w:pPr>
        <w:pStyle w:val="23"/>
      </w:pPr>
      <w:r>
        <w:t>Overall, RED is an efficient and scalable alternative to classical MoE, delivering strong performance while maintaining low computational cost.</w:t>
      </w:r>
    </w:p>
    <w:bookmarkEnd w:id="66"/>
    <w:bookmarkEnd w:id="70"/>
    <w:p w14:paraId="33EF8435">
      <w:pPr>
        <w:pStyle w:val="4"/>
      </w:pPr>
      <w:bookmarkStart w:id="71" w:name="X8d2873a150f3c5992c403bf1078e00b9ebb9d8c"/>
      <w:r>
        <w:t>4.11 Case Study: Modular Reasoning Behavior of RED</w:t>
      </w:r>
    </w:p>
    <w:p w14:paraId="1AA04CC2">
      <w:pPr>
        <w:pStyle w:val="23"/>
      </w:pPr>
      <w:r>
        <w:t>This section provides qualitative analyses illustrating how RED performs end-to-end modular reasoning. Unlike the execution experiments in Section 4.8, which rely on externally provided step decomposition, the examples here reflect the behavior of the full model when it must infer structure implicitly.</w:t>
      </w:r>
    </w:p>
    <w:p w14:paraId="0BB06937">
      <w:pPr>
        <w:pStyle w:val="3"/>
      </w:pPr>
      <w:r>
        <w:t>Each case reports router weights, dominant expert contributions, and RED’s final output. Architectural details are omitted, as they have been presented earlier.</w:t>
      </w:r>
    </w:p>
    <w:p w14:paraId="1A76B60F">
      <w:pPr>
        <w:pStyle w:val="5"/>
      </w:pPr>
      <w:bookmarkStart w:id="72" w:name="example-1-high-range-addition"/>
      <w:r>
        <w:t>Example 1 — High-Range Addition</w:t>
      </w:r>
    </w:p>
    <w:p w14:paraId="14288AEC">
      <w:pPr>
        <w:pStyle w:val="23"/>
      </w:pPr>
      <w:r>
        <w:rPr>
          <w:b/>
          <w:bCs/>
        </w:rPr>
        <w:t>Query:</w:t>
      </w:r>
      <w:r>
        <w:t xml:space="preserve"> “What is 47 plus 38?”</w:t>
      </w:r>
      <w:r>
        <w:br w:type="textWrapping"/>
      </w:r>
      <w:r>
        <w:rPr>
          <w:b/>
          <w:bCs/>
        </w:rPr>
        <w:t>Ground truth:</w:t>
      </w:r>
      <w:r>
        <w:t xml:space="preserve"> 85 (range </w:t>
      </w:r>
      <m:oMath>
        <m:sSub>
          <m:sSubPr/>
          <m:e>
            <m:r>
              <m:rPr/>
              <m:t>R</m:t>
            </m:r>
          </m:e>
          <m:sub>
            <m:r>
              <m:rPr/>
              <m:t>5</m:t>
            </m:r>
          </m:sub>
        </m:sSub>
      </m:oMath>
      <w:r>
        <w:t>)</w:t>
      </w:r>
    </w:p>
    <w:p w14:paraId="79958C27">
      <w:pPr>
        <w:pStyle w:val="3"/>
      </w:pPr>
      <w:r>
        <w:rPr>
          <w:b/>
          <w:bCs/>
        </w:rPr>
        <w:t>Router weights</w:t>
      </w:r>
      <w:r>
        <w:t xml:space="preserve"> [ = [0.02,, 0.04,, 0.14,, 0.28,, 0.52] ]</w:t>
      </w:r>
    </w:p>
    <w:p w14:paraId="7E887E68">
      <w:pPr>
        <w:pStyle w:val="3"/>
      </w:pPr>
      <w:r>
        <w:rPr>
          <w:b/>
          <w:bCs/>
        </w:rPr>
        <w:t>Behavior</w:t>
      </w:r>
      <w:r>
        <w:t xml:space="preserve"> - Expert 5 receives the largest weight, consistent with the output range. - Experts 3 and 4 provide stabilizing residual contributions. - Final prediction: </w:t>
      </w:r>
      <w:r>
        <w:rPr>
          <w:b/>
          <w:bCs/>
        </w:rPr>
        <w:t>85</w:t>
      </w:r>
      <w:r>
        <w:t>.</w:t>
      </w:r>
    </w:p>
    <w:p w14:paraId="766294D9">
      <w:pPr>
        <w:pStyle w:val="3"/>
      </w:pPr>
      <w:r>
        <w:rPr>
          <w:b/>
          <w:bCs/>
        </w:rPr>
        <w:t>Insight:</w:t>
      </w:r>
      <w:r>
        <w:t xml:space="preserve"> RED’s residual mixing supports stable high-range predictions.</w:t>
      </w:r>
    </w:p>
    <w:bookmarkEnd w:id="72"/>
    <w:p w14:paraId="0A245B1D">
      <w:pPr>
        <w:pStyle w:val="5"/>
      </w:pPr>
      <w:bookmarkStart w:id="73" w:name="example-2-mid-range-addition"/>
      <w:r>
        <w:t>Example 2 — Mid-Range Addition</w:t>
      </w:r>
    </w:p>
    <w:p w14:paraId="6E2CA1AA">
      <w:pPr>
        <w:pStyle w:val="23"/>
      </w:pPr>
      <w:r>
        <w:rPr>
          <w:b/>
          <w:bCs/>
        </w:rPr>
        <w:t>Query:</w:t>
      </w:r>
      <w:r>
        <w:t xml:space="preserve"> “What is 32 plus 19?”</w:t>
      </w:r>
      <w:r>
        <w:br w:type="textWrapping"/>
      </w:r>
      <w:r>
        <w:rPr>
          <w:b/>
          <w:bCs/>
        </w:rPr>
        <w:t>Ground truth:</w:t>
      </w:r>
      <w:r>
        <w:t xml:space="preserve"> 51 (range </w:t>
      </w:r>
      <m:oMath>
        <m:sSub>
          <m:sSubPr/>
          <m:e>
            <m:r>
              <m:rPr/>
              <m:t>R</m:t>
            </m:r>
          </m:e>
          <m:sub>
            <m:r>
              <m:rPr/>
              <m:t>3</m:t>
            </m:r>
          </m:sub>
        </m:sSub>
      </m:oMath>
      <w:r>
        <w:t>)</w:t>
      </w:r>
    </w:p>
    <w:p w14:paraId="6C9BC3D9">
      <w:pPr>
        <w:pStyle w:val="3"/>
      </w:pPr>
      <w:r>
        <w:rPr>
          <w:b/>
          <w:bCs/>
        </w:rPr>
        <w:t>Router weights</w:t>
      </w:r>
      <w:r>
        <w:t xml:space="preserve"> [ = [0.03,, 0.06,, 0.67,, 0.16,, 0.08] ]</w:t>
      </w:r>
    </w:p>
    <w:p w14:paraId="7BFCCE7C">
      <w:pPr>
        <w:pStyle w:val="3"/>
      </w:pPr>
      <w:r>
        <w:rPr>
          <w:b/>
          <w:bCs/>
        </w:rPr>
        <w:t>Behavior</w:t>
      </w:r>
      <w:r>
        <w:t xml:space="preserve"> - Expert 3 dominates, matching the target range. - Adjacent experts contribute corrective residual signals. - Final prediction: </w:t>
      </w:r>
      <w:r>
        <w:rPr>
          <w:b/>
          <w:bCs/>
        </w:rPr>
        <w:t>51</w:t>
      </w:r>
      <w:r>
        <w:t>.</w:t>
      </w:r>
    </w:p>
    <w:p w14:paraId="3B00BE6A">
      <w:pPr>
        <w:pStyle w:val="3"/>
      </w:pPr>
      <w:r>
        <w:rPr>
          <w:b/>
          <w:bCs/>
        </w:rPr>
        <w:t>Insight:</w:t>
      </w:r>
      <w:r>
        <w:t xml:space="preserve"> RED transitions smoothly across neighboring ranges, avoiding the discontinuities observed in classical MoE.</w:t>
      </w:r>
    </w:p>
    <w:bookmarkEnd w:id="73"/>
    <w:p w14:paraId="08F11D29">
      <w:pPr>
        <w:pStyle w:val="5"/>
      </w:pPr>
      <w:bookmarkStart w:id="74" w:name="example-3-mixed-arithmetic"/>
      <w:r>
        <w:t>Example 3 — Mixed Arithmetic</w:t>
      </w:r>
    </w:p>
    <w:p w14:paraId="570E35F7">
      <w:pPr>
        <w:pStyle w:val="23"/>
      </w:pPr>
      <w:r>
        <w:rPr>
          <w:b/>
          <w:bCs/>
        </w:rPr>
        <w:t>Query:</w:t>
      </w:r>
      <w:r>
        <w:t xml:space="preserve"> “What is 18 plus 7 minus 3?”</w:t>
      </w:r>
      <w:r>
        <w:br w:type="textWrapping"/>
      </w:r>
      <w:r>
        <w:rPr>
          <w:b/>
          <w:bCs/>
        </w:rPr>
        <w:t>Ground truth:</w:t>
      </w:r>
      <w:r>
        <w:t xml:space="preserve"> 22 (range </w:t>
      </w:r>
      <m:oMath>
        <m:sSub>
          <m:sSubPr/>
          <m:e>
            <m:r>
              <m:rPr/>
              <m:t>R</m:t>
            </m:r>
          </m:e>
          <m:sub>
            <m:r>
              <m:rPr/>
              <m:t>2</m:t>
            </m:r>
          </m:sub>
        </m:sSub>
      </m:oMath>
      <w:r>
        <w:t>)</w:t>
      </w:r>
    </w:p>
    <w:p w14:paraId="784A83A7">
      <w:pPr>
        <w:pStyle w:val="3"/>
      </w:pPr>
      <w:r>
        <w:rPr>
          <w:b/>
          <w:bCs/>
        </w:rPr>
        <w:t>Router weights</w:t>
      </w:r>
      <w:r>
        <w:t xml:space="preserve"> [ = [0.10,, 0.62,, 0.18,, 0.06,, 0.04] ]</w:t>
      </w:r>
    </w:p>
    <w:p w14:paraId="0BF35489">
      <w:pPr>
        <w:pStyle w:val="3"/>
      </w:pPr>
      <w:r>
        <w:rPr>
          <w:b/>
          <w:bCs/>
        </w:rPr>
        <w:t>Behavior</w:t>
      </w:r>
      <w:r>
        <w:t xml:space="preserve"> - Expert 2 receives the primary weight. - Experts 1 and 3 add small corrective contributions. - Final prediction: </w:t>
      </w:r>
      <w:r>
        <w:rPr>
          <w:b/>
          <w:bCs/>
        </w:rPr>
        <w:t>22</w:t>
      </w:r>
      <w:r>
        <w:t>, despite the fact that experts were trained only on single-operation addition.</w:t>
      </w:r>
    </w:p>
    <w:p w14:paraId="6293773C">
      <w:pPr>
        <w:pStyle w:val="3"/>
      </w:pPr>
      <w:r>
        <w:rPr>
          <w:b/>
          <w:bCs/>
        </w:rPr>
        <w:t>Insight:</w:t>
      </w:r>
      <w:r>
        <w:t xml:space="preserve"> Residual recomposition enables generalization beyond the specific operator types seen during expert training.</w:t>
      </w:r>
    </w:p>
    <w:bookmarkEnd w:id="74"/>
    <w:p w14:paraId="5F409187">
      <w:pPr>
        <w:pStyle w:val="5"/>
      </w:pPr>
      <w:bookmarkStart w:id="75" w:name="example-4-boundary-case"/>
      <w:r>
        <w:t>Example 4 — Boundary Case</w:t>
      </w:r>
    </w:p>
    <w:p w14:paraId="29A83B26">
      <w:pPr>
        <w:pStyle w:val="23"/>
      </w:pPr>
      <w:r>
        <w:rPr>
          <w:b/>
          <w:bCs/>
        </w:rPr>
        <w:t>Query:</w:t>
      </w:r>
      <w:r>
        <w:t xml:space="preserve"> “What is 40 plus 1?”</w:t>
      </w:r>
      <w:r>
        <w:br w:type="textWrapping"/>
      </w:r>
      <w:r>
        <w:rPr>
          <w:b/>
          <w:bCs/>
        </w:rPr>
        <w:t>Ground truth:</w:t>
      </w:r>
      <w:r>
        <w:t xml:space="preserve"> 41 (boundary between </w:t>
      </w:r>
      <m:oMath>
        <m:sSub>
          <m:sSubPr/>
          <m:e>
            <m:r>
              <m:rPr/>
              <m:t>R</m:t>
            </m:r>
          </m:e>
          <m:sub>
            <m:r>
              <m:rPr/>
              <m:t>2</m:t>
            </m:r>
          </m:sub>
        </m:sSub>
      </m:oMath>
      <w:r>
        <w:t xml:space="preserve"> and </w:t>
      </w:r>
      <m:oMath>
        <m:sSub>
          <m:sSubPr/>
          <m:e>
            <m:r>
              <m:rPr/>
              <m:t>R</m:t>
            </m:r>
          </m:e>
          <m:sub>
            <m:r>
              <m:rPr/>
              <m:t>3</m:t>
            </m:r>
          </m:sub>
        </m:sSub>
      </m:oMath>
      <w:r>
        <w:t>)</w:t>
      </w:r>
    </w:p>
    <w:p w14:paraId="2B58B3EF">
      <w:pPr>
        <w:pStyle w:val="3"/>
      </w:pPr>
      <w:r>
        <w:rPr>
          <w:b/>
          <w:bCs/>
        </w:rPr>
        <w:t>Router weights</w:t>
      </w:r>
      <w:r>
        <w:t xml:space="preserve"> [ = [0.05,, 0.32,, 0.46,, 0.12,, 0.05] ]</w:t>
      </w:r>
    </w:p>
    <w:p w14:paraId="6449B705">
      <w:pPr>
        <w:pStyle w:val="3"/>
      </w:pPr>
      <w:r>
        <w:rPr>
          <w:b/>
          <w:bCs/>
        </w:rPr>
        <w:t>Behavior</w:t>
      </w:r>
      <w:r>
        <w:t xml:space="preserve"> - Experts 2 and 3 both contribute substantially. - RED outputs </w:t>
      </w:r>
      <w:r>
        <w:rPr>
          <w:b/>
          <w:bCs/>
        </w:rPr>
        <w:t>41</w:t>
      </w:r>
      <w:r>
        <w:t>, maintaining consistency across a range boundary.</w:t>
      </w:r>
    </w:p>
    <w:p w14:paraId="38AE663C">
      <w:pPr>
        <w:pStyle w:val="3"/>
      </w:pPr>
      <w:r>
        <w:rPr>
          <w:b/>
          <w:bCs/>
        </w:rPr>
        <w:t>Insight:</w:t>
      </w:r>
      <w:r>
        <w:t xml:space="preserve"> Residual routing prevents discontinuities and supports accurate predictions near numerical boundaries.</w:t>
      </w:r>
    </w:p>
    <w:bookmarkEnd w:id="75"/>
    <w:p w14:paraId="0C04ACBC">
      <w:pPr>
        <w:pStyle w:val="5"/>
      </w:pPr>
      <w:bookmarkStart w:id="76" w:name="summary-of-case-observations"/>
      <w:r>
        <w:t>Summary of Case Observations</w:t>
      </w:r>
    </w:p>
    <w:p w14:paraId="33270676">
      <w:pPr>
        <w:pStyle w:val="24"/>
        <w:numPr>
          <w:ilvl w:val="0"/>
          <w:numId w:val="11"/>
        </w:numPr>
      </w:pPr>
      <w:r>
        <w:rPr>
          <w:b/>
          <w:bCs/>
        </w:rPr>
        <w:t>Routing aligns with numerical structure</w:t>
      </w:r>
      <w:r>
        <w:t>, assigning highest weights to the appropriate experts.</w:t>
      </w:r>
    </w:p>
    <w:p w14:paraId="365B150A">
      <w:pPr>
        <w:pStyle w:val="24"/>
        <w:numPr>
          <w:ilvl w:val="0"/>
          <w:numId w:val="11"/>
        </w:numPr>
      </w:pPr>
      <w:r>
        <w:rPr>
          <w:b/>
          <w:bCs/>
        </w:rPr>
        <w:t>Residual pathways refine predictions</w:t>
      </w:r>
      <w:r>
        <w:t>, especially near boundaries.</w:t>
      </w:r>
    </w:p>
    <w:p w14:paraId="55B7532A">
      <w:pPr>
        <w:pStyle w:val="24"/>
        <w:numPr>
          <w:ilvl w:val="0"/>
          <w:numId w:val="11"/>
        </w:numPr>
      </w:pPr>
      <w:r>
        <w:rPr>
          <w:b/>
          <w:bCs/>
        </w:rPr>
        <w:t>Generalization to mixed operations</w:t>
      </w:r>
      <w:r>
        <w:t xml:space="preserve"> emerges despite experts being trained only on addition.</w:t>
      </w:r>
    </w:p>
    <w:p w14:paraId="328794CB">
      <w:pPr>
        <w:pStyle w:val="24"/>
        <w:numPr>
          <w:ilvl w:val="0"/>
          <w:numId w:val="11"/>
        </w:numPr>
      </w:pPr>
      <w:r>
        <w:rPr>
          <w:b/>
          <w:bCs/>
        </w:rPr>
        <w:t>Modular contributions are interpretable</w:t>
      </w:r>
      <w:r>
        <w:t>, with predictable, stable expert interactions.</w:t>
      </w:r>
    </w:p>
    <w:p w14:paraId="42E8759E">
      <w:pPr>
        <w:pStyle w:val="23"/>
      </w:pPr>
      <w:r>
        <w:t>These qualitative findings complement the quantitative results presented in Sections 4.6–4.9.</w:t>
      </w:r>
    </w:p>
    <w:bookmarkEnd w:id="71"/>
    <w:bookmarkEnd w:id="76"/>
    <w:p w14:paraId="7102A99A">
      <w:pPr>
        <w:pStyle w:val="4"/>
      </w:pPr>
      <w:bookmarkStart w:id="77" w:name="summary-6"/>
      <w:r>
        <w:t>4.12 Summary</w:t>
      </w:r>
    </w:p>
    <w:p w14:paraId="2777137B">
      <w:pPr>
        <w:pStyle w:val="23"/>
      </w:pPr>
      <w:r>
        <w:t>This section has presented a comprehensive empirical evaluation of the Residual Expert Decomposition (RED) framework across controlled arithmetic tasks. The results demonstrate that RED enables reliable modular reasoning through the coordinated interaction of a shared backbone, specialized experts, and a lightweight residual router.</w:t>
      </w:r>
    </w:p>
    <w:p w14:paraId="007D77E8">
      <w:pPr>
        <w:pStyle w:val="5"/>
      </w:pPr>
      <w:bookmarkStart w:id="78" w:name="key-findings-1"/>
      <w:r>
        <w:t>Key Findings</w:t>
      </w:r>
    </w:p>
    <w:p w14:paraId="3CCD923D">
      <w:pPr>
        <w:numPr>
          <w:ilvl w:val="0"/>
          <w:numId w:val="12"/>
        </w:numPr>
      </w:pPr>
      <w:r>
        <w:rPr>
          <w:b/>
          <w:bCs/>
        </w:rPr>
        <w:t>Stable and interpretable expert specialization</w:t>
      </w:r>
      <w:r>
        <w:br w:type="textWrapping"/>
      </w:r>
      <w:r>
        <w:t>Experts trained on distinct numerical intervals exhibit predictable behavior, enabling clear modular structure.</w:t>
      </w:r>
    </w:p>
    <w:p w14:paraId="5DCE9C89">
      <w:pPr>
        <w:numPr>
          <w:ilvl w:val="0"/>
          <w:numId w:val="12"/>
        </w:numPr>
      </w:pPr>
      <w:r>
        <w:rPr>
          <w:b/>
          <w:bCs/>
        </w:rPr>
        <w:t>Robust global recomposition via routing</w:t>
      </w:r>
      <w:r>
        <w:br w:type="textWrapping"/>
      </w:r>
      <w:r>
        <w:t>The router consistently selects appropriate experts, and the additive residual mechanism preserves model stability even in the presence of routing errors.</w:t>
      </w:r>
    </w:p>
    <w:p w14:paraId="06A16187">
      <w:pPr>
        <w:numPr>
          <w:ilvl w:val="0"/>
          <w:numId w:val="12"/>
        </w:numPr>
      </w:pPr>
      <w:r>
        <w:rPr>
          <w:b/>
          <w:bCs/>
        </w:rPr>
        <w:t>Residual integration enhances consistency</w:t>
      </w:r>
      <w:r>
        <w:br w:type="textWrapping"/>
      </w:r>
      <w:r>
        <w:t>Residual signals refine expert outputs smoothly, avoiding the volatility typically observed in classical MoE architectures.</w:t>
      </w:r>
    </w:p>
    <w:p w14:paraId="6F516BDA">
      <w:pPr>
        <w:numPr>
          <w:ilvl w:val="0"/>
          <w:numId w:val="12"/>
        </w:numPr>
      </w:pPr>
      <w:r>
        <w:rPr>
          <w:b/>
          <w:bCs/>
        </w:rPr>
        <w:t>Generalization across operators and tasks</w:t>
      </w:r>
      <w:r>
        <w:br w:type="textWrapping"/>
      </w:r>
      <w:r>
        <w:t>Although experts are trained only on addition, RED generalizes effectively to subtraction and multi-step expressions, highlighting its compositional robustness.</w:t>
      </w:r>
    </w:p>
    <w:bookmarkEnd w:id="78"/>
    <w:p w14:paraId="175219FB">
      <w:pPr>
        <w:pStyle w:val="5"/>
      </w:pPr>
      <w:bookmarkStart w:id="79" w:name="insight-from-section-4.8"/>
      <w:r>
        <w:t>Insight from Section 4.8</w:t>
      </w:r>
    </w:p>
    <w:p w14:paraId="58797EC8">
      <w:pPr>
        <w:pStyle w:val="23"/>
      </w:pPr>
      <w:r>
        <w:t xml:space="preserve">When supplied with a correct step decomposition, RED achieves </w:t>
      </w:r>
      <w:r>
        <w:rPr>
          <w:b/>
          <w:bCs/>
        </w:rPr>
        <w:t>near-perfect accuracy (&gt;0.99)</w:t>
      </w:r>
      <w:r>
        <w:t xml:space="preserve"> on multi-step arithmetic. This indicates that:</w:t>
      </w:r>
    </w:p>
    <w:p w14:paraId="088F2E7E">
      <w:pPr>
        <w:pStyle w:val="24"/>
        <w:numPr>
          <w:ilvl w:val="0"/>
          <w:numId w:val="2"/>
        </w:numPr>
      </w:pPr>
      <w:r>
        <w:rPr>
          <w:b/>
          <w:bCs/>
        </w:rPr>
        <w:t>expert execution is highly reliable</w:t>
      </w:r>
      <w:r>
        <w:t>, and</w:t>
      </w:r>
      <w:r>
        <w:br w:type="textWrapping"/>
      </w:r>
    </w:p>
    <w:p w14:paraId="2D26AD38">
      <w:pPr>
        <w:pStyle w:val="24"/>
        <w:numPr>
          <w:ilvl w:val="0"/>
          <w:numId w:val="2"/>
        </w:numPr>
      </w:pPr>
      <w:r>
        <w:rPr>
          <w:b/>
          <w:bCs/>
        </w:rPr>
        <w:t>errors in end-to-end RED arise primarily from structural inference</w:t>
      </w:r>
      <w:r>
        <w:t>, not from computational limitations of the expert modules.</w:t>
      </w:r>
    </w:p>
    <w:bookmarkEnd w:id="79"/>
    <w:p w14:paraId="441DA23C">
      <w:pPr>
        <w:pStyle w:val="5"/>
      </w:pPr>
      <w:bookmarkStart w:id="80" w:name="overall-conclusion-of-section-4"/>
      <w:r>
        <w:t>Overall Conclusion of Section 4</w:t>
      </w:r>
    </w:p>
    <w:p w14:paraId="2A8501C1">
      <w:pPr>
        <w:pStyle w:val="23"/>
      </w:pPr>
      <w:r>
        <w:t xml:space="preserve">Together, the results show that RED is a </w:t>
      </w:r>
      <w:r>
        <w:rPr>
          <w:b/>
          <w:bCs/>
        </w:rPr>
        <w:t>lightweight, interpretable, and computationally efficient modular reasoning framework</w:t>
      </w:r>
      <w:r>
        <w:t>. It preserves the benefits of expert specialization while providing stable and coherent global predictions. The combination of accuracy, robustness, and efficiency positions residual routing as a strong alternative to both uniform ensembling and classical Mixture-of-Experts.</w:t>
      </w:r>
    </w:p>
    <w:bookmarkEnd w:id="0"/>
    <w:bookmarkEnd w:id="77"/>
    <w:bookmarkEnd w:id="80"/>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ZWSimpleStroke"/>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Sitka Display">
    <w:panose1 w:val="00000000000000000000"/>
    <w:charset w:val="00"/>
    <w:family w:val="auto"/>
    <w:pitch w:val="default"/>
    <w:sig w:usb0="A00002EF" w:usb1="4000204B" w:usb2="00000000" w:usb3="00000000" w:csb0="2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ZWSimpleStroke">
    <w:panose1 w:val="02000500000000000000"/>
    <w:charset w:val="00"/>
    <w:family w:val="auto"/>
    <w:pitch w:val="default"/>
    <w:sig w:usb0="800000A7" w:usb1="5000004A" w:usb2="00000000" w:usb3="00000000" w:csb0="20000111" w:csb1="4100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09915153"/>
    <w:rsid w:val="0D964A38"/>
    <w:rsid w:val="4B2A470D"/>
    <w:rsid w:val="53CE0962"/>
    <w:rsid w:val="726447C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Arial" w:hAnsi="Arial"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Sitka Display" w:hAnsi="Sitka Display"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Sitka Display" w:hAnsi="Sitka Display"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qFormat/>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Sitka Display" w:hAnsi="Sitka Display"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qFormat/>
    <w:uiPriority w:val="10"/>
    <w:rPr>
      <w:rFonts w:ascii="Sitka Display" w:hAnsi="Sitka Display"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Sitka Display" w:hAnsi="Sitka Display"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Sitka Display" w:hAnsi="Sitka Display"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Sitka Display" w:hAnsi="Sitka Display"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3008</Words>
  <Characters>17576</Characters>
  <Lines>12</Lines>
  <Paragraphs>8</Paragraphs>
  <TotalTime>2</TotalTime>
  <ScaleCrop>false</ScaleCrop>
  <LinksUpToDate>false</LinksUpToDate>
  <CharactersWithSpaces>20057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2025-12-07T10:07:00Z</dcterms:created>
  <dc:creator>李佳林</dc:creator>
  <cp:lastModifiedBy>李佳林</cp:lastModifiedBy>
  <cp:lastPrinted>2025-12-07T10:08:40Z</cp:lastPrinted>
  <dcterms:modified xsi:type="dcterms:W3CDTF">2025-12-07T10:53:35Z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eyJoZGlkIjoiY2Q1YzA2N2Y2M2FlOWE2MWY5NDZkNmUwZmZjOGI4OWIiLCJ1c2VySWQiOiI4NTU5NjU5ODQifQ==</vt:lpwstr>
  </property>
  <property fmtid="{D5CDD505-2E9C-101B-9397-08002B2CF9AE}" pid="3" name="KSOProductBuildVer">
    <vt:lpwstr>2052-12.1.0.24034</vt:lpwstr>
  </property>
  <property fmtid="{D5CDD505-2E9C-101B-9397-08002B2CF9AE}" pid="4" name="ICV">
    <vt:lpwstr>65D28C3C6AC9445CBD1B4D8963AC721D_12</vt:lpwstr>
  </property>
</Properties>
</file>