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42E32">
      <w:pPr>
        <w:pStyle w:val="2"/>
      </w:pPr>
      <w:bookmarkStart w:id="0" w:name="experiments"/>
      <w:bookmarkStart w:id="1" w:name="summary-de-duplicated"/>
      <w:bookmarkStart w:id="2" w:name="overall-conclusion-of-section-4"/>
      <w:r>
        <w:t>4. Experiments</w:t>
      </w:r>
    </w:p>
    <w:p w14:paraId="4F7F0D64">
      <w:pPr>
        <w:pStyle w:val="23"/>
      </w:pPr>
      <w:r>
        <w:t>This section presents a controlled empirical evaluation of the proposed modular reasoning framework.</w:t>
      </w:r>
    </w:p>
    <w:p w14:paraId="6908534F">
      <w:pPr>
        <w:pStyle w:val="3"/>
      </w:pPr>
      <w:r>
        <w:t>The model uses a single shared backbone together with multiple lightweight expert heads, each trained</w:t>
      </w:r>
    </w:p>
    <w:p w14:paraId="3B6722F5">
      <w:pPr>
        <w:pStyle w:val="3"/>
      </w:pPr>
      <w:r>
        <w:t>exclusively on a disjoint numerical sub-domain. This setup allows clear measurement of three core</w:t>
      </w:r>
    </w:p>
    <w:p w14:paraId="4291604A">
      <w:pPr>
        <w:pStyle w:val="3"/>
      </w:pPr>
      <w:r>
        <w:t>modular properties:</w:t>
      </w:r>
    </w:p>
    <w:p w14:paraId="0032E58D">
      <w:pPr>
        <w:numPr>
          <w:ilvl w:val="0"/>
          <w:numId w:val="1"/>
        </w:numPr>
      </w:pPr>
      <w:r>
        <w:rPr>
          <w:b/>
          <w:bCs/>
        </w:rPr>
        <w:t>Local specialization</w:t>
      </w:r>
      <w:r>
        <w:t xml:space="preserve"> — Each expert should excel within its designated numerical range.  </w:t>
      </w:r>
    </w:p>
    <w:p w14:paraId="58B6FCD2">
      <w:pPr>
        <w:numPr>
          <w:ilvl w:val="0"/>
          <w:numId w:val="1"/>
        </w:numPr>
      </w:pPr>
      <w:r>
        <w:rPr>
          <w:b/>
          <w:bCs/>
        </w:rPr>
        <w:t>Global recomposition</w:t>
      </w:r>
      <w:r>
        <w:t xml:space="preserve"> — A router must integrate experts into a coherent global predictor.  </w:t>
      </w:r>
    </w:p>
    <w:p w14:paraId="6EF5B016">
      <w:pPr>
        <w:numPr>
          <w:ilvl w:val="0"/>
          <w:numId w:val="1"/>
        </w:numPr>
      </w:pPr>
      <w:r>
        <w:rPr>
          <w:b/>
          <w:bCs/>
        </w:rPr>
        <w:t>Structural robustness</w:t>
      </w:r>
      <w:r>
        <w:t xml:space="preserve"> — The system should remain stable when experts are added, removed, or replaced.</w:t>
      </w:r>
    </w:p>
    <w:p w14:paraId="712C4B66">
      <w:pPr>
        <w:pStyle w:val="23"/>
      </w:pPr>
      <w:r>
        <w:t>We evaluate the following research questions:</w:t>
      </w:r>
    </w:p>
    <w:p w14:paraId="4E7C803C">
      <w:pPr>
        <w:numPr>
          <w:ilvl w:val="0"/>
          <w:numId w:val="2"/>
        </w:numPr>
      </w:pPr>
      <w:r>
        <w:rPr>
          <w:b/>
          <w:bCs/>
        </w:rPr>
        <w:t>RQ1 — Performance:</w:t>
      </w:r>
      <w:r>
        <w:t xml:space="preserve"> Does the residual expert structure outperform global models, uniform ensembles, and MoE-style gating?  </w:t>
      </w:r>
    </w:p>
    <w:p w14:paraId="0B163B2B">
      <w:pPr>
        <w:numPr>
          <w:ilvl w:val="0"/>
          <w:numId w:val="2"/>
        </w:numPr>
      </w:pPr>
      <w:r>
        <w:rPr>
          <w:b/>
          <w:bCs/>
        </w:rPr>
        <w:t>RQ2 — Stability:</w:t>
      </w:r>
      <w:r>
        <w:t xml:space="preserve"> Do experts maintain consistent behavior across ranges, and does routing preserve balanced accuracy?  </w:t>
      </w:r>
    </w:p>
    <w:p w14:paraId="1E8BAABA">
      <w:pPr>
        <w:numPr>
          <w:ilvl w:val="0"/>
          <w:numId w:val="2"/>
        </w:numPr>
      </w:pPr>
      <w:r>
        <w:rPr>
          <w:b/>
          <w:bCs/>
        </w:rPr>
        <w:t>RQ3 — Modularity:</w:t>
      </w:r>
      <w:r>
        <w:t xml:space="preserve"> Can experts trained independently be recombined without retraining the backbone?  </w:t>
      </w:r>
    </w:p>
    <w:p w14:paraId="0DBF725F">
      <w:pPr>
        <w:numPr>
          <w:ilvl w:val="0"/>
          <w:numId w:val="2"/>
        </w:numPr>
      </w:pPr>
      <w:r>
        <w:rPr>
          <w:b/>
          <w:bCs/>
        </w:rPr>
        <w:t>RQ4 — Efficiency:</w:t>
      </w:r>
      <w:r>
        <w:t xml:space="preserve"> Does modularization reduce computation cost while improving interpretability?</w:t>
      </w:r>
    </w:p>
    <w:p w14:paraId="76941F66">
      <w:pPr>
        <w:pStyle w:val="23"/>
      </w:pPr>
      <w:r>
        <w:t>Two arithmetic tasks are used for evaluation:</w:t>
      </w:r>
    </w:p>
    <w:p w14:paraId="7108CB66">
      <w:pPr>
        <w:pStyle w:val="24"/>
        <w:numPr>
          <w:ilvl w:val="0"/>
          <w:numId w:val="3"/>
        </w:numPr>
      </w:pPr>
      <w:r>
        <w:t>two-number addition, and (2) mixed addition–subtraction.</w:t>
      </w:r>
    </w:p>
    <w:p w14:paraId="40C99016">
      <w:pPr>
        <w:pStyle w:val="4"/>
      </w:pPr>
      <w:bookmarkStart w:id="3" w:name="experimental-overview"/>
      <w:r>
        <w:t>4.1 Experimental Overview</w:t>
      </w:r>
    </w:p>
    <w:p w14:paraId="7B0FA571">
      <w:pPr>
        <w:pStyle w:val="23"/>
      </w:pPr>
      <w:r>
        <w:t>This section outlines the experimental design used to evaluate modular arithmetic reasoning under three architectural configurations:</w:t>
      </w:r>
    </w:p>
    <w:p w14:paraId="358B67F6">
      <w:pPr>
        <w:pStyle w:val="24"/>
        <w:numPr>
          <w:ilvl w:val="0"/>
          <w:numId w:val="2"/>
        </w:numPr>
      </w:pPr>
      <w:r>
        <w:rPr>
          <w:b/>
          <w:bCs/>
        </w:rPr>
        <w:t>Linear expert heads</w:t>
      </w:r>
      <w:r>
        <w:br w:type="textWrapping"/>
      </w:r>
    </w:p>
    <w:p w14:paraId="5BE17DCD">
      <w:pPr>
        <w:pStyle w:val="24"/>
        <w:numPr>
          <w:ilvl w:val="0"/>
          <w:numId w:val="2"/>
        </w:numPr>
      </w:pPr>
      <w:r>
        <w:rPr>
          <w:b/>
          <w:bCs/>
        </w:rPr>
        <w:t>Nonlinear MLP experts</w:t>
      </w:r>
      <w:r>
        <w:br w:type="textWrapping"/>
      </w:r>
    </w:p>
    <w:p w14:paraId="1A6AB453">
      <w:pPr>
        <w:pStyle w:val="24"/>
        <w:numPr>
          <w:ilvl w:val="0"/>
          <w:numId w:val="2"/>
        </w:numPr>
      </w:pPr>
      <w:r>
        <w:rPr>
          <w:b/>
          <w:bCs/>
        </w:rPr>
        <w:t>Residual Experts (RED) with a shared Qwen backbone</w:t>
      </w:r>
    </w:p>
    <w:p w14:paraId="07DB2D74">
      <w:pPr>
        <w:pStyle w:val="23"/>
      </w:pPr>
      <w:r>
        <w:t xml:space="preserve">Although arithmetic is simple, it provides a controlled environment where </w:t>
      </w:r>
      <w:r>
        <w:rPr>
          <w:b/>
          <w:bCs/>
        </w:rPr>
        <w:t>specialization</w:t>
      </w:r>
      <w:r>
        <w:t xml:space="preserve">, </w:t>
      </w:r>
      <w:r>
        <w:rPr>
          <w:b/>
          <w:bCs/>
        </w:rPr>
        <w:t>interference</w:t>
      </w:r>
      <w:r>
        <w:t xml:space="preserve">, and </w:t>
      </w:r>
      <w:r>
        <w:rPr>
          <w:b/>
          <w:bCs/>
        </w:rPr>
        <w:t>modular recomposition</w:t>
      </w:r>
      <w:r>
        <w:t xml:space="preserve"> can be rigorously examined.</w:t>
      </w:r>
    </w:p>
    <w:p w14:paraId="7F735EE8">
      <w:pPr>
        <w:pStyle w:val="5"/>
      </w:pPr>
      <w:bookmarkStart w:id="4" w:name="task-formulation"/>
      <w:r>
        <w:t>Task Formulation</w:t>
      </w:r>
    </w:p>
    <w:p w14:paraId="6D6C541D">
      <w:pPr>
        <w:pStyle w:val="23"/>
      </w:pPr>
      <w:r>
        <w:t>Each sample is a natural-language query of the form:</w:t>
      </w:r>
    </w:p>
    <w:p w14:paraId="51F3A9D8">
      <w:pPr>
        <w:pStyle w:val="13"/>
      </w:pPr>
      <w:r>
        <w:t>“What is 37 plus 12?”</w:t>
      </w:r>
    </w:p>
    <w:p w14:paraId="08D5A102">
      <w:pPr>
        <w:pStyle w:val="23"/>
      </w:pPr>
      <w:r>
        <w:t>Operands are drawn from: a, b ∈ [2, 50]</w:t>
      </w:r>
    </w:p>
    <w:p w14:paraId="448AC627">
      <w:pPr>
        <w:pStyle w:val="3"/>
      </w:pPr>
    </w:p>
    <w:p w14:paraId="5CCC388F">
      <w:pPr>
        <w:pStyle w:val="23"/>
      </w:pPr>
      <w:r>
        <w:t>with the resulting sum: s ∈ [2, 100]</w:t>
      </w:r>
    </w:p>
    <w:p w14:paraId="43AEF9E3">
      <w:pPr>
        <w:pStyle w:val="3"/>
      </w:pPr>
    </w:p>
    <w:p w14:paraId="166CE908">
      <w:pPr>
        <w:pStyle w:val="23"/>
      </w:pPr>
      <w:r>
        <w:t>To induce expert specialization and create explicit sub-domains, we partition the output space into five non-overlapping intervals:</w:t>
      </w:r>
    </w:p>
    <w:p w14:paraId="520BE20A">
      <w:pPr>
        <w:pStyle w:val="3"/>
      </w:pPr>
      <w:r>
        <w:t>R1: 2–20; R2: 21–40; R3: 41–60; R4: 61–80; R5: 81–100</w:t>
      </w:r>
    </w:p>
    <w:p w14:paraId="4EA6BE65">
      <w:pPr>
        <w:pStyle w:val="23"/>
      </w:pPr>
    </w:p>
    <w:p w14:paraId="7D0CA9E7">
      <w:pPr>
        <w:pStyle w:val="23"/>
      </w:pPr>
      <w:r>
        <w:t>Each range is assigned to a dedicated expert head during training.</w:t>
      </w:r>
    </w:p>
    <w:bookmarkEnd w:id="4"/>
    <w:p w14:paraId="3777FA94">
      <w:pPr>
        <w:pStyle w:val="5"/>
      </w:pPr>
      <w:bookmarkStart w:id="5" w:name="shared-encoder"/>
      <w:r>
        <w:t>Shared Encoder</w:t>
      </w:r>
    </w:p>
    <w:p w14:paraId="0CF559CD">
      <w:pPr>
        <w:pStyle w:val="23"/>
      </w:pPr>
      <w:r>
        <w:t>All experts share a single Qwen-0.6B encoder.</w:t>
      </w:r>
      <w:r>
        <w:br w:type="textWrapping"/>
      </w:r>
      <w:r>
        <w:t>Only the top two transformer blocks remain trainable to allow limited global adaptation.</w:t>
      </w:r>
    </w:p>
    <w:p w14:paraId="5EA1BDA2">
      <w:pPr>
        <w:pStyle w:val="3"/>
      </w:pPr>
      <w:r>
        <w:t>Let the backbone representation be:</w:t>
      </w:r>
    </w:p>
    <w:p w14:paraId="6880FDFC">
      <w:pPr>
        <w:pStyle w:val="3"/>
      </w:pPr>
      <m:oMathPara>
        <m:oMathParaPr>
          <m:jc m:val="center"/>
        </m:oMathParaPr>
        <m:oMath>
          <m:r>
            <m:rPr/>
            <m:t>h</m:t>
          </m:r>
          <m:r>
            <m:rPr>
              <m:sty m:val="p"/>
            </m:rPr>
            <m:t>(</m:t>
          </m:r>
          <m:r>
            <m:rPr/>
            <m:t>x</m:t>
          </m:r>
          <m:r>
            <m:rPr>
              <m:sty m:val="p"/>
            </m:rPr>
            <m:t>)∈</m:t>
          </m:r>
          <m:sSup>
            <m:sSupPr/>
            <m:e>
              <m:r>
                <m:rPr>
                  <m:sty m:val="p"/>
                  <m:scr m:val="double-struck"/>
                </m:rPr>
                <m:t>ℝ</m:t>
              </m:r>
            </m:e>
            <m:sup>
              <m:r>
                <m:rPr/>
                <m:t>d</m:t>
              </m:r>
            </m:sup>
          </m:sSup>
          <m:r>
            <m:rPr>
              <m:sty m:val="p"/>
            </m:rPr>
            <m:t>.</m:t>
          </m:r>
        </m:oMath>
      </m:oMathPara>
    </w:p>
    <w:p w14:paraId="051BF3D9">
      <w:pPr>
        <w:pStyle w:val="23"/>
      </w:pPr>
      <w:r>
        <w:t>Each expert learns a mapping:</w:t>
      </w:r>
    </w:p>
    <w:p w14:paraId="44F03351">
      <w:pPr>
        <w:pStyle w:val="3"/>
      </w:pPr>
      <m:oMathPara>
        <m:oMathParaPr>
          <m:jc m:val="center"/>
        </m:oMathParaPr>
        <m:oMath>
          <m:sSub>
            <m:sSubPr/>
            <m:e>
              <m:r>
                <m:rPr/>
                <m:t>E</m:t>
              </m:r>
            </m:e>
            <m:sub>
              <m:r>
                <m:rPr/>
                <m:t>i</m:t>
              </m:r>
            </m:sub>
          </m:sSub>
          <m:r>
            <m:rPr>
              <m:sty m:val="p"/>
            </m:rPr>
            <m:t>(</m:t>
          </m:r>
          <m:r>
            <m:rPr/>
            <m:t>h</m:t>
          </m:r>
          <m:r>
            <m:rPr>
              <m:sty m:val="p"/>
            </m:rPr>
            <m:t>(</m:t>
          </m:r>
          <m:r>
            <m:rPr/>
            <m:t>x</m:t>
          </m:r>
          <m:r>
            <m:rPr>
              <m:sty m:val="p"/>
            </m:rPr>
            <m:t>))→</m:t>
          </m:r>
          <m:sSub>
            <m:sSubPr/>
            <m:e>
              <m:acc>
                <m:accPr/>
                <m:e>
                  <m:r>
                    <m:rPr/>
                    <m:t>y</m:t>
                  </m:r>
                </m:e>
              </m:acc>
            </m:e>
            <m:sub>
              <m:r>
                <m:rPr/>
                <m:t>i</m:t>
              </m:r>
            </m:sub>
          </m:sSub>
          <m:r>
            <m:rPr>
              <m:sty m:val="p"/>
            </m:rPr>
            <m:t>,</m:t>
          </m:r>
        </m:oMath>
      </m:oMathPara>
    </w:p>
    <w:p w14:paraId="08A3F3A8">
      <w:pPr>
        <w:pStyle w:val="23"/>
      </w:pPr>
      <w:r>
        <w:t>and is trained exclusively on samples where the ground-truth label lies within interval (R_i).</w:t>
      </w:r>
    </w:p>
    <w:bookmarkEnd w:id="5"/>
    <w:p w14:paraId="6C08336C">
      <w:pPr>
        <w:pStyle w:val="5"/>
      </w:pPr>
      <w:bookmarkStart w:id="6" w:name="router-training"/>
      <w:r>
        <w:t>Router Training</w:t>
      </w:r>
    </w:p>
    <w:p w14:paraId="656EEC0D">
      <w:pPr>
        <w:pStyle w:val="23"/>
      </w:pPr>
      <w:r>
        <w:t>Once all experts have converged, a lightweight router is trained to assign mixture weights:</w:t>
      </w:r>
    </w:p>
    <w:p w14:paraId="13C31B40">
      <w:pPr>
        <w:pStyle w:val="3"/>
      </w:pPr>
      <m:oMathPara>
        <m:oMathParaPr>
          <m:jc m:val="center"/>
        </m:oMathParaPr>
        <m:oMath>
          <m:r>
            <m:rPr/>
            <m:t>α</m:t>
          </m:r>
          <m:r>
            <m:rPr>
              <m:sty m:val="p"/>
            </m:rPr>
            <m:t>(</m:t>
          </m:r>
          <m:r>
            <m:rPr/>
            <m:t>x</m:t>
          </m:r>
          <m:r>
            <m:rPr>
              <m:sty m:val="p"/>
            </m:rPr>
            <m:t>)=softmax(</m:t>
          </m:r>
          <m:sSub>
            <m:sSubPr/>
            <m:e>
              <m:r>
                <m:rPr/>
                <m:t>W</m:t>
              </m:r>
            </m:e>
            <m:sub>
              <m:r>
                <m:rPr/>
                <m:t>r</m:t>
              </m:r>
            </m:sub>
          </m:sSub>
          <m:r>
            <m:rPr/>
            <m:t>h</m:t>
          </m:r>
          <m:r>
            <m:rPr>
              <m:sty m:val="p"/>
            </m:rPr>
            <m:t>(</m:t>
          </m:r>
          <m:r>
            <m:rPr/>
            <m:t>x</m:t>
          </m:r>
          <m:r>
            <m:rPr>
              <m:sty m:val="p"/>
            </m:rPr>
            <m:t>)).</m:t>
          </m:r>
        </m:oMath>
      </m:oMathPara>
    </w:p>
    <w:p w14:paraId="117BA342">
      <w:pPr>
        <w:pStyle w:val="23"/>
      </w:pPr>
      <w:r>
        <w:t>For RED, expert outputs contribute residual corrections rather than full logits:</w:t>
      </w:r>
    </w:p>
    <w:p w14:paraId="43DD20AC">
      <w:pPr>
        <w:pStyle w:val="3"/>
      </w:pPr>
      <m:oMathPara>
        <m:oMathParaPr>
          <m:jc m:val="center"/>
        </m:oMathParaPr>
        <m:oMath>
          <m:acc>
            <m:accPr/>
            <m:e>
              <m:r>
                <m:rPr/>
                <m:t>y</m:t>
              </m:r>
            </m:e>
          </m:acc>
          <m:r>
            <m:rPr>
              <m:sty m:val="p"/>
            </m:rPr>
            <m:t>(</m:t>
          </m:r>
          <m:r>
            <m:rPr/>
            <m:t>x</m:t>
          </m:r>
          <m:r>
            <m:rPr>
              <m:sty m:val="p"/>
            </m:rPr>
            <m:t>)=</m:t>
          </m:r>
          <m:sSub>
            <m:sSubPr/>
            <m:e>
              <m:r>
                <m:rPr/>
                <m:t>h</m:t>
              </m:r>
            </m:e>
            <m:sub>
              <m:r>
                <m:rPr>
                  <m:nor/>
                  <m:sty m:val="p"/>
                </m:rPr>
                <w:rPr>
                  <w:b w:val="0"/>
                  <w:i w:val="0"/>
                </w:rPr>
                <m:t>base</m:t>
              </m:r>
            </m:sub>
          </m:sSub>
          <m:r>
            <m:rPr>
              <m:sty m:val="p"/>
            </m:rPr>
            <m:t>(</m:t>
          </m:r>
          <m:r>
            <m:rPr/>
            <m:t>x</m:t>
          </m:r>
          <m:r>
            <m:rPr>
              <m:sty m:val="p"/>
            </m:rPr>
            <m:t>)+</m:t>
          </m:r>
          <m:nary>
            <m:naryPr>
              <m:chr m:val="∑"/>
              <m:limLoc m:val="undOvr"/>
            </m:naryPr>
            <m:sub>
              <m:r>
                <m:rPr/>
                <m:t>i</m:t>
              </m:r>
              <m:r>
                <m:rPr>
                  <m:sty m:val="p"/>
                </m:rPr>
                <m:t>=</m:t>
              </m:r>
              <m:r>
                <m:rPr/>
                <m:t>1</m:t>
              </m:r>
            </m:sub>
            <m:sup>
              <m:r>
                <m:rPr/>
                <m:t>5</m:t>
              </m:r>
            </m:sup>
            <m:e>
              <m:sSub>
                <m:sSubPr/>
                <m:e>
                  <m:r>
                    <m:rPr/>
                    <m:t>α</m:t>
                  </m:r>
                </m:e>
                <m:sub>
                  <m:r>
                    <m:rPr/>
                    <m:t>i</m:t>
                  </m:r>
                </m:sub>
              </m:sSub>
            </m:e>
          </m:nary>
          <m:r>
            <m:rPr>
              <m:sty m:val="p"/>
            </m:rPr>
            <m:t>(</m:t>
          </m:r>
          <m:r>
            <m:rPr/>
            <m:t>x</m:t>
          </m:r>
          <m:r>
            <m:rPr>
              <m:sty m:val="p"/>
            </m:rPr>
            <m:t>)</m:t>
          </m:r>
          <m:r>
            <m:rPr/>
            <m:t> </m:t>
          </m:r>
          <m:r>
            <m:rPr>
              <m:sty m:val="p"/>
            </m:rPr>
            <m:t>Δ</m:t>
          </m:r>
          <m:sSub>
            <m:sSubPr/>
            <m:e>
              <m:r>
                <m:rPr/>
                <m:t>h</m:t>
              </m:r>
            </m:e>
            <m:sub>
              <m:r>
                <m:rPr/>
                <m:t>i</m:t>
              </m:r>
            </m:sub>
          </m:sSub>
          <m:r>
            <m:rPr>
              <m:sty m:val="p"/>
            </m:rPr>
            <m:t>(</m:t>
          </m:r>
          <m:r>
            <m:rPr/>
            <m:t>x</m:t>
          </m:r>
          <m:r>
            <m:rPr>
              <m:sty m:val="p"/>
            </m:rPr>
            <m:t>).</m:t>
          </m:r>
        </m:oMath>
      </m:oMathPara>
    </w:p>
    <w:p w14:paraId="2BFEF491">
      <w:pPr>
        <w:pStyle w:val="23"/>
      </w:pPr>
      <w:r>
        <w:t>This formulation allows experts to refine and extend the backbone’s representation while avoiding destructive interference.</w:t>
      </w:r>
    </w:p>
    <w:bookmarkEnd w:id="6"/>
    <w:p w14:paraId="5D8EE235">
      <w:pPr>
        <w:pStyle w:val="5"/>
      </w:pPr>
      <w:bookmarkStart w:id="7" w:name="why-arithmetic"/>
      <w:r>
        <w:t>Why Arithmetic?</w:t>
      </w:r>
    </w:p>
    <w:p w14:paraId="7441D246">
      <w:pPr>
        <w:pStyle w:val="23"/>
      </w:pPr>
      <w:r>
        <w:t>Arithmetic tasks are ideal for modular analysis because:</w:t>
      </w:r>
    </w:p>
    <w:p w14:paraId="14B63688">
      <w:pPr>
        <w:pStyle w:val="24"/>
        <w:numPr>
          <w:ilvl w:val="0"/>
          <w:numId w:val="2"/>
        </w:numPr>
      </w:pPr>
      <w:r>
        <w:t xml:space="preserve">numerical intervals define </w:t>
      </w:r>
      <w:r>
        <w:rPr>
          <w:b/>
          <w:bCs/>
        </w:rPr>
        <w:t>clean domain boundaries</w:t>
      </w:r>
      <w:r>
        <w:t>,</w:t>
      </w:r>
      <w:r>
        <w:br w:type="textWrapping"/>
      </w:r>
    </w:p>
    <w:p w14:paraId="3031DCDC">
      <w:pPr>
        <w:pStyle w:val="24"/>
        <w:numPr>
          <w:ilvl w:val="0"/>
          <w:numId w:val="2"/>
        </w:numPr>
      </w:pPr>
      <w:r>
        <w:t xml:space="preserve">labels are </w:t>
      </w:r>
      <w:r>
        <w:rPr>
          <w:b/>
          <w:bCs/>
        </w:rPr>
        <w:t>noise-free and exact</w:t>
      </w:r>
      <w:r>
        <w:t>,</w:t>
      </w:r>
      <w:r>
        <w:br w:type="textWrapping"/>
      </w:r>
    </w:p>
    <w:p w14:paraId="60588C48">
      <w:pPr>
        <w:pStyle w:val="24"/>
        <w:numPr>
          <w:ilvl w:val="0"/>
          <w:numId w:val="2"/>
        </w:numPr>
      </w:pPr>
      <w:r>
        <w:t xml:space="preserve">difficulty increases </w:t>
      </w:r>
      <w:r>
        <w:rPr>
          <w:b/>
          <w:bCs/>
        </w:rPr>
        <w:t>monotonically across ranges</w:t>
      </w:r>
      <w:r>
        <w:t>,</w:t>
      </w:r>
      <w:r>
        <w:br w:type="textWrapping"/>
      </w:r>
    </w:p>
    <w:p w14:paraId="69C51CAA">
      <w:pPr>
        <w:pStyle w:val="24"/>
        <w:numPr>
          <w:ilvl w:val="0"/>
          <w:numId w:val="2"/>
        </w:numPr>
      </w:pPr>
      <w:r>
        <w:t xml:space="preserve">router failures and expert drift become </w:t>
      </w:r>
      <w:r>
        <w:rPr>
          <w:b/>
          <w:bCs/>
        </w:rPr>
        <w:t>directly observable</w:t>
      </w:r>
      <w:r>
        <w:t>,</w:t>
      </w:r>
      <w:r>
        <w:br w:type="textWrapping"/>
      </w:r>
    </w:p>
    <w:p w14:paraId="7BA174FB">
      <w:pPr>
        <w:pStyle w:val="24"/>
        <w:numPr>
          <w:ilvl w:val="0"/>
          <w:numId w:val="2"/>
        </w:numPr>
      </w:pPr>
      <w:r>
        <w:t xml:space="preserve">evaluation is </w:t>
      </w:r>
      <w:r>
        <w:rPr>
          <w:b/>
          <w:bCs/>
        </w:rPr>
        <w:t>fully interpretable and reproducible</w:t>
      </w:r>
      <w:r>
        <w:t>.</w:t>
      </w:r>
    </w:p>
    <w:p w14:paraId="23E1D293">
      <w:pPr>
        <w:pStyle w:val="23"/>
      </w:pPr>
      <w:r>
        <w:t xml:space="preserve">These properties align well with the empirical standards emphasized in </w:t>
      </w:r>
      <w:r>
        <w:rPr>
          <w:i/>
          <w:iCs/>
        </w:rPr>
        <w:t>Knowledge-Based Systems</w:t>
      </w:r>
      <w:r>
        <w:t xml:space="preserve"> research.</w:t>
      </w:r>
    </w:p>
    <w:bookmarkEnd w:id="3"/>
    <w:bookmarkEnd w:id="7"/>
    <w:p w14:paraId="2FFD8F2D">
      <w:pPr>
        <w:pStyle w:val="4"/>
      </w:pPr>
      <w:bookmarkStart w:id="8" w:name="dataset-construction"/>
      <w:bookmarkStart w:id="9" w:name="baselines-revised-de-duplicated"/>
      <w:r>
        <w:t>4.2 Dataset Construction</w:t>
      </w:r>
    </w:p>
    <w:p w14:paraId="56E930EC">
      <w:pPr>
        <w:pStyle w:val="23"/>
      </w:pPr>
      <w:r>
        <w:t>This section describes all datasets used to evaluate RED, including the main datasets for Task 1 and Task 2, the expert datasets for modular execution, and the step decomposer dataset required for Section 4.8.</w:t>
      </w:r>
    </w:p>
    <w:p w14:paraId="5AEDA6DA">
      <w:r>
        <w:pict>
          <v:rect id="_x0000_i1059" o:spt="1" style="height:1.5pt;width:0pt;" coordsize="21600,21600" o:hr="t" o:hrstd="t" o:hralign="center">
            <v:path/>
            <v:fill focussize="0,0"/>
            <v:stroke/>
            <v:imagedata o:title=""/>
            <o:lock v:ext="edit"/>
            <w10:wrap type="none"/>
            <w10:anchorlock/>
          </v:rect>
        </w:pict>
      </w:r>
    </w:p>
    <w:bookmarkEnd w:id="8"/>
    <w:p w14:paraId="5305217B">
      <w:pPr>
        <w:pStyle w:val="4"/>
      </w:pPr>
      <w:bookmarkStart w:id="10" w:name="numerical-range-definition"/>
      <w:r>
        <w:t>4.2.1 Numerical Range Definition</w:t>
      </w:r>
    </w:p>
    <w:p w14:paraId="12C30FCB">
      <w:pPr>
        <w:pStyle w:val="23"/>
      </w:pPr>
      <w:r>
        <w:t>To standardize supervision and prevent trivial memorization of exact numbers, all arithmetic results are mapped into five discrete numerical intervals:</w:t>
      </w:r>
    </w:p>
    <w:p w14:paraId="7D3F85E3">
      <w:pPr>
        <w:pStyle w:val="24"/>
        <w:numPr>
          <w:ilvl w:val="0"/>
          <w:numId w:val="2"/>
        </w:numPr>
      </w:pPr>
      <w:r>
        <w:t>R1: 2–20</w:t>
      </w:r>
      <w:r>
        <w:br w:type="textWrapping"/>
      </w:r>
    </w:p>
    <w:p w14:paraId="3932AFCA">
      <w:pPr>
        <w:pStyle w:val="24"/>
        <w:numPr>
          <w:ilvl w:val="0"/>
          <w:numId w:val="2"/>
        </w:numPr>
      </w:pPr>
      <w:r>
        <w:t>R2: 21–40</w:t>
      </w:r>
      <w:r>
        <w:br w:type="textWrapping"/>
      </w:r>
    </w:p>
    <w:p w14:paraId="56F09DEF">
      <w:pPr>
        <w:pStyle w:val="24"/>
        <w:numPr>
          <w:ilvl w:val="0"/>
          <w:numId w:val="2"/>
        </w:numPr>
      </w:pPr>
      <w:r>
        <w:t>R3: 41–60</w:t>
      </w:r>
      <w:r>
        <w:br w:type="textWrapping"/>
      </w:r>
    </w:p>
    <w:p w14:paraId="6C27E017">
      <w:pPr>
        <w:pStyle w:val="24"/>
        <w:numPr>
          <w:ilvl w:val="0"/>
          <w:numId w:val="2"/>
        </w:numPr>
      </w:pPr>
      <w:r>
        <w:t>R4: 61–80</w:t>
      </w:r>
      <w:r>
        <w:br w:type="textWrapping"/>
      </w:r>
    </w:p>
    <w:p w14:paraId="384343DC">
      <w:pPr>
        <w:pStyle w:val="24"/>
        <w:numPr>
          <w:ilvl w:val="0"/>
          <w:numId w:val="2"/>
        </w:numPr>
      </w:pPr>
      <w:r>
        <w:t>R5: 81–100</w:t>
      </w:r>
    </w:p>
    <w:p w14:paraId="0F81764A">
      <w:pPr>
        <w:pStyle w:val="23"/>
      </w:pPr>
      <w:r>
        <w:t>These ranges are used consistently across all datasets and modules.</w:t>
      </w:r>
    </w:p>
    <w:p w14:paraId="795095D7">
      <w:r>
        <w:pict>
          <v:rect id="_x0000_i1060" o:spt="1" style="height:1.5pt;width:0pt;" coordsize="21600,21600" o:hr="t" o:hrstd="t" o:hralign="center">
            <v:path/>
            <v:fill focussize="0,0"/>
            <v:stroke/>
            <v:imagedata o:title=""/>
            <o:lock v:ext="edit"/>
            <w10:wrap type="none"/>
            <w10:anchorlock/>
          </v:rect>
        </w:pict>
      </w:r>
    </w:p>
    <w:bookmarkEnd w:id="10"/>
    <w:p w14:paraId="17ECC817">
      <w:pPr>
        <w:pStyle w:val="4"/>
      </w:pPr>
      <w:bookmarkStart w:id="11" w:name="X0cf4ee1707543ad7072dc40f822a8c024301a5d"/>
      <w:r>
        <w:t>4.2.2 Task 1 Dataset: Single-Step Addition (80,000 samples)</w:t>
      </w:r>
    </w:p>
    <w:p w14:paraId="6BD66EE7">
      <w:pPr>
        <w:pStyle w:val="23"/>
      </w:pPr>
      <w:r>
        <w:t>The Task 1 dataset consists solely of single-step addition expressions. Each sample is generated as follows:</w:t>
      </w:r>
    </w:p>
    <w:p w14:paraId="1A4F1877">
      <w:pPr>
        <w:pStyle w:val="24"/>
        <w:numPr>
          <w:ilvl w:val="0"/>
          <w:numId w:val="2"/>
        </w:numPr>
      </w:pPr>
      <w:r>
        <w:t>Operands sampled uniformly from 2 to 50</w:t>
      </w:r>
    </w:p>
    <w:p w14:paraId="1CEEB140">
      <w:pPr>
        <w:pStyle w:val="24"/>
        <w:numPr>
          <w:ilvl w:val="0"/>
          <w:numId w:val="2"/>
        </w:numPr>
      </w:pPr>
      <w:r>
        <w:t>Rendered using one of several natural-language templates such as: “What is 17 plus 23?”</w:t>
      </w:r>
    </w:p>
    <w:p w14:paraId="518E479D">
      <w:pPr>
        <w:pStyle w:val="24"/>
        <w:numPr>
          <w:ilvl w:val="0"/>
          <w:numId w:val="2"/>
        </w:numPr>
      </w:pPr>
      <w:r>
        <w:t>The true numerical result is mapped into one of the five ranges R1–R5</w:t>
      </w:r>
    </w:p>
    <w:p w14:paraId="41B26780">
      <w:pPr>
        <w:pStyle w:val="23"/>
      </w:pPr>
      <w:r>
        <w:t>The dataset is exactly balanced across the five target ranges.</w:t>
      </w:r>
    </w:p>
    <w:p w14:paraId="3AF3EA2A">
      <w:r>
        <w:pict>
          <v:rect id="_x0000_i1061" o:spt="1" style="height:1.5pt;width:0pt;" coordsize="21600,21600" o:hr="t" o:hrstd="t" o:hralign="center">
            <v:path/>
            <v:fill focussize="0,0"/>
            <v:stroke/>
            <v:imagedata o:title=""/>
            <o:lock v:ext="edit"/>
            <w10:wrap type="none"/>
            <w10:anchorlock/>
          </v:rect>
        </w:pict>
      </w:r>
    </w:p>
    <w:bookmarkEnd w:id="11"/>
    <w:p w14:paraId="6D3476A6">
      <w:pPr>
        <w:pStyle w:val="4"/>
      </w:pPr>
      <w:bookmarkStart w:id="12" w:name="X6035fa7e292b61f44f927142938ea0a563b0070"/>
      <w:r>
        <w:t>4.2.3 Task 2 Dataset: Multi-Step Mixed Arithmetic (80,000 samples)</w:t>
      </w:r>
    </w:p>
    <w:p w14:paraId="3A5C6083">
      <w:pPr>
        <w:pStyle w:val="23"/>
      </w:pPr>
      <w:r>
        <w:t>Task 2 extends Task 1 to multi-step expressions involving both addition and subtraction. Examples include:</w:t>
      </w:r>
    </w:p>
    <w:p w14:paraId="331E2698">
      <w:pPr>
        <w:pStyle w:val="24"/>
        <w:numPr>
          <w:ilvl w:val="0"/>
          <w:numId w:val="2"/>
        </w:numPr>
      </w:pPr>
      <w:r>
        <w:t>“18 minus 9 plus 46”</w:t>
      </w:r>
    </w:p>
    <w:p w14:paraId="76122DDF">
      <w:pPr>
        <w:pStyle w:val="24"/>
        <w:numPr>
          <w:ilvl w:val="0"/>
          <w:numId w:val="2"/>
        </w:numPr>
      </w:pPr>
      <w:r>
        <w:t>“29 minus 11 minus 9 minus 7 plus 15”</w:t>
      </w:r>
    </w:p>
    <w:p w14:paraId="753C3A98">
      <w:pPr>
        <w:pStyle w:val="24"/>
        <w:numPr>
          <w:ilvl w:val="0"/>
          <w:numId w:val="2"/>
        </w:numPr>
      </w:pPr>
      <w:r>
        <w:t>“18 plus 7 minus 3”</w:t>
      </w:r>
    </w:p>
    <w:p w14:paraId="1B107520">
      <w:pPr>
        <w:pStyle w:val="5"/>
      </w:pPr>
      <w:bookmarkStart w:id="13" w:name="expression-length-distribution"/>
      <w:r>
        <w:t>Expression Length Distribution</w:t>
      </w:r>
    </w:p>
    <w:p w14:paraId="1C8F654D">
      <w:pPr>
        <w:pStyle w:val="23"/>
      </w:pPr>
      <w:r>
        <w:t>To maintain controlled difficulty, expressions are generated with the following proportions:</w:t>
      </w:r>
    </w:p>
    <w:p w14:paraId="0C1FBAA3">
      <w:pPr>
        <w:pStyle w:val="24"/>
        <w:numPr>
          <w:ilvl w:val="0"/>
          <w:numId w:val="2"/>
        </w:numPr>
      </w:pPr>
      <w:r>
        <w:t>50% two-step expressions</w:t>
      </w:r>
      <w:r>
        <w:br w:type="textWrapping"/>
      </w:r>
    </w:p>
    <w:p w14:paraId="618D262C">
      <w:pPr>
        <w:pStyle w:val="24"/>
        <w:numPr>
          <w:ilvl w:val="0"/>
          <w:numId w:val="2"/>
        </w:numPr>
      </w:pPr>
      <w:r>
        <w:t>30% three-step expressions</w:t>
      </w:r>
      <w:r>
        <w:br w:type="textWrapping"/>
      </w:r>
    </w:p>
    <w:p w14:paraId="3CB179E1">
      <w:pPr>
        <w:pStyle w:val="24"/>
        <w:numPr>
          <w:ilvl w:val="0"/>
          <w:numId w:val="2"/>
        </w:numPr>
      </w:pPr>
      <w:r>
        <w:t>20% four-step expressions</w:t>
      </w:r>
    </w:p>
    <w:bookmarkEnd w:id="13"/>
    <w:p w14:paraId="2A7EA458">
      <w:pPr>
        <w:pStyle w:val="5"/>
      </w:pPr>
      <w:bookmarkStart w:id="14" w:name="operand-sampling"/>
      <w:r>
        <w:t>Operand Sampling</w:t>
      </w:r>
    </w:p>
    <w:p w14:paraId="2862090B">
      <w:pPr>
        <w:pStyle w:val="23"/>
      </w:pPr>
      <w:r>
        <w:t>Each operand is sampled independently from 2 to 50.</w:t>
      </w:r>
    </w:p>
    <w:bookmarkEnd w:id="14"/>
    <w:p w14:paraId="34C02622">
      <w:pPr>
        <w:pStyle w:val="5"/>
      </w:pPr>
      <w:bookmarkStart w:id="15" w:name="output-range-constraint"/>
      <w:r>
        <w:t>Output Range Constraint</w:t>
      </w:r>
    </w:p>
    <w:p w14:paraId="22D459DC">
      <w:pPr>
        <w:pStyle w:val="23"/>
      </w:pPr>
      <w:r>
        <w:t>The final result must lie within 2 to 100. Invalid expressions are resampled.</w:t>
      </w:r>
    </w:p>
    <w:bookmarkEnd w:id="15"/>
    <w:p w14:paraId="22FFFC7A">
      <w:pPr>
        <w:pStyle w:val="5"/>
      </w:pPr>
      <w:bookmarkStart w:id="16" w:name="operator-balance"/>
      <w:r>
        <w:t>Operator Balance</w:t>
      </w:r>
    </w:p>
    <w:p w14:paraId="66356339">
      <w:pPr>
        <w:pStyle w:val="23"/>
      </w:pPr>
      <w:r>
        <w:t>Addition and subtraction appear with equal probability: - 50% addition</w:t>
      </w:r>
      <w:r>
        <w:br w:type="textWrapping"/>
      </w:r>
      <w:r>
        <w:t>- 50% subtraction</w:t>
      </w:r>
    </w:p>
    <w:p w14:paraId="45875C62">
      <w:r>
        <w:pict>
          <v:rect id="_x0000_i1062" o:spt="1" style="height:1.5pt;width:0pt;" coordsize="21600,21600" o:hr="t" o:hrstd="t" o:hralign="center">
            <v:path/>
            <v:fill focussize="0,0"/>
            <v:stroke/>
            <v:imagedata o:title=""/>
            <o:lock v:ext="edit"/>
            <w10:wrap type="none"/>
            <w10:anchorlock/>
          </v:rect>
        </w:pict>
      </w:r>
    </w:p>
    <w:bookmarkEnd w:id="12"/>
    <w:bookmarkEnd w:id="16"/>
    <w:p w14:paraId="30F9BF41">
      <w:pPr>
        <w:pStyle w:val="4"/>
      </w:pPr>
      <w:bookmarkStart w:id="17" w:name="text-template-diversity"/>
      <w:r>
        <w:t>4.2.4 Text Template Diversity</w:t>
      </w:r>
    </w:p>
    <w:p w14:paraId="67A66F2D">
      <w:pPr>
        <w:pStyle w:val="23"/>
      </w:pPr>
      <w:r>
        <w:t>To avoid overfitting to a single linguistic pattern, each arithmetic expression is verbalized using one of several paraphrased templates. Examples include:</w:t>
      </w:r>
    </w:p>
    <w:p w14:paraId="52A3C2BE">
      <w:pPr>
        <w:pStyle w:val="24"/>
        <w:numPr>
          <w:ilvl w:val="0"/>
          <w:numId w:val="2"/>
        </w:numPr>
      </w:pPr>
      <w:r>
        <w:t>“What is 12 minus 5 plus 9?”</w:t>
      </w:r>
    </w:p>
    <w:p w14:paraId="16E3BEC9">
      <w:pPr>
        <w:pStyle w:val="24"/>
        <w:numPr>
          <w:ilvl w:val="0"/>
          <w:numId w:val="2"/>
        </w:numPr>
      </w:pPr>
      <w:r>
        <w:t>“Compute 12 minus 5, then add 9.”</w:t>
      </w:r>
    </w:p>
    <w:p w14:paraId="41C765FC">
      <w:pPr>
        <w:pStyle w:val="24"/>
        <w:numPr>
          <w:ilvl w:val="0"/>
          <w:numId w:val="2"/>
        </w:numPr>
      </w:pPr>
      <w:r>
        <w:t>“If you subtract 5 from 12 and add 9, what do you get?”</w:t>
      </w:r>
    </w:p>
    <w:p w14:paraId="4B87E050">
      <w:pPr>
        <w:pStyle w:val="23"/>
      </w:pPr>
      <w:r>
        <w:t>This ensures linguistic diversity without altering semantic meaning.</w:t>
      </w:r>
    </w:p>
    <w:p w14:paraId="1EF0F462">
      <w:r>
        <w:pict>
          <v:rect id="_x0000_i1063" o:spt="1" style="height:1.5pt;width:0pt;" coordsize="21600,21600" o:hr="t" o:hrstd="t" o:hralign="center">
            <v:path/>
            <v:fill focussize="0,0"/>
            <v:stroke/>
            <v:imagedata o:title=""/>
            <o:lock v:ext="edit"/>
            <w10:wrap type="none"/>
            <w10:anchorlock/>
          </v:rect>
        </w:pict>
      </w:r>
    </w:p>
    <w:bookmarkEnd w:id="17"/>
    <w:p w14:paraId="72B06DF3">
      <w:pPr>
        <w:pStyle w:val="4"/>
      </w:pPr>
      <w:bookmarkStart w:id="18" w:name="X3b6c174993c80c53e42baa75985dac41782868a"/>
      <w:r>
        <w:t>4.2.5 Data Deduplication and Consistency Checks</w:t>
      </w:r>
    </w:p>
    <w:p w14:paraId="2BED8D6E">
      <w:pPr>
        <w:pStyle w:val="23"/>
      </w:pPr>
      <w:r>
        <w:t>After generation, all datasets are processed through a strict cleaning pipeline:</w:t>
      </w:r>
    </w:p>
    <w:p w14:paraId="482C2187">
      <w:pPr>
        <w:pStyle w:val="24"/>
        <w:numPr>
          <w:ilvl w:val="0"/>
          <w:numId w:val="1"/>
        </w:numPr>
      </w:pPr>
      <w:r>
        <w:t>Structural deduplication: removing expressions with identical computational structure.</w:t>
      </w:r>
    </w:p>
    <w:p w14:paraId="1A9D3BD0">
      <w:pPr>
        <w:pStyle w:val="24"/>
        <w:numPr>
          <w:ilvl w:val="0"/>
          <w:numId w:val="1"/>
        </w:numPr>
      </w:pPr>
      <w:r>
        <w:t>Label verification: ensuring the final value maps correctly to its designated range.</w:t>
      </w:r>
    </w:p>
    <w:p w14:paraId="18C75135">
      <w:pPr>
        <w:pStyle w:val="24"/>
        <w:numPr>
          <w:ilvl w:val="0"/>
          <w:numId w:val="1"/>
        </w:numPr>
      </w:pPr>
      <w:r>
        <w:t>Clean split separation: training, validation, and test sets share no overlapping expressions.</w:t>
      </w:r>
    </w:p>
    <w:p w14:paraId="51979149">
      <w:r>
        <w:pict>
          <v:rect id="_x0000_i1064" o:spt="1" style="height:1.5pt;width:0pt;" coordsize="21600,21600" o:hr="t" o:hrstd="t" o:hralign="center">
            <v:path/>
            <v:fill focussize="0,0"/>
            <v:stroke/>
            <v:imagedata o:title=""/>
            <o:lock v:ext="edit"/>
            <w10:wrap type="none"/>
            <w10:anchorlock/>
          </v:rect>
        </w:pict>
      </w:r>
    </w:p>
    <w:bookmarkEnd w:id="18"/>
    <w:p w14:paraId="7A8E6CB4">
      <w:pPr>
        <w:pStyle w:val="4"/>
      </w:pPr>
      <w:bookmarkStart w:id="19" w:name="Xbe23605966075380ffcb570b7c8e6eb9a527e22"/>
      <w:r>
        <w:t>4.2.6 Expert Datasets for Modular Execution (20k + 20k)</w:t>
      </w:r>
    </w:p>
    <w:p w14:paraId="68EB0F67">
      <w:pPr>
        <w:pStyle w:val="23"/>
      </w:pPr>
      <w:r>
        <w:t>The modular execution pipeline in Section 4.8 requires two independent expert models:</w:t>
      </w:r>
    </w:p>
    <w:p w14:paraId="6BCC03F6">
      <w:pPr>
        <w:pStyle w:val="24"/>
        <w:numPr>
          <w:ilvl w:val="0"/>
          <w:numId w:val="2"/>
        </w:numPr>
      </w:pPr>
      <w:r>
        <w:t>Addition Expert: 20,000 samples</w:t>
      </w:r>
      <w:r>
        <w:br w:type="textWrapping"/>
      </w:r>
    </w:p>
    <w:p w14:paraId="37EF3E4E">
      <w:pPr>
        <w:pStyle w:val="24"/>
        <w:numPr>
          <w:ilvl w:val="0"/>
          <w:numId w:val="2"/>
        </w:numPr>
      </w:pPr>
      <w:r>
        <w:t>Subtraction Expert: 20,000 samples</w:t>
      </w:r>
    </w:p>
    <w:p w14:paraId="3646F6F0">
      <w:pPr>
        <w:pStyle w:val="23"/>
      </w:pPr>
      <w:r>
        <w:t>These experts do not participate in end-to-end training and are used solely for executing decomposed arithmetic steps.</w:t>
      </w:r>
    </w:p>
    <w:p w14:paraId="6415C273">
      <w:pPr>
        <w:pStyle w:val="5"/>
      </w:pPr>
      <w:bookmarkStart w:id="20" w:name="addition-expert-dataset"/>
      <w:r>
        <w:t>Addition Expert Dataset</w:t>
      </w:r>
    </w:p>
    <w:p w14:paraId="063316CE">
      <w:pPr>
        <w:pStyle w:val="23"/>
      </w:pPr>
      <w:r>
        <w:t>Samples contain a single operation of the form:</w:t>
      </w:r>
    </w:p>
    <w:p w14:paraId="017C7A22">
      <w:pPr>
        <w:pStyle w:val="49"/>
      </w:pPr>
      <w:r>
        <w:rPr>
          <w:rStyle w:val="48"/>
        </w:rPr>
        <w:t>a + b</w:t>
      </w:r>
    </w:p>
    <w:p w14:paraId="1BCE80D6">
      <w:pPr>
        <w:pStyle w:val="23"/>
      </w:pPr>
      <w:r>
        <w:t>where each operand is sampled from 2 to 50 and the result is mapped to ranges R1–R5.</w:t>
      </w:r>
    </w:p>
    <w:bookmarkEnd w:id="20"/>
    <w:p w14:paraId="3BD211FF">
      <w:pPr>
        <w:pStyle w:val="5"/>
      </w:pPr>
      <w:bookmarkStart w:id="21" w:name="subtraction-expert-dataset"/>
      <w:r>
        <w:t>Subtraction Expert Dataset</w:t>
      </w:r>
    </w:p>
    <w:p w14:paraId="707AAB24">
      <w:pPr>
        <w:pStyle w:val="23"/>
      </w:pPr>
      <w:r>
        <w:t>Samples contain:</w:t>
      </w:r>
    </w:p>
    <w:p w14:paraId="6307801F">
      <w:pPr>
        <w:pStyle w:val="49"/>
      </w:pPr>
      <w:r>
        <w:rPr>
          <w:rStyle w:val="48"/>
        </w:rPr>
        <w:t>a - b</w:t>
      </w:r>
    </w:p>
    <w:p w14:paraId="3CDA6DA3">
      <w:pPr>
        <w:pStyle w:val="23"/>
      </w:pPr>
      <w:r>
        <w:t>Operands are sampled from 2 to 50, and samples producing values outside 2–100 are resampled.</w:t>
      </w:r>
    </w:p>
    <w:p w14:paraId="08F5BA9C">
      <w:pPr>
        <w:pStyle w:val="3"/>
      </w:pPr>
      <w:r>
        <w:t>These datasets are smaller because single-step execution is significantly simpler than natural-language reasoning.</w:t>
      </w:r>
    </w:p>
    <w:p w14:paraId="4226A527">
      <w:r>
        <w:pict>
          <v:rect id="_x0000_i1065" o:spt="1" style="height:1.5pt;width:0pt;" coordsize="21600,21600" o:hr="t" o:hrstd="t" o:hralign="center">
            <v:path/>
            <v:fill focussize="0,0"/>
            <v:stroke/>
            <v:imagedata o:title=""/>
            <o:lock v:ext="edit"/>
            <w10:wrap type="none"/>
            <w10:anchorlock/>
          </v:rect>
        </w:pict>
      </w:r>
    </w:p>
    <w:bookmarkEnd w:id="19"/>
    <w:bookmarkEnd w:id="21"/>
    <w:p w14:paraId="2CAA514F">
      <w:pPr>
        <w:pStyle w:val="4"/>
      </w:pPr>
      <w:bookmarkStart w:id="22" w:name="step-decomposer-dataset-80000-samples"/>
      <w:r>
        <w:t>4.2.7 Step Decomposer Dataset (80,000 samples)</w:t>
      </w:r>
    </w:p>
    <w:p w14:paraId="3E9648C5">
      <w:pPr>
        <w:pStyle w:val="23"/>
      </w:pPr>
      <w:r>
        <w:t>To train the step decomposer used in Section 4.8, we construct an additional dataset containing 80,000 supervised samples. Each sample is a JSON-style record that includes both the natural-language arithmetic expression and its fully decomposed step-by-step execution program.</w:t>
      </w:r>
    </w:p>
    <w:p w14:paraId="67B93F21">
      <w:pPr>
        <w:pStyle w:val="3"/>
      </w:pPr>
      <w:r>
        <w:t>A typical example is:</w:t>
      </w:r>
    </w:p>
    <w:p w14:paraId="112F23A9">
      <w:pPr>
        <w:pStyle w:val="3"/>
      </w:pPr>
      <w:r>
        <w:t>{ “id”: 0, “expr”: “33 plus 23 minus 36”, “answer”: 20, “label”: 0, “domain”: “range_2_20”, “num_steps”: 2, “program”: “Step 1: 33 + 23 = x1 Step 2: x1 - 36 = x2 Answer: x2” }</w:t>
      </w:r>
    </w:p>
    <w:p w14:paraId="629EE383">
      <w:pPr>
        <w:pStyle w:val="3"/>
      </w:pPr>
      <w:r>
        <w:t>Each record contains: - expr – the original natural-language expression - answer – the exact arithmetic result - label – the target range index (0 to 4 corresponding to R1 to R5) - domain – the textual form of the target range - num_steps – the number of arithmetic operations in the expression - program – the fully decomposed sequence of explicit computational steps</w:t>
      </w:r>
    </w:p>
    <w:p w14:paraId="1AACF88C">
      <w:pPr>
        <w:pStyle w:val="3"/>
      </w:pPr>
      <w:r>
        <w:t>The step decomposer predicts the program field given the expr field.</w:t>
      </w:r>
    </w:p>
    <w:p w14:paraId="5A9DB52D">
      <w:pPr>
        <w:pStyle w:val="5"/>
      </w:pPr>
      <w:bookmarkStart w:id="23" w:name="step-count-distribution"/>
      <w:r>
        <w:t>Step Count Distribution</w:t>
      </w:r>
    </w:p>
    <w:p w14:paraId="64198C6E">
      <w:pPr>
        <w:pStyle w:val="23"/>
      </w:pPr>
      <w:r>
        <w:t>To match the structural patterns seen in Task 2 and stabilize multi-step execution, the dataset follows a 2:4:4 ratio:</w:t>
      </w:r>
    </w:p>
    <w:p w14:paraId="605CDC9A">
      <w:pPr>
        <w:pStyle w:val="24"/>
        <w:numPr>
          <w:ilvl w:val="0"/>
          <w:numId w:val="2"/>
        </w:numPr>
      </w:pPr>
      <w:r>
        <w:t>20 percent two-step expressions</w:t>
      </w:r>
    </w:p>
    <w:p w14:paraId="7D05BD75">
      <w:pPr>
        <w:pStyle w:val="24"/>
        <w:numPr>
          <w:ilvl w:val="0"/>
          <w:numId w:val="2"/>
        </w:numPr>
      </w:pPr>
      <w:r>
        <w:t>40 percent three-step expressions</w:t>
      </w:r>
    </w:p>
    <w:p w14:paraId="7AA464C7">
      <w:pPr>
        <w:pStyle w:val="24"/>
        <w:numPr>
          <w:ilvl w:val="0"/>
          <w:numId w:val="2"/>
        </w:numPr>
      </w:pPr>
      <w:r>
        <w:t>40 percent four-step expressions</w:t>
      </w:r>
    </w:p>
    <w:p w14:paraId="7601F566">
      <w:pPr>
        <w:pStyle w:val="23"/>
      </w:pPr>
      <w:r>
        <w:t>This prevents the decomposer from overfitting to shorter expressions and ensures enough exposure to longer computation chains.</w:t>
      </w:r>
    </w:p>
    <w:bookmarkEnd w:id="23"/>
    <w:p w14:paraId="2342C96B">
      <w:pPr>
        <w:pStyle w:val="5"/>
      </w:pPr>
      <w:bookmarkStart w:id="24" w:name="training-purpose"/>
      <w:r>
        <w:t>Training Purpose</w:t>
      </w:r>
    </w:p>
    <w:p w14:paraId="07700C8F">
      <w:pPr>
        <w:pStyle w:val="23"/>
      </w:pPr>
      <w:r>
        <w:t>This dataset enables the step decomposer to: - infer operator ordering, - generate intermediate variables such as x1 and x2, - output executable step programs that can be consumed by expert modules.</w:t>
      </w:r>
    </w:p>
    <w:p w14:paraId="5393EA66">
      <w:pPr>
        <w:pStyle w:val="3"/>
      </w:pPr>
      <w:r>
        <w:t>These decomposed programs are executed by the modular expert pipeline described in Section 4.8, enabling RED to achieve over 0.99 execution accuracy when the structure is correctly predicted.</w:t>
      </w:r>
    </w:p>
    <w:bookmarkEnd w:id="22"/>
    <w:bookmarkEnd w:id="24"/>
    <w:p w14:paraId="59818FE5">
      <w:pPr>
        <w:pStyle w:val="4"/>
      </w:pPr>
      <w:bookmarkStart w:id="25" w:name="summary"/>
      <w:r>
        <w:t>4.2 Summary</w:t>
      </w:r>
    </w:p>
    <w:p w14:paraId="271D99A6">
      <w:pPr>
        <w:pStyle w:val="23"/>
      </w:pPr>
      <w:r>
        <w:t>Together, these datasets provide a comprehensive foundation for evaluating RED. They ensure:</w:t>
      </w:r>
    </w:p>
    <w:p w14:paraId="7AB1C933">
      <w:pPr>
        <w:pStyle w:val="24"/>
        <w:numPr>
          <w:ilvl w:val="0"/>
          <w:numId w:val="2"/>
        </w:numPr>
      </w:pPr>
      <w:r>
        <w:t>Balanced supervision across numerical intervals</w:t>
      </w:r>
    </w:p>
    <w:p w14:paraId="7847A1C3">
      <w:pPr>
        <w:pStyle w:val="24"/>
        <w:numPr>
          <w:ilvl w:val="0"/>
          <w:numId w:val="2"/>
        </w:numPr>
      </w:pPr>
      <w:r>
        <w:t>Linguistic diversity</w:t>
      </w:r>
    </w:p>
    <w:p w14:paraId="7DBFE1B7">
      <w:pPr>
        <w:pStyle w:val="24"/>
        <w:numPr>
          <w:ilvl w:val="0"/>
          <w:numId w:val="2"/>
        </w:numPr>
      </w:pPr>
      <w:r>
        <w:t>Controlled structural complexity</w:t>
      </w:r>
    </w:p>
    <w:p w14:paraId="2F2BB405">
      <w:pPr>
        <w:pStyle w:val="24"/>
        <w:numPr>
          <w:ilvl w:val="0"/>
          <w:numId w:val="2"/>
        </w:numPr>
      </w:pPr>
      <w:r>
        <w:t>Clean separation of training and evaluation splits</w:t>
      </w:r>
    </w:p>
    <w:p w14:paraId="317F9092">
      <w:pPr>
        <w:pStyle w:val="24"/>
        <w:numPr>
          <w:ilvl w:val="0"/>
          <w:numId w:val="2"/>
        </w:numPr>
      </w:pPr>
      <w:r>
        <w:t>Full compatibility with end-to-end and modular execution pipelines</w:t>
      </w:r>
    </w:p>
    <w:p w14:paraId="0B35D3BC">
      <w:pPr>
        <w:pStyle w:val="23"/>
      </w:pPr>
      <w:r>
        <w:t>These properties allow rigorous assessment of RED’s modular reasoning capabilities.</w:t>
      </w:r>
    </w:p>
    <w:bookmarkEnd w:id="25"/>
    <w:p w14:paraId="651460DD">
      <w:pPr>
        <w:pStyle w:val="4"/>
      </w:pPr>
      <w:r>
        <w:t xml:space="preserve">4.3 Baselines </w:t>
      </w:r>
    </w:p>
    <w:p w14:paraId="4202D606">
      <w:pPr>
        <w:pStyle w:val="23"/>
      </w:pPr>
      <w:r>
        <w:t xml:space="preserve">This section introduces the baseline systems used to contextualize the performance of the proposed </w:t>
      </w:r>
      <w:r>
        <w:rPr>
          <w:b/>
          <w:bCs/>
        </w:rPr>
        <w:t>Residual Expert Decomposition (RED)</w:t>
      </w:r>
      <w:r>
        <w:t xml:space="preserve"> framework. The goal is to compare RED against representative architectures that differ in modularity, routing, and expert interaction. All baselines share the same Qwen-0.6B backbone for fair comparison.</w:t>
      </w:r>
    </w:p>
    <w:p w14:paraId="09B52B0A">
      <w:pPr>
        <w:pStyle w:val="5"/>
      </w:pPr>
      <w:bookmarkStart w:id="26" w:name="baseline-1-global-head-single-expert"/>
      <w:r>
        <w:t>4.3.1 Baseline 1 — Global Head (Single Expert)</w:t>
      </w:r>
    </w:p>
    <w:p w14:paraId="17316EEF">
      <w:pPr>
        <w:pStyle w:val="23"/>
      </w:pPr>
      <w:r>
        <w:t>A single classifier head is trained on all samples using the shared backbone. This model:</w:t>
      </w:r>
    </w:p>
    <w:p w14:paraId="599C2C2D">
      <w:pPr>
        <w:pStyle w:val="24"/>
        <w:numPr>
          <w:ilvl w:val="0"/>
          <w:numId w:val="2"/>
        </w:numPr>
      </w:pPr>
      <w:r>
        <w:t xml:space="preserve">has </w:t>
      </w:r>
      <w:r>
        <w:rPr>
          <w:b/>
          <w:bCs/>
        </w:rPr>
        <w:t>no modular decomposition</w:t>
      </w:r>
      <w:r>
        <w:t>,</w:t>
      </w:r>
    </w:p>
    <w:p w14:paraId="62B6D992">
      <w:pPr>
        <w:pStyle w:val="24"/>
        <w:numPr>
          <w:ilvl w:val="0"/>
          <w:numId w:val="2"/>
        </w:numPr>
      </w:pPr>
      <w:r>
        <w:t xml:space="preserve">has </w:t>
      </w:r>
      <w:r>
        <w:rPr>
          <w:b/>
          <w:bCs/>
        </w:rPr>
        <w:t>no expert specialization</w:t>
      </w:r>
      <w:r>
        <w:t>,</w:t>
      </w:r>
    </w:p>
    <w:p w14:paraId="7C365D37">
      <w:pPr>
        <w:pStyle w:val="24"/>
        <w:numPr>
          <w:ilvl w:val="0"/>
          <w:numId w:val="2"/>
        </w:numPr>
      </w:pPr>
      <w:r>
        <w:t xml:space="preserve">and uses </w:t>
      </w:r>
      <w:r>
        <w:rPr>
          <w:b/>
          <w:bCs/>
        </w:rPr>
        <w:t>no routing mechanism</w:t>
      </w:r>
      <w:r>
        <w:t>.</w:t>
      </w:r>
    </w:p>
    <w:p w14:paraId="7A6160EC">
      <w:pPr>
        <w:pStyle w:val="23"/>
      </w:pPr>
      <w:r>
        <w:t>It answers a fundamental question:</w:t>
      </w:r>
    </w:p>
    <w:p w14:paraId="1B2F5511">
      <w:pPr>
        <w:pStyle w:val="13"/>
      </w:pPr>
      <w:r>
        <w:t>Can a single global predictor learn heterogeneous numerical patterns without modular structure?</w:t>
      </w:r>
    </w:p>
    <w:bookmarkEnd w:id="26"/>
    <w:p w14:paraId="5E5227AE">
      <w:pPr>
        <w:pStyle w:val="5"/>
      </w:pPr>
      <w:bookmarkStart w:id="27" w:name="X5d41469df4b509370dd27b415d3f57d294c0ab0"/>
      <w:r>
        <w:t xml:space="preserve">4.3.2 Baseline 2 — Oracle Per-Range Experts </w:t>
      </w:r>
      <w:r>
        <w:rPr>
          <w:i/>
          <w:iCs/>
        </w:rPr>
        <w:t>(Upper Bound)</w:t>
      </w:r>
    </w:p>
    <w:p w14:paraId="42C9931A">
      <w:pPr>
        <w:pStyle w:val="23"/>
      </w:pPr>
      <w:r>
        <w:t xml:space="preserve">Five expert heads are trained independently, each on samples from its own numerical sub-domain. At inference time, the system uses </w:t>
      </w:r>
      <w:r>
        <w:rPr>
          <w:b/>
          <w:bCs/>
        </w:rPr>
        <w:t>ground-truth range labels</w:t>
      </w:r>
      <w:r>
        <w:t xml:space="preserve"> to select the correct expert:</w:t>
      </w:r>
    </w:p>
    <w:p w14:paraId="415367F0">
      <w:pPr>
        <w:pStyle w:val="3"/>
      </w:pPr>
      <m:oMathPara>
        <m:oMathParaPr>
          <m:jc m:val="center"/>
        </m:oMathParaPr>
        <m:oMath>
          <m:r>
            <m:rPr/>
            <m:t>p</m:t>
          </m:r>
          <m:r>
            <m:rPr>
              <m:sty m:val="p"/>
            </m:rPr>
            <m:t>(</m:t>
          </m:r>
          <m:r>
            <m:rPr/>
            <m:t>y</m:t>
          </m:r>
          <m:r>
            <m:rPr>
              <m:sty m:val="p"/>
            </m:rPr>
            <m:t>∣</m:t>
          </m:r>
          <m:r>
            <m:rPr/>
            <m:t>x</m:t>
          </m:r>
          <m:r>
            <m:rPr>
              <m:sty m:val="p"/>
            </m:rPr>
            <m:t>)=softmax</m:t>
          </m:r>
          <m:d>
            <m:dPr>
              <m:sepChr m:val=""/>
            </m:dPr>
            <m:e>
              <m:sSub>
                <m:sSubPr/>
                <m:e>
                  <m:r>
                    <m:rPr/>
                    <m:t>E</m:t>
                  </m:r>
                </m:e>
                <m:sub>
                  <m:r>
                    <m:rPr/>
                    <m:t>i</m:t>
                  </m:r>
                </m:sub>
              </m:sSub>
              <m:r>
                <m:rPr>
                  <m:sty m:val="p"/>
                </m:rPr>
                <m:t>(</m:t>
              </m:r>
              <m:r>
                <m:rPr/>
                <m:t>h</m:t>
              </m:r>
              <m:r>
                <m:rPr>
                  <m:sty m:val="p"/>
                </m:rPr>
                <m:t>(</m:t>
              </m:r>
              <m:r>
                <m:rPr/>
                <m:t>x</m:t>
              </m:r>
              <m:r>
                <m:rPr>
                  <m:sty m:val="p"/>
                </m:rPr>
                <m:t>))</m:t>
              </m:r>
            </m:e>
          </m:d>
          <m:r>
            <m:rPr>
              <m:sty m:val="p"/>
            </m:rPr>
            <m:t>,</m:t>
          </m:r>
          <m:r>
            <m:rPr/>
            <m:t> i</m:t>
          </m:r>
          <m:r>
            <m:rPr>
              <m:sty m:val="p"/>
            </m:rPr>
            <m:t>=trueRange(</m:t>
          </m:r>
          <m:r>
            <m:rPr/>
            <m:t>x</m:t>
          </m:r>
          <m:r>
            <m:rPr>
              <m:sty m:val="p"/>
            </m:rPr>
            <m:t>).</m:t>
          </m:r>
        </m:oMath>
      </m:oMathPara>
    </w:p>
    <w:p w14:paraId="5DC8A40B">
      <w:pPr>
        <w:pStyle w:val="23"/>
      </w:pPr>
      <w:r>
        <w:t xml:space="preserve">Although not feasible in practice, this configuration represents the </w:t>
      </w:r>
      <w:r>
        <w:rPr>
          <w:b/>
          <w:bCs/>
        </w:rPr>
        <w:t>upper bound</w:t>
      </w:r>
      <w:r>
        <w:t xml:space="preserve"> of modular specialization.</w:t>
      </w:r>
    </w:p>
    <w:bookmarkEnd w:id="27"/>
    <w:p w14:paraId="50926DEE">
      <w:pPr>
        <w:pStyle w:val="5"/>
      </w:pPr>
      <w:bookmarkStart w:id="28" w:name="X171aa6cb5e6abaafa70e03824b0a347458ecb2e"/>
      <w:r>
        <w:t xml:space="preserve">4.3.3 Baseline 3 — Uniform Expert Averaging </w:t>
      </w:r>
      <w:r>
        <w:rPr>
          <w:i/>
          <w:iCs/>
        </w:rPr>
        <w:t>(Parameter-Free Ensemble)</w:t>
      </w:r>
    </w:p>
    <w:p w14:paraId="544873F2">
      <w:pPr>
        <w:pStyle w:val="23"/>
      </w:pPr>
      <w:r>
        <w:t>Outputs from all experts are averaged equally:</w:t>
      </w:r>
    </w:p>
    <w:p w14:paraId="69007F7B">
      <w:pPr>
        <w:pStyle w:val="3"/>
      </w:pPr>
      <m:oMathPara>
        <m:oMathParaPr>
          <m:jc m:val="center"/>
        </m:oMathParaPr>
        <m:oMath>
          <m:r>
            <m:rPr/>
            <m:t>p</m:t>
          </m:r>
          <m:r>
            <m:rPr>
              <m:sty m:val="p"/>
            </m:rPr>
            <m:t>(</m:t>
          </m:r>
          <m:r>
            <m:rPr/>
            <m:t>y</m:t>
          </m:r>
          <m:r>
            <m:rPr>
              <m:sty m:val="p"/>
            </m:rPr>
            <m:t>∣</m:t>
          </m:r>
          <m:r>
            <m:rPr/>
            <m:t>x</m:t>
          </m:r>
          <m:r>
            <m:rPr>
              <m:sty m:val="p"/>
            </m:rPr>
            <m:t>)=</m:t>
          </m:r>
          <m:f>
            <m:fPr/>
            <m:num>
              <m:r>
                <m:rPr/>
                <m:t>1</m:t>
              </m:r>
            </m:num>
            <m:den>
              <m:r>
                <m:rPr/>
                <m:t>5</m:t>
              </m:r>
            </m:den>
          </m:f>
          <m:nary>
            <m:naryPr>
              <m:chr m:val="∑"/>
              <m:limLoc m:val="undOvr"/>
            </m:naryPr>
            <m:sub>
              <m:r>
                <m:rPr/>
                <m:t>i</m:t>
              </m:r>
              <m:r>
                <m:rPr>
                  <m:sty m:val="p"/>
                </m:rPr>
                <m:t>=</m:t>
              </m:r>
              <m:r>
                <m:rPr/>
                <m:t>1</m:t>
              </m:r>
            </m:sub>
            <m:sup>
              <m:r>
                <m:rPr/>
                <m:t>5</m:t>
              </m:r>
            </m:sup>
            <m:e>
              <m:r>
                <m:rPr>
                  <m:sty m:val="p"/>
                </m:rPr>
                <m:t>softmax</m:t>
              </m:r>
            </m:e>
          </m:nary>
          <m:d>
            <m:dPr>
              <m:sepChr m:val=""/>
            </m:dPr>
            <m:e>
              <m:sSub>
                <m:sSubPr/>
                <m:e>
                  <m:r>
                    <m:rPr/>
                    <m:t>E</m:t>
                  </m:r>
                </m:e>
                <m:sub>
                  <m:r>
                    <m:rPr/>
                    <m:t>i</m:t>
                  </m:r>
                </m:sub>
              </m:sSub>
              <m:r>
                <m:rPr>
                  <m:sty m:val="p"/>
                </m:rPr>
                <m:t>(</m:t>
              </m:r>
              <m:r>
                <m:rPr/>
                <m:t>h</m:t>
              </m:r>
              <m:r>
                <m:rPr>
                  <m:sty m:val="p"/>
                </m:rPr>
                <m:t>(</m:t>
              </m:r>
              <m:r>
                <m:rPr/>
                <m:t>x</m:t>
              </m:r>
              <m:r>
                <m:rPr>
                  <m:sty m:val="p"/>
                </m:rPr>
                <m:t>))</m:t>
              </m:r>
            </m:e>
          </m:d>
          <m:r>
            <m:rPr>
              <m:sty m:val="p"/>
            </m:rPr>
            <m:t>.</m:t>
          </m:r>
        </m:oMath>
      </m:oMathPara>
    </w:p>
    <w:p w14:paraId="3E722AC4">
      <w:pPr>
        <w:pStyle w:val="23"/>
      </w:pPr>
      <w:r>
        <w:t>This baseline examines whether simple ensembling—without routing or residual corrections—yields competitive performance.</w:t>
      </w:r>
    </w:p>
    <w:bookmarkEnd w:id="28"/>
    <w:p w14:paraId="10C8105E">
      <w:pPr>
        <w:pStyle w:val="5"/>
      </w:pPr>
      <w:bookmarkStart w:id="29" w:name="baseline-4-softmax-gating-classical-moe"/>
      <w:r>
        <w:t>4.3.4 Baseline 4 — Softmax Gating (Classical MoE)</w:t>
      </w:r>
    </w:p>
    <w:p w14:paraId="4F1B36CF">
      <w:pPr>
        <w:pStyle w:val="23"/>
      </w:pPr>
      <w:r>
        <w:t>A classical MoE-style router predicts mixture weights:</w:t>
      </w:r>
    </w:p>
    <w:p w14:paraId="1B095E54">
      <w:pPr>
        <w:pStyle w:val="3"/>
      </w:pPr>
      <m:oMathPara>
        <m:oMathParaPr>
          <m:jc m:val="center"/>
        </m:oMathParaPr>
        <m:oMath>
          <m:r>
            <m:rPr>
              <m:sty m:val="b"/>
            </m:rPr>
            <m:t>α</m:t>
          </m:r>
          <m:r>
            <m:rPr>
              <m:sty m:val="p"/>
            </m:rPr>
            <m:t>(</m:t>
          </m:r>
          <m:r>
            <m:rPr/>
            <m:t>x</m:t>
          </m:r>
          <m:r>
            <m:rPr>
              <m:sty m:val="p"/>
            </m:rPr>
            <m:t>)=softmax</m:t>
          </m:r>
          <m:d>
            <m:dPr>
              <m:sepChr m:val=""/>
            </m:dPr>
            <m:e>
              <m:sSub>
                <m:sSubPr/>
                <m:e>
                  <m:r>
                    <m:rPr/>
                    <m:t>W</m:t>
                  </m:r>
                </m:e>
                <m:sub>
                  <m:r>
                    <m:rPr/>
                    <m:t>r</m:t>
                  </m:r>
                </m:sub>
              </m:sSub>
              <m:r>
                <m:rPr/>
                <m:t> </m:t>
              </m:r>
              <m:sSub>
                <m:sSubPr/>
                <m:e>
                  <m:r>
                    <m:rPr/>
                    <m:t>h</m:t>
                  </m:r>
                </m:e>
                <m:sub>
                  <m:r>
                    <m:rPr>
                      <m:nor/>
                      <m:sty m:val="p"/>
                    </m:rPr>
                    <w:rPr>
                      <w:b w:val="0"/>
                      <w:i w:val="0"/>
                    </w:rPr>
                    <m:t>base</m:t>
                  </m:r>
                </m:sub>
              </m:sSub>
              <m:r>
                <m:rPr>
                  <m:sty m:val="p"/>
                </m:rPr>
                <m:t>(</m:t>
              </m:r>
              <m:r>
                <m:rPr/>
                <m:t>x</m:t>
              </m:r>
              <m:r>
                <m:rPr>
                  <m:sty m:val="p"/>
                </m:rPr>
                <m:t>)</m:t>
              </m:r>
            </m:e>
          </m:d>
          <m:r>
            <m:rPr>
              <m:sty m:val="p"/>
            </m:rPr>
            <m:t>,</m:t>
          </m:r>
        </m:oMath>
      </m:oMathPara>
    </w:p>
    <w:p w14:paraId="20F06CB5">
      <w:pPr>
        <w:pStyle w:val="23"/>
      </w:pPr>
      <w:r>
        <w:t>and the final prediction is</w:t>
      </w:r>
    </w:p>
    <w:p w14:paraId="76356B9E">
      <w:pPr>
        <w:pStyle w:val="3"/>
      </w:pPr>
      <m:oMathPara>
        <m:oMathParaPr>
          <m:jc m:val="center"/>
        </m:oMathParaPr>
        <m:oMath>
          <m:r>
            <m:rPr/>
            <m:t>p</m:t>
          </m:r>
          <m:r>
            <m:rPr>
              <m:sty m:val="p"/>
            </m:rPr>
            <m:t>(</m:t>
          </m:r>
          <m:r>
            <m:rPr/>
            <m:t>y</m:t>
          </m:r>
          <m:r>
            <m:rPr>
              <m:sty m:val="p"/>
            </m:rPr>
            <m:t>∣</m:t>
          </m:r>
          <m:r>
            <m:rPr/>
            <m:t>x</m:t>
          </m:r>
          <m:r>
            <m:rPr>
              <m:sty m:val="p"/>
            </m:rPr>
            <m:t>)=</m:t>
          </m:r>
          <m:nary>
            <m:naryPr>
              <m:chr m:val="∑"/>
              <m:limLoc m:val="undOvr"/>
            </m:naryPr>
            <m:sub>
              <m:r>
                <m:rPr/>
                <m:t>i</m:t>
              </m:r>
              <m:r>
                <m:rPr>
                  <m:sty m:val="p"/>
                </m:rPr>
                <m:t>=</m:t>
              </m:r>
              <m:r>
                <m:rPr/>
                <m:t>1</m:t>
              </m:r>
            </m:sub>
            <m:sup>
              <m:r>
                <m:rPr/>
                <m:t>5</m:t>
              </m:r>
            </m:sup>
            <m:e>
              <m:sSub>
                <m:sSubPr/>
                <m:e>
                  <m:r>
                    <m:rPr/>
                    <m:t>α</m:t>
                  </m:r>
                </m:e>
                <m:sub>
                  <m:r>
                    <m:rPr/>
                    <m:t>i</m:t>
                  </m:r>
                </m:sub>
              </m:sSub>
            </m:e>
          </m:nary>
          <m:r>
            <m:rPr>
              <m:sty m:val="p"/>
            </m:rPr>
            <m:t>(</m:t>
          </m:r>
          <m:r>
            <m:rPr/>
            <m:t>x</m:t>
          </m:r>
          <m:r>
            <m:rPr>
              <m:sty m:val="p"/>
            </m:rPr>
            <m:t>)</m:t>
          </m:r>
          <m:r>
            <m:rPr/>
            <m:t> </m:t>
          </m:r>
          <m:sSub>
            <m:sSubPr/>
            <m:e>
              <m:r>
                <m:rPr/>
                <m:t>E</m:t>
              </m:r>
            </m:e>
            <m:sub>
              <m:r>
                <m:rPr/>
                <m:t>i</m:t>
              </m:r>
            </m:sub>
          </m:sSub>
          <m:d>
            <m:dPr>
              <m:sepChr m:val=""/>
            </m:dPr>
            <m:e>
              <m:r>
                <m:rPr/>
                <m:t>h</m:t>
              </m:r>
              <m:r>
                <m:rPr>
                  <m:sty m:val="p"/>
                </m:rPr>
                <m:t>(</m:t>
              </m:r>
              <m:r>
                <m:rPr/>
                <m:t>x</m:t>
              </m:r>
              <m:r>
                <m:rPr>
                  <m:sty m:val="p"/>
                </m:rPr>
                <m:t>)</m:t>
              </m:r>
            </m:e>
          </m:d>
          <m:r>
            <m:rPr>
              <m:sty m:val="p"/>
            </m:rPr>
            <m:t>.</m:t>
          </m:r>
        </m:oMath>
      </m:oMathPara>
    </w:p>
    <w:p w14:paraId="2F742136">
      <w:pPr>
        <w:pStyle w:val="23"/>
      </w:pPr>
      <w:r>
        <w:t xml:space="preserve">This baseline tests a fully modular, routing-driven architecture </w:t>
      </w:r>
      <w:r>
        <w:rPr>
          <w:b/>
          <w:bCs/>
        </w:rPr>
        <w:t>without</w:t>
      </w:r>
      <w:r>
        <w:t xml:space="preserve"> residual correction. It is structurally closest to RED but more sensitive to routing errors.</w:t>
      </w:r>
    </w:p>
    <w:bookmarkEnd w:id="29"/>
    <w:p w14:paraId="619748F1">
      <w:pPr>
        <w:pStyle w:val="5"/>
      </w:pPr>
      <w:bookmarkStart w:id="30" w:name="summary-of-baseline-properties"/>
      <w:r>
        <w:t>4.3.5 Summary of Baseline Properties</w:t>
      </w:r>
    </w:p>
    <w:tbl>
      <w:tblPr>
        <w:tblStyle w:val="41"/>
        <w:tblW w:w="5000" w:type="pct"/>
        <w:tblInd w:w="0" w:type="dxa"/>
        <w:tblLayout w:type="fixed"/>
        <w:tblCellMar>
          <w:top w:w="0" w:type="dxa"/>
          <w:left w:w="108" w:type="dxa"/>
          <w:bottom w:w="0" w:type="dxa"/>
          <w:right w:w="108" w:type="dxa"/>
        </w:tblCellMar>
      </w:tblPr>
      <w:tblGrid>
        <w:gridCol w:w="1619"/>
        <w:gridCol w:w="1428"/>
        <w:gridCol w:w="1142"/>
        <w:gridCol w:w="2000"/>
        <w:gridCol w:w="2667"/>
      </w:tblGrid>
      <w:tr w14:paraId="68F61A34">
        <w:tblPrEx>
          <w:tblCellMar>
            <w:top w:w="0" w:type="dxa"/>
            <w:left w:w="108" w:type="dxa"/>
            <w:bottom w:w="0" w:type="dxa"/>
            <w:right w:w="108" w:type="dxa"/>
          </w:tblCellMar>
        </w:tblPrEx>
        <w:trPr>
          <w:tblHeader/>
        </w:trPr>
        <w:tc>
          <w:p w14:paraId="0A4134CB">
            <w:pPr>
              <w:pStyle w:val="24"/>
            </w:pPr>
            <w:r>
              <w:t>Baseline</w:t>
            </w:r>
          </w:p>
        </w:tc>
        <w:tc>
          <w:p w14:paraId="79EF5A7A">
            <w:pPr>
              <w:pStyle w:val="24"/>
            </w:pPr>
            <w:r>
              <w:t>Routing</w:t>
            </w:r>
          </w:p>
        </w:tc>
        <w:tc>
          <w:p w14:paraId="6F3074B0">
            <w:pPr>
              <w:pStyle w:val="24"/>
            </w:pPr>
            <w:r>
              <w:t>Modularity</w:t>
            </w:r>
          </w:p>
        </w:tc>
        <w:tc>
          <w:p w14:paraId="21B5B09D">
            <w:pPr>
              <w:pStyle w:val="24"/>
            </w:pPr>
            <w:r>
              <w:t>Residual Correction</w:t>
            </w:r>
          </w:p>
        </w:tc>
        <w:tc>
          <w:p w14:paraId="5B877D8D">
            <w:pPr>
              <w:pStyle w:val="24"/>
            </w:pPr>
            <w:r>
              <w:t>Purpose</w:t>
            </w:r>
          </w:p>
        </w:tc>
      </w:tr>
      <w:tr w14:paraId="1B378D20">
        <w:tblPrEx>
          <w:tblCellMar>
            <w:top w:w="0" w:type="dxa"/>
            <w:left w:w="108" w:type="dxa"/>
            <w:bottom w:w="0" w:type="dxa"/>
            <w:right w:w="108" w:type="dxa"/>
          </w:tblCellMar>
        </w:tblPrEx>
        <w:tc>
          <w:p w14:paraId="37502333">
            <w:pPr>
              <w:pStyle w:val="24"/>
            </w:pPr>
            <w:r>
              <w:t>Global Head</w:t>
            </w:r>
          </w:p>
        </w:tc>
        <w:tc>
          <w:p w14:paraId="50214B7D">
            <w:pPr>
              <w:pStyle w:val="24"/>
            </w:pPr>
            <w:r>
              <w:t>✗</w:t>
            </w:r>
          </w:p>
        </w:tc>
        <w:tc>
          <w:p w14:paraId="5A012935">
            <w:pPr>
              <w:pStyle w:val="24"/>
            </w:pPr>
            <w:r>
              <w:t>✗</w:t>
            </w:r>
          </w:p>
        </w:tc>
        <w:tc>
          <w:p w14:paraId="0BE011E8">
            <w:pPr>
              <w:pStyle w:val="24"/>
            </w:pPr>
            <w:r>
              <w:t>✗</w:t>
            </w:r>
          </w:p>
        </w:tc>
        <w:tc>
          <w:p w14:paraId="6EDFC27C">
            <w:pPr>
              <w:pStyle w:val="24"/>
            </w:pPr>
            <w:r>
              <w:t>Non-modular reference</w:t>
            </w:r>
          </w:p>
        </w:tc>
      </w:tr>
      <w:tr w14:paraId="10F06CA0">
        <w:tblPrEx>
          <w:tblCellMar>
            <w:top w:w="0" w:type="dxa"/>
            <w:left w:w="108" w:type="dxa"/>
            <w:bottom w:w="0" w:type="dxa"/>
            <w:right w:w="108" w:type="dxa"/>
          </w:tblCellMar>
        </w:tblPrEx>
        <w:tc>
          <w:p w14:paraId="3D1D4F4C">
            <w:pPr>
              <w:pStyle w:val="24"/>
            </w:pPr>
            <w:r>
              <w:t>Oracle Experts</w:t>
            </w:r>
          </w:p>
        </w:tc>
        <w:tc>
          <w:p w14:paraId="052E2398">
            <w:pPr>
              <w:pStyle w:val="24"/>
            </w:pPr>
            <w:r>
              <w:t>✓ (perfect)</w:t>
            </w:r>
          </w:p>
        </w:tc>
        <w:tc>
          <w:p w14:paraId="468A567F">
            <w:pPr>
              <w:pStyle w:val="24"/>
            </w:pPr>
            <w:r>
              <w:t>✓</w:t>
            </w:r>
          </w:p>
        </w:tc>
        <w:tc>
          <w:p w14:paraId="56962D30">
            <w:pPr>
              <w:pStyle w:val="24"/>
            </w:pPr>
            <w:r>
              <w:t>✗</w:t>
            </w:r>
          </w:p>
        </w:tc>
        <w:tc>
          <w:p w14:paraId="6EC12E49">
            <w:pPr>
              <w:pStyle w:val="24"/>
            </w:pPr>
            <w:r>
              <w:t>Specialization upper bound</w:t>
            </w:r>
          </w:p>
        </w:tc>
      </w:tr>
      <w:tr w14:paraId="028DA6D7">
        <w:tblPrEx>
          <w:tblCellMar>
            <w:top w:w="0" w:type="dxa"/>
            <w:left w:w="108" w:type="dxa"/>
            <w:bottom w:w="0" w:type="dxa"/>
            <w:right w:w="108" w:type="dxa"/>
          </w:tblCellMar>
        </w:tblPrEx>
        <w:tc>
          <w:p w14:paraId="1FB852DB">
            <w:pPr>
              <w:pStyle w:val="24"/>
            </w:pPr>
            <w:r>
              <w:t>Uniform Avg</w:t>
            </w:r>
          </w:p>
        </w:tc>
        <w:tc>
          <w:p w14:paraId="71D676E8">
            <w:pPr>
              <w:pStyle w:val="24"/>
            </w:pPr>
            <w:r>
              <w:t>✗</w:t>
            </w:r>
          </w:p>
        </w:tc>
        <w:tc>
          <w:p w14:paraId="070FC215">
            <w:pPr>
              <w:pStyle w:val="24"/>
            </w:pPr>
            <w:r>
              <w:t>✓</w:t>
            </w:r>
          </w:p>
        </w:tc>
        <w:tc>
          <w:p w14:paraId="65A347A8">
            <w:pPr>
              <w:pStyle w:val="24"/>
            </w:pPr>
            <w:r>
              <w:t>✗</w:t>
            </w:r>
          </w:p>
        </w:tc>
        <w:tc>
          <w:p w14:paraId="04AF2555">
            <w:pPr>
              <w:pStyle w:val="24"/>
            </w:pPr>
            <w:r>
              <w:t>Parameter-free ensemble</w:t>
            </w:r>
          </w:p>
        </w:tc>
      </w:tr>
      <w:tr w14:paraId="57958113">
        <w:tblPrEx>
          <w:tblCellMar>
            <w:top w:w="0" w:type="dxa"/>
            <w:left w:w="108" w:type="dxa"/>
            <w:bottom w:w="0" w:type="dxa"/>
            <w:right w:w="108" w:type="dxa"/>
          </w:tblCellMar>
        </w:tblPrEx>
        <w:tc>
          <w:p w14:paraId="1242E41A">
            <w:pPr>
              <w:pStyle w:val="24"/>
            </w:pPr>
            <w:r>
              <w:t>Softmax Gating</w:t>
            </w:r>
          </w:p>
        </w:tc>
        <w:tc>
          <w:p w14:paraId="58E102DB">
            <w:pPr>
              <w:pStyle w:val="24"/>
            </w:pPr>
            <w:r>
              <w:t>✓</w:t>
            </w:r>
          </w:p>
        </w:tc>
        <w:tc>
          <w:p w14:paraId="58F9399F">
            <w:pPr>
              <w:pStyle w:val="24"/>
            </w:pPr>
            <w:r>
              <w:t>✓</w:t>
            </w:r>
          </w:p>
        </w:tc>
        <w:tc>
          <w:p w14:paraId="2B49A6EC">
            <w:pPr>
              <w:pStyle w:val="24"/>
            </w:pPr>
            <w:r>
              <w:t>✗</w:t>
            </w:r>
          </w:p>
        </w:tc>
        <w:tc>
          <w:p w14:paraId="5A755028">
            <w:pPr>
              <w:pStyle w:val="24"/>
            </w:pPr>
            <w:r>
              <w:t>Strong MoE competitor</w:t>
            </w:r>
          </w:p>
        </w:tc>
      </w:tr>
      <w:tr w14:paraId="16829DD8">
        <w:tblPrEx>
          <w:tblCellMar>
            <w:top w:w="0" w:type="dxa"/>
            <w:left w:w="108" w:type="dxa"/>
            <w:bottom w:w="0" w:type="dxa"/>
            <w:right w:w="108" w:type="dxa"/>
          </w:tblCellMar>
        </w:tblPrEx>
        <w:tc>
          <w:p w14:paraId="5F5FD587">
            <w:pPr>
              <w:pStyle w:val="24"/>
            </w:pPr>
            <w:r>
              <w:rPr>
                <w:b/>
                <w:bCs/>
              </w:rPr>
              <w:t>RED (Ours)</w:t>
            </w:r>
          </w:p>
        </w:tc>
        <w:tc>
          <w:p w14:paraId="42A4B376">
            <w:pPr>
              <w:pStyle w:val="24"/>
            </w:pPr>
            <w:r>
              <w:t>✓</w:t>
            </w:r>
          </w:p>
        </w:tc>
        <w:tc>
          <w:p w14:paraId="53A19BC3">
            <w:pPr>
              <w:pStyle w:val="24"/>
            </w:pPr>
            <w:r>
              <w:t>✓</w:t>
            </w:r>
          </w:p>
        </w:tc>
        <w:tc>
          <w:p w14:paraId="04549D22">
            <w:pPr>
              <w:pStyle w:val="24"/>
            </w:pPr>
            <w:r>
              <w:t>✓</w:t>
            </w:r>
          </w:p>
        </w:tc>
        <w:tc>
          <w:p w14:paraId="7D049DF7">
            <w:pPr>
              <w:pStyle w:val="24"/>
            </w:pPr>
            <w:r>
              <w:t>Full specialist integration</w:t>
            </w:r>
          </w:p>
        </w:tc>
      </w:tr>
      <w:bookmarkEnd w:id="9"/>
      <w:bookmarkEnd w:id="30"/>
    </w:tbl>
    <w:p w14:paraId="3DC9569E">
      <w:pPr>
        <w:pStyle w:val="23"/>
        <w:rPr>
          <w:rFonts w:hint="eastAsia"/>
        </w:rPr>
      </w:pPr>
      <w:bookmarkStart w:id="31" w:name="X503115d8ae76b040945c2e4a952adec0b9c9696"/>
      <w:r>
        <w:rPr>
          <w:rFonts w:hint="eastAsia"/>
        </w:rPr>
        <w:t xml:space="preserve">Note that the step-decomposed execution model introduced later in Section 4.8 is </w:t>
      </w:r>
    </w:p>
    <w:p w14:paraId="0616979E">
      <w:pPr>
        <w:pStyle w:val="23"/>
        <w:rPr>
          <w:rFonts w:hint="eastAsia"/>
        </w:rPr>
      </w:pPr>
      <w:r>
        <w:rPr>
          <w:rFonts w:hint="eastAsia"/>
        </w:rPr>
        <w:t xml:space="preserve">*not* treated as a baseline. Rather, it serves as an upper-bound oracle for RED’s </w:t>
      </w:r>
    </w:p>
    <w:p w14:paraId="420E5D38">
      <w:pPr>
        <w:pStyle w:val="23"/>
        <w:rPr>
          <w:rFonts w:hint="eastAsia"/>
        </w:rPr>
      </w:pPr>
      <w:r>
        <w:rPr>
          <w:rFonts w:hint="eastAsia"/>
        </w:rPr>
        <w:t xml:space="preserve">execution capability when the correct computational structure is already known. </w:t>
      </w:r>
    </w:p>
    <w:p w14:paraId="4A958F75">
      <w:pPr>
        <w:pStyle w:val="23"/>
      </w:pPr>
      <w:r>
        <w:rPr>
          <w:rFonts w:hint="eastAsia"/>
        </w:rPr>
        <w:t>Therefore, it is excluded from the baseline comparison in this section.</w:t>
      </w:r>
    </w:p>
    <w:p w14:paraId="09FA9F13">
      <w:pPr>
        <w:pStyle w:val="4"/>
      </w:pPr>
      <w:r>
        <w:t>4.4 Our Method: Residual Expert Decomposition (RED)</w:t>
      </w:r>
    </w:p>
    <w:p w14:paraId="65B1EB88">
      <w:pPr>
        <w:pStyle w:val="23"/>
      </w:pPr>
      <w:r>
        <w:t xml:space="preserve">Residual Expert Decomposition (RED) provides a modular mechanism for combining independently trained numerical experts using a shared semantic backbone and a lightweight routing mechanism. Unlike classical Mixture-of-Experts (MoE), which interpolates expert logits directly, RED introduces a </w:t>
      </w:r>
      <w:r>
        <w:rPr>
          <w:b/>
          <w:bCs/>
        </w:rPr>
        <w:t>residual integration layer</w:t>
      </w:r>
      <w:r>
        <w:t xml:space="preserve"> that enables stable, range-aware refinement of the backbone representation.</w:t>
      </w:r>
    </w:p>
    <w:p w14:paraId="42A8FE6A">
      <w:pPr>
        <w:pStyle w:val="3"/>
      </w:pPr>
      <w:r>
        <w:t>RED consists of three components:</w:t>
      </w:r>
    </w:p>
    <w:p w14:paraId="71B1C1C6">
      <w:pPr>
        <w:pStyle w:val="24"/>
        <w:numPr>
          <w:ilvl w:val="0"/>
          <w:numId w:val="4"/>
        </w:numPr>
      </w:pPr>
      <w:r>
        <w:t>a shared backbone encoder,</w:t>
      </w:r>
    </w:p>
    <w:p w14:paraId="25BAF3FC">
      <w:pPr>
        <w:pStyle w:val="24"/>
        <w:numPr>
          <w:ilvl w:val="0"/>
          <w:numId w:val="4"/>
        </w:numPr>
      </w:pPr>
      <w:r>
        <w:t>range-specialized residual experts, and</w:t>
      </w:r>
    </w:p>
    <w:p w14:paraId="7C26EF4B">
      <w:pPr>
        <w:pStyle w:val="24"/>
        <w:numPr>
          <w:ilvl w:val="0"/>
          <w:numId w:val="4"/>
        </w:numPr>
      </w:pPr>
      <w:r>
        <w:t>a routing module that assigns expert weights.</w:t>
      </w:r>
    </w:p>
    <w:p w14:paraId="29C86A32">
      <w:pPr>
        <w:pStyle w:val="23"/>
      </w:pPr>
      <w:r>
        <w:t>This section describes the structural design of RED without repeating training or dataset details covered earlier.</w:t>
      </w:r>
    </w:p>
    <w:p w14:paraId="2ECA52F4">
      <w:pPr>
        <w:pStyle w:val="5"/>
      </w:pPr>
      <w:bookmarkStart w:id="32" w:name="residual-expert-structure"/>
      <w:r>
        <w:t>4.4.1 Residual Expert Structure</w:t>
      </w:r>
    </w:p>
    <w:p w14:paraId="6E7CFB71">
      <w:pPr>
        <w:pStyle w:val="23"/>
      </w:pPr>
      <w:r>
        <w:t xml:space="preserve">Each expert operates as a </w:t>
      </w:r>
      <w:r>
        <w:rPr>
          <w:b/>
          <w:bCs/>
        </w:rPr>
        <w:t>residual adapter</w:t>
      </w:r>
      <w:r>
        <w:t xml:space="preserve"> that refines the backbone representation instead of replacing it. Let </w:t>
      </w:r>
      <m:oMath>
        <m:sSub>
          <m:sSubPr/>
          <m:e>
            <m:r>
              <m:rPr/>
              <m:t>h</m:t>
            </m:r>
          </m:e>
          <m:sub>
            <m:r>
              <m:rPr>
                <m:nor/>
                <m:sty m:val="p"/>
              </m:rPr>
              <w:rPr>
                <w:b w:val="0"/>
                <w:i w:val="0"/>
              </w:rPr>
              <m:t>base</m:t>
            </m:r>
          </m:sub>
        </m:sSub>
        <m:r>
          <m:rPr>
            <m:sty m:val="p"/>
          </m:rPr>
          <m:t>(</m:t>
        </m:r>
        <m:r>
          <m:rPr/>
          <m:t>x</m:t>
        </m:r>
        <m:r>
          <m:rPr>
            <m:sty m:val="p"/>
          </m:rPr>
          <m:t>)</m:t>
        </m:r>
      </m:oMath>
      <w:r>
        <w:t xml:space="preserve"> be the semantic embedding produced by the shared encoder. Expert </w:t>
      </w:r>
      <m:oMath>
        <m:sSub>
          <m:sSubPr/>
          <m:e>
            <m:r>
              <m:rPr/>
              <m:t>E</m:t>
            </m:r>
          </m:e>
          <m:sub>
            <m:r>
              <m:rPr/>
              <m:t>i</m:t>
            </m:r>
          </m:sub>
        </m:sSub>
      </m:oMath>
      <w:r>
        <w:t xml:space="preserve"> computes a small residual update:</w:t>
      </w:r>
    </w:p>
    <w:p w14:paraId="22766098">
      <w:pPr>
        <w:pStyle w:val="3"/>
      </w:pPr>
      <m:oMathPara>
        <m:oMathParaPr>
          <m:jc m:val="center"/>
        </m:oMathParaPr>
        <m:oMath>
          <m:r>
            <m:rPr>
              <m:sty m:val="p"/>
            </m:rPr>
            <m:t>Δ</m:t>
          </m:r>
          <m:sSub>
            <m:sSubPr/>
            <m:e>
              <m:r>
                <m:rPr/>
                <m:t>h</m:t>
              </m:r>
            </m:e>
            <m:sub>
              <m:r>
                <m:rPr/>
                <m:t>i</m:t>
              </m:r>
            </m:sub>
          </m:sSub>
          <m:r>
            <m:rPr>
              <m:sty m:val="p"/>
            </m:rPr>
            <m:t>(</m:t>
          </m:r>
          <m:r>
            <m:rPr/>
            <m:t>x</m:t>
          </m:r>
          <m:r>
            <m:rPr>
              <m:sty m:val="p"/>
            </m:rPr>
            <m:t>)=</m:t>
          </m:r>
          <m:sSub>
            <m:sSubPr/>
            <m:e>
              <m:r>
                <m:rPr/>
                <m:t>ϕ</m:t>
              </m:r>
            </m:e>
            <m:sub>
              <m:r>
                <m:rPr/>
                <m:t>i</m:t>
              </m:r>
            </m:sub>
          </m:sSub>
          <m:d>
            <m:dPr>
              <m:sepChr m:val=""/>
            </m:dPr>
            <m:e>
              <m:sSub>
                <m:sSubPr/>
                <m:e>
                  <m:r>
                    <m:rPr/>
                    <m:t>h</m:t>
                  </m:r>
                </m:e>
                <m:sub>
                  <m:r>
                    <m:rPr>
                      <m:nor/>
                      <m:sty m:val="p"/>
                    </m:rPr>
                    <w:rPr>
                      <w:b w:val="0"/>
                      <w:i w:val="0"/>
                    </w:rPr>
                    <m:t>base</m:t>
                  </m:r>
                </m:sub>
              </m:sSub>
              <m:r>
                <m:rPr>
                  <m:sty m:val="p"/>
                </m:rPr>
                <m:t>(</m:t>
              </m:r>
              <m:r>
                <m:rPr/>
                <m:t>x</m:t>
              </m:r>
              <m:r>
                <m:rPr>
                  <m:sty m:val="p"/>
                </m:rPr>
                <m:t>)</m:t>
              </m:r>
            </m:e>
          </m:d>
          <m:r>
            <m:rPr>
              <m:sty m:val="p"/>
            </m:rPr>
            <m:t>,</m:t>
          </m:r>
        </m:oMath>
      </m:oMathPara>
    </w:p>
    <w:p w14:paraId="7471E1C7">
      <w:pPr>
        <w:pStyle w:val="23"/>
      </w:pPr>
      <w:r>
        <w:t xml:space="preserve">where </w:t>
      </w:r>
      <m:oMath>
        <m:sSub>
          <m:sSubPr/>
          <m:e>
            <m:r>
              <m:rPr/>
              <m:t>ϕ</m:t>
            </m:r>
          </m:e>
          <m:sub>
            <m:r>
              <m:rPr/>
              <m:t>i</m:t>
            </m:r>
          </m:sub>
        </m:sSub>
      </m:oMath>
      <w:r>
        <w:t xml:space="preserve"> is a lightweight, low-rank transformation.</w:t>
      </w:r>
    </w:p>
    <w:p w14:paraId="0FE6FB34">
      <w:pPr>
        <w:pStyle w:val="3"/>
      </w:pPr>
      <w:r>
        <w:t>This design ensures that:</w:t>
      </w:r>
    </w:p>
    <w:p w14:paraId="0A246D9C">
      <w:pPr>
        <w:pStyle w:val="24"/>
        <w:numPr>
          <w:ilvl w:val="0"/>
          <w:numId w:val="2"/>
        </w:numPr>
      </w:pPr>
      <w:r>
        <w:t>experts influence only range-specific aspects of the representation,</w:t>
      </w:r>
    </w:p>
    <w:p w14:paraId="12C36972">
      <w:pPr>
        <w:pStyle w:val="24"/>
        <w:numPr>
          <w:ilvl w:val="0"/>
          <w:numId w:val="2"/>
        </w:numPr>
      </w:pPr>
      <w:r>
        <w:t>global semantics remain intact, and</w:t>
      </w:r>
    </w:p>
    <w:p w14:paraId="46641ADA">
      <w:pPr>
        <w:pStyle w:val="24"/>
        <w:numPr>
          <w:ilvl w:val="0"/>
          <w:numId w:val="2"/>
        </w:numPr>
      </w:pPr>
      <w:r>
        <w:t>expert modules remain small and independent.</w:t>
      </w:r>
    </w:p>
    <w:p w14:paraId="6CFAA287">
      <w:pPr>
        <w:pStyle w:val="23"/>
      </w:pPr>
      <w:r>
        <w:t xml:space="preserve">Experts do </w:t>
      </w:r>
      <w:r>
        <w:rPr>
          <w:b/>
          <w:bCs/>
        </w:rPr>
        <w:t>not</w:t>
      </w:r>
      <w:r>
        <w:t xml:space="preserve"> perform full prediction; they contribute only corrections, enabling plug-and-play specialization.</w:t>
      </w:r>
    </w:p>
    <w:bookmarkEnd w:id="32"/>
    <w:p w14:paraId="14CC7834">
      <w:pPr>
        <w:pStyle w:val="5"/>
      </w:pPr>
      <w:bookmarkStart w:id="33" w:name="router-for-expert-mixing"/>
      <w:r>
        <w:t>4.4.2 Router for Expert Mixing</w:t>
      </w:r>
    </w:p>
    <w:p w14:paraId="78F1A273">
      <w:pPr>
        <w:pStyle w:val="23"/>
      </w:pPr>
      <w:r>
        <w:t>A compact router determines how much each expert should contribute to the final representation:</w:t>
      </w:r>
    </w:p>
    <w:p w14:paraId="5C485EF8">
      <w:pPr>
        <w:pStyle w:val="3"/>
      </w:pPr>
      <m:oMathPara>
        <m:oMathParaPr>
          <m:jc m:val="center"/>
        </m:oMathParaPr>
        <m:oMath>
          <m:r>
            <m:rPr>
              <m:sty m:val="b"/>
            </m:rPr>
            <m:t>α</m:t>
          </m:r>
          <m:r>
            <m:rPr>
              <m:sty m:val="p"/>
            </m:rPr>
            <m:t>(</m:t>
          </m:r>
          <m:r>
            <m:rPr/>
            <m:t>x</m:t>
          </m:r>
          <m:r>
            <m:rPr>
              <m:sty m:val="p"/>
            </m:rPr>
            <m:t>)=softmax</m:t>
          </m:r>
          <m:d>
            <m:dPr>
              <m:sepChr m:val=""/>
            </m:dPr>
            <m:e>
              <m:r>
                <m:rPr/>
                <m:t>R</m:t>
              </m:r>
              <m:r>
                <m:rPr>
                  <m:sty m:val="p"/>
                </m:rPr>
                <m:t>(</m:t>
              </m:r>
              <m:sSub>
                <m:sSubPr/>
                <m:e>
                  <m:r>
                    <m:rPr/>
                    <m:t>h</m:t>
                  </m:r>
                </m:e>
                <m:sub>
                  <m:r>
                    <m:rPr>
                      <m:nor/>
                      <m:sty m:val="p"/>
                    </m:rPr>
                    <w:rPr>
                      <w:b w:val="0"/>
                      <w:i w:val="0"/>
                    </w:rPr>
                    <m:t>base</m:t>
                  </m:r>
                </m:sub>
              </m:sSub>
              <m:r>
                <m:rPr>
                  <m:sty m:val="p"/>
                </m:rPr>
                <m:t>(</m:t>
              </m:r>
              <m:r>
                <m:rPr/>
                <m:t>x</m:t>
              </m:r>
              <m:r>
                <m:rPr>
                  <m:sty m:val="p"/>
                </m:rPr>
                <m:t>))</m:t>
              </m:r>
            </m:e>
          </m:d>
          <m:r>
            <m:rPr>
              <m:sty m:val="p"/>
            </m:rPr>
            <m:t>.</m:t>
          </m:r>
        </m:oMath>
      </m:oMathPara>
    </w:p>
    <w:p w14:paraId="13C9B7EA">
      <w:pPr>
        <w:pStyle w:val="23"/>
      </w:pPr>
      <w:r>
        <w:t xml:space="preserve">The router is trained </w:t>
      </w:r>
      <w:r>
        <w:rPr>
          <w:b/>
          <w:bCs/>
        </w:rPr>
        <w:t>after</w:t>
      </w:r>
      <w:r>
        <w:t xml:space="preserve"> experts are fixed, ensuring that experts remain independent modules. Its outputs form a convex combination across expert residuals and represent the system’s belief about the output range of the query.</w:t>
      </w:r>
    </w:p>
    <w:bookmarkEnd w:id="33"/>
    <w:p w14:paraId="7F947E16">
      <w:pPr>
        <w:pStyle w:val="5"/>
      </w:pPr>
      <w:bookmarkStart w:id="34" w:name="residual-integration"/>
      <w:r>
        <w:t>4.4.3 Residual Integration</w:t>
      </w:r>
    </w:p>
    <w:p w14:paraId="768726AF">
      <w:pPr>
        <w:pStyle w:val="23"/>
      </w:pPr>
      <w:r>
        <w:t>RED combines backbone semantics with expert refinements through an additive composition rule:</w:t>
      </w:r>
    </w:p>
    <w:p w14:paraId="2B21D0D2">
      <w:pPr>
        <w:pStyle w:val="3"/>
      </w:pPr>
      <m:oMathPara>
        <m:oMathParaPr>
          <m:jc m:val="center"/>
        </m:oMathParaPr>
        <m:oMath>
          <m:acc>
            <m:accPr/>
            <m:e>
              <m:r>
                <m:rPr/>
                <m:t>h</m:t>
              </m:r>
            </m:e>
          </m:acc>
          <m:r>
            <m:rPr>
              <m:sty m:val="p"/>
            </m:rPr>
            <m:t>(</m:t>
          </m:r>
          <m:r>
            <m:rPr/>
            <m:t>x</m:t>
          </m:r>
          <m:r>
            <m:rPr>
              <m:sty m:val="p"/>
            </m:rPr>
            <m:t>)=</m:t>
          </m:r>
          <m:sSub>
            <m:sSubPr/>
            <m:e>
              <m:r>
                <m:rPr/>
                <m:t>h</m:t>
              </m:r>
            </m:e>
            <m:sub>
              <m:r>
                <m:rPr>
                  <m:nor/>
                  <m:sty m:val="p"/>
                </m:rPr>
                <w:rPr>
                  <w:b w:val="0"/>
                  <w:i w:val="0"/>
                </w:rPr>
                <m:t>base</m:t>
              </m:r>
            </m:sub>
          </m:sSub>
          <m:r>
            <m:rPr>
              <m:sty m:val="p"/>
            </m:rPr>
            <m:t>(</m:t>
          </m:r>
          <m:r>
            <m:rPr/>
            <m:t>x</m:t>
          </m:r>
          <m:r>
            <m:rPr>
              <m:sty m:val="p"/>
            </m:rPr>
            <m:t>)+</m:t>
          </m:r>
          <m:nary>
            <m:naryPr>
              <m:chr m:val="∑"/>
              <m:limLoc m:val="undOvr"/>
            </m:naryPr>
            <m:sub>
              <m:r>
                <m:rPr/>
                <m:t>i</m:t>
              </m:r>
              <m:r>
                <m:rPr>
                  <m:sty m:val="p"/>
                </m:rPr>
                <m:t>=</m:t>
              </m:r>
              <m:r>
                <m:rPr/>
                <m:t>1</m:t>
              </m:r>
            </m:sub>
            <m:sup>
              <m:r>
                <m:rPr/>
                <m:t>5</m:t>
              </m:r>
            </m:sup>
            <m:e>
              <m:sSub>
                <m:sSubPr/>
                <m:e>
                  <m:r>
                    <m:rPr/>
                    <m:t>α</m:t>
                  </m:r>
                </m:e>
                <m:sub>
                  <m:r>
                    <m:rPr/>
                    <m:t>i</m:t>
                  </m:r>
                </m:sub>
              </m:sSub>
            </m:e>
          </m:nary>
          <m:r>
            <m:rPr>
              <m:sty m:val="p"/>
            </m:rPr>
            <m:t>(</m:t>
          </m:r>
          <m:r>
            <m:rPr/>
            <m:t>x</m:t>
          </m:r>
          <m:r>
            <m:rPr>
              <m:sty m:val="p"/>
            </m:rPr>
            <m:t>)</m:t>
          </m:r>
          <m:r>
            <m:rPr/>
            <m:t> </m:t>
          </m:r>
          <m:r>
            <m:rPr>
              <m:sty m:val="p"/>
            </m:rPr>
            <m:t>Δ</m:t>
          </m:r>
          <m:sSub>
            <m:sSubPr/>
            <m:e>
              <m:r>
                <m:rPr/>
                <m:t>h</m:t>
              </m:r>
            </m:e>
            <m:sub>
              <m:r>
                <m:rPr/>
                <m:t>i</m:t>
              </m:r>
            </m:sub>
          </m:sSub>
          <m:r>
            <m:rPr>
              <m:sty m:val="p"/>
            </m:rPr>
            <m:t>(</m:t>
          </m:r>
          <m:r>
            <m:rPr/>
            <m:t>x</m:t>
          </m:r>
          <m:r>
            <m:rPr>
              <m:sty m:val="p"/>
            </m:rPr>
            <m:t>).</m:t>
          </m:r>
        </m:oMath>
      </m:oMathPara>
    </w:p>
    <w:p w14:paraId="3CD509CC">
      <w:pPr>
        <w:pStyle w:val="23"/>
      </w:pPr>
      <w:r>
        <w:t xml:space="preserve">A single shared classifier then converts </w:t>
      </w:r>
      <m:oMath>
        <m:acc>
          <m:accPr/>
          <m:e>
            <m:r>
              <m:rPr/>
              <m:t>h</m:t>
            </m:r>
          </m:e>
        </m:acc>
        <m:r>
          <m:rPr>
            <m:sty m:val="p"/>
          </m:rPr>
          <m:t>(</m:t>
        </m:r>
        <m:r>
          <m:rPr/>
          <m:t>x</m:t>
        </m:r>
        <m:r>
          <m:rPr>
            <m:sty m:val="p"/>
          </m:rPr>
          <m:t>)</m:t>
        </m:r>
      </m:oMath>
      <w:r>
        <w:t xml:space="preserve"> into final logits.</w:t>
      </w:r>
    </w:p>
    <w:p w14:paraId="0881DB16">
      <w:pPr>
        <w:pStyle w:val="3"/>
      </w:pPr>
      <w:r>
        <w:t>Key properties of this formulation:</w:t>
      </w:r>
    </w:p>
    <w:p w14:paraId="678D97AC">
      <w:pPr>
        <w:pStyle w:val="24"/>
        <w:numPr>
          <w:ilvl w:val="0"/>
          <w:numId w:val="2"/>
        </w:numPr>
      </w:pPr>
      <w:r>
        <w:rPr>
          <w:b/>
          <w:bCs/>
        </w:rPr>
        <w:t>Additive stability</w:t>
      </w:r>
      <w:r>
        <w:t>: experts refine rather than override the base representation.</w:t>
      </w:r>
    </w:p>
    <w:p w14:paraId="023C7CAC">
      <w:pPr>
        <w:pStyle w:val="24"/>
        <w:numPr>
          <w:ilvl w:val="0"/>
          <w:numId w:val="2"/>
        </w:numPr>
      </w:pPr>
      <w:r>
        <w:rPr>
          <w:b/>
          <w:bCs/>
        </w:rPr>
        <w:t>Graceful routing errors</w:t>
      </w:r>
      <w:r>
        <w:t>: small routing inaccuracy produces small, not catastrophic, deviation in prediction.</w:t>
      </w:r>
    </w:p>
    <w:p w14:paraId="011A0377">
      <w:pPr>
        <w:pStyle w:val="24"/>
        <w:numPr>
          <w:ilvl w:val="0"/>
          <w:numId w:val="2"/>
        </w:numPr>
      </w:pPr>
      <w:r>
        <w:rPr>
          <w:b/>
          <w:bCs/>
        </w:rPr>
        <w:t>Cross-expert cooperation</w:t>
      </w:r>
      <w:r>
        <w:t>: experts can jointly assist near numerical boundaries.</w:t>
      </w:r>
    </w:p>
    <w:bookmarkEnd w:id="34"/>
    <w:p w14:paraId="70FA41C4">
      <w:pPr>
        <w:pStyle w:val="5"/>
      </w:pPr>
      <w:bookmarkStart w:id="35" w:name="why-residual-integration-helps"/>
      <w:r>
        <w:t>4.4.4 Why Residual Integration Helps</w:t>
      </w:r>
    </w:p>
    <w:p w14:paraId="0B6D62E4">
      <w:pPr>
        <w:pStyle w:val="23"/>
      </w:pPr>
      <w:r>
        <w:t>The residual design provides three structural benefits that classical MoE does not:</w:t>
      </w:r>
    </w:p>
    <w:p w14:paraId="63D5B8A5">
      <w:pPr>
        <w:pStyle w:val="3"/>
      </w:pPr>
      <w:r>
        <w:rPr>
          <w:b/>
          <w:bCs/>
        </w:rPr>
        <w:t>(1) Anchoring to a stable backbone</w:t>
      </w:r>
      <w:r>
        <w:br w:type="textWrapping"/>
      </w:r>
      <w:r>
        <w:t>The backbone forms a consistent semantic base, preventing experts from drifting or interfering with one another.</w:t>
      </w:r>
    </w:p>
    <w:p w14:paraId="1ED6B283">
      <w:pPr>
        <w:pStyle w:val="3"/>
      </w:pPr>
      <w:r>
        <w:rPr>
          <w:b/>
          <w:bCs/>
        </w:rPr>
        <w:t>(2) Robustness under imperfect routing</w:t>
      </w:r>
      <w:r>
        <w:br w:type="textWrapping"/>
      </w:r>
      <w:r>
        <w:t>Because experts apply only corrective adjustments, even partially incorrect routing weights do not destabilize predictions.</w:t>
      </w:r>
    </w:p>
    <w:p w14:paraId="2BBA75A0">
      <w:pPr>
        <w:pStyle w:val="3"/>
      </w:pPr>
      <w:r>
        <w:rPr>
          <w:b/>
          <w:bCs/>
        </w:rPr>
        <w:t>(3) Modular extensibility</w:t>
      </w:r>
      <w:r>
        <w:br w:type="textWrapping"/>
      </w:r>
      <w:r>
        <w:t>Experts operate independently, can be trained in isolation, and can be replaced or augmented without retraining the backbone.</w:t>
      </w:r>
    </w:p>
    <w:bookmarkEnd w:id="35"/>
    <w:p w14:paraId="13098058">
      <w:pPr>
        <w:pStyle w:val="5"/>
      </w:pPr>
      <w:bookmarkStart w:id="36" w:name="summary-1"/>
      <w:r>
        <w:t>4.4.5 Summary</w:t>
      </w:r>
    </w:p>
    <w:p w14:paraId="1F7F481A">
      <w:pPr>
        <w:pStyle w:val="23"/>
      </w:pPr>
      <w:r>
        <w:t>RED achieves modular reasoning through:</w:t>
      </w:r>
    </w:p>
    <w:p w14:paraId="1484FDCA">
      <w:pPr>
        <w:pStyle w:val="24"/>
        <w:numPr>
          <w:ilvl w:val="0"/>
          <w:numId w:val="2"/>
        </w:numPr>
      </w:pPr>
      <w:r>
        <w:t>a shared semantic backbone,</w:t>
      </w:r>
    </w:p>
    <w:p w14:paraId="610991CA">
      <w:pPr>
        <w:pStyle w:val="24"/>
        <w:numPr>
          <w:ilvl w:val="0"/>
          <w:numId w:val="2"/>
        </w:numPr>
      </w:pPr>
      <w:r>
        <w:t>independent low-rank expert refiners, and</w:t>
      </w:r>
    </w:p>
    <w:p w14:paraId="459B5689">
      <w:pPr>
        <w:pStyle w:val="24"/>
        <w:numPr>
          <w:ilvl w:val="0"/>
          <w:numId w:val="2"/>
        </w:numPr>
      </w:pPr>
      <w:r>
        <w:t>a lightweight router for range-aware combination.</w:t>
      </w:r>
    </w:p>
    <w:p w14:paraId="1C63DC15">
      <w:pPr>
        <w:pStyle w:val="23"/>
      </w:pPr>
      <w:r>
        <w:t>This structure enables accurate global prediction, stable cross-range behavior, and efficient expert reuse—all while avoiding the fragility typically observed in classical gating-based MoE systems.</w:t>
      </w:r>
    </w:p>
    <w:bookmarkEnd w:id="31"/>
    <w:bookmarkEnd w:id="36"/>
    <w:p w14:paraId="2FDB40E7">
      <w:pPr>
        <w:pStyle w:val="4"/>
      </w:pPr>
      <w:bookmarkStart w:id="37" w:name="X5ea142d37874b28f2821cbfaef0c8d282508795"/>
      <w:bookmarkStart w:id="38" w:name="results-on-task-1-addition-de-duplicated"/>
      <w:r>
        <w:t xml:space="preserve">4.5 Training Setup </w:t>
      </w:r>
    </w:p>
    <w:p w14:paraId="72579438">
      <w:pPr>
        <w:pStyle w:val="23"/>
      </w:pPr>
      <w:r>
        <w:t>This section describes the unified training pipeline used across all experiments, including Task 1 (single-step addition), Task 2 (mixed arithmetic), and the modular execution framework introduced in Section 4.8. The goal is to provide a clear, concise, and journal-ready description of how all components were trained and integrated, without referencing internal revisions or implementation-specific details.</w:t>
      </w:r>
    </w:p>
    <w:p w14:paraId="54AB3E11">
      <w:pPr>
        <w:pStyle w:val="5"/>
      </w:pPr>
      <w:bookmarkStart w:id="39" w:name="backbone-configuration"/>
      <w:r>
        <w:rPr>
          <w:b/>
          <w:bCs/>
        </w:rPr>
        <w:t>4.5.1 Backbone Configuration</w:t>
      </w:r>
    </w:p>
    <w:p w14:paraId="278F3E00">
      <w:pPr>
        <w:pStyle w:val="23"/>
      </w:pPr>
      <w:r>
        <w:t>All models in this study share a common semantic backbone to ensure feature consistency across independently trained modules.</w:t>
      </w:r>
    </w:p>
    <w:p w14:paraId="55D32C9D">
      <w:pPr>
        <w:pStyle w:val="24"/>
        <w:numPr>
          <w:ilvl w:val="0"/>
          <w:numId w:val="2"/>
        </w:numPr>
      </w:pPr>
      <w:r>
        <w:rPr>
          <w:b/>
          <w:bCs/>
        </w:rPr>
        <w:t>Backbone model:</w:t>
      </w:r>
      <w:r>
        <w:t xml:space="preserve"> Qwen3‑0.6B</w:t>
      </w:r>
    </w:p>
    <w:p w14:paraId="0B963AEC">
      <w:pPr>
        <w:pStyle w:val="24"/>
        <w:numPr>
          <w:ilvl w:val="0"/>
          <w:numId w:val="2"/>
        </w:numPr>
      </w:pPr>
      <w:r>
        <w:rPr>
          <w:b/>
          <w:bCs/>
        </w:rPr>
        <w:t>Trainable layers:</w:t>
      </w:r>
      <w:r>
        <w:t xml:space="preserve"> Top 2 transformer layers (lower layers kept frozen)</w:t>
      </w:r>
    </w:p>
    <w:p w14:paraId="1F07A619">
      <w:pPr>
        <w:pStyle w:val="24"/>
        <w:numPr>
          <w:ilvl w:val="0"/>
          <w:numId w:val="2"/>
        </w:numPr>
      </w:pPr>
      <w:r>
        <w:rPr>
          <w:b/>
          <w:bCs/>
        </w:rPr>
        <w:t>Precision:</w:t>
      </w:r>
      <w:r>
        <w:t xml:space="preserve"> FP32 or BF16 depending on module requirements</w:t>
      </w:r>
    </w:p>
    <w:p w14:paraId="46B89C37">
      <w:pPr>
        <w:pStyle w:val="24"/>
        <w:numPr>
          <w:ilvl w:val="0"/>
          <w:numId w:val="2"/>
        </w:numPr>
      </w:pPr>
      <w:r>
        <w:rPr>
          <w:b/>
          <w:bCs/>
        </w:rPr>
        <w:t>Embedding extraction:</w:t>
      </w:r>
      <w:r>
        <w:t xml:space="preserve"> Mean pooling over the final hidden states</w:t>
      </w:r>
    </w:p>
    <w:p w14:paraId="6EF8490C">
      <w:pPr>
        <w:pStyle w:val="23"/>
      </w:pPr>
      <w:r>
        <w:t>This configuration provides a stable representation space that supports modular expert integration.</w:t>
      </w:r>
    </w:p>
    <w:bookmarkEnd w:id="39"/>
    <w:p w14:paraId="54D87908">
      <w:pPr>
        <w:pStyle w:val="5"/>
      </w:pPr>
      <w:bookmarkStart w:id="40" w:name="expert-training"/>
      <w:r>
        <w:rPr>
          <w:b/>
          <w:bCs/>
        </w:rPr>
        <w:t>4.5.2 Expert Training</w:t>
      </w:r>
    </w:p>
    <w:p w14:paraId="069B996F">
      <w:pPr>
        <w:pStyle w:val="23"/>
      </w:pPr>
      <w:r>
        <w:t>Specialized experts are trained independently on their respective sub‑tasks. Experts do not share parameters and require no coordination during training.</w:t>
      </w:r>
    </w:p>
    <w:p w14:paraId="54B4C917">
      <w:pPr>
        <w:pStyle w:val="3"/>
      </w:pPr>
      <w:r>
        <w:t>Two types of experts are used:</w:t>
      </w:r>
    </w:p>
    <w:p w14:paraId="610A111E">
      <w:pPr>
        <w:pStyle w:val="24"/>
        <w:numPr>
          <w:ilvl w:val="0"/>
          <w:numId w:val="1"/>
        </w:numPr>
      </w:pPr>
      <w:r>
        <w:rPr>
          <w:b/>
          <w:bCs/>
        </w:rPr>
        <w:t>Arithmetic experts</w:t>
      </w:r>
      <w:r>
        <w:t xml:space="preserve"> (addition and subtraction)</w:t>
      </w:r>
    </w:p>
    <w:p w14:paraId="69AF9775">
      <w:pPr>
        <w:pStyle w:val="24"/>
        <w:numPr>
          <w:ilvl w:val="1"/>
          <w:numId w:val="2"/>
        </w:numPr>
      </w:pPr>
      <w:r>
        <w:t xml:space="preserve">Each trained on </w:t>
      </w:r>
      <w:r>
        <w:rPr>
          <w:b/>
          <w:bCs/>
        </w:rPr>
        <w:t>20,000 samples</w:t>
      </w:r>
    </w:p>
    <w:p w14:paraId="158C34B2">
      <w:pPr>
        <w:pStyle w:val="24"/>
        <w:numPr>
          <w:ilvl w:val="1"/>
          <w:numId w:val="2"/>
        </w:numPr>
      </w:pPr>
      <w:r>
        <w:t>Designed for step‑wise execution in Section 4.8</w:t>
      </w:r>
    </w:p>
    <w:p w14:paraId="2458C08F">
      <w:pPr>
        <w:pStyle w:val="24"/>
        <w:numPr>
          <w:ilvl w:val="0"/>
          <w:numId w:val="1"/>
        </w:numPr>
      </w:pPr>
      <w:r>
        <w:rPr>
          <w:b/>
          <w:bCs/>
        </w:rPr>
        <w:t>Range‑specialized experts</w:t>
      </w:r>
      <w:r>
        <w:t xml:space="preserve"> (for classification tasks)</w:t>
      </w:r>
    </w:p>
    <w:p w14:paraId="5A776049">
      <w:pPr>
        <w:pStyle w:val="24"/>
        <w:numPr>
          <w:ilvl w:val="1"/>
          <w:numId w:val="2"/>
        </w:numPr>
      </w:pPr>
      <w:r>
        <w:t xml:space="preserve">Trained on the full </w:t>
      </w:r>
      <w:r>
        <w:rPr>
          <w:b/>
          <w:bCs/>
        </w:rPr>
        <w:t>80,000‑sample</w:t>
      </w:r>
      <w:r>
        <w:t xml:space="preserve"> dataset</w:t>
      </w:r>
    </w:p>
    <w:p w14:paraId="4F069174">
      <w:pPr>
        <w:pStyle w:val="24"/>
        <w:numPr>
          <w:ilvl w:val="1"/>
          <w:numId w:val="2"/>
        </w:numPr>
      </w:pPr>
      <w:r>
        <w:t>Used in Tasks 1 and 2 for interval prediction</w:t>
      </w:r>
    </w:p>
    <w:p w14:paraId="349C7721">
      <w:pPr>
        <w:pStyle w:val="23"/>
      </w:pPr>
      <w:r>
        <w:t>All experts use identical optimization settings:</w:t>
      </w:r>
    </w:p>
    <w:tbl>
      <w:tblPr>
        <w:tblStyle w:val="41"/>
        <w:tblW w:w="0" w:type="auto"/>
        <w:tblInd w:w="0" w:type="dxa"/>
        <w:tblLayout w:type="autofit"/>
        <w:tblCellMar>
          <w:top w:w="0" w:type="dxa"/>
          <w:left w:w="108" w:type="dxa"/>
          <w:bottom w:w="0" w:type="dxa"/>
          <w:right w:w="108" w:type="dxa"/>
        </w:tblCellMar>
      </w:tblPr>
      <w:tblGrid>
        <w:gridCol w:w="1737"/>
        <w:gridCol w:w="2338"/>
      </w:tblGrid>
      <w:tr w14:paraId="19E7DBA5">
        <w:tblPrEx>
          <w:tblCellMar>
            <w:top w:w="0" w:type="dxa"/>
            <w:left w:w="108" w:type="dxa"/>
            <w:bottom w:w="0" w:type="dxa"/>
            <w:right w:w="108" w:type="dxa"/>
          </w:tblCellMar>
        </w:tblPrEx>
        <w:trPr>
          <w:tblHeader/>
        </w:trPr>
        <w:tc>
          <w:p w14:paraId="7B0E3DE3">
            <w:pPr>
              <w:pStyle w:val="24"/>
            </w:pPr>
            <w:r>
              <w:t>Item</w:t>
            </w:r>
          </w:p>
        </w:tc>
        <w:tc>
          <w:p w14:paraId="7600A0F6">
            <w:pPr>
              <w:pStyle w:val="24"/>
            </w:pPr>
            <w:r>
              <w:t>Value</w:t>
            </w:r>
          </w:p>
        </w:tc>
      </w:tr>
      <w:tr w14:paraId="3A7CE667">
        <w:tblPrEx>
          <w:tblCellMar>
            <w:top w:w="0" w:type="dxa"/>
            <w:left w:w="108" w:type="dxa"/>
            <w:bottom w:w="0" w:type="dxa"/>
            <w:right w:w="108" w:type="dxa"/>
          </w:tblCellMar>
        </w:tblPrEx>
        <w:tc>
          <w:p w14:paraId="3EF76B70">
            <w:pPr>
              <w:pStyle w:val="24"/>
            </w:pPr>
            <w:r>
              <w:t>Optimizer</w:t>
            </w:r>
          </w:p>
        </w:tc>
        <w:tc>
          <w:p w14:paraId="78D98EA2">
            <w:pPr>
              <w:pStyle w:val="24"/>
            </w:pPr>
            <w:r>
              <w:t>AdamW</w:t>
            </w:r>
          </w:p>
        </w:tc>
      </w:tr>
      <w:tr w14:paraId="131AE1F4">
        <w:tblPrEx>
          <w:tblCellMar>
            <w:top w:w="0" w:type="dxa"/>
            <w:left w:w="108" w:type="dxa"/>
            <w:bottom w:w="0" w:type="dxa"/>
            <w:right w:w="108" w:type="dxa"/>
          </w:tblCellMar>
        </w:tblPrEx>
        <w:tc>
          <w:p w14:paraId="76174546">
            <w:pPr>
              <w:pStyle w:val="24"/>
            </w:pPr>
            <w:r>
              <w:t>Learning rate</w:t>
            </w:r>
          </w:p>
        </w:tc>
        <w:tc>
          <w:p w14:paraId="6876D3F5">
            <w:pPr>
              <w:pStyle w:val="24"/>
            </w:pPr>
            <w:r>
              <w:t>1e‑4</w:t>
            </w:r>
          </w:p>
        </w:tc>
      </w:tr>
      <w:tr w14:paraId="4DC6FF66">
        <w:tc>
          <w:p w14:paraId="7E7BEA94">
            <w:pPr>
              <w:pStyle w:val="24"/>
            </w:pPr>
            <w:r>
              <w:t>Batch size</w:t>
            </w:r>
          </w:p>
        </w:tc>
        <w:tc>
          <w:p w14:paraId="7B31CFB9">
            <w:pPr>
              <w:pStyle w:val="24"/>
            </w:pPr>
            <w:r>
              <w:t>16 (virtual batch 64)</w:t>
            </w:r>
          </w:p>
        </w:tc>
      </w:tr>
      <w:tr w14:paraId="3B1FE745">
        <w:tblPrEx>
          <w:tblCellMar>
            <w:top w:w="0" w:type="dxa"/>
            <w:left w:w="108" w:type="dxa"/>
            <w:bottom w:w="0" w:type="dxa"/>
            <w:right w:w="108" w:type="dxa"/>
          </w:tblCellMar>
        </w:tblPrEx>
        <w:tc>
          <w:p w14:paraId="0FF0827F">
            <w:pPr>
              <w:pStyle w:val="24"/>
            </w:pPr>
            <w:r>
              <w:t>Max epochs</w:t>
            </w:r>
          </w:p>
        </w:tc>
        <w:tc>
          <w:p w14:paraId="72DB81E4">
            <w:pPr>
              <w:pStyle w:val="24"/>
            </w:pPr>
            <w:r>
              <w:t>60</w:t>
            </w:r>
          </w:p>
        </w:tc>
      </w:tr>
      <w:tr w14:paraId="426728DB">
        <w:tblPrEx>
          <w:tblCellMar>
            <w:top w:w="0" w:type="dxa"/>
            <w:left w:w="108" w:type="dxa"/>
            <w:bottom w:w="0" w:type="dxa"/>
            <w:right w:w="108" w:type="dxa"/>
          </w:tblCellMar>
        </w:tblPrEx>
        <w:tc>
          <w:p w14:paraId="3C861B4F">
            <w:pPr>
              <w:pStyle w:val="24"/>
            </w:pPr>
            <w:r>
              <w:t>Early stopping</w:t>
            </w:r>
          </w:p>
        </w:tc>
        <w:tc>
          <w:p w14:paraId="5709E433">
            <w:pPr>
              <w:pStyle w:val="24"/>
            </w:pPr>
            <w:r>
              <w:t>patience = 3</w:t>
            </w:r>
          </w:p>
        </w:tc>
      </w:tr>
    </w:tbl>
    <w:p w14:paraId="0BAA539F">
      <w:pPr>
        <w:pStyle w:val="3"/>
      </w:pPr>
      <w:r>
        <w:t>This setup enables experts to capture domain‑specific structure while remaining lightweight and modular.</w:t>
      </w:r>
    </w:p>
    <w:bookmarkEnd w:id="40"/>
    <w:p w14:paraId="1CA3C780">
      <w:pPr>
        <w:pStyle w:val="5"/>
      </w:pPr>
      <w:r>
        <w:rPr>
          <w:b/>
          <w:bCs/>
        </w:rPr>
        <w:t>4.5.3 Router Training</w:t>
      </w:r>
    </w:p>
    <w:p w14:paraId="769A1597">
      <w:pPr>
        <w:pStyle w:val="23"/>
      </w:pPr>
      <w:r>
        <w:t>Routers determine how expert outputs are combined during inference.</w:t>
      </w:r>
    </w:p>
    <w:p w14:paraId="598004C0">
      <w:pPr>
        <w:pStyle w:val="24"/>
        <w:numPr>
          <w:ilvl w:val="0"/>
          <w:numId w:val="2"/>
        </w:numPr>
      </w:pPr>
      <w:r>
        <w:rPr>
          <w:b/>
          <w:bCs/>
        </w:rPr>
        <w:t>Architecture:</w:t>
      </w:r>
      <w:r>
        <w:t xml:space="preserve"> 2‑layer MLP with hidden size 256</w:t>
      </w:r>
    </w:p>
    <w:p w14:paraId="5E8D4DF2">
      <w:pPr>
        <w:pStyle w:val="24"/>
        <w:numPr>
          <w:ilvl w:val="0"/>
          <w:numId w:val="2"/>
        </w:numPr>
      </w:pPr>
      <w:r>
        <w:rPr>
          <w:b/>
          <w:bCs/>
        </w:rPr>
        <w:t>Prediction target:</w:t>
      </w:r>
      <w:r>
        <w:t xml:space="preserve"> Five numerical intervals</w:t>
      </w:r>
    </w:p>
    <w:p w14:paraId="574B5BAF">
      <w:pPr>
        <w:pStyle w:val="24"/>
        <w:numPr>
          <w:ilvl w:val="0"/>
          <w:numId w:val="2"/>
        </w:numPr>
      </w:pPr>
      <w:r>
        <w:rPr>
          <w:b/>
          <w:bCs/>
        </w:rPr>
        <w:t>Router variants:</w:t>
      </w:r>
    </w:p>
    <w:p w14:paraId="533976EF">
      <w:pPr>
        <w:pStyle w:val="24"/>
        <w:numPr>
          <w:ilvl w:val="1"/>
          <w:numId w:val="2"/>
        </w:numPr>
      </w:pPr>
      <w:r>
        <w:t>RED router (residual combination)</w:t>
      </w:r>
    </w:p>
    <w:p w14:paraId="482E417F">
      <w:pPr>
        <w:pStyle w:val="24"/>
        <w:numPr>
          <w:ilvl w:val="1"/>
          <w:numId w:val="2"/>
        </w:numPr>
      </w:pPr>
      <w:r>
        <w:t>Classical MoE router (softmax gating)</w:t>
      </w:r>
    </w:p>
    <w:p w14:paraId="119AC299">
      <w:pPr>
        <w:pStyle w:val="24"/>
        <w:numPr>
          <w:ilvl w:val="1"/>
          <w:numId w:val="2"/>
        </w:numPr>
      </w:pPr>
      <w:r>
        <w:t>AllFix (uniform fusion, no gating)</w:t>
      </w:r>
    </w:p>
    <w:p w14:paraId="1D55E14C">
      <w:pPr>
        <w:pStyle w:val="23"/>
      </w:pPr>
      <w:r>
        <w:t>Routers operate on backbone embeddings and are trained only after expert parameters are fixed, ensuring strict modularity.</w:t>
      </w:r>
    </w:p>
    <w:p w14:paraId="1795E1B2">
      <w:pPr>
        <w:pStyle w:val="5"/>
      </w:pPr>
      <w:bookmarkStart w:id="41" w:name="step-decomposer-training"/>
      <w:r>
        <w:rPr>
          <w:b/>
          <w:bCs/>
        </w:rPr>
        <w:t>4.5.4 Step Decomposer Training</w:t>
      </w:r>
    </w:p>
    <w:p w14:paraId="1D53A00A">
      <w:pPr>
        <w:pStyle w:val="23"/>
      </w:pPr>
      <w:r>
        <w:t>The step decomposer used in Section 4.8 predicts the computational program for mixed arithmetic expressions.</w:t>
      </w:r>
    </w:p>
    <w:p w14:paraId="7BF87A1E">
      <w:pPr>
        <w:pStyle w:val="24"/>
        <w:numPr>
          <w:ilvl w:val="0"/>
          <w:numId w:val="2"/>
        </w:numPr>
      </w:pPr>
      <w:r>
        <w:rPr>
          <w:b/>
          <w:bCs/>
        </w:rPr>
        <w:t>Input:</w:t>
      </w:r>
      <w:r>
        <w:t xml:space="preserve"> Natural‑language arithmetic query</w:t>
      </w:r>
    </w:p>
    <w:p w14:paraId="08E67FCE">
      <w:pPr>
        <w:pStyle w:val="24"/>
        <w:numPr>
          <w:ilvl w:val="0"/>
          <w:numId w:val="2"/>
        </w:numPr>
      </w:pPr>
      <w:r>
        <w:rPr>
          <w:b/>
          <w:bCs/>
        </w:rPr>
        <w:t>Output:</w:t>
      </w:r>
      <w:r>
        <w:t xml:space="preserve"> Structured sequence of explicit operations</w:t>
      </w:r>
    </w:p>
    <w:p w14:paraId="128BCD36">
      <w:pPr>
        <w:pStyle w:val="23"/>
      </w:pPr>
      <w:r>
        <w:t>Example:</w:t>
      </w:r>
    </w:p>
    <w:p w14:paraId="0D7A7AE4">
      <w:pPr>
        <w:pStyle w:val="49"/>
      </w:pPr>
      <w:r>
        <w:rPr>
          <w:rStyle w:val="48"/>
        </w:rPr>
        <w:t>Step 1: a + b = x1</w:t>
      </w:r>
      <w:r>
        <w:br w:type="textWrapping"/>
      </w:r>
      <w:r>
        <w:rPr>
          <w:rStyle w:val="48"/>
        </w:rPr>
        <w:t>Step 2: x1 − c = x2</w:t>
      </w:r>
    </w:p>
    <w:p w14:paraId="21025CC4">
      <w:pPr>
        <w:pStyle w:val="23"/>
      </w:pPr>
      <w:r>
        <w:t xml:space="preserve">The decomposer is trained independently of all experts and routers, enabling a clean separation between </w:t>
      </w:r>
      <w:r>
        <w:rPr>
          <w:b/>
          <w:bCs/>
        </w:rPr>
        <w:t>structure inference</w:t>
      </w:r>
      <w:r>
        <w:t xml:space="preserve"> and </w:t>
      </w:r>
      <w:r>
        <w:rPr>
          <w:b/>
          <w:bCs/>
        </w:rPr>
        <w:t>numerical execution</w:t>
      </w:r>
      <w:r>
        <w:t>.</w:t>
      </w:r>
    </w:p>
    <w:bookmarkEnd w:id="41"/>
    <w:p w14:paraId="3CA3F04D">
      <w:pPr>
        <w:pStyle w:val="5"/>
      </w:pPr>
      <w:bookmarkStart w:id="42" w:name="modular-integration"/>
      <w:r>
        <w:rPr>
          <w:b/>
          <w:bCs/>
        </w:rPr>
        <w:t>4.5.5 Modular Integration</w:t>
      </w:r>
    </w:p>
    <w:p w14:paraId="1F136E5D">
      <w:pPr>
        <w:pStyle w:val="23"/>
      </w:pPr>
      <w:r>
        <w:t>After all components are independently trained — backbone, experts, routers, and step decomposer — they are integrated into a unified system without finetuning the backbone.</w:t>
      </w:r>
    </w:p>
    <w:p w14:paraId="319D25DB">
      <w:pPr>
        <w:pStyle w:val="3"/>
      </w:pPr>
      <w:r>
        <w:t>This demonstrates a key property of the framework:</w:t>
      </w:r>
    </w:p>
    <w:p w14:paraId="7BA3F83E">
      <w:pPr>
        <w:pStyle w:val="13"/>
      </w:pPr>
      <w:r>
        <w:rPr>
          <w:b/>
          <w:bCs/>
        </w:rPr>
        <w:t>Modular components can be trained independently and later combined without joint optimization.</w:t>
      </w:r>
    </w:p>
    <w:p w14:paraId="67E444E3">
      <w:pPr>
        <w:pStyle w:val="23"/>
      </w:pPr>
      <w:r>
        <w:t>This design enables scalable, decentralized training while maintaining coherent global behavior.</w:t>
      </w:r>
    </w:p>
    <w:bookmarkEnd w:id="42"/>
    <w:p w14:paraId="684FCC2D">
      <w:pPr>
        <w:pStyle w:val="5"/>
      </w:pPr>
      <w:bookmarkStart w:id="43" w:name="dataset-usage"/>
      <w:r>
        <w:rPr>
          <w:b/>
          <w:bCs/>
        </w:rPr>
        <w:t>4.5.6 Dataset Usage</w:t>
      </w:r>
    </w:p>
    <w:p w14:paraId="22222E6E">
      <w:pPr>
        <w:pStyle w:val="23"/>
      </w:pPr>
      <w:r>
        <w:t>Both arithmetic tasks use an 80,000‑sample dataset with a fixed split:</w:t>
      </w:r>
    </w:p>
    <w:p w14:paraId="12AC908E">
      <w:pPr>
        <w:pStyle w:val="24"/>
        <w:numPr>
          <w:ilvl w:val="0"/>
          <w:numId w:val="2"/>
        </w:numPr>
      </w:pPr>
      <w:r>
        <w:rPr>
          <w:b/>
          <w:bCs/>
        </w:rPr>
        <w:t>64,000</w:t>
      </w:r>
      <w:r>
        <w:t xml:space="preserve"> training</w:t>
      </w:r>
    </w:p>
    <w:p w14:paraId="430AC8FD">
      <w:pPr>
        <w:pStyle w:val="24"/>
        <w:numPr>
          <w:ilvl w:val="0"/>
          <w:numId w:val="2"/>
        </w:numPr>
      </w:pPr>
      <w:r>
        <w:rPr>
          <w:b/>
          <w:bCs/>
        </w:rPr>
        <w:t>8,000</w:t>
      </w:r>
      <w:r>
        <w:t xml:space="preserve"> validation</w:t>
      </w:r>
    </w:p>
    <w:p w14:paraId="3232902C">
      <w:pPr>
        <w:pStyle w:val="24"/>
        <w:numPr>
          <w:ilvl w:val="0"/>
          <w:numId w:val="2"/>
        </w:numPr>
      </w:pPr>
      <w:r>
        <w:rPr>
          <w:b/>
          <w:bCs/>
        </w:rPr>
        <w:t>8,000</w:t>
      </w:r>
      <w:r>
        <w:t xml:space="preserve"> test</w:t>
      </w:r>
    </w:p>
    <w:p w14:paraId="215480D6">
      <w:pPr>
        <w:pStyle w:val="23"/>
      </w:pPr>
      <w:r>
        <w:t>The backbone is trained using only 10% of the training set to encourage meaningful expert contributions. All experts and routers use the full portion of the dataset relevant to their roles.</w:t>
      </w:r>
    </w:p>
    <w:p w14:paraId="5C1E4823">
      <w:pPr>
        <w:pStyle w:val="3"/>
      </w:pPr>
      <w:r>
        <w:t xml:space="preserve">In addition, the step decomposer is trained on an </w:t>
      </w:r>
      <w:r>
        <w:rPr>
          <w:b/>
          <w:bCs/>
        </w:rPr>
        <w:t>80,000‑sample program‑annotated corpus</w:t>
      </w:r>
      <w:r>
        <w:t xml:space="preserve"> balanced across: - 2‑step expressions: 20% - 3‑step expressions: 40% - 4‑step expressions: 40%</w:t>
      </w:r>
    </w:p>
    <w:bookmarkEnd w:id="43"/>
    <w:p w14:paraId="058C77AD">
      <w:pPr>
        <w:pStyle w:val="5"/>
      </w:pPr>
      <w:bookmarkStart w:id="44" w:name="training-environment-summary"/>
      <w:r>
        <w:rPr>
          <w:b/>
          <w:bCs/>
        </w:rPr>
        <w:t>4.5.7 Training Environment Summary</w:t>
      </w:r>
    </w:p>
    <w:p w14:paraId="24631161">
      <w:pPr>
        <w:pStyle w:val="23"/>
      </w:pPr>
      <w:r>
        <w:t>The overall system uses mixed precision and multiple training devices, but these details do not affect the modular structure of the method.</w:t>
      </w:r>
    </w:p>
    <w:p w14:paraId="4416E706">
      <w:pPr>
        <w:pStyle w:val="24"/>
        <w:numPr>
          <w:ilvl w:val="0"/>
          <w:numId w:val="2"/>
        </w:numPr>
      </w:pPr>
      <w:r>
        <w:rPr>
          <w:b/>
          <w:bCs/>
        </w:rPr>
        <w:t>Backbone:</w:t>
      </w:r>
      <w:r>
        <w:t xml:space="preserve"> Trained in full precision (FP32)</w:t>
      </w:r>
    </w:p>
    <w:p w14:paraId="22B0960A">
      <w:pPr>
        <w:pStyle w:val="24"/>
        <w:numPr>
          <w:ilvl w:val="0"/>
          <w:numId w:val="2"/>
        </w:numPr>
      </w:pPr>
      <w:r>
        <w:rPr>
          <w:b/>
          <w:bCs/>
        </w:rPr>
        <w:t>Experts:</w:t>
      </w:r>
      <w:r>
        <w:t xml:space="preserve"> Trained independently, typically in FP32</w:t>
      </w:r>
    </w:p>
    <w:p w14:paraId="6A54255B">
      <w:pPr>
        <w:pStyle w:val="24"/>
        <w:numPr>
          <w:ilvl w:val="0"/>
          <w:numId w:val="2"/>
        </w:numPr>
      </w:pPr>
      <w:r>
        <w:rPr>
          <w:b/>
          <w:bCs/>
        </w:rPr>
        <w:t>Routers &amp; Decomposer:</w:t>
      </w:r>
      <w:r>
        <w:t xml:space="preserve"> Trained efficiently in BF16</w:t>
      </w:r>
    </w:p>
    <w:p w14:paraId="5BD38FE3">
      <w:pPr>
        <w:pStyle w:val="23"/>
      </w:pPr>
      <w:r>
        <w:t>The design remains hardware‑agnostic and focuses on methodological reproducibility.</w:t>
      </w:r>
    </w:p>
    <w:bookmarkEnd w:id="44"/>
    <w:p w14:paraId="02A3135A">
      <w:pPr>
        <w:pStyle w:val="5"/>
      </w:pPr>
      <w:r>
        <w:rPr>
          <w:b/>
          <w:bCs/>
        </w:rPr>
        <w:t>4.5.8 Summary</w:t>
      </w:r>
    </w:p>
    <w:p w14:paraId="5C588D5F">
      <w:pPr>
        <w:pStyle w:val="23"/>
      </w:pPr>
      <w:r>
        <w:t>This unified training setup supports the modular reasoning framework evaluated throughout Section 4. The key methodological principles are:</w:t>
      </w:r>
    </w:p>
    <w:p w14:paraId="27F8A970">
      <w:pPr>
        <w:pStyle w:val="24"/>
        <w:numPr>
          <w:ilvl w:val="0"/>
          <w:numId w:val="5"/>
        </w:numPr>
      </w:pPr>
      <w:r>
        <w:rPr>
          <w:b/>
          <w:bCs/>
        </w:rPr>
        <w:t>Shared backbone with stable embeddings</w:t>
      </w:r>
    </w:p>
    <w:p w14:paraId="0EE1209D">
      <w:pPr>
        <w:pStyle w:val="24"/>
        <w:numPr>
          <w:ilvl w:val="0"/>
          <w:numId w:val="5"/>
        </w:numPr>
      </w:pPr>
      <w:r>
        <w:rPr>
          <w:b/>
          <w:bCs/>
        </w:rPr>
        <w:t>Independent training of all experts</w:t>
      </w:r>
    </w:p>
    <w:p w14:paraId="792E4524">
      <w:pPr>
        <w:pStyle w:val="24"/>
        <w:numPr>
          <w:ilvl w:val="0"/>
          <w:numId w:val="5"/>
        </w:numPr>
      </w:pPr>
      <w:r>
        <w:rPr>
          <w:b/>
          <w:bCs/>
        </w:rPr>
        <w:t>Routers trained after experts for clean modularity</w:t>
      </w:r>
    </w:p>
    <w:p w14:paraId="730091B2">
      <w:pPr>
        <w:pStyle w:val="24"/>
        <w:numPr>
          <w:ilvl w:val="0"/>
          <w:numId w:val="5"/>
        </w:numPr>
      </w:pPr>
      <w:r>
        <w:rPr>
          <w:b/>
          <w:bCs/>
        </w:rPr>
        <w:t>Step decomposer enabling structured execution in multi‑step tasks</w:t>
      </w:r>
    </w:p>
    <w:p w14:paraId="68105BD2">
      <w:pPr>
        <w:pStyle w:val="24"/>
        <w:numPr>
          <w:ilvl w:val="0"/>
          <w:numId w:val="5"/>
        </w:numPr>
      </w:pPr>
      <w:r>
        <w:rPr>
          <w:b/>
          <w:bCs/>
        </w:rPr>
        <w:t>Full system integration without global retraining</w:t>
      </w:r>
    </w:p>
    <w:p w14:paraId="1E323C28">
      <w:pPr>
        <w:pStyle w:val="23"/>
      </w:pPr>
      <w:r>
        <w:t>This structure enables precise control over specialization, modularity, and scalability, forming the foundation of all subsequent experimental results.</w:t>
      </w:r>
    </w:p>
    <w:bookmarkEnd w:id="37"/>
    <w:p w14:paraId="7CBE4D49">
      <w:pPr>
        <w:pStyle w:val="4"/>
      </w:pPr>
      <w:bookmarkStart w:id="88" w:name="_GoBack"/>
      <w:bookmarkEnd w:id="88"/>
      <w:r>
        <w:t>4.6 Results on Task 1: Addition (De-duplicated)</w:t>
      </w:r>
    </w:p>
    <w:p w14:paraId="2FA66307">
      <w:pPr>
        <w:pStyle w:val="23"/>
      </w:pPr>
      <w:r>
        <w:t>Task 1 evaluates natural-language addition queries whose outputs fall within five explicit numerical ranges (</w:t>
      </w:r>
      <m:oMath>
        <m:sSub>
          <m:sSubPr/>
          <m:e>
            <m:r>
              <m:rPr/>
              <m:t>R</m:t>
            </m:r>
          </m:e>
          <m:sub>
            <m:r>
              <m:rPr/>
              <m:t>1</m:t>
            </m:r>
          </m:sub>
        </m:sSub>
      </m:oMath>
      <w:r>
        <w:t>–</w:t>
      </w:r>
      <m:oMath>
        <m:sSub>
          <m:sSubPr/>
          <m:e>
            <m:r>
              <m:rPr/>
              <m:t>R</m:t>
            </m:r>
          </m:e>
          <m:sub>
            <m:r>
              <m:rPr/>
              <m:t>5</m:t>
            </m:r>
          </m:sub>
        </m:sSub>
      </m:oMath>
      <w:r>
        <w:t>).</w:t>
      </w:r>
      <w:r>
        <w:br w:type="textWrapping"/>
      </w:r>
      <w:r>
        <w:t>Because the target ranges are discretely defined in Section 4.1, this task enables precise comparison of global accuracy, range-wise specialization, and routing stability. This section reports only results, without repeating architectural details.</w:t>
      </w:r>
    </w:p>
    <w:p w14:paraId="599D90B9">
      <w:pPr>
        <w:pStyle w:val="5"/>
      </w:pPr>
      <w:bookmarkStart w:id="45" w:name="overall-performance"/>
      <w:r>
        <w:t>4.6.1 Overall Performance</w:t>
      </w:r>
    </w:p>
    <w:tbl>
      <w:tblPr>
        <w:tblStyle w:val="41"/>
        <w:tblW w:w="0" w:type="auto"/>
        <w:tblInd w:w="0" w:type="dxa"/>
        <w:tblLayout w:type="autofit"/>
        <w:tblCellMar>
          <w:top w:w="0" w:type="dxa"/>
          <w:left w:w="108" w:type="dxa"/>
          <w:bottom w:w="0" w:type="dxa"/>
          <w:right w:w="108" w:type="dxa"/>
        </w:tblCellMar>
      </w:tblPr>
      <w:tblGrid>
        <w:gridCol w:w="2644"/>
        <w:gridCol w:w="1203"/>
        <w:gridCol w:w="1243"/>
      </w:tblGrid>
      <w:tr w14:paraId="5EE532ED">
        <w:tblPrEx>
          <w:tblCellMar>
            <w:top w:w="0" w:type="dxa"/>
            <w:left w:w="108" w:type="dxa"/>
            <w:bottom w:w="0" w:type="dxa"/>
            <w:right w:w="108" w:type="dxa"/>
          </w:tblCellMar>
        </w:tblPrEx>
        <w:trPr>
          <w:tblHeader/>
        </w:trPr>
        <w:tc>
          <w:p w14:paraId="36EAEC00">
            <w:pPr>
              <w:pStyle w:val="24"/>
            </w:pPr>
            <w:r>
              <w:t>Method</w:t>
            </w:r>
          </w:p>
        </w:tc>
        <w:tc>
          <w:p w14:paraId="042D584A">
            <w:pPr>
              <w:pStyle w:val="24"/>
            </w:pPr>
            <w:r>
              <w:t>Accuracy</w:t>
            </w:r>
          </w:p>
        </w:tc>
        <w:tc>
          <w:p w14:paraId="025EA8E8">
            <w:pPr>
              <w:pStyle w:val="24"/>
            </w:pPr>
            <w:r>
              <w:t>Macro-F1</w:t>
            </w:r>
          </w:p>
        </w:tc>
      </w:tr>
      <w:tr w14:paraId="24AF8718">
        <w:tblPrEx>
          <w:tblCellMar>
            <w:top w:w="0" w:type="dxa"/>
            <w:left w:w="108" w:type="dxa"/>
            <w:bottom w:w="0" w:type="dxa"/>
            <w:right w:w="108" w:type="dxa"/>
          </w:tblCellMar>
        </w:tblPrEx>
        <w:tc>
          <w:p w14:paraId="6A034A31">
            <w:pPr>
              <w:pStyle w:val="24"/>
            </w:pPr>
            <w:r>
              <w:t>Global Head (base)</w:t>
            </w:r>
          </w:p>
        </w:tc>
        <w:tc>
          <w:p w14:paraId="42E09AA1">
            <w:pPr>
              <w:pStyle w:val="24"/>
            </w:pPr>
            <w:r>
              <w:t>0.5503</w:t>
            </w:r>
          </w:p>
        </w:tc>
        <w:tc>
          <w:p w14:paraId="41493550">
            <w:pPr>
              <w:pStyle w:val="24"/>
            </w:pPr>
            <w:r>
              <w:t>0.5194</w:t>
            </w:r>
          </w:p>
        </w:tc>
      </w:tr>
      <w:tr w14:paraId="41D321B3">
        <w:tblPrEx>
          <w:tblCellMar>
            <w:top w:w="0" w:type="dxa"/>
            <w:left w:w="108" w:type="dxa"/>
            <w:bottom w:w="0" w:type="dxa"/>
            <w:right w:w="108" w:type="dxa"/>
          </w:tblCellMar>
        </w:tblPrEx>
        <w:tc>
          <w:p w14:paraId="5C3209D9">
            <w:pPr>
              <w:pStyle w:val="24"/>
            </w:pPr>
            <w:r>
              <w:t>Uniform Avg (all_fixed)</w:t>
            </w:r>
          </w:p>
        </w:tc>
        <w:tc>
          <w:p w14:paraId="76274229">
            <w:pPr>
              <w:pStyle w:val="24"/>
            </w:pPr>
            <w:r>
              <w:t>0.2686</w:t>
            </w:r>
          </w:p>
        </w:tc>
        <w:tc>
          <w:p w14:paraId="5482EA3D">
            <w:pPr>
              <w:pStyle w:val="24"/>
            </w:pPr>
            <w:r>
              <w:t>0.2295</w:t>
            </w:r>
          </w:p>
        </w:tc>
      </w:tr>
      <w:tr w14:paraId="5B5DF86E">
        <w:tblPrEx>
          <w:tblCellMar>
            <w:top w:w="0" w:type="dxa"/>
            <w:left w:w="108" w:type="dxa"/>
            <w:bottom w:w="0" w:type="dxa"/>
            <w:right w:w="108" w:type="dxa"/>
          </w:tblCellMar>
        </w:tblPrEx>
        <w:tc>
          <w:p w14:paraId="4D432AA9">
            <w:pPr>
              <w:pStyle w:val="24"/>
            </w:pPr>
            <w:r>
              <w:t>MoE Gating (moe)</w:t>
            </w:r>
          </w:p>
        </w:tc>
        <w:tc>
          <w:p w14:paraId="6BA2FCEA">
            <w:pPr>
              <w:pStyle w:val="24"/>
            </w:pPr>
            <w:r>
              <w:t>0.8576</w:t>
            </w:r>
          </w:p>
        </w:tc>
        <w:tc>
          <w:p w14:paraId="45E8B96A">
            <w:pPr>
              <w:pStyle w:val="24"/>
            </w:pPr>
            <w:r>
              <w:t>0.8568</w:t>
            </w:r>
          </w:p>
        </w:tc>
      </w:tr>
      <w:tr w14:paraId="1DC18ED2">
        <w:tblPrEx>
          <w:tblCellMar>
            <w:top w:w="0" w:type="dxa"/>
            <w:left w:w="108" w:type="dxa"/>
            <w:bottom w:w="0" w:type="dxa"/>
            <w:right w:w="108" w:type="dxa"/>
          </w:tblCellMar>
        </w:tblPrEx>
        <w:tc>
          <w:p w14:paraId="6C96ECB6">
            <w:pPr>
              <w:pStyle w:val="24"/>
            </w:pPr>
            <w:r>
              <w:rPr>
                <w:b/>
                <w:bCs/>
              </w:rPr>
              <w:t>RED (Ours, router)</w:t>
            </w:r>
          </w:p>
        </w:tc>
        <w:tc>
          <w:p w14:paraId="0F765298">
            <w:pPr>
              <w:pStyle w:val="24"/>
            </w:pPr>
            <w:r>
              <w:rPr>
                <w:b/>
                <w:bCs/>
              </w:rPr>
              <w:t>0.9725</w:t>
            </w:r>
          </w:p>
        </w:tc>
        <w:tc>
          <w:p w14:paraId="6B708346">
            <w:pPr>
              <w:pStyle w:val="24"/>
            </w:pPr>
            <w:r>
              <w:rPr>
                <w:b/>
                <w:bCs/>
              </w:rPr>
              <w:t>0.9722</w:t>
            </w:r>
          </w:p>
        </w:tc>
      </w:tr>
    </w:tbl>
    <w:p w14:paraId="2EF29162">
      <w:pPr>
        <w:pStyle w:val="3"/>
      </w:pPr>
      <w:r>
        <w:rPr>
          <w:b/>
          <w:bCs/>
        </w:rPr>
        <w:t>Note on Macro-F1:</w:t>
      </w:r>
      <w:r>
        <w:br w:type="textWrapping"/>
      </w:r>
      <w:r>
        <w:t xml:space="preserve">Macro-F1 is lower because each range computes F1 over </w:t>
      </w:r>
      <w:r>
        <w:rPr>
          <w:b/>
          <w:bCs/>
        </w:rPr>
        <w:t>99 output classes</w:t>
      </w:r>
      <w:r>
        <w:t>, many of which have extremely small support. Even when accuracy is near-perfect, rare-class errors sharply reduce Macro-F1.</w:t>
      </w:r>
    </w:p>
    <w:p w14:paraId="26E6A811">
      <w:pPr>
        <w:pStyle w:val="3"/>
      </w:pPr>
      <w:r>
        <w:rPr>
          <w:b/>
          <w:bCs/>
        </w:rPr>
        <w:t>Interpretation:</w:t>
      </w:r>
      <w:r>
        <w:br w:type="textWrapping"/>
      </w:r>
      <w:r>
        <w:t xml:space="preserve">RED achieves the strongest overall performance, improving upon MoE by </w:t>
      </w:r>
      <w:r>
        <w:rPr>
          <w:b/>
          <w:bCs/>
        </w:rPr>
        <w:t>+11.5%</w:t>
      </w:r>
      <w:r>
        <w:t xml:space="preserve"> accuracy and far surpassing non-modular baselines.</w:t>
      </w:r>
    </w:p>
    <w:bookmarkEnd w:id="45"/>
    <w:p w14:paraId="79D139D2">
      <w:pPr>
        <w:pStyle w:val="5"/>
      </w:pPr>
      <w:bookmarkStart w:id="46" w:name="accuracy-by-numerical-range-r_1r_5"/>
      <w:r>
        <w:t>4.6.2 Accuracy by Numerical Range (</w:t>
      </w:r>
      <m:oMath>
        <m:sSub>
          <m:sSubPr/>
          <m:e>
            <m:r>
              <m:rPr/>
              <m:t>R</m:t>
            </m:r>
          </m:e>
          <m:sub>
            <m:r>
              <m:rPr/>
              <m:t>1</m:t>
            </m:r>
          </m:sub>
        </m:sSub>
      </m:oMath>
      <w:r>
        <w:t>–</w:t>
      </w:r>
      <m:oMath>
        <m:sSub>
          <m:sSubPr/>
          <m:e>
            <m:r>
              <m:rPr/>
              <m:t>R</m:t>
            </m:r>
          </m:e>
          <m:sub>
            <m:r>
              <m:rPr/>
              <m:t>5</m:t>
            </m:r>
          </m:sub>
        </m:sSub>
      </m:oMath>
      <w:r>
        <w:t>)</w:t>
      </w:r>
    </w:p>
    <w:p w14:paraId="064AFE92">
      <w:pPr>
        <w:pStyle w:val="23"/>
      </w:pPr>
      <w:r>
        <w:t>Ranges defined in Section 4.1:</w:t>
      </w:r>
    </w:p>
    <w:p w14:paraId="4680DAC8">
      <w:pPr>
        <w:pStyle w:val="24"/>
        <w:numPr>
          <w:ilvl w:val="0"/>
          <w:numId w:val="2"/>
        </w:numPr>
      </w:pPr>
      <m:oMath>
        <m:sSub>
          <m:sSubPr/>
          <m:e>
            <m:r>
              <m:rPr/>
              <m:t>R</m:t>
            </m:r>
          </m:e>
          <m:sub>
            <m:r>
              <m:rPr/>
              <m:t>1</m:t>
            </m:r>
          </m:sub>
        </m:sSub>
      </m:oMath>
      <w:r>
        <w:t xml:space="preserve"> = 2–20</w:t>
      </w:r>
      <w:r>
        <w:br w:type="textWrapping"/>
      </w:r>
    </w:p>
    <w:p w14:paraId="163126DB">
      <w:pPr>
        <w:pStyle w:val="24"/>
        <w:numPr>
          <w:ilvl w:val="0"/>
          <w:numId w:val="2"/>
        </w:numPr>
      </w:pPr>
      <m:oMath>
        <m:sSub>
          <m:sSubPr/>
          <m:e>
            <m:r>
              <m:rPr/>
              <m:t>R</m:t>
            </m:r>
          </m:e>
          <m:sub>
            <m:r>
              <m:rPr/>
              <m:t>2</m:t>
            </m:r>
          </m:sub>
        </m:sSub>
      </m:oMath>
      <w:r>
        <w:t xml:space="preserve"> = 21–40</w:t>
      </w:r>
      <w:r>
        <w:br w:type="textWrapping"/>
      </w:r>
    </w:p>
    <w:p w14:paraId="647956DE">
      <w:pPr>
        <w:pStyle w:val="24"/>
        <w:numPr>
          <w:ilvl w:val="0"/>
          <w:numId w:val="2"/>
        </w:numPr>
      </w:pPr>
      <m:oMath>
        <m:sSub>
          <m:sSubPr/>
          <m:e>
            <m:r>
              <m:rPr/>
              <m:t>R</m:t>
            </m:r>
          </m:e>
          <m:sub>
            <m:r>
              <m:rPr/>
              <m:t>3</m:t>
            </m:r>
          </m:sub>
        </m:sSub>
      </m:oMath>
      <w:r>
        <w:t xml:space="preserve"> = 41–60</w:t>
      </w:r>
      <w:r>
        <w:br w:type="textWrapping"/>
      </w:r>
    </w:p>
    <w:p w14:paraId="07D97C86">
      <w:pPr>
        <w:pStyle w:val="24"/>
        <w:numPr>
          <w:ilvl w:val="0"/>
          <w:numId w:val="2"/>
        </w:numPr>
      </w:pPr>
      <m:oMath>
        <m:sSub>
          <m:sSubPr/>
          <m:e>
            <m:r>
              <m:rPr/>
              <m:t>R</m:t>
            </m:r>
          </m:e>
          <m:sub>
            <m:r>
              <m:rPr/>
              <m:t>4</m:t>
            </m:r>
          </m:sub>
        </m:sSub>
      </m:oMath>
      <w:r>
        <w:t xml:space="preserve"> = 61–80</w:t>
      </w:r>
      <w:r>
        <w:br w:type="textWrapping"/>
      </w:r>
    </w:p>
    <w:p w14:paraId="1AE5DE56">
      <w:pPr>
        <w:pStyle w:val="24"/>
        <w:numPr>
          <w:ilvl w:val="0"/>
          <w:numId w:val="2"/>
        </w:numPr>
      </w:pPr>
      <m:oMath>
        <m:sSub>
          <m:sSubPr/>
          <m:e>
            <m:r>
              <m:rPr/>
              <m:t>R</m:t>
            </m:r>
          </m:e>
          <m:sub>
            <m:r>
              <m:rPr/>
              <m:t>5</m:t>
            </m:r>
          </m:sub>
        </m:sSub>
      </m:oMath>
      <w:r>
        <w:t xml:space="preserve"> = 81–100</w:t>
      </w:r>
    </w:p>
    <w:p w14:paraId="6602FC17">
      <w:pPr>
        <w:pStyle w:val="23"/>
      </w:pPr>
      <w:r>
        <w:t>Accuracy → three qualitative levels:</w:t>
      </w:r>
    </w:p>
    <w:p w14:paraId="60A33382">
      <w:pPr>
        <w:pStyle w:val="24"/>
        <w:numPr>
          <w:ilvl w:val="0"/>
          <w:numId w:val="2"/>
        </w:numPr>
      </w:pPr>
      <w:r>
        <w:rPr>
          <w:b/>
          <w:bCs/>
        </w:rPr>
        <w:t>high:</w:t>
      </w:r>
      <w:r>
        <w:t xml:space="preserve"> ≥ 0.80</w:t>
      </w:r>
      <w:r>
        <w:br w:type="textWrapping"/>
      </w:r>
    </w:p>
    <w:p w14:paraId="4084EB64">
      <w:pPr>
        <w:pStyle w:val="24"/>
        <w:numPr>
          <w:ilvl w:val="0"/>
          <w:numId w:val="2"/>
        </w:numPr>
      </w:pPr>
      <w:r>
        <w:rPr>
          <w:b/>
          <w:bCs/>
        </w:rPr>
        <w:t>moderate:</w:t>
      </w:r>
      <w:r>
        <w:t xml:space="preserve"> 0.55–0.80</w:t>
      </w:r>
      <w:r>
        <w:br w:type="textWrapping"/>
      </w:r>
    </w:p>
    <w:p w14:paraId="7FE5F66B">
      <w:pPr>
        <w:pStyle w:val="24"/>
        <w:numPr>
          <w:ilvl w:val="0"/>
          <w:numId w:val="2"/>
        </w:numPr>
      </w:pPr>
      <w:r>
        <w:rPr>
          <w:b/>
          <w:bCs/>
        </w:rPr>
        <w:t>low:</w:t>
      </w:r>
      <w:r>
        <w:t xml:space="preserve"> &lt; 0.55</w:t>
      </w:r>
    </w:p>
    <w:p w14:paraId="07034BCF">
      <w:pPr>
        <w:pStyle w:val="6"/>
      </w:pPr>
      <w:bookmarkStart w:id="47" w:name="raw-accuracy-values-from-logs"/>
      <w:r>
        <w:t>Raw Accuracy Values from Logs</w:t>
      </w:r>
    </w:p>
    <w:p w14:paraId="390730E9">
      <w:pPr>
        <w:pStyle w:val="24"/>
        <w:numPr>
          <w:ilvl w:val="0"/>
          <w:numId w:val="2"/>
        </w:numPr>
      </w:pPr>
      <w:r>
        <w:rPr>
          <w:b/>
          <w:bCs/>
        </w:rPr>
        <w:t>Global Head (base)</w:t>
      </w:r>
    </w:p>
    <w:p w14:paraId="7ED516F1">
      <w:pPr>
        <w:pStyle w:val="24"/>
        <w:numPr>
          <w:ilvl w:val="1"/>
          <w:numId w:val="2"/>
        </w:numPr>
      </w:pPr>
      <m:oMath>
        <m:sSub>
          <m:sSubPr/>
          <m:e>
            <m:r>
              <m:rPr/>
              <m:t>R</m:t>
            </m:r>
          </m:e>
          <m:sub>
            <m:r>
              <m:rPr/>
              <m:t>1</m:t>
            </m:r>
          </m:sub>
        </m:sSub>
      </m:oMath>
      <w:r>
        <w:t xml:space="preserve"> 0.8994</w:t>
      </w:r>
      <w:r>
        <w:br w:type="textWrapping"/>
      </w:r>
    </w:p>
    <w:p w14:paraId="623AB85B">
      <w:pPr>
        <w:pStyle w:val="24"/>
        <w:numPr>
          <w:ilvl w:val="1"/>
          <w:numId w:val="2"/>
        </w:numPr>
      </w:pPr>
      <m:oMath>
        <m:sSub>
          <m:sSubPr/>
          <m:e>
            <m:r>
              <m:rPr/>
              <m:t>R</m:t>
            </m:r>
          </m:e>
          <m:sub>
            <m:r>
              <m:rPr/>
              <m:t>2</m:t>
            </m:r>
          </m:sub>
        </m:sSub>
      </m:oMath>
      <w:r>
        <w:t xml:space="preserve"> 0.4480</w:t>
      </w:r>
      <w:r>
        <w:br w:type="textWrapping"/>
      </w:r>
    </w:p>
    <w:p w14:paraId="18CEAB3E">
      <w:pPr>
        <w:pStyle w:val="24"/>
        <w:numPr>
          <w:ilvl w:val="1"/>
          <w:numId w:val="2"/>
        </w:numPr>
      </w:pPr>
      <m:oMath>
        <m:sSub>
          <m:sSubPr/>
          <m:e>
            <m:r>
              <m:rPr/>
              <m:t>R</m:t>
            </m:r>
          </m:e>
          <m:sub>
            <m:r>
              <m:rPr/>
              <m:t>3</m:t>
            </m:r>
          </m:sub>
        </m:sSub>
      </m:oMath>
      <w:r>
        <w:t xml:space="preserve"> 0.3131</w:t>
      </w:r>
      <w:r>
        <w:br w:type="textWrapping"/>
      </w:r>
    </w:p>
    <w:p w14:paraId="20EC6FEA">
      <w:pPr>
        <w:pStyle w:val="24"/>
        <w:numPr>
          <w:ilvl w:val="1"/>
          <w:numId w:val="2"/>
        </w:numPr>
      </w:pPr>
      <m:oMath>
        <m:sSub>
          <m:sSubPr/>
          <m:e>
            <m:r>
              <m:rPr/>
              <m:t>R</m:t>
            </m:r>
          </m:e>
          <m:sub>
            <m:r>
              <m:rPr/>
              <m:t>4</m:t>
            </m:r>
          </m:sub>
        </m:sSub>
      </m:oMath>
      <w:r>
        <w:t xml:space="preserve"> 0.3975</w:t>
      </w:r>
      <w:r>
        <w:br w:type="textWrapping"/>
      </w:r>
    </w:p>
    <w:p w14:paraId="794A6CEB">
      <w:pPr>
        <w:pStyle w:val="24"/>
        <w:numPr>
          <w:ilvl w:val="1"/>
          <w:numId w:val="2"/>
        </w:numPr>
      </w:pPr>
      <m:oMath>
        <m:sSub>
          <m:sSubPr/>
          <m:e>
            <m:r>
              <m:rPr/>
              <m:t>R</m:t>
            </m:r>
          </m:e>
          <m:sub>
            <m:r>
              <m:rPr/>
              <m:t>5</m:t>
            </m:r>
          </m:sub>
        </m:sSub>
      </m:oMath>
      <w:r>
        <w:t xml:space="preserve"> 0.6719</w:t>
      </w:r>
    </w:p>
    <w:p w14:paraId="173FA478">
      <w:pPr>
        <w:pStyle w:val="24"/>
        <w:numPr>
          <w:ilvl w:val="0"/>
          <w:numId w:val="2"/>
        </w:numPr>
      </w:pPr>
      <w:r>
        <w:rPr>
          <w:b/>
          <w:bCs/>
        </w:rPr>
        <w:t>Uniform Avg (all_fixed)</w:t>
      </w:r>
    </w:p>
    <w:p w14:paraId="10D7D3CA">
      <w:pPr>
        <w:pStyle w:val="24"/>
        <w:numPr>
          <w:ilvl w:val="1"/>
          <w:numId w:val="2"/>
        </w:numPr>
      </w:pPr>
      <m:oMath>
        <m:sSub>
          <m:sSubPr/>
          <m:e>
            <m:r>
              <m:rPr/>
              <m:t>R</m:t>
            </m:r>
          </m:e>
          <m:sub>
            <m:r>
              <m:rPr/>
              <m:t>1</m:t>
            </m:r>
          </m:sub>
        </m:sSub>
      </m:oMath>
      <w:r>
        <w:t xml:space="preserve"> 0.8978</w:t>
      </w:r>
      <w:r>
        <w:br w:type="textWrapping"/>
      </w:r>
    </w:p>
    <w:p w14:paraId="1C1D6653">
      <w:pPr>
        <w:pStyle w:val="24"/>
        <w:numPr>
          <w:ilvl w:val="1"/>
          <w:numId w:val="2"/>
        </w:numPr>
      </w:pPr>
      <m:oMath>
        <m:sSub>
          <m:sSubPr/>
          <m:e>
            <m:r>
              <m:rPr/>
              <m:t>R</m:t>
            </m:r>
          </m:e>
          <m:sub>
            <m:r>
              <m:rPr/>
              <m:t>2</m:t>
            </m:r>
          </m:sub>
        </m:sSub>
      </m:oMath>
      <w:r>
        <w:t xml:space="preserve"> 0.0054</w:t>
      </w:r>
      <w:r>
        <w:br w:type="textWrapping"/>
      </w:r>
    </w:p>
    <w:p w14:paraId="388812A0">
      <w:pPr>
        <w:pStyle w:val="24"/>
        <w:numPr>
          <w:ilvl w:val="1"/>
          <w:numId w:val="2"/>
        </w:numPr>
      </w:pPr>
      <m:oMath>
        <m:sSub>
          <m:sSubPr/>
          <m:e>
            <m:r>
              <m:rPr/>
              <m:t>R</m:t>
            </m:r>
          </m:e>
          <m:sub>
            <m:r>
              <m:rPr/>
              <m:t>3</m:t>
            </m:r>
          </m:sub>
        </m:sSub>
      </m:oMath>
      <w:r>
        <w:t xml:space="preserve"> 0.0000</w:t>
      </w:r>
      <w:r>
        <w:br w:type="textWrapping"/>
      </w:r>
    </w:p>
    <w:p w14:paraId="578E4FD9">
      <w:pPr>
        <w:pStyle w:val="24"/>
        <w:numPr>
          <w:ilvl w:val="1"/>
          <w:numId w:val="2"/>
        </w:numPr>
      </w:pPr>
      <m:oMath>
        <m:sSub>
          <m:sSubPr/>
          <m:e>
            <m:r>
              <m:rPr/>
              <m:t>R</m:t>
            </m:r>
          </m:e>
          <m:sub>
            <m:r>
              <m:rPr/>
              <m:t>4</m:t>
            </m:r>
          </m:sub>
        </m:sSub>
      </m:oMath>
      <w:r>
        <w:t xml:space="preserve"> 0.0000</w:t>
      </w:r>
      <w:r>
        <w:br w:type="textWrapping"/>
      </w:r>
    </w:p>
    <w:p w14:paraId="044E671F">
      <w:pPr>
        <w:pStyle w:val="24"/>
        <w:numPr>
          <w:ilvl w:val="1"/>
          <w:numId w:val="2"/>
        </w:numPr>
      </w:pPr>
      <m:oMath>
        <m:sSub>
          <m:sSubPr/>
          <m:e>
            <m:r>
              <m:rPr/>
              <m:t>R</m:t>
            </m:r>
          </m:e>
          <m:sub>
            <m:r>
              <m:rPr/>
              <m:t>5</m:t>
            </m:r>
          </m:sub>
        </m:sSub>
      </m:oMath>
      <w:r>
        <w:t xml:space="preserve"> 0.4104</w:t>
      </w:r>
    </w:p>
    <w:p w14:paraId="699B2FEB">
      <w:pPr>
        <w:pStyle w:val="24"/>
        <w:numPr>
          <w:ilvl w:val="0"/>
          <w:numId w:val="2"/>
        </w:numPr>
      </w:pPr>
      <w:r>
        <w:rPr>
          <w:b/>
          <w:bCs/>
        </w:rPr>
        <w:t>MoE Gating (moe)</w:t>
      </w:r>
    </w:p>
    <w:p w14:paraId="096923F9">
      <w:pPr>
        <w:pStyle w:val="24"/>
        <w:numPr>
          <w:ilvl w:val="1"/>
          <w:numId w:val="2"/>
        </w:numPr>
      </w:pPr>
      <m:oMath>
        <m:sSub>
          <m:sSubPr/>
          <m:e>
            <m:r>
              <m:rPr/>
              <m:t>R</m:t>
            </m:r>
          </m:e>
          <m:sub>
            <m:r>
              <m:rPr/>
              <m:t>1</m:t>
            </m:r>
          </m:sub>
        </m:sSub>
      </m:oMath>
      <w:r>
        <w:t xml:space="preserve"> 1.0000</w:t>
      </w:r>
      <w:r>
        <w:br w:type="textWrapping"/>
      </w:r>
    </w:p>
    <w:p w14:paraId="6CE02C60">
      <w:pPr>
        <w:pStyle w:val="24"/>
        <w:numPr>
          <w:ilvl w:val="1"/>
          <w:numId w:val="2"/>
        </w:numPr>
      </w:pPr>
      <m:oMath>
        <m:sSub>
          <m:sSubPr/>
          <m:e>
            <m:r>
              <m:rPr/>
              <m:t>R</m:t>
            </m:r>
          </m:e>
          <m:sub>
            <m:r>
              <m:rPr/>
              <m:t>2</m:t>
            </m:r>
          </m:sub>
        </m:sSub>
      </m:oMath>
      <w:r>
        <w:t xml:space="preserve"> 0.7883</w:t>
      </w:r>
      <w:r>
        <w:br w:type="textWrapping"/>
      </w:r>
    </w:p>
    <w:p w14:paraId="5A07EC0C">
      <w:pPr>
        <w:pStyle w:val="24"/>
        <w:numPr>
          <w:ilvl w:val="1"/>
          <w:numId w:val="2"/>
        </w:numPr>
      </w:pPr>
      <m:oMath>
        <m:sSub>
          <m:sSubPr/>
          <m:e>
            <m:r>
              <m:rPr/>
              <m:t>R</m:t>
            </m:r>
          </m:e>
          <m:sub>
            <m:r>
              <m:rPr/>
              <m:t>3</m:t>
            </m:r>
          </m:sub>
        </m:sSub>
      </m:oMath>
      <w:r>
        <w:t xml:space="preserve"> 0.6836</w:t>
      </w:r>
      <w:r>
        <w:br w:type="textWrapping"/>
      </w:r>
    </w:p>
    <w:p w14:paraId="644E6593">
      <w:pPr>
        <w:pStyle w:val="24"/>
        <w:numPr>
          <w:ilvl w:val="1"/>
          <w:numId w:val="2"/>
        </w:numPr>
      </w:pPr>
      <m:oMath>
        <m:sSub>
          <m:sSubPr/>
          <m:e>
            <m:r>
              <m:rPr/>
              <m:t>R</m:t>
            </m:r>
          </m:e>
          <m:sub>
            <m:r>
              <m:rPr/>
              <m:t>4</m:t>
            </m:r>
          </m:sub>
        </m:sSub>
      </m:oMath>
      <w:r>
        <w:t xml:space="preserve"> 0.7989</w:t>
      </w:r>
      <w:r>
        <w:br w:type="textWrapping"/>
      </w:r>
    </w:p>
    <w:p w14:paraId="2D4E6CCF">
      <w:pPr>
        <w:pStyle w:val="24"/>
        <w:numPr>
          <w:ilvl w:val="1"/>
          <w:numId w:val="2"/>
        </w:numPr>
      </w:pPr>
      <m:oMath>
        <m:sSub>
          <m:sSubPr/>
          <m:e>
            <m:r>
              <m:rPr/>
              <m:t>R</m:t>
            </m:r>
          </m:e>
          <m:sub>
            <m:r>
              <m:rPr/>
              <m:t>5</m:t>
            </m:r>
          </m:sub>
        </m:sSub>
      </m:oMath>
      <w:r>
        <w:t xml:space="preserve"> 0.9907</w:t>
      </w:r>
    </w:p>
    <w:p w14:paraId="7CD4DD0F">
      <w:pPr>
        <w:pStyle w:val="24"/>
        <w:numPr>
          <w:ilvl w:val="0"/>
          <w:numId w:val="2"/>
        </w:numPr>
      </w:pPr>
      <w:r>
        <w:rPr>
          <w:b/>
          <w:bCs/>
        </w:rPr>
        <w:t>RED (router)</w:t>
      </w:r>
    </w:p>
    <w:p w14:paraId="4E758B5C">
      <w:pPr>
        <w:pStyle w:val="24"/>
        <w:numPr>
          <w:ilvl w:val="1"/>
          <w:numId w:val="2"/>
        </w:numPr>
      </w:pPr>
      <m:oMath>
        <m:sSub>
          <m:sSubPr/>
          <m:e>
            <m:r>
              <m:rPr/>
              <m:t>R</m:t>
            </m:r>
          </m:e>
          <m:sub>
            <m:r>
              <m:rPr/>
              <m:t>1</m:t>
            </m:r>
          </m:sub>
        </m:sSub>
      </m:oMath>
      <w:r>
        <w:t xml:space="preserve"> 1.0000</w:t>
      </w:r>
      <w:r>
        <w:br w:type="textWrapping"/>
      </w:r>
    </w:p>
    <w:p w14:paraId="06B030A2">
      <w:pPr>
        <w:pStyle w:val="24"/>
        <w:numPr>
          <w:ilvl w:val="1"/>
          <w:numId w:val="2"/>
        </w:numPr>
      </w:pPr>
      <m:oMath>
        <m:sSub>
          <m:sSubPr/>
          <m:e>
            <m:r>
              <m:rPr/>
              <m:t>R</m:t>
            </m:r>
          </m:e>
          <m:sub>
            <m:r>
              <m:rPr/>
              <m:t>2</m:t>
            </m:r>
          </m:sub>
        </m:sSub>
      </m:oMath>
      <w:r>
        <w:t xml:space="preserve"> 0.9822</w:t>
      </w:r>
      <w:r>
        <w:br w:type="textWrapping"/>
      </w:r>
    </w:p>
    <w:p w14:paraId="4F6F17D5">
      <w:pPr>
        <w:pStyle w:val="24"/>
        <w:numPr>
          <w:ilvl w:val="1"/>
          <w:numId w:val="2"/>
        </w:numPr>
      </w:pPr>
      <m:oMath>
        <m:sSub>
          <m:sSubPr/>
          <m:e>
            <m:r>
              <m:rPr/>
              <m:t>R</m:t>
            </m:r>
          </m:e>
          <m:sub>
            <m:r>
              <m:rPr/>
              <m:t>3</m:t>
            </m:r>
          </m:sub>
        </m:sSub>
      </m:oMath>
      <w:r>
        <w:t xml:space="preserve"> 0.9227</w:t>
      </w:r>
      <w:r>
        <w:br w:type="textWrapping"/>
      </w:r>
    </w:p>
    <w:p w14:paraId="522BDED4">
      <w:pPr>
        <w:pStyle w:val="24"/>
        <w:numPr>
          <w:ilvl w:val="1"/>
          <w:numId w:val="2"/>
        </w:numPr>
      </w:pPr>
      <m:oMath>
        <m:sSub>
          <m:sSubPr/>
          <m:e>
            <m:r>
              <m:rPr/>
              <m:t>R</m:t>
            </m:r>
          </m:e>
          <m:sub>
            <m:r>
              <m:rPr/>
              <m:t>4</m:t>
            </m:r>
          </m:sub>
        </m:sSub>
      </m:oMath>
      <w:r>
        <w:t xml:space="preserve"> 0.9527</w:t>
      </w:r>
      <w:r>
        <w:br w:type="textWrapping"/>
      </w:r>
    </w:p>
    <w:p w14:paraId="66F6B377">
      <w:pPr>
        <w:pStyle w:val="24"/>
        <w:numPr>
          <w:ilvl w:val="1"/>
          <w:numId w:val="2"/>
        </w:numPr>
      </w:pPr>
      <m:oMath>
        <m:sSub>
          <m:sSubPr/>
          <m:e>
            <m:r>
              <m:rPr/>
              <m:t>R</m:t>
            </m:r>
          </m:e>
          <m:sub>
            <m:r>
              <m:rPr/>
              <m:t>5</m:t>
            </m:r>
          </m:sub>
        </m:sSub>
      </m:oMath>
      <w:r>
        <w:t xml:space="preserve"> 1.0000</w:t>
      </w:r>
    </w:p>
    <w:bookmarkEnd w:id="47"/>
    <w:p w14:paraId="548CF822">
      <w:pPr>
        <w:pStyle w:val="6"/>
      </w:pPr>
      <w:bookmarkStart w:id="48" w:name="final-accuracy-level-table"/>
      <w:r>
        <w:t>Final Accuracy-Level Table</w:t>
      </w:r>
    </w:p>
    <w:tbl>
      <w:tblPr>
        <w:tblStyle w:val="41"/>
        <w:tblW w:w="5000" w:type="pct"/>
        <w:tblInd w:w="0" w:type="dxa"/>
        <w:tblLayout w:type="fixed"/>
        <w:tblCellMar>
          <w:top w:w="0" w:type="dxa"/>
          <w:left w:w="108" w:type="dxa"/>
          <w:bottom w:w="0" w:type="dxa"/>
          <w:right w:w="108" w:type="dxa"/>
        </w:tblCellMar>
      </w:tblPr>
      <w:tblGrid>
        <w:gridCol w:w="2530"/>
        <w:gridCol w:w="1265"/>
        <w:gridCol w:w="1265"/>
        <w:gridCol w:w="1265"/>
        <w:gridCol w:w="1265"/>
        <w:gridCol w:w="1265"/>
      </w:tblGrid>
      <w:tr w14:paraId="1884ACF3">
        <w:tblPrEx>
          <w:tblCellMar>
            <w:top w:w="0" w:type="dxa"/>
            <w:left w:w="108" w:type="dxa"/>
            <w:bottom w:w="0" w:type="dxa"/>
            <w:right w:w="108" w:type="dxa"/>
          </w:tblCellMar>
        </w:tblPrEx>
        <w:trPr>
          <w:tblHeader/>
        </w:trPr>
        <w:tc>
          <w:p w14:paraId="140C0D4C">
            <w:pPr>
              <w:pStyle w:val="24"/>
            </w:pPr>
            <w:r>
              <w:t>Method</w:t>
            </w:r>
          </w:p>
        </w:tc>
        <w:tc>
          <w:p w14:paraId="489DBDE0">
            <w:pPr>
              <w:pStyle w:val="24"/>
            </w:pPr>
            <m:oMathPara>
              <m:oMath>
                <m:sSub>
                  <m:sSubPr/>
                  <m:e>
                    <m:r>
                      <m:rPr/>
                      <m:t>R</m:t>
                    </m:r>
                  </m:e>
                  <m:sub>
                    <m:r>
                      <m:rPr/>
                      <m:t>1</m:t>
                    </m:r>
                  </m:sub>
                </m:sSub>
              </m:oMath>
            </m:oMathPara>
          </w:p>
        </w:tc>
        <w:tc>
          <w:p w14:paraId="21C84068">
            <w:pPr>
              <w:pStyle w:val="24"/>
            </w:pPr>
            <m:oMathPara>
              <m:oMath>
                <m:sSub>
                  <m:sSubPr/>
                  <m:e>
                    <m:r>
                      <m:rPr/>
                      <m:t>R</m:t>
                    </m:r>
                  </m:e>
                  <m:sub>
                    <m:r>
                      <m:rPr/>
                      <m:t>2</m:t>
                    </m:r>
                  </m:sub>
                </m:sSub>
              </m:oMath>
            </m:oMathPara>
          </w:p>
        </w:tc>
        <w:tc>
          <w:p w14:paraId="640D4072">
            <w:pPr>
              <w:pStyle w:val="24"/>
            </w:pPr>
            <m:oMathPara>
              <m:oMath>
                <m:sSub>
                  <m:sSubPr/>
                  <m:e>
                    <m:r>
                      <m:rPr/>
                      <m:t>R</m:t>
                    </m:r>
                  </m:e>
                  <m:sub>
                    <m:r>
                      <m:rPr/>
                      <m:t>3</m:t>
                    </m:r>
                  </m:sub>
                </m:sSub>
              </m:oMath>
            </m:oMathPara>
          </w:p>
        </w:tc>
        <w:tc>
          <w:p w14:paraId="7C0AD255">
            <w:pPr>
              <w:pStyle w:val="24"/>
            </w:pPr>
            <m:oMathPara>
              <m:oMath>
                <m:sSub>
                  <m:sSubPr/>
                  <m:e>
                    <m:r>
                      <m:rPr/>
                      <m:t>R</m:t>
                    </m:r>
                  </m:e>
                  <m:sub>
                    <m:r>
                      <m:rPr/>
                      <m:t>4</m:t>
                    </m:r>
                  </m:sub>
                </m:sSub>
              </m:oMath>
            </m:oMathPara>
          </w:p>
        </w:tc>
        <w:tc>
          <w:p w14:paraId="3919A046">
            <w:pPr>
              <w:pStyle w:val="24"/>
            </w:pPr>
            <m:oMathPara>
              <m:oMath>
                <m:sSub>
                  <m:sSubPr/>
                  <m:e>
                    <m:r>
                      <m:rPr/>
                      <m:t>R</m:t>
                    </m:r>
                  </m:e>
                  <m:sub>
                    <m:r>
                      <m:rPr/>
                      <m:t>5</m:t>
                    </m:r>
                  </m:sub>
                </m:sSub>
              </m:oMath>
            </m:oMathPara>
          </w:p>
        </w:tc>
      </w:tr>
      <w:tr w14:paraId="778A8C6E">
        <w:tblPrEx>
          <w:tblCellMar>
            <w:top w:w="0" w:type="dxa"/>
            <w:left w:w="108" w:type="dxa"/>
            <w:bottom w:w="0" w:type="dxa"/>
            <w:right w:w="108" w:type="dxa"/>
          </w:tblCellMar>
        </w:tblPrEx>
        <w:tc>
          <w:p w14:paraId="7B76E2A1">
            <w:pPr>
              <w:pStyle w:val="24"/>
            </w:pPr>
            <w:r>
              <w:t>Global Head</w:t>
            </w:r>
          </w:p>
        </w:tc>
        <w:tc>
          <w:p w14:paraId="36127F7D">
            <w:pPr>
              <w:pStyle w:val="24"/>
            </w:pPr>
            <w:r>
              <w:t>high</w:t>
            </w:r>
          </w:p>
        </w:tc>
        <w:tc>
          <w:p w14:paraId="283EC2A4">
            <w:pPr>
              <w:pStyle w:val="24"/>
            </w:pPr>
            <w:r>
              <w:t>low</w:t>
            </w:r>
          </w:p>
        </w:tc>
        <w:tc>
          <w:p w14:paraId="5C28D352">
            <w:pPr>
              <w:pStyle w:val="24"/>
            </w:pPr>
            <w:r>
              <w:t>low</w:t>
            </w:r>
          </w:p>
        </w:tc>
        <w:tc>
          <w:p w14:paraId="45FFC9D7">
            <w:pPr>
              <w:pStyle w:val="24"/>
            </w:pPr>
            <w:r>
              <w:t>low</w:t>
            </w:r>
          </w:p>
        </w:tc>
        <w:tc>
          <w:p w14:paraId="36261528">
            <w:pPr>
              <w:pStyle w:val="24"/>
            </w:pPr>
            <w:r>
              <w:t>moderate</w:t>
            </w:r>
          </w:p>
        </w:tc>
      </w:tr>
      <w:tr w14:paraId="34CDCC3D">
        <w:tblPrEx>
          <w:tblCellMar>
            <w:top w:w="0" w:type="dxa"/>
            <w:left w:w="108" w:type="dxa"/>
            <w:bottom w:w="0" w:type="dxa"/>
            <w:right w:w="108" w:type="dxa"/>
          </w:tblCellMar>
        </w:tblPrEx>
        <w:tc>
          <w:p w14:paraId="29BACCAD">
            <w:pPr>
              <w:pStyle w:val="24"/>
            </w:pPr>
            <w:r>
              <w:t>Uniform Avg</w:t>
            </w:r>
          </w:p>
        </w:tc>
        <w:tc>
          <w:p w14:paraId="631E5676">
            <w:pPr>
              <w:pStyle w:val="24"/>
            </w:pPr>
            <w:r>
              <w:t>high</w:t>
            </w:r>
          </w:p>
        </w:tc>
        <w:tc>
          <w:p w14:paraId="25706706">
            <w:pPr>
              <w:pStyle w:val="24"/>
            </w:pPr>
            <w:r>
              <w:t>low</w:t>
            </w:r>
          </w:p>
        </w:tc>
        <w:tc>
          <w:p w14:paraId="2F7926DC">
            <w:pPr>
              <w:pStyle w:val="24"/>
            </w:pPr>
            <w:r>
              <w:t>low</w:t>
            </w:r>
          </w:p>
        </w:tc>
        <w:tc>
          <w:p w14:paraId="2B99BF0F">
            <w:pPr>
              <w:pStyle w:val="24"/>
            </w:pPr>
            <w:r>
              <w:t>low</w:t>
            </w:r>
          </w:p>
        </w:tc>
        <w:tc>
          <w:p w14:paraId="280AF431">
            <w:pPr>
              <w:pStyle w:val="24"/>
            </w:pPr>
            <w:r>
              <w:t>low</w:t>
            </w:r>
          </w:p>
        </w:tc>
      </w:tr>
      <w:tr w14:paraId="186FA2A0">
        <w:tblPrEx>
          <w:tblCellMar>
            <w:top w:w="0" w:type="dxa"/>
            <w:left w:w="108" w:type="dxa"/>
            <w:bottom w:w="0" w:type="dxa"/>
            <w:right w:w="108" w:type="dxa"/>
          </w:tblCellMar>
        </w:tblPrEx>
        <w:tc>
          <w:p w14:paraId="21FFD06B">
            <w:pPr>
              <w:pStyle w:val="24"/>
            </w:pPr>
            <w:r>
              <w:t>MoE Gating</w:t>
            </w:r>
          </w:p>
        </w:tc>
        <w:tc>
          <w:p w14:paraId="5AA505C1">
            <w:pPr>
              <w:pStyle w:val="24"/>
            </w:pPr>
            <w:r>
              <w:t>high</w:t>
            </w:r>
          </w:p>
        </w:tc>
        <w:tc>
          <w:p w14:paraId="6587B575">
            <w:pPr>
              <w:pStyle w:val="24"/>
            </w:pPr>
            <w:r>
              <w:t>moderate</w:t>
            </w:r>
          </w:p>
        </w:tc>
        <w:tc>
          <w:p w14:paraId="2BA4BEC9">
            <w:pPr>
              <w:pStyle w:val="24"/>
            </w:pPr>
            <w:r>
              <w:t>moderate</w:t>
            </w:r>
          </w:p>
        </w:tc>
        <w:tc>
          <w:p w14:paraId="0DBA9C8B">
            <w:pPr>
              <w:pStyle w:val="24"/>
            </w:pPr>
            <w:r>
              <w:t>moderate</w:t>
            </w:r>
          </w:p>
        </w:tc>
        <w:tc>
          <w:p w14:paraId="170F0AE6">
            <w:pPr>
              <w:pStyle w:val="24"/>
            </w:pPr>
            <w:r>
              <w:t>high</w:t>
            </w:r>
          </w:p>
        </w:tc>
      </w:tr>
      <w:tr w14:paraId="0E5957A5">
        <w:tblPrEx>
          <w:tblCellMar>
            <w:top w:w="0" w:type="dxa"/>
            <w:left w:w="108" w:type="dxa"/>
            <w:bottom w:w="0" w:type="dxa"/>
            <w:right w:w="108" w:type="dxa"/>
          </w:tblCellMar>
        </w:tblPrEx>
        <w:tc>
          <w:p w14:paraId="2A5034DC">
            <w:pPr>
              <w:pStyle w:val="24"/>
            </w:pPr>
            <w:r>
              <w:rPr>
                <w:b/>
                <w:bCs/>
              </w:rPr>
              <w:t>RED (Ours)</w:t>
            </w:r>
          </w:p>
        </w:tc>
        <w:tc>
          <w:p w14:paraId="11DBD853">
            <w:pPr>
              <w:pStyle w:val="24"/>
            </w:pPr>
            <w:r>
              <w:rPr>
                <w:b/>
                <w:bCs/>
              </w:rPr>
              <w:t>high</w:t>
            </w:r>
          </w:p>
        </w:tc>
        <w:tc>
          <w:p w14:paraId="39CC2404">
            <w:pPr>
              <w:pStyle w:val="24"/>
            </w:pPr>
            <w:r>
              <w:rPr>
                <w:b/>
                <w:bCs/>
              </w:rPr>
              <w:t>high</w:t>
            </w:r>
          </w:p>
        </w:tc>
        <w:tc>
          <w:p w14:paraId="1DDADC9C">
            <w:pPr>
              <w:pStyle w:val="24"/>
            </w:pPr>
            <w:r>
              <w:rPr>
                <w:b/>
                <w:bCs/>
              </w:rPr>
              <w:t>high</w:t>
            </w:r>
          </w:p>
        </w:tc>
        <w:tc>
          <w:p w14:paraId="06964EA3">
            <w:pPr>
              <w:pStyle w:val="24"/>
            </w:pPr>
            <w:r>
              <w:rPr>
                <w:b/>
                <w:bCs/>
              </w:rPr>
              <w:t>high</w:t>
            </w:r>
          </w:p>
        </w:tc>
        <w:tc>
          <w:p w14:paraId="02F73BCA">
            <w:pPr>
              <w:pStyle w:val="24"/>
            </w:pPr>
            <w:r>
              <w:rPr>
                <w:b/>
                <w:bCs/>
              </w:rPr>
              <w:t>high</w:t>
            </w:r>
          </w:p>
        </w:tc>
      </w:tr>
      <w:bookmarkEnd w:id="46"/>
      <w:bookmarkEnd w:id="48"/>
    </w:tbl>
    <w:p w14:paraId="01452DC3">
      <w:pPr>
        <w:pStyle w:val="5"/>
      </w:pPr>
      <w:bookmarkStart w:id="49" w:name="macro-f1-by-numerical-range"/>
      <w:r>
        <w:t>4.6.3 Macro-F1 by Numerical Range</w:t>
      </w:r>
    </w:p>
    <w:p w14:paraId="35003264">
      <w:pPr>
        <w:pStyle w:val="23"/>
      </w:pPr>
      <w:r>
        <w:t xml:space="preserve">Macro-F1 is averaged over </w:t>
      </w:r>
      <w:r>
        <w:rPr>
          <w:b/>
          <w:bCs/>
        </w:rPr>
        <w:t>99 output classes per range</w:t>
      </w:r>
      <w:r>
        <w:t xml:space="preserve">, which penalizes rare-class errors sharply. This explains why even ranges with 100% accuracy (e.g., </w:t>
      </w:r>
      <m:oMath>
        <m:sSub>
          <m:sSubPr/>
          <m:e>
            <m:r>
              <m:rPr/>
              <m:t>R</m:t>
            </m:r>
          </m:e>
          <m:sub>
            <m:r>
              <m:rPr/>
              <m:t>1</m:t>
            </m:r>
          </m:sub>
        </m:sSub>
      </m:oMath>
      <w:r>
        <w:t xml:space="preserve">, </w:t>
      </w:r>
      <m:oMath>
        <m:sSub>
          <m:sSubPr/>
          <m:e>
            <m:r>
              <m:rPr/>
              <m:t>R</m:t>
            </m:r>
          </m:e>
          <m:sub>
            <m:r>
              <m:rPr/>
              <m:t>5</m:t>
            </m:r>
          </m:sub>
        </m:sSub>
      </m:oMath>
      <w:r>
        <w:t xml:space="preserve"> for RED) still produce Macro-F1 around 0.19–0.20.</w:t>
      </w:r>
    </w:p>
    <w:p w14:paraId="5C8CE076">
      <w:pPr>
        <w:pStyle w:val="6"/>
      </w:pPr>
      <w:bookmarkStart w:id="50" w:name="raw-macro-f1-values-from-logs"/>
      <w:r>
        <w:t>Raw Macro-F1 Values from Logs</w:t>
      </w:r>
    </w:p>
    <w:p w14:paraId="762AE8A2">
      <w:pPr>
        <w:pStyle w:val="24"/>
        <w:numPr>
          <w:ilvl w:val="0"/>
          <w:numId w:val="2"/>
        </w:numPr>
      </w:pPr>
      <w:r>
        <w:rPr>
          <w:b/>
          <w:bCs/>
        </w:rPr>
        <w:t>Global Head (base)</w:t>
      </w:r>
    </w:p>
    <w:p w14:paraId="0074594E">
      <w:pPr>
        <w:pStyle w:val="24"/>
        <w:numPr>
          <w:ilvl w:val="1"/>
          <w:numId w:val="2"/>
        </w:numPr>
      </w:pPr>
      <m:oMath>
        <m:sSub>
          <m:sSubPr/>
          <m:e>
            <m:r>
              <m:rPr/>
              <m:t>R</m:t>
            </m:r>
          </m:e>
          <m:sub>
            <m:r>
              <m:rPr/>
              <m:t>1</m:t>
            </m:r>
          </m:sub>
        </m:sSub>
      </m:oMath>
      <w:r>
        <w:t xml:space="preserve"> 0.1706</w:t>
      </w:r>
      <w:r>
        <w:br w:type="textWrapping"/>
      </w:r>
    </w:p>
    <w:p w14:paraId="474CC9BD">
      <w:pPr>
        <w:pStyle w:val="24"/>
        <w:numPr>
          <w:ilvl w:val="1"/>
          <w:numId w:val="2"/>
        </w:numPr>
      </w:pPr>
      <m:oMath>
        <m:sSub>
          <m:sSubPr/>
          <m:e>
            <m:r>
              <m:rPr/>
              <m:t>R</m:t>
            </m:r>
          </m:e>
          <m:sub>
            <m:r>
              <m:rPr/>
              <m:t>2</m:t>
            </m:r>
          </m:sub>
        </m:sSub>
      </m:oMath>
      <w:r>
        <w:t xml:space="preserve"> 0.0882</w:t>
      </w:r>
      <w:r>
        <w:br w:type="textWrapping"/>
      </w:r>
    </w:p>
    <w:p w14:paraId="74235B12">
      <w:pPr>
        <w:pStyle w:val="24"/>
        <w:numPr>
          <w:ilvl w:val="1"/>
          <w:numId w:val="2"/>
        </w:numPr>
      </w:pPr>
      <m:oMath>
        <m:sSub>
          <m:sSubPr/>
          <m:e>
            <m:r>
              <m:rPr/>
              <m:t>R</m:t>
            </m:r>
          </m:e>
          <m:sub>
            <m:r>
              <m:rPr/>
              <m:t>3</m:t>
            </m:r>
          </m:sub>
        </m:sSub>
      </m:oMath>
      <w:r>
        <w:t xml:space="preserve"> 0.0627</w:t>
      </w:r>
      <w:r>
        <w:br w:type="textWrapping"/>
      </w:r>
    </w:p>
    <w:p w14:paraId="39D0D0EF">
      <w:pPr>
        <w:pStyle w:val="24"/>
        <w:numPr>
          <w:ilvl w:val="1"/>
          <w:numId w:val="2"/>
        </w:numPr>
      </w:pPr>
      <m:oMath>
        <m:sSub>
          <m:sSubPr/>
          <m:e>
            <m:r>
              <m:rPr/>
              <m:t>R</m:t>
            </m:r>
          </m:e>
          <m:sub>
            <m:r>
              <m:rPr/>
              <m:t>4</m:t>
            </m:r>
          </m:sub>
        </m:sSub>
      </m:oMath>
      <w:r>
        <w:t xml:space="preserve"> 0.0765</w:t>
      </w:r>
      <w:r>
        <w:br w:type="textWrapping"/>
      </w:r>
    </w:p>
    <w:p w14:paraId="2ED7C8DA">
      <w:pPr>
        <w:pStyle w:val="24"/>
        <w:numPr>
          <w:ilvl w:val="1"/>
          <w:numId w:val="2"/>
        </w:numPr>
      </w:pPr>
      <m:oMath>
        <m:sSub>
          <m:sSubPr/>
          <m:e>
            <m:r>
              <m:rPr/>
              <m:t>R</m:t>
            </m:r>
          </m:e>
          <m:sub>
            <m:r>
              <m:rPr/>
              <m:t>5</m:t>
            </m:r>
          </m:sub>
        </m:sSub>
      </m:oMath>
      <w:r>
        <w:t xml:space="preserve"> 0.1304</w:t>
      </w:r>
    </w:p>
    <w:p w14:paraId="7A10C964">
      <w:pPr>
        <w:pStyle w:val="24"/>
        <w:numPr>
          <w:ilvl w:val="0"/>
          <w:numId w:val="2"/>
        </w:numPr>
      </w:pPr>
      <w:r>
        <w:rPr>
          <w:b/>
          <w:bCs/>
        </w:rPr>
        <w:t>Uniform Avg (all_fixed)</w:t>
      </w:r>
    </w:p>
    <w:p w14:paraId="06ACEB75">
      <w:pPr>
        <w:pStyle w:val="24"/>
        <w:numPr>
          <w:ilvl w:val="1"/>
          <w:numId w:val="2"/>
        </w:numPr>
      </w:pPr>
      <m:oMath>
        <m:sSub>
          <m:sSubPr/>
          <m:e>
            <m:r>
              <m:rPr/>
              <m:t>R</m:t>
            </m:r>
          </m:e>
          <m:sub>
            <m:r>
              <m:rPr/>
              <m:t>1</m:t>
            </m:r>
          </m:sub>
        </m:sSub>
      </m:oMath>
      <w:r>
        <w:t xml:space="preserve"> 0.1826</w:t>
      </w:r>
      <w:r>
        <w:br w:type="textWrapping"/>
      </w:r>
    </w:p>
    <w:p w14:paraId="55625CD3">
      <w:pPr>
        <w:pStyle w:val="24"/>
        <w:numPr>
          <w:ilvl w:val="1"/>
          <w:numId w:val="2"/>
        </w:numPr>
      </w:pPr>
      <m:oMath>
        <m:sSub>
          <m:sSubPr/>
          <m:e>
            <m:r>
              <m:rPr/>
              <m:t>R</m:t>
            </m:r>
          </m:e>
          <m:sub>
            <m:r>
              <m:rPr/>
              <m:t>2</m:t>
            </m:r>
          </m:sub>
        </m:sSub>
      </m:oMath>
      <w:r>
        <w:t xml:space="preserve"> 0.0016</w:t>
      </w:r>
      <w:r>
        <w:br w:type="textWrapping"/>
      </w:r>
    </w:p>
    <w:p w14:paraId="75D64257">
      <w:pPr>
        <w:pStyle w:val="24"/>
        <w:numPr>
          <w:ilvl w:val="1"/>
          <w:numId w:val="2"/>
        </w:numPr>
      </w:pPr>
      <m:oMath>
        <m:sSub>
          <m:sSubPr/>
          <m:e>
            <m:r>
              <m:rPr/>
              <m:t>R</m:t>
            </m:r>
          </m:e>
          <m:sub>
            <m:r>
              <m:rPr/>
              <m:t>3</m:t>
            </m:r>
          </m:sub>
        </m:sSub>
      </m:oMath>
      <w:r>
        <w:t xml:space="preserve"> 0.0000</w:t>
      </w:r>
      <w:r>
        <w:br w:type="textWrapping"/>
      </w:r>
    </w:p>
    <w:p w14:paraId="5D0314A9">
      <w:pPr>
        <w:pStyle w:val="24"/>
        <w:numPr>
          <w:ilvl w:val="1"/>
          <w:numId w:val="2"/>
        </w:numPr>
      </w:pPr>
      <m:oMath>
        <m:sSub>
          <m:sSubPr/>
          <m:e>
            <m:r>
              <m:rPr/>
              <m:t>R</m:t>
            </m:r>
          </m:e>
          <m:sub>
            <m:r>
              <m:rPr/>
              <m:t>4</m:t>
            </m:r>
          </m:sub>
        </m:sSub>
      </m:oMath>
      <w:r>
        <w:t xml:space="preserve"> 0.0000</w:t>
      </w:r>
      <w:r>
        <w:br w:type="textWrapping"/>
      </w:r>
    </w:p>
    <w:p w14:paraId="162C40E3">
      <w:pPr>
        <w:pStyle w:val="24"/>
        <w:numPr>
          <w:ilvl w:val="1"/>
          <w:numId w:val="2"/>
        </w:numPr>
      </w:pPr>
      <m:oMath>
        <m:sSub>
          <m:sSubPr/>
          <m:e>
            <m:r>
              <m:rPr/>
              <m:t>R</m:t>
            </m:r>
          </m:e>
          <m:sub>
            <m:r>
              <m:rPr/>
              <m:t>5</m:t>
            </m:r>
          </m:sub>
        </m:sSub>
      </m:oMath>
      <w:r>
        <w:t xml:space="preserve"> 0.0950</w:t>
      </w:r>
    </w:p>
    <w:p w14:paraId="26BD9139">
      <w:pPr>
        <w:pStyle w:val="24"/>
        <w:numPr>
          <w:ilvl w:val="0"/>
          <w:numId w:val="2"/>
        </w:numPr>
      </w:pPr>
      <w:r>
        <w:rPr>
          <w:b/>
          <w:bCs/>
        </w:rPr>
        <w:t>MoE Gating (moe)</w:t>
      </w:r>
    </w:p>
    <w:p w14:paraId="51BBB9C3">
      <w:pPr>
        <w:pStyle w:val="24"/>
        <w:numPr>
          <w:ilvl w:val="1"/>
          <w:numId w:val="2"/>
        </w:numPr>
      </w:pPr>
      <m:oMath>
        <m:sSub>
          <m:sSubPr/>
          <m:e>
            <m:r>
              <m:rPr/>
              <m:t>R</m:t>
            </m:r>
          </m:e>
          <m:sub>
            <m:r>
              <m:rPr/>
              <m:t>1</m:t>
            </m:r>
          </m:sub>
        </m:sSub>
      </m:oMath>
      <w:r>
        <w:t xml:space="preserve"> 0.1919</w:t>
      </w:r>
      <w:r>
        <w:br w:type="textWrapping"/>
      </w:r>
    </w:p>
    <w:p w14:paraId="17D293B6">
      <w:pPr>
        <w:pStyle w:val="24"/>
        <w:numPr>
          <w:ilvl w:val="1"/>
          <w:numId w:val="2"/>
        </w:numPr>
      </w:pPr>
      <m:oMath>
        <m:sSub>
          <m:sSubPr/>
          <m:e>
            <m:r>
              <m:rPr/>
              <m:t>R</m:t>
            </m:r>
          </m:e>
          <m:sub>
            <m:r>
              <m:rPr/>
              <m:t>2</m:t>
            </m:r>
          </m:sub>
        </m:sSub>
      </m:oMath>
      <w:r>
        <w:t xml:space="preserve"> 0.1628</w:t>
      </w:r>
      <w:r>
        <w:br w:type="textWrapping"/>
      </w:r>
    </w:p>
    <w:p w14:paraId="7F8ACE21">
      <w:pPr>
        <w:pStyle w:val="24"/>
        <w:numPr>
          <w:ilvl w:val="1"/>
          <w:numId w:val="2"/>
        </w:numPr>
      </w:pPr>
      <m:oMath>
        <m:sSub>
          <m:sSubPr/>
          <m:e>
            <m:r>
              <m:rPr/>
              <m:t>R</m:t>
            </m:r>
          </m:e>
          <m:sub>
            <m:r>
              <m:rPr/>
              <m:t>3</m:t>
            </m:r>
          </m:sub>
        </m:sSub>
      </m:oMath>
      <w:r>
        <w:t xml:space="preserve"> 0.1379</w:t>
      </w:r>
      <w:r>
        <w:br w:type="textWrapping"/>
      </w:r>
    </w:p>
    <w:p w14:paraId="1EA77B0B">
      <w:pPr>
        <w:pStyle w:val="24"/>
        <w:numPr>
          <w:ilvl w:val="1"/>
          <w:numId w:val="2"/>
        </w:numPr>
      </w:pPr>
      <m:oMath>
        <m:sSub>
          <m:sSubPr/>
          <m:e>
            <m:r>
              <m:rPr/>
              <m:t>R</m:t>
            </m:r>
          </m:e>
          <m:sub>
            <m:r>
              <m:rPr/>
              <m:t>4</m:t>
            </m:r>
          </m:sub>
        </m:sSub>
      </m:oMath>
      <w:r>
        <w:t xml:space="preserve"> 0.1645</w:t>
      </w:r>
      <w:r>
        <w:br w:type="textWrapping"/>
      </w:r>
    </w:p>
    <w:p w14:paraId="126080D9">
      <w:pPr>
        <w:pStyle w:val="24"/>
        <w:numPr>
          <w:ilvl w:val="1"/>
          <w:numId w:val="2"/>
        </w:numPr>
      </w:pPr>
      <m:oMath>
        <m:sSub>
          <m:sSubPr/>
          <m:e>
            <m:r>
              <m:rPr/>
              <m:t>R</m:t>
            </m:r>
          </m:e>
          <m:sub>
            <m:r>
              <m:rPr/>
              <m:t>5</m:t>
            </m:r>
          </m:sub>
        </m:sSub>
      </m:oMath>
      <w:r>
        <w:t xml:space="preserve"> 0.2001</w:t>
      </w:r>
    </w:p>
    <w:p w14:paraId="550C68F2">
      <w:pPr>
        <w:pStyle w:val="24"/>
        <w:numPr>
          <w:ilvl w:val="0"/>
          <w:numId w:val="2"/>
        </w:numPr>
      </w:pPr>
      <w:r>
        <w:rPr>
          <w:b/>
          <w:bCs/>
        </w:rPr>
        <w:t>RED (router)</w:t>
      </w:r>
    </w:p>
    <w:p w14:paraId="73CD3003">
      <w:pPr>
        <w:pStyle w:val="24"/>
        <w:numPr>
          <w:ilvl w:val="1"/>
          <w:numId w:val="2"/>
        </w:numPr>
      </w:pPr>
      <m:oMath>
        <m:sSub>
          <m:sSubPr/>
          <m:e>
            <m:r>
              <m:rPr/>
              <m:t>R</m:t>
            </m:r>
          </m:e>
          <m:sub>
            <m:r>
              <m:rPr/>
              <m:t>1</m:t>
            </m:r>
          </m:sub>
        </m:sSub>
      </m:oMath>
      <w:r>
        <w:t xml:space="preserve"> 0.1919</w:t>
      </w:r>
      <w:r>
        <w:br w:type="textWrapping"/>
      </w:r>
    </w:p>
    <w:p w14:paraId="5D8580A8">
      <w:pPr>
        <w:pStyle w:val="24"/>
        <w:numPr>
          <w:ilvl w:val="1"/>
          <w:numId w:val="2"/>
        </w:numPr>
      </w:pPr>
      <m:oMath>
        <m:sSub>
          <m:sSubPr/>
          <m:e>
            <m:r>
              <m:rPr/>
              <m:t>R</m:t>
            </m:r>
          </m:e>
          <m:sub>
            <m:r>
              <m:rPr/>
              <m:t>2</m:t>
            </m:r>
          </m:sub>
        </m:sSub>
      </m:oMath>
      <w:r>
        <w:t xml:space="preserve"> 0.1984</w:t>
      </w:r>
      <w:r>
        <w:br w:type="textWrapping"/>
      </w:r>
    </w:p>
    <w:p w14:paraId="7517034C">
      <w:pPr>
        <w:pStyle w:val="24"/>
        <w:numPr>
          <w:ilvl w:val="1"/>
          <w:numId w:val="2"/>
        </w:numPr>
      </w:pPr>
      <m:oMath>
        <m:sSub>
          <m:sSubPr/>
          <m:e>
            <m:r>
              <m:rPr/>
              <m:t>R</m:t>
            </m:r>
          </m:e>
          <m:sub>
            <m:r>
              <m:rPr/>
              <m:t>3</m:t>
            </m:r>
          </m:sub>
        </m:sSub>
      </m:oMath>
      <w:r>
        <w:t xml:space="preserve"> 0.1870</w:t>
      </w:r>
      <w:r>
        <w:br w:type="textWrapping"/>
      </w:r>
    </w:p>
    <w:p w14:paraId="178011BF">
      <w:pPr>
        <w:pStyle w:val="24"/>
        <w:numPr>
          <w:ilvl w:val="1"/>
          <w:numId w:val="2"/>
        </w:numPr>
      </w:pPr>
      <m:oMath>
        <m:sSub>
          <m:sSubPr/>
          <m:e>
            <m:r>
              <m:rPr/>
              <m:t>R</m:t>
            </m:r>
          </m:e>
          <m:sub>
            <m:r>
              <m:rPr/>
              <m:t>4</m:t>
            </m:r>
          </m:sub>
        </m:sSub>
      </m:oMath>
      <w:r>
        <w:t xml:space="preserve"> 0.1926</w:t>
      </w:r>
      <w:r>
        <w:br w:type="textWrapping"/>
      </w:r>
    </w:p>
    <w:p w14:paraId="1560BD3E">
      <w:pPr>
        <w:pStyle w:val="24"/>
        <w:numPr>
          <w:ilvl w:val="1"/>
          <w:numId w:val="2"/>
        </w:numPr>
      </w:pPr>
      <m:oMath>
        <m:sSub>
          <m:sSubPr/>
          <m:e>
            <m:r>
              <m:rPr/>
              <m:t>R</m:t>
            </m:r>
          </m:e>
          <m:sub>
            <m:r>
              <m:rPr/>
              <m:t>5</m:t>
            </m:r>
          </m:sub>
        </m:sSub>
      </m:oMath>
      <w:r>
        <w:t xml:space="preserve"> 0.2020</w:t>
      </w:r>
    </w:p>
    <w:bookmarkEnd w:id="50"/>
    <w:p w14:paraId="6E03275A">
      <w:pPr>
        <w:pStyle w:val="6"/>
      </w:pPr>
      <w:bookmarkStart w:id="51" w:name="macro-f1-level-thresholds"/>
      <w:r>
        <w:t>Macro-F1 Level Thresholds</w:t>
      </w:r>
    </w:p>
    <w:p w14:paraId="41A217E2">
      <w:pPr>
        <w:pStyle w:val="24"/>
        <w:numPr>
          <w:ilvl w:val="0"/>
          <w:numId w:val="2"/>
        </w:numPr>
      </w:pPr>
      <w:r>
        <w:rPr>
          <w:b/>
          <w:bCs/>
        </w:rPr>
        <w:t>high:</w:t>
      </w:r>
      <w:r>
        <w:t xml:space="preserve"> ≥ 0.16</w:t>
      </w:r>
      <w:r>
        <w:br w:type="textWrapping"/>
      </w:r>
    </w:p>
    <w:p w14:paraId="410F1158">
      <w:pPr>
        <w:pStyle w:val="24"/>
        <w:numPr>
          <w:ilvl w:val="0"/>
          <w:numId w:val="2"/>
        </w:numPr>
      </w:pPr>
      <w:r>
        <w:rPr>
          <w:b/>
          <w:bCs/>
        </w:rPr>
        <w:t>moderate:</w:t>
      </w:r>
      <w:r>
        <w:t xml:space="preserve"> 0.08–0.16</w:t>
      </w:r>
      <w:r>
        <w:br w:type="textWrapping"/>
      </w:r>
    </w:p>
    <w:p w14:paraId="142BD90E">
      <w:pPr>
        <w:pStyle w:val="24"/>
        <w:numPr>
          <w:ilvl w:val="0"/>
          <w:numId w:val="2"/>
        </w:numPr>
      </w:pPr>
      <w:r>
        <w:rPr>
          <w:b/>
          <w:bCs/>
        </w:rPr>
        <w:t>low:</w:t>
      </w:r>
      <w:r>
        <w:t xml:space="preserve"> &lt; 0.08</w:t>
      </w:r>
    </w:p>
    <w:bookmarkEnd w:id="51"/>
    <w:p w14:paraId="0AD5B868">
      <w:pPr>
        <w:pStyle w:val="6"/>
      </w:pPr>
      <w:bookmarkStart w:id="52" w:name="final-macro-f1-level-table"/>
      <w:r>
        <w:t>Final Macro-F1-Level Table</w:t>
      </w:r>
    </w:p>
    <w:tbl>
      <w:tblPr>
        <w:tblStyle w:val="41"/>
        <w:tblW w:w="5000" w:type="pct"/>
        <w:tblInd w:w="0" w:type="dxa"/>
        <w:tblLayout w:type="fixed"/>
        <w:tblCellMar>
          <w:top w:w="0" w:type="dxa"/>
          <w:left w:w="108" w:type="dxa"/>
          <w:bottom w:w="0" w:type="dxa"/>
          <w:right w:w="108" w:type="dxa"/>
        </w:tblCellMar>
      </w:tblPr>
      <w:tblGrid>
        <w:gridCol w:w="2530"/>
        <w:gridCol w:w="1265"/>
        <w:gridCol w:w="1265"/>
        <w:gridCol w:w="1265"/>
        <w:gridCol w:w="1265"/>
        <w:gridCol w:w="1265"/>
      </w:tblGrid>
      <w:tr w14:paraId="373DEFDF">
        <w:tblPrEx>
          <w:tblCellMar>
            <w:top w:w="0" w:type="dxa"/>
            <w:left w:w="108" w:type="dxa"/>
            <w:bottom w:w="0" w:type="dxa"/>
            <w:right w:w="108" w:type="dxa"/>
          </w:tblCellMar>
        </w:tblPrEx>
        <w:trPr>
          <w:tblHeader/>
        </w:trPr>
        <w:tc>
          <w:p w14:paraId="755C308B">
            <w:pPr>
              <w:pStyle w:val="24"/>
            </w:pPr>
            <w:r>
              <w:t>Method</w:t>
            </w:r>
          </w:p>
        </w:tc>
        <w:tc>
          <w:p w14:paraId="7C97DF9E">
            <w:pPr>
              <w:pStyle w:val="24"/>
            </w:pPr>
            <m:oMathPara>
              <m:oMath>
                <m:sSub>
                  <m:sSubPr/>
                  <m:e>
                    <m:r>
                      <m:rPr/>
                      <m:t>R</m:t>
                    </m:r>
                  </m:e>
                  <m:sub>
                    <m:r>
                      <m:rPr/>
                      <m:t>1</m:t>
                    </m:r>
                  </m:sub>
                </m:sSub>
              </m:oMath>
            </m:oMathPara>
          </w:p>
        </w:tc>
        <w:tc>
          <w:p w14:paraId="68AA2233">
            <w:pPr>
              <w:pStyle w:val="24"/>
            </w:pPr>
            <m:oMathPara>
              <m:oMath>
                <m:sSub>
                  <m:sSubPr/>
                  <m:e>
                    <m:r>
                      <m:rPr/>
                      <m:t>R</m:t>
                    </m:r>
                  </m:e>
                  <m:sub>
                    <m:r>
                      <m:rPr/>
                      <m:t>2</m:t>
                    </m:r>
                  </m:sub>
                </m:sSub>
              </m:oMath>
            </m:oMathPara>
          </w:p>
        </w:tc>
        <w:tc>
          <w:p w14:paraId="33B23842">
            <w:pPr>
              <w:pStyle w:val="24"/>
            </w:pPr>
            <m:oMathPara>
              <m:oMath>
                <m:sSub>
                  <m:sSubPr/>
                  <m:e>
                    <m:r>
                      <m:rPr/>
                      <m:t>R</m:t>
                    </m:r>
                  </m:e>
                  <m:sub>
                    <m:r>
                      <m:rPr/>
                      <m:t>3</m:t>
                    </m:r>
                  </m:sub>
                </m:sSub>
              </m:oMath>
            </m:oMathPara>
          </w:p>
        </w:tc>
        <w:tc>
          <w:p w14:paraId="21370E82">
            <w:pPr>
              <w:pStyle w:val="24"/>
            </w:pPr>
            <m:oMathPara>
              <m:oMath>
                <m:sSub>
                  <m:sSubPr/>
                  <m:e>
                    <m:r>
                      <m:rPr/>
                      <m:t>R</m:t>
                    </m:r>
                  </m:e>
                  <m:sub>
                    <m:r>
                      <m:rPr/>
                      <m:t>4</m:t>
                    </m:r>
                  </m:sub>
                </m:sSub>
              </m:oMath>
            </m:oMathPara>
          </w:p>
        </w:tc>
        <w:tc>
          <w:p w14:paraId="6B59875D">
            <w:pPr>
              <w:pStyle w:val="24"/>
            </w:pPr>
            <m:oMathPara>
              <m:oMath>
                <m:sSub>
                  <m:sSubPr/>
                  <m:e>
                    <m:r>
                      <m:rPr/>
                      <m:t>R</m:t>
                    </m:r>
                  </m:e>
                  <m:sub>
                    <m:r>
                      <m:rPr/>
                      <m:t>5</m:t>
                    </m:r>
                  </m:sub>
                </m:sSub>
              </m:oMath>
            </m:oMathPara>
          </w:p>
        </w:tc>
      </w:tr>
      <w:tr w14:paraId="6F96BE86">
        <w:tblPrEx>
          <w:tblCellMar>
            <w:top w:w="0" w:type="dxa"/>
            <w:left w:w="108" w:type="dxa"/>
            <w:bottom w:w="0" w:type="dxa"/>
            <w:right w:w="108" w:type="dxa"/>
          </w:tblCellMar>
        </w:tblPrEx>
        <w:tc>
          <w:p w14:paraId="4763203A">
            <w:pPr>
              <w:pStyle w:val="24"/>
            </w:pPr>
            <w:r>
              <w:t>Global Head</w:t>
            </w:r>
          </w:p>
        </w:tc>
        <w:tc>
          <w:p w14:paraId="612DE565">
            <w:pPr>
              <w:pStyle w:val="24"/>
            </w:pPr>
            <w:r>
              <w:t>moderate</w:t>
            </w:r>
          </w:p>
        </w:tc>
        <w:tc>
          <w:p w14:paraId="2B105CEE">
            <w:pPr>
              <w:pStyle w:val="24"/>
            </w:pPr>
            <w:r>
              <w:t>low</w:t>
            </w:r>
          </w:p>
        </w:tc>
        <w:tc>
          <w:p w14:paraId="3197665F">
            <w:pPr>
              <w:pStyle w:val="24"/>
            </w:pPr>
            <w:r>
              <w:t>low</w:t>
            </w:r>
          </w:p>
        </w:tc>
        <w:tc>
          <w:p w14:paraId="0327E4BB">
            <w:pPr>
              <w:pStyle w:val="24"/>
            </w:pPr>
            <w:r>
              <w:t>low</w:t>
            </w:r>
          </w:p>
        </w:tc>
        <w:tc>
          <w:p w14:paraId="0A0A2E01">
            <w:pPr>
              <w:pStyle w:val="24"/>
            </w:pPr>
            <w:r>
              <w:t>moderate</w:t>
            </w:r>
          </w:p>
        </w:tc>
      </w:tr>
      <w:tr w14:paraId="607B9F9A">
        <w:tblPrEx>
          <w:tblCellMar>
            <w:top w:w="0" w:type="dxa"/>
            <w:left w:w="108" w:type="dxa"/>
            <w:bottom w:w="0" w:type="dxa"/>
            <w:right w:w="108" w:type="dxa"/>
          </w:tblCellMar>
        </w:tblPrEx>
        <w:tc>
          <w:p w14:paraId="39E37B3A">
            <w:pPr>
              <w:pStyle w:val="24"/>
            </w:pPr>
            <w:r>
              <w:t>Uniform Avg</w:t>
            </w:r>
          </w:p>
        </w:tc>
        <w:tc>
          <w:p w14:paraId="4F20A679">
            <w:pPr>
              <w:pStyle w:val="24"/>
            </w:pPr>
            <w:r>
              <w:t>moderate</w:t>
            </w:r>
          </w:p>
        </w:tc>
        <w:tc>
          <w:p w14:paraId="5D1DD48E">
            <w:pPr>
              <w:pStyle w:val="24"/>
            </w:pPr>
            <w:r>
              <w:t>low</w:t>
            </w:r>
          </w:p>
        </w:tc>
        <w:tc>
          <w:p w14:paraId="0F87A2A3">
            <w:pPr>
              <w:pStyle w:val="24"/>
            </w:pPr>
            <w:r>
              <w:t>low</w:t>
            </w:r>
          </w:p>
        </w:tc>
        <w:tc>
          <w:p w14:paraId="378E1C0F">
            <w:pPr>
              <w:pStyle w:val="24"/>
            </w:pPr>
            <w:r>
              <w:t>low</w:t>
            </w:r>
          </w:p>
        </w:tc>
        <w:tc>
          <w:p w14:paraId="63C11756">
            <w:pPr>
              <w:pStyle w:val="24"/>
            </w:pPr>
            <w:r>
              <w:t>low</w:t>
            </w:r>
          </w:p>
        </w:tc>
      </w:tr>
      <w:tr w14:paraId="6DDD7CC4">
        <w:tblPrEx>
          <w:tblCellMar>
            <w:top w:w="0" w:type="dxa"/>
            <w:left w:w="108" w:type="dxa"/>
            <w:bottom w:w="0" w:type="dxa"/>
            <w:right w:w="108" w:type="dxa"/>
          </w:tblCellMar>
        </w:tblPrEx>
        <w:tc>
          <w:p w14:paraId="3D4B9EBF">
            <w:pPr>
              <w:pStyle w:val="24"/>
            </w:pPr>
            <w:r>
              <w:t>MoE Gating</w:t>
            </w:r>
          </w:p>
        </w:tc>
        <w:tc>
          <w:p w14:paraId="61E526B6">
            <w:pPr>
              <w:pStyle w:val="24"/>
            </w:pPr>
            <w:r>
              <w:t>high</w:t>
            </w:r>
          </w:p>
        </w:tc>
        <w:tc>
          <w:p w14:paraId="59D6DA6C">
            <w:pPr>
              <w:pStyle w:val="24"/>
            </w:pPr>
            <w:r>
              <w:t>high</w:t>
            </w:r>
          </w:p>
        </w:tc>
        <w:tc>
          <w:p w14:paraId="7BE60DE2">
            <w:pPr>
              <w:pStyle w:val="24"/>
            </w:pPr>
            <w:r>
              <w:t>moderate</w:t>
            </w:r>
          </w:p>
        </w:tc>
        <w:tc>
          <w:p w14:paraId="042A0145">
            <w:pPr>
              <w:pStyle w:val="24"/>
            </w:pPr>
            <w:r>
              <w:t>high</w:t>
            </w:r>
          </w:p>
        </w:tc>
        <w:tc>
          <w:p w14:paraId="066D8054">
            <w:pPr>
              <w:pStyle w:val="24"/>
            </w:pPr>
            <w:r>
              <w:t>high</w:t>
            </w:r>
          </w:p>
        </w:tc>
      </w:tr>
      <w:tr w14:paraId="7DF1D8CD">
        <w:tblPrEx>
          <w:tblCellMar>
            <w:top w:w="0" w:type="dxa"/>
            <w:left w:w="108" w:type="dxa"/>
            <w:bottom w:w="0" w:type="dxa"/>
            <w:right w:w="108" w:type="dxa"/>
          </w:tblCellMar>
        </w:tblPrEx>
        <w:tc>
          <w:p w14:paraId="321991DD">
            <w:pPr>
              <w:pStyle w:val="24"/>
            </w:pPr>
            <w:r>
              <w:rPr>
                <w:b/>
                <w:bCs/>
              </w:rPr>
              <w:t>RED (Ours)</w:t>
            </w:r>
          </w:p>
        </w:tc>
        <w:tc>
          <w:p w14:paraId="09CED2E3">
            <w:pPr>
              <w:pStyle w:val="24"/>
            </w:pPr>
            <w:r>
              <w:rPr>
                <w:b/>
                <w:bCs/>
              </w:rPr>
              <w:t>high</w:t>
            </w:r>
          </w:p>
        </w:tc>
        <w:tc>
          <w:p w14:paraId="2ADCBDD9">
            <w:pPr>
              <w:pStyle w:val="24"/>
            </w:pPr>
            <w:r>
              <w:rPr>
                <w:b/>
                <w:bCs/>
              </w:rPr>
              <w:t>high</w:t>
            </w:r>
          </w:p>
        </w:tc>
        <w:tc>
          <w:p w14:paraId="4511AEB4">
            <w:pPr>
              <w:pStyle w:val="24"/>
            </w:pPr>
            <w:r>
              <w:rPr>
                <w:b/>
                <w:bCs/>
              </w:rPr>
              <w:t>high</w:t>
            </w:r>
          </w:p>
        </w:tc>
        <w:tc>
          <w:p w14:paraId="72E9F7E2">
            <w:pPr>
              <w:pStyle w:val="24"/>
            </w:pPr>
            <w:r>
              <w:rPr>
                <w:b/>
                <w:bCs/>
              </w:rPr>
              <w:t>high</w:t>
            </w:r>
          </w:p>
        </w:tc>
        <w:tc>
          <w:p w14:paraId="7AECEDD7">
            <w:pPr>
              <w:pStyle w:val="24"/>
            </w:pPr>
            <w:r>
              <w:rPr>
                <w:b/>
                <w:bCs/>
              </w:rPr>
              <w:t>high</w:t>
            </w:r>
          </w:p>
        </w:tc>
      </w:tr>
      <w:bookmarkEnd w:id="49"/>
      <w:bookmarkEnd w:id="52"/>
    </w:tbl>
    <w:p w14:paraId="2952F341">
      <w:pPr>
        <w:pStyle w:val="5"/>
      </w:pPr>
      <w:bookmarkStart w:id="53" w:name="router-reliability"/>
      <w:r>
        <w:t>4.6.4 Router Reliability</w:t>
      </w:r>
    </w:p>
    <w:tbl>
      <w:tblPr>
        <w:tblStyle w:val="41"/>
        <w:tblW w:w="0" w:type="auto"/>
        <w:tblInd w:w="0" w:type="dxa"/>
        <w:tblLayout w:type="autofit"/>
        <w:tblCellMar>
          <w:top w:w="0" w:type="dxa"/>
          <w:left w:w="108" w:type="dxa"/>
          <w:bottom w:w="0" w:type="dxa"/>
          <w:right w:w="108" w:type="dxa"/>
        </w:tblCellMar>
      </w:tblPr>
      <w:tblGrid>
        <w:gridCol w:w="1271"/>
        <w:gridCol w:w="1990"/>
      </w:tblGrid>
      <w:tr w14:paraId="7F03717A">
        <w:tblPrEx>
          <w:tblCellMar>
            <w:top w:w="0" w:type="dxa"/>
            <w:left w:w="108" w:type="dxa"/>
            <w:bottom w:w="0" w:type="dxa"/>
            <w:right w:w="108" w:type="dxa"/>
          </w:tblCellMar>
        </w:tblPrEx>
        <w:trPr>
          <w:tblHeader/>
        </w:trPr>
        <w:tc>
          <w:p w14:paraId="7195140B">
            <w:pPr>
              <w:pStyle w:val="24"/>
            </w:pPr>
            <w:r>
              <w:t>Split</w:t>
            </w:r>
          </w:p>
        </w:tc>
        <w:tc>
          <w:p w14:paraId="17B53B71">
            <w:pPr>
              <w:pStyle w:val="24"/>
            </w:pPr>
            <w:r>
              <w:t>Router Accuracy</w:t>
            </w:r>
          </w:p>
        </w:tc>
      </w:tr>
      <w:tr w14:paraId="616FC712">
        <w:tblPrEx>
          <w:tblCellMar>
            <w:top w:w="0" w:type="dxa"/>
            <w:left w:w="108" w:type="dxa"/>
            <w:bottom w:w="0" w:type="dxa"/>
            <w:right w:w="108" w:type="dxa"/>
          </w:tblCellMar>
        </w:tblPrEx>
        <w:tc>
          <w:p w14:paraId="6ACF75F3">
            <w:pPr>
              <w:pStyle w:val="24"/>
            </w:pPr>
            <w:r>
              <w:t>Train</w:t>
            </w:r>
          </w:p>
        </w:tc>
        <w:tc>
          <w:p w14:paraId="1E96010C">
            <w:pPr>
              <w:pStyle w:val="24"/>
            </w:pPr>
            <w:r>
              <w:t>0.9714</w:t>
            </w:r>
          </w:p>
        </w:tc>
      </w:tr>
      <w:tr w14:paraId="27CF1C5D">
        <w:tblPrEx>
          <w:tblCellMar>
            <w:top w:w="0" w:type="dxa"/>
            <w:left w:w="108" w:type="dxa"/>
            <w:bottom w:w="0" w:type="dxa"/>
            <w:right w:w="108" w:type="dxa"/>
          </w:tblCellMar>
        </w:tblPrEx>
        <w:tc>
          <w:p w14:paraId="35035DCD">
            <w:pPr>
              <w:pStyle w:val="24"/>
            </w:pPr>
            <w:r>
              <w:t>Validation</w:t>
            </w:r>
          </w:p>
        </w:tc>
        <w:tc>
          <w:p w14:paraId="1AC95157">
            <w:pPr>
              <w:pStyle w:val="24"/>
            </w:pPr>
            <w:r>
              <w:t>0.9714</w:t>
            </w:r>
          </w:p>
        </w:tc>
      </w:tr>
      <w:tr w14:paraId="6AC16CDF">
        <w:tblPrEx>
          <w:tblCellMar>
            <w:top w:w="0" w:type="dxa"/>
            <w:left w:w="108" w:type="dxa"/>
            <w:bottom w:w="0" w:type="dxa"/>
            <w:right w:w="108" w:type="dxa"/>
          </w:tblCellMar>
        </w:tblPrEx>
        <w:tc>
          <w:p w14:paraId="7C0B41C4">
            <w:pPr>
              <w:pStyle w:val="24"/>
            </w:pPr>
            <w:r>
              <w:t>Test</w:t>
            </w:r>
          </w:p>
        </w:tc>
        <w:tc>
          <w:p w14:paraId="0409906D">
            <w:pPr>
              <w:pStyle w:val="24"/>
            </w:pPr>
            <w:r>
              <w:t>0.9725</w:t>
            </w:r>
          </w:p>
        </w:tc>
      </w:tr>
    </w:tbl>
    <w:p w14:paraId="1CD2B644">
      <w:pPr>
        <w:pStyle w:val="3"/>
      </w:pPr>
      <w:r>
        <w:rPr>
          <w:b/>
          <w:bCs/>
        </w:rPr>
        <w:t>Interpretation:</w:t>
      </w:r>
      <w:r>
        <w:br w:type="textWrapping"/>
      </w:r>
      <w:r>
        <w:t>The router accurately assigns numerical ranges for ≈97% of all samples.</w:t>
      </w:r>
      <w:r>
        <w:br w:type="textWrapping"/>
      </w:r>
      <w:r>
        <w:t>Because RED relies on residual cooperation instead of hard expert isolation, occasional routing errors do not destabilize predictions.</w:t>
      </w:r>
    </w:p>
    <w:bookmarkEnd w:id="53"/>
    <w:p w14:paraId="664418B5">
      <w:pPr>
        <w:pStyle w:val="5"/>
      </w:pPr>
      <w:bookmarkStart w:id="54" w:name="behavior-near-range-boundaries"/>
      <w:r>
        <w:t>4.6.5 Behavior Near Range Boundaries</w:t>
      </w:r>
    </w:p>
    <w:p w14:paraId="1F096561">
      <w:pPr>
        <w:pStyle w:val="23"/>
      </w:pPr>
      <w:r>
        <w:t>Boundary values (e.g., 20/21, 40/41, 60/61, 80/81) are difficult for modular systems.</w:t>
      </w:r>
    </w:p>
    <w:p w14:paraId="7F5C8335">
      <w:pPr>
        <w:pStyle w:val="3"/>
      </w:pPr>
      <w:r>
        <w:t>Observed behaviors:</w:t>
      </w:r>
    </w:p>
    <w:p w14:paraId="213C3078">
      <w:pPr>
        <w:pStyle w:val="24"/>
        <w:numPr>
          <w:ilvl w:val="0"/>
          <w:numId w:val="2"/>
        </w:numPr>
      </w:pPr>
      <w:r>
        <w:rPr>
          <w:b/>
          <w:bCs/>
        </w:rPr>
        <w:t>Global Head</w:t>
      </w:r>
      <w:r>
        <w:t>: biased toward high-frequency mid-range outputs.</w:t>
      </w:r>
      <w:r>
        <w:br w:type="textWrapping"/>
      </w:r>
    </w:p>
    <w:p w14:paraId="161008FF">
      <w:pPr>
        <w:pStyle w:val="24"/>
        <w:numPr>
          <w:ilvl w:val="0"/>
          <w:numId w:val="2"/>
        </w:numPr>
      </w:pPr>
      <w:r>
        <w:rPr>
          <w:b/>
          <w:bCs/>
        </w:rPr>
        <w:t>Uniform Avg</w:t>
      </w:r>
      <w:r>
        <w:t>: averaging destroys structure, producing systematic drift.</w:t>
      </w:r>
      <w:r>
        <w:br w:type="textWrapping"/>
      </w:r>
    </w:p>
    <w:p w14:paraId="54586863">
      <w:pPr>
        <w:pStyle w:val="24"/>
        <w:numPr>
          <w:ilvl w:val="0"/>
          <w:numId w:val="2"/>
        </w:numPr>
      </w:pPr>
      <w:r>
        <w:rPr>
          <w:b/>
          <w:bCs/>
        </w:rPr>
        <w:t>MoE</w:t>
      </w:r>
      <w:r>
        <w:t>: output oscillates due to routing sensitivity.</w:t>
      </w:r>
      <w:r>
        <w:br w:type="textWrapping"/>
      </w:r>
    </w:p>
    <w:p w14:paraId="2E19E3D8">
      <w:pPr>
        <w:pStyle w:val="24"/>
        <w:numPr>
          <w:ilvl w:val="0"/>
          <w:numId w:val="2"/>
        </w:numPr>
      </w:pPr>
      <w:r>
        <w:rPr>
          <w:b/>
          <w:bCs/>
        </w:rPr>
        <w:t>RED</w:t>
      </w:r>
      <w:r>
        <w:t>: smooth transitions; residual structure allows neighboring experts to assist.</w:t>
      </w:r>
    </w:p>
    <w:p w14:paraId="3FF07345">
      <w:pPr>
        <w:pStyle w:val="23"/>
      </w:pPr>
      <w:r>
        <w:t>Boundary robustness is one of RED’s most distinctive advantages over classical MoE.</w:t>
      </w:r>
    </w:p>
    <w:bookmarkEnd w:id="54"/>
    <w:p w14:paraId="66BE5250">
      <w:pPr>
        <w:pStyle w:val="5"/>
      </w:pPr>
      <w:bookmarkStart w:id="55" w:name="summary-of-task-1-findings"/>
      <w:r>
        <w:t>4.6.6 Summary of Task 1 Findings</w:t>
      </w:r>
    </w:p>
    <w:p w14:paraId="4FF97C42">
      <w:pPr>
        <w:pStyle w:val="23"/>
      </w:pPr>
      <w:r>
        <w:t>Task 1 shows that:</w:t>
      </w:r>
    </w:p>
    <w:p w14:paraId="77A0C96F">
      <w:pPr>
        <w:pStyle w:val="24"/>
        <w:numPr>
          <w:ilvl w:val="0"/>
          <w:numId w:val="6"/>
        </w:numPr>
      </w:pPr>
      <w:r>
        <w:rPr>
          <w:b/>
          <w:bCs/>
        </w:rPr>
        <w:t>RED achieves state-of-the-art global accuracy</w:t>
      </w:r>
      <w:r>
        <w:t>, significantly outperforming MoE.</w:t>
      </w:r>
      <w:r>
        <w:br w:type="textWrapping"/>
      </w:r>
    </w:p>
    <w:p w14:paraId="11A00529">
      <w:pPr>
        <w:pStyle w:val="24"/>
        <w:numPr>
          <w:ilvl w:val="0"/>
          <w:numId w:val="6"/>
        </w:numPr>
      </w:pPr>
      <w:r>
        <w:rPr>
          <w:b/>
          <w:bCs/>
        </w:rPr>
        <w:t>RED is the only method with uniformly high performance across all ranges</w:t>
      </w:r>
      <w:r>
        <w:br w:type="textWrapping"/>
      </w:r>
      <w:r>
        <w:t>(Accuracy + Macro-F1).</w:t>
      </w:r>
      <w:r>
        <w:br w:type="textWrapping"/>
      </w:r>
    </w:p>
    <w:p w14:paraId="0A150DA7">
      <w:pPr>
        <w:pStyle w:val="24"/>
        <w:numPr>
          <w:ilvl w:val="0"/>
          <w:numId w:val="6"/>
        </w:numPr>
      </w:pPr>
      <w:r>
        <w:rPr>
          <w:b/>
          <w:bCs/>
        </w:rPr>
        <w:t>Router accuracy is consistently high</w:t>
      </w:r>
      <w:r>
        <w:t>, and RED remains stable even with routing errors.</w:t>
      </w:r>
      <w:r>
        <w:br w:type="textWrapping"/>
      </w:r>
    </w:p>
    <w:p w14:paraId="7176CD63">
      <w:pPr>
        <w:pStyle w:val="24"/>
        <w:numPr>
          <w:ilvl w:val="0"/>
          <w:numId w:val="6"/>
        </w:numPr>
      </w:pPr>
      <w:r>
        <w:rPr>
          <w:b/>
          <w:bCs/>
        </w:rPr>
        <w:t>Experts cooperate smoothly</w:t>
      </w:r>
      <w:r>
        <w:t>, avoiding the volatility observed in classical MoE.</w:t>
      </w:r>
    </w:p>
    <w:p w14:paraId="03A4F771">
      <w:pPr>
        <w:pStyle w:val="23"/>
      </w:pPr>
      <w:r>
        <w:t>Overall, Task 1 provides strong evidence that RED enables reliable modular reasoning in a controlled arithmetic environment.</w:t>
      </w:r>
    </w:p>
    <w:bookmarkEnd w:id="38"/>
    <w:bookmarkEnd w:id="55"/>
    <w:p w14:paraId="7D376B1D">
      <w:pPr>
        <w:pStyle w:val="4"/>
      </w:pPr>
      <w:bookmarkStart w:id="56" w:name="X8dacbe452f048699186623033d257b61f189292"/>
      <w:r>
        <w:t>4.7 Results on Task 2: Mixed Arithmetic (v13 Updated)</w:t>
      </w:r>
    </w:p>
    <w:p w14:paraId="1C2EFBE5">
      <w:pPr>
        <w:pStyle w:val="23"/>
      </w:pPr>
      <w:r>
        <w:rPr>
          <w:i/>
          <w:iCs/>
        </w:rPr>
        <w:t>(Data from demo_v13.py and demo_v13.log)</w:t>
      </w:r>
    </w:p>
    <w:p w14:paraId="0261C382">
      <w:pPr>
        <w:pStyle w:val="3"/>
      </w:pPr>
      <w:r>
        <w:t xml:space="preserve">Task 2 extends single-operation addition to </w:t>
      </w:r>
      <w:r>
        <w:rPr>
          <w:b/>
          <w:bCs/>
        </w:rPr>
        <w:t>mixed arithmetic</w:t>
      </w:r>
      <w:r>
        <w:t>, including addition, subtraction, and 2–4-step expressions (e.g., “12 minus 5 plus 9”). This task is substantially harder due to combinatorial operator patterns and overlapping numerical ranges.</w:t>
      </w:r>
    </w:p>
    <w:p w14:paraId="15F3FB0E">
      <w:pPr>
        <w:pStyle w:val="5"/>
      </w:pPr>
      <w:bookmarkStart w:id="57" w:name="X49862a2f326b9c61dba7ca8114675873d532975"/>
      <w:r>
        <w:t>⚠ Important Clarification on Step Definition</w:t>
      </w:r>
    </w:p>
    <w:p w14:paraId="2BD37D80">
      <w:pPr>
        <w:pStyle w:val="23"/>
      </w:pPr>
      <w:r>
        <w:t xml:space="preserve">In the </w:t>
      </w:r>
      <w:r>
        <w:rPr>
          <w:b/>
          <w:bCs/>
        </w:rPr>
        <w:t>original Task 2 dataset</w:t>
      </w:r>
      <w:r>
        <w:t xml:space="preserve">, so-called </w:t>
      </w:r>
      <w:r>
        <w:rPr>
          <w:b/>
          <w:bCs/>
        </w:rPr>
        <w:t>“2-step”</w:t>
      </w:r>
      <w:r>
        <w:t xml:space="preserve"> expressions actually contain </w:t>
      </w:r>
      <w:r>
        <w:rPr>
          <w:b/>
          <w:bCs/>
        </w:rPr>
        <w:t>only one arithmetic operation</w:t>
      </w:r>
      <w:r>
        <w:t xml:space="preserve"> (e.g., </w:t>
      </w:r>
      <w:r>
        <w:rPr>
          <w:i/>
          <w:iCs/>
        </w:rPr>
        <w:t>a+b</w:t>
      </w:r>
      <w:r>
        <w:t xml:space="preserve">, </w:t>
      </w:r>
      <w:r>
        <w:rPr>
          <w:i/>
          <w:iCs/>
        </w:rPr>
        <w:t>a−b</w:t>
      </w:r>
      <w:r>
        <w:t xml:space="preserve">). These single-operation cases make up </w:t>
      </w:r>
      <w:r>
        <w:rPr>
          <w:b/>
          <w:bCs/>
        </w:rPr>
        <w:t>approximately 80% of the entire dataset</w:t>
      </w:r>
      <w:r>
        <w:t xml:space="preserve">, meaning that </w:t>
      </w:r>
      <w:r>
        <w:rPr>
          <w:b/>
          <w:bCs/>
        </w:rPr>
        <w:t>the majority of Task 2 accuracy is supported by these trivial one-step computations rather than genuine multi-step reasoning</w:t>
      </w:r>
      <w:r>
        <w:t xml:space="preserve">. In the </w:t>
      </w:r>
      <w:r>
        <w:rPr>
          <w:b/>
          <w:bCs/>
        </w:rPr>
        <w:t>original Task 2 dataset</w:t>
      </w:r>
      <w:r>
        <w:t xml:space="preserve">, so-called </w:t>
      </w:r>
      <w:r>
        <w:rPr>
          <w:b/>
          <w:bCs/>
        </w:rPr>
        <w:t>“2-step”</w:t>
      </w:r>
      <w:r>
        <w:t xml:space="preserve"> expressions actually contain </w:t>
      </w:r>
      <w:r>
        <w:rPr>
          <w:b/>
          <w:bCs/>
        </w:rPr>
        <w:t>only one operation</w:t>
      </w:r>
      <w:r>
        <w:t xml:space="preserve"> (e.g., </w:t>
      </w:r>
      <w:r>
        <w:rPr>
          <w:i/>
          <w:iCs/>
        </w:rPr>
        <w:t>a+b</w:t>
      </w:r>
      <w:r>
        <w:t xml:space="preserve">, </w:t>
      </w:r>
      <w:r>
        <w:rPr>
          <w:i/>
          <w:iCs/>
        </w:rPr>
        <w:t>a−b</w:t>
      </w:r>
      <w:r>
        <w:t xml:space="preserve">). These represent </w:t>
      </w:r>
      <w:r>
        <w:rPr>
          <w:b/>
          <w:bCs/>
        </w:rPr>
        <w:t>80%</w:t>
      </w:r>
      <w:r>
        <w:t xml:space="preserve"> of the data and have a difficulty level nearly identical to Task 1. As a result, overall performance numbers in 4.7 are heavily influenced by these simple cases. True multi-step reasoning is examined separately in </w:t>
      </w:r>
      <w:r>
        <w:rPr>
          <w:b/>
          <w:bCs/>
        </w:rPr>
        <w:t>Section 4.8</w:t>
      </w:r>
      <w:r>
        <w:t>.</w:t>
      </w:r>
    </w:p>
    <w:p w14:paraId="04F81729">
      <w:r>
        <w:pict>
          <v:rect id="_x0000_i1033" o:spt="1" style="height:1.5pt;width:0pt;" coordsize="21600,21600" o:hr="t" o:hrstd="t" o:hralign="center">
            <v:path/>
            <v:fill focussize="0,0"/>
            <v:stroke/>
            <v:imagedata o:title=""/>
            <o:lock v:ext="edit"/>
            <w10:wrap type="none"/>
            <w10:anchorlock/>
          </v:rect>
        </w:pict>
      </w:r>
    </w:p>
    <w:bookmarkEnd w:id="56"/>
    <w:bookmarkEnd w:id="57"/>
    <w:p w14:paraId="71C41C2A">
      <w:pPr>
        <w:pStyle w:val="4"/>
      </w:pPr>
      <w:bookmarkStart w:id="58" w:name="overall-performance-1"/>
      <w:r>
        <w:t>4.7.1 Overall Performance</w:t>
      </w:r>
    </w:p>
    <w:tbl>
      <w:tblPr>
        <w:tblStyle w:val="41"/>
        <w:tblW w:w="0" w:type="auto"/>
        <w:tblInd w:w="0" w:type="dxa"/>
        <w:tblLayout w:type="autofit"/>
        <w:tblCellMar>
          <w:top w:w="0" w:type="dxa"/>
          <w:left w:w="108" w:type="dxa"/>
          <w:bottom w:w="0" w:type="dxa"/>
          <w:right w:w="108" w:type="dxa"/>
        </w:tblCellMar>
      </w:tblPr>
      <w:tblGrid>
        <w:gridCol w:w="3511"/>
        <w:gridCol w:w="1203"/>
        <w:gridCol w:w="1243"/>
      </w:tblGrid>
      <w:tr w14:paraId="0A126DFC">
        <w:tblPrEx>
          <w:tblCellMar>
            <w:top w:w="0" w:type="dxa"/>
            <w:left w:w="108" w:type="dxa"/>
            <w:bottom w:w="0" w:type="dxa"/>
            <w:right w:w="108" w:type="dxa"/>
          </w:tblCellMar>
        </w:tblPrEx>
        <w:trPr>
          <w:tblHeader/>
        </w:trPr>
        <w:tc>
          <w:p w14:paraId="7A920F52">
            <w:pPr>
              <w:pStyle w:val="24"/>
            </w:pPr>
            <w:r>
              <w:t>Method</w:t>
            </w:r>
          </w:p>
        </w:tc>
        <w:tc>
          <w:p w14:paraId="1FB40621">
            <w:pPr>
              <w:pStyle w:val="24"/>
            </w:pPr>
            <w:r>
              <w:t>Accuracy</w:t>
            </w:r>
          </w:p>
        </w:tc>
        <w:tc>
          <w:p w14:paraId="5DFCBE7D">
            <w:pPr>
              <w:pStyle w:val="24"/>
            </w:pPr>
            <w:r>
              <w:t>Macro-F1</w:t>
            </w:r>
          </w:p>
        </w:tc>
      </w:tr>
      <w:tr w14:paraId="122FFC43">
        <w:tblPrEx>
          <w:tblCellMar>
            <w:top w:w="0" w:type="dxa"/>
            <w:left w:w="108" w:type="dxa"/>
            <w:bottom w:w="0" w:type="dxa"/>
            <w:right w:w="108" w:type="dxa"/>
          </w:tblCellMar>
        </w:tblPrEx>
        <w:tc>
          <w:p w14:paraId="2D1655E3">
            <w:pPr>
              <w:pStyle w:val="24"/>
            </w:pPr>
            <w:r>
              <w:t>Global Head (v13 upgraded)</w:t>
            </w:r>
          </w:p>
        </w:tc>
        <w:tc>
          <w:p w14:paraId="2A0841EF">
            <w:pPr>
              <w:pStyle w:val="24"/>
            </w:pPr>
            <w:r>
              <w:rPr>
                <w:b/>
                <w:bCs/>
              </w:rPr>
              <w:t>0.3542</w:t>
            </w:r>
          </w:p>
        </w:tc>
        <w:tc>
          <w:p w14:paraId="72184F0B">
            <w:pPr>
              <w:pStyle w:val="24"/>
            </w:pPr>
            <w:r>
              <w:rPr>
                <w:b/>
                <w:bCs/>
              </w:rPr>
              <w:t>0.3536</w:t>
            </w:r>
          </w:p>
        </w:tc>
      </w:tr>
      <w:tr w14:paraId="3125D130">
        <w:tblPrEx>
          <w:tblCellMar>
            <w:top w:w="0" w:type="dxa"/>
            <w:left w:w="108" w:type="dxa"/>
            <w:bottom w:w="0" w:type="dxa"/>
            <w:right w:w="108" w:type="dxa"/>
          </w:tblCellMar>
        </w:tblPrEx>
        <w:tc>
          <w:p w14:paraId="748BB1FB">
            <w:pPr>
              <w:pStyle w:val="24"/>
            </w:pPr>
            <w:r>
              <w:t>Uniform Averaging (AllExperts)</w:t>
            </w:r>
          </w:p>
        </w:tc>
        <w:tc>
          <w:p w14:paraId="5A39BA43">
            <w:pPr>
              <w:pStyle w:val="24"/>
            </w:pPr>
            <w:r>
              <w:rPr>
                <w:b/>
                <w:bCs/>
              </w:rPr>
              <w:t>0.0105</w:t>
            </w:r>
          </w:p>
        </w:tc>
        <w:tc>
          <w:p w14:paraId="0F58057E">
            <w:pPr>
              <w:pStyle w:val="24"/>
            </w:pPr>
            <w:r>
              <w:rPr>
                <w:b/>
                <w:bCs/>
              </w:rPr>
              <w:t>0.0024</w:t>
            </w:r>
          </w:p>
        </w:tc>
      </w:tr>
      <w:tr w14:paraId="7605133F">
        <w:tblPrEx>
          <w:tblCellMar>
            <w:top w:w="0" w:type="dxa"/>
            <w:left w:w="108" w:type="dxa"/>
            <w:bottom w:w="0" w:type="dxa"/>
            <w:right w:w="108" w:type="dxa"/>
          </w:tblCellMar>
        </w:tblPrEx>
        <w:tc>
          <w:p w14:paraId="176DADEA">
            <w:pPr>
              <w:pStyle w:val="24"/>
            </w:pPr>
            <w:r>
              <w:t>MoE Gating (classical)</w:t>
            </w:r>
          </w:p>
        </w:tc>
        <w:tc>
          <w:p w14:paraId="78983CFE">
            <w:pPr>
              <w:pStyle w:val="24"/>
            </w:pPr>
            <w:r>
              <w:rPr>
                <w:b/>
                <w:bCs/>
              </w:rPr>
              <w:t>0.5338</w:t>
            </w:r>
          </w:p>
        </w:tc>
        <w:tc>
          <w:p w14:paraId="134E206B">
            <w:pPr>
              <w:pStyle w:val="24"/>
            </w:pPr>
            <w:r>
              <w:rPr>
                <w:b/>
                <w:bCs/>
              </w:rPr>
              <w:t>0.5435</w:t>
            </w:r>
          </w:p>
        </w:tc>
      </w:tr>
      <w:tr w14:paraId="46258FE6">
        <w:tblPrEx>
          <w:tblCellMar>
            <w:top w:w="0" w:type="dxa"/>
            <w:left w:w="108" w:type="dxa"/>
            <w:bottom w:w="0" w:type="dxa"/>
            <w:right w:w="108" w:type="dxa"/>
          </w:tblCellMar>
        </w:tblPrEx>
        <w:tc>
          <w:p w14:paraId="4EFB0E8B">
            <w:pPr>
              <w:pStyle w:val="24"/>
            </w:pPr>
            <w:r>
              <w:rPr>
                <w:b/>
                <w:bCs/>
              </w:rPr>
              <w:t>RED (Ours)</w:t>
            </w:r>
          </w:p>
        </w:tc>
        <w:tc>
          <w:p w14:paraId="6E608A2D">
            <w:pPr>
              <w:pStyle w:val="24"/>
            </w:pPr>
            <w:r>
              <w:rPr>
                <w:b/>
                <w:bCs/>
              </w:rPr>
              <w:t>0.7583</w:t>
            </w:r>
          </w:p>
        </w:tc>
        <w:tc>
          <w:p w14:paraId="54E2C40E">
            <w:pPr>
              <w:pStyle w:val="24"/>
            </w:pPr>
            <w:r>
              <w:rPr>
                <w:b/>
                <w:bCs/>
              </w:rPr>
              <w:t>0.7537</w:t>
            </w:r>
          </w:p>
        </w:tc>
      </w:tr>
    </w:tbl>
    <w:p w14:paraId="4A4BCE67">
      <w:pPr>
        <w:pStyle w:val="3"/>
      </w:pPr>
      <w:r>
        <w:rPr>
          <w:b/>
          <w:bCs/>
        </w:rPr>
        <w:t>Interpretation</w:t>
      </w:r>
    </w:p>
    <w:p w14:paraId="0BDB61D2">
      <w:pPr>
        <w:pStyle w:val="24"/>
        <w:numPr>
          <w:ilvl w:val="0"/>
          <w:numId w:val="2"/>
        </w:numPr>
      </w:pPr>
      <w:r>
        <w:t>The upgraded Base Head outperforms v11 but still cannot handle symbolic multi-step reasoning.</w:t>
      </w:r>
    </w:p>
    <w:p w14:paraId="5D6D5358">
      <w:pPr>
        <w:pStyle w:val="24"/>
        <w:numPr>
          <w:ilvl w:val="0"/>
          <w:numId w:val="2"/>
        </w:numPr>
      </w:pPr>
      <w:r>
        <w:t>Uniform averaging collapses entirely → unstructured expert fusion does not work.</w:t>
      </w:r>
    </w:p>
    <w:p w14:paraId="2AFD5643">
      <w:pPr>
        <w:pStyle w:val="24"/>
        <w:numPr>
          <w:ilvl w:val="0"/>
          <w:numId w:val="2"/>
        </w:numPr>
      </w:pPr>
      <w:r>
        <w:t>Classical MoE improves but remains unstable due to routing ambiguity.</w:t>
      </w:r>
    </w:p>
    <w:p w14:paraId="739D2422">
      <w:pPr>
        <w:pStyle w:val="24"/>
        <w:numPr>
          <w:ilvl w:val="0"/>
          <w:numId w:val="2"/>
        </w:numPr>
      </w:pPr>
      <w:r>
        <w:rPr>
          <w:b/>
          <w:bCs/>
        </w:rPr>
        <w:t>RED achieves a major performance gain</w:t>
      </w:r>
      <w:r>
        <w:t xml:space="preserve">, exceeding MoE by </w:t>
      </w:r>
      <w:r>
        <w:rPr>
          <w:b/>
          <w:bCs/>
        </w:rPr>
        <w:t>+38% absolute accuracy</w:t>
      </w:r>
      <w:r>
        <w:t>.</w:t>
      </w:r>
    </w:p>
    <w:p w14:paraId="2C4FB03F">
      <w:pPr>
        <w:pStyle w:val="23"/>
      </w:pPr>
      <w:r>
        <w:t xml:space="preserve">Because 80% of the test set consists of single-operation expressions, the upper bound of this task under end-to-end training saturates around </w:t>
      </w:r>
      <w:r>
        <w:rPr>
          <w:b/>
          <w:bCs/>
        </w:rPr>
        <w:t>≈0.76</w:t>
      </w:r>
      <w:r>
        <w:t>.</w:t>
      </w:r>
    </w:p>
    <w:p w14:paraId="1AAC439E">
      <w:r>
        <w:pict>
          <v:rect id="_x0000_i1034" o:spt="1" style="height:1.5pt;width:0pt;" coordsize="21600,21600" o:hr="t" o:hrstd="t" o:hralign="center">
            <v:path/>
            <v:fill focussize="0,0"/>
            <v:stroke/>
            <v:imagedata o:title=""/>
            <o:lock v:ext="edit"/>
            <w10:wrap type="none"/>
            <w10:anchorlock/>
          </v:rect>
        </w:pict>
      </w:r>
    </w:p>
    <w:bookmarkEnd w:id="58"/>
    <w:p w14:paraId="20B1666B">
      <w:pPr>
        <w:pStyle w:val="4"/>
      </w:pPr>
      <w:bookmarkStart w:id="59" w:name="accuracy-by-numerical-range"/>
      <w:r>
        <w:t>4.7.2 Accuracy by Numerical Range</w:t>
      </w:r>
    </w:p>
    <w:p w14:paraId="562F2FC4">
      <w:pPr>
        <w:pStyle w:val="23"/>
      </w:pPr>
      <w:r>
        <w:t xml:space="preserve">To fairly evaluate model behavior across output magnitudes, Task 2 ensures the final results are </w:t>
      </w:r>
      <w:r>
        <w:rPr>
          <w:b/>
          <w:bCs/>
        </w:rPr>
        <w:t>approximately uniformly distributed</w:t>
      </w:r>
      <w:r>
        <w:t xml:space="preserve"> across five numerical intervals.</w:t>
      </w:r>
    </w:p>
    <w:tbl>
      <w:tblPr>
        <w:tblStyle w:val="41"/>
        <w:tblW w:w="5000" w:type="pct"/>
        <w:tblInd w:w="0" w:type="dxa"/>
        <w:tblLayout w:type="fixed"/>
        <w:tblCellMar>
          <w:top w:w="0" w:type="dxa"/>
          <w:left w:w="108" w:type="dxa"/>
          <w:bottom w:w="0" w:type="dxa"/>
          <w:right w:w="108" w:type="dxa"/>
        </w:tblCellMar>
      </w:tblPr>
      <w:tblGrid>
        <w:gridCol w:w="1937"/>
        <w:gridCol w:w="1384"/>
        <w:gridCol w:w="1384"/>
        <w:gridCol w:w="1384"/>
        <w:gridCol w:w="1384"/>
        <w:gridCol w:w="1384"/>
      </w:tblGrid>
      <w:tr w14:paraId="4FD1C84C">
        <w:tblPrEx>
          <w:tblCellMar>
            <w:top w:w="0" w:type="dxa"/>
            <w:left w:w="108" w:type="dxa"/>
            <w:bottom w:w="0" w:type="dxa"/>
            <w:right w:w="108" w:type="dxa"/>
          </w:tblCellMar>
        </w:tblPrEx>
        <w:trPr>
          <w:tblHeader/>
        </w:trPr>
        <w:tc>
          <w:p w14:paraId="5899120A">
            <w:pPr>
              <w:pStyle w:val="24"/>
            </w:pPr>
            <w:r>
              <w:t>Method</w:t>
            </w:r>
          </w:p>
        </w:tc>
        <w:tc>
          <w:p w14:paraId="20AFBDA3">
            <w:pPr>
              <w:pStyle w:val="24"/>
            </w:pPr>
            <w:r>
              <w:t>2–20</w:t>
            </w:r>
          </w:p>
        </w:tc>
        <w:tc>
          <w:p w14:paraId="0B5C30A4">
            <w:pPr>
              <w:pStyle w:val="24"/>
            </w:pPr>
            <w:r>
              <w:t>21–40</w:t>
            </w:r>
          </w:p>
        </w:tc>
        <w:tc>
          <w:p w14:paraId="379024EC">
            <w:pPr>
              <w:pStyle w:val="24"/>
            </w:pPr>
            <w:r>
              <w:t>41–60</w:t>
            </w:r>
          </w:p>
        </w:tc>
        <w:tc>
          <w:p w14:paraId="17C43DD1">
            <w:pPr>
              <w:pStyle w:val="24"/>
            </w:pPr>
            <w:r>
              <w:t>61–80</w:t>
            </w:r>
          </w:p>
        </w:tc>
        <w:tc>
          <w:p w14:paraId="6F8E7FC3">
            <w:pPr>
              <w:pStyle w:val="24"/>
            </w:pPr>
            <w:r>
              <w:t>81–100</w:t>
            </w:r>
          </w:p>
        </w:tc>
      </w:tr>
      <w:tr w14:paraId="2B7ED0A0">
        <w:tc>
          <w:p w14:paraId="41C3E22F">
            <w:pPr>
              <w:pStyle w:val="24"/>
            </w:pPr>
            <w:r>
              <w:t>Global Head</w:t>
            </w:r>
          </w:p>
        </w:tc>
        <w:tc>
          <w:p w14:paraId="4CDE3BF7">
            <w:pPr>
              <w:pStyle w:val="24"/>
            </w:pPr>
            <w:r>
              <w:t>0.5639</w:t>
            </w:r>
          </w:p>
        </w:tc>
        <w:tc>
          <w:p w14:paraId="3CAF0D93">
            <w:pPr>
              <w:pStyle w:val="24"/>
            </w:pPr>
            <w:r>
              <w:t>0.3628</w:t>
            </w:r>
          </w:p>
        </w:tc>
        <w:tc>
          <w:p w14:paraId="391AB0CC">
            <w:pPr>
              <w:pStyle w:val="24"/>
            </w:pPr>
            <w:r>
              <w:t>0.3389</w:t>
            </w:r>
          </w:p>
        </w:tc>
        <w:tc>
          <w:p w14:paraId="7ECD1376">
            <w:pPr>
              <w:pStyle w:val="24"/>
            </w:pPr>
            <w:r>
              <w:t>0.2618</w:t>
            </w:r>
          </w:p>
        </w:tc>
        <w:tc>
          <w:p w14:paraId="7359474B">
            <w:pPr>
              <w:pStyle w:val="24"/>
            </w:pPr>
            <w:r>
              <w:t>0.2539</w:t>
            </w:r>
          </w:p>
        </w:tc>
      </w:tr>
      <w:tr w14:paraId="281B3949">
        <w:tblPrEx>
          <w:tblCellMar>
            <w:top w:w="0" w:type="dxa"/>
            <w:left w:w="108" w:type="dxa"/>
            <w:bottom w:w="0" w:type="dxa"/>
            <w:right w:w="108" w:type="dxa"/>
          </w:tblCellMar>
        </w:tblPrEx>
        <w:tc>
          <w:p w14:paraId="1D5A5081">
            <w:pPr>
              <w:pStyle w:val="24"/>
            </w:pPr>
            <w:r>
              <w:t>Uniform Avg</w:t>
            </w:r>
          </w:p>
        </w:tc>
        <w:tc>
          <w:p w14:paraId="04DDF8F5">
            <w:pPr>
              <w:pStyle w:val="24"/>
            </w:pPr>
            <w:r>
              <w:t>0.0016</w:t>
            </w:r>
          </w:p>
        </w:tc>
        <w:tc>
          <w:p w14:paraId="33CDEE6F">
            <w:pPr>
              <w:pStyle w:val="24"/>
            </w:pPr>
            <w:r>
              <w:t>0.0000</w:t>
            </w:r>
          </w:p>
        </w:tc>
        <w:tc>
          <w:p w14:paraId="5448F4CB">
            <w:pPr>
              <w:pStyle w:val="24"/>
            </w:pPr>
            <w:r>
              <w:t>0.0000</w:t>
            </w:r>
          </w:p>
        </w:tc>
        <w:tc>
          <w:p w14:paraId="540941A6">
            <w:pPr>
              <w:pStyle w:val="24"/>
            </w:pPr>
            <w:r>
              <w:t>0.0023</w:t>
            </w:r>
          </w:p>
        </w:tc>
        <w:tc>
          <w:p w14:paraId="4DBB31A5">
            <w:pPr>
              <w:pStyle w:val="24"/>
            </w:pPr>
            <w:r>
              <w:t>0.0025</w:t>
            </w:r>
          </w:p>
        </w:tc>
      </w:tr>
      <w:tr w14:paraId="14E62E6D">
        <w:tblPrEx>
          <w:tblCellMar>
            <w:top w:w="0" w:type="dxa"/>
            <w:left w:w="108" w:type="dxa"/>
            <w:bottom w:w="0" w:type="dxa"/>
            <w:right w:w="108" w:type="dxa"/>
          </w:tblCellMar>
        </w:tblPrEx>
        <w:tc>
          <w:p w14:paraId="6C7BB334">
            <w:pPr>
              <w:pStyle w:val="24"/>
            </w:pPr>
            <w:r>
              <w:t>MoE Gating</w:t>
            </w:r>
          </w:p>
        </w:tc>
        <w:tc>
          <w:p w14:paraId="202309BF">
            <w:pPr>
              <w:pStyle w:val="24"/>
            </w:pPr>
            <w:r>
              <w:t>0.3590</w:t>
            </w:r>
          </w:p>
        </w:tc>
        <w:tc>
          <w:p w14:paraId="0CEAE187">
            <w:pPr>
              <w:pStyle w:val="24"/>
            </w:pPr>
            <w:r>
              <w:t>0.5537</w:t>
            </w:r>
          </w:p>
        </w:tc>
        <w:tc>
          <w:p w14:paraId="484FF83B">
            <w:pPr>
              <w:pStyle w:val="24"/>
            </w:pPr>
            <w:r>
              <w:t>0.5871</w:t>
            </w:r>
          </w:p>
        </w:tc>
        <w:tc>
          <w:p w14:paraId="555E8FA8">
            <w:pPr>
              <w:pStyle w:val="24"/>
            </w:pPr>
            <w:r>
              <w:t>0.5908</w:t>
            </w:r>
          </w:p>
        </w:tc>
        <w:tc>
          <w:p w14:paraId="77F1FEC3">
            <w:pPr>
              <w:pStyle w:val="24"/>
            </w:pPr>
            <w:r>
              <w:t>0.6074</w:t>
            </w:r>
          </w:p>
        </w:tc>
      </w:tr>
      <w:tr w14:paraId="3C5AFF01">
        <w:tblPrEx>
          <w:tblCellMar>
            <w:top w:w="0" w:type="dxa"/>
            <w:left w:w="108" w:type="dxa"/>
            <w:bottom w:w="0" w:type="dxa"/>
            <w:right w:w="108" w:type="dxa"/>
          </w:tblCellMar>
        </w:tblPrEx>
        <w:tc>
          <w:p w14:paraId="50EDD4C2">
            <w:pPr>
              <w:pStyle w:val="24"/>
            </w:pPr>
            <w:r>
              <w:rPr>
                <w:b/>
                <w:bCs/>
              </w:rPr>
              <w:t>RED</w:t>
            </w:r>
          </w:p>
        </w:tc>
        <w:tc>
          <w:p w14:paraId="1DAA0AF6">
            <w:pPr>
              <w:pStyle w:val="24"/>
            </w:pPr>
            <w:r>
              <w:rPr>
                <w:b/>
                <w:bCs/>
              </w:rPr>
              <w:t>0.7879</w:t>
            </w:r>
          </w:p>
        </w:tc>
        <w:tc>
          <w:p w14:paraId="0D72546F">
            <w:pPr>
              <w:pStyle w:val="24"/>
            </w:pPr>
            <w:r>
              <w:rPr>
                <w:b/>
                <w:bCs/>
              </w:rPr>
              <w:t>0.8110</w:t>
            </w:r>
          </w:p>
        </w:tc>
        <w:tc>
          <w:p w14:paraId="2AFD9F7F">
            <w:pPr>
              <w:pStyle w:val="24"/>
            </w:pPr>
            <w:r>
              <w:rPr>
                <w:b/>
                <w:bCs/>
              </w:rPr>
              <w:t>0.7347</w:t>
            </w:r>
          </w:p>
        </w:tc>
        <w:tc>
          <w:p w14:paraId="7D70A417">
            <w:pPr>
              <w:pStyle w:val="24"/>
            </w:pPr>
            <w:r>
              <w:rPr>
                <w:b/>
                <w:bCs/>
              </w:rPr>
              <w:t>0.7269</w:t>
            </w:r>
          </w:p>
        </w:tc>
        <w:tc>
          <w:p w14:paraId="470C6259">
            <w:pPr>
              <w:pStyle w:val="24"/>
            </w:pPr>
            <w:r>
              <w:rPr>
                <w:b/>
                <w:bCs/>
              </w:rPr>
              <w:t>0.7536</w:t>
            </w:r>
          </w:p>
        </w:tc>
      </w:tr>
    </w:tbl>
    <w:p w14:paraId="209A830C">
      <w:pPr>
        <w:pStyle w:val="3"/>
      </w:pPr>
      <w:r>
        <w:rPr>
          <w:b/>
          <w:bCs/>
        </w:rPr>
        <w:t>Interpretation</w:t>
      </w:r>
    </w:p>
    <w:p w14:paraId="37F1B4F4">
      <w:pPr>
        <w:pStyle w:val="24"/>
        <w:numPr>
          <w:ilvl w:val="0"/>
          <w:numId w:val="2"/>
        </w:numPr>
      </w:pPr>
      <w:r>
        <w:t>Even the strengthened base head degrades monotonically across ranges.</w:t>
      </w:r>
    </w:p>
    <w:p w14:paraId="777D4E50">
      <w:pPr>
        <w:pStyle w:val="24"/>
        <w:numPr>
          <w:ilvl w:val="0"/>
          <w:numId w:val="2"/>
        </w:numPr>
      </w:pPr>
      <w:r>
        <w:t>MoE exhibits strong instability: some ranges high, others weak.</w:t>
      </w:r>
    </w:p>
    <w:p w14:paraId="006F1E2E">
      <w:pPr>
        <w:pStyle w:val="24"/>
        <w:numPr>
          <w:ilvl w:val="0"/>
          <w:numId w:val="2"/>
        </w:numPr>
      </w:pPr>
      <w:r>
        <w:rPr>
          <w:b/>
          <w:bCs/>
        </w:rPr>
        <w:t>RED maintains consistently strong performance across all ranges</w:t>
      </w:r>
      <w:r>
        <w:t>, resulting from stronger domain experts and residual routing.</w:t>
      </w:r>
    </w:p>
    <w:p w14:paraId="4574E777">
      <w:r>
        <w:pict>
          <v:rect id="_x0000_i1035" o:spt="1" style="height:1.5pt;width:0pt;" coordsize="21600,21600" o:hr="t" o:hrstd="t" o:hralign="center">
            <v:path/>
            <v:fill focussize="0,0"/>
            <v:stroke/>
            <v:imagedata o:title=""/>
            <o:lock v:ext="edit"/>
            <w10:wrap type="none"/>
            <w10:anchorlock/>
          </v:rect>
        </w:pict>
      </w:r>
    </w:p>
    <w:bookmarkEnd w:id="59"/>
    <w:p w14:paraId="74D45789">
      <w:pPr>
        <w:pStyle w:val="4"/>
      </w:pPr>
      <w:bookmarkStart w:id="60" w:name="router-behavior-red"/>
      <w:r>
        <w:t>4.7.3 Router Behavior (RED)</w:t>
      </w:r>
    </w:p>
    <w:tbl>
      <w:tblPr>
        <w:tblStyle w:val="41"/>
        <w:tblW w:w="0" w:type="auto"/>
        <w:tblInd w:w="0" w:type="dxa"/>
        <w:tblLayout w:type="autofit"/>
        <w:tblCellMar>
          <w:top w:w="0" w:type="dxa"/>
          <w:left w:w="108" w:type="dxa"/>
          <w:bottom w:w="0" w:type="dxa"/>
          <w:right w:w="108" w:type="dxa"/>
        </w:tblCellMar>
      </w:tblPr>
      <w:tblGrid>
        <w:gridCol w:w="1271"/>
        <w:gridCol w:w="1203"/>
        <w:gridCol w:w="1243"/>
      </w:tblGrid>
      <w:tr w14:paraId="23DF0E74">
        <w:tblPrEx>
          <w:tblCellMar>
            <w:top w:w="0" w:type="dxa"/>
            <w:left w:w="108" w:type="dxa"/>
            <w:bottom w:w="0" w:type="dxa"/>
            <w:right w:w="108" w:type="dxa"/>
          </w:tblCellMar>
        </w:tblPrEx>
        <w:trPr>
          <w:tblHeader/>
        </w:trPr>
        <w:tc>
          <w:p w14:paraId="758CBDDA">
            <w:pPr>
              <w:pStyle w:val="24"/>
            </w:pPr>
            <w:r>
              <w:t>Split</w:t>
            </w:r>
          </w:p>
        </w:tc>
        <w:tc>
          <w:p w14:paraId="0129D000">
            <w:pPr>
              <w:pStyle w:val="24"/>
            </w:pPr>
            <w:r>
              <w:t>Accuracy</w:t>
            </w:r>
          </w:p>
        </w:tc>
        <w:tc>
          <w:p w14:paraId="1C621B20">
            <w:pPr>
              <w:pStyle w:val="24"/>
            </w:pPr>
            <w:r>
              <w:t>Macro-F1</w:t>
            </w:r>
          </w:p>
        </w:tc>
      </w:tr>
      <w:tr w14:paraId="059151A9">
        <w:tblPrEx>
          <w:tblCellMar>
            <w:top w:w="0" w:type="dxa"/>
            <w:left w:w="108" w:type="dxa"/>
            <w:bottom w:w="0" w:type="dxa"/>
            <w:right w:w="108" w:type="dxa"/>
          </w:tblCellMar>
        </w:tblPrEx>
        <w:tc>
          <w:p w14:paraId="2B93CCFA">
            <w:pPr>
              <w:pStyle w:val="24"/>
            </w:pPr>
            <w:r>
              <w:t>Train</w:t>
            </w:r>
          </w:p>
        </w:tc>
        <w:tc>
          <w:p w14:paraId="7141B76F">
            <w:pPr>
              <w:pStyle w:val="24"/>
            </w:pPr>
            <w:r>
              <w:t>0.8376</w:t>
            </w:r>
          </w:p>
        </w:tc>
        <w:tc>
          <w:p w14:paraId="6CEA9B78">
            <w:pPr>
              <w:pStyle w:val="24"/>
            </w:pPr>
            <w:r>
              <w:t>0.8337</w:t>
            </w:r>
          </w:p>
        </w:tc>
      </w:tr>
      <w:tr w14:paraId="539BD2EB">
        <w:tblPrEx>
          <w:tblCellMar>
            <w:top w:w="0" w:type="dxa"/>
            <w:left w:w="108" w:type="dxa"/>
            <w:bottom w:w="0" w:type="dxa"/>
            <w:right w:w="108" w:type="dxa"/>
          </w:tblCellMar>
        </w:tblPrEx>
        <w:tc>
          <w:p w14:paraId="2DBF155F">
            <w:pPr>
              <w:pStyle w:val="24"/>
            </w:pPr>
            <w:r>
              <w:t>Validation</w:t>
            </w:r>
          </w:p>
        </w:tc>
        <w:tc>
          <w:p w14:paraId="08E5611D">
            <w:pPr>
              <w:pStyle w:val="24"/>
            </w:pPr>
            <w:r>
              <w:t>0.7598</w:t>
            </w:r>
          </w:p>
        </w:tc>
        <w:tc>
          <w:p w14:paraId="09AF6D40">
            <w:pPr>
              <w:pStyle w:val="24"/>
            </w:pPr>
            <w:r>
              <w:t>0.7551</w:t>
            </w:r>
          </w:p>
        </w:tc>
      </w:tr>
      <w:tr w14:paraId="4871A1F5">
        <w:tblPrEx>
          <w:tblCellMar>
            <w:top w:w="0" w:type="dxa"/>
            <w:left w:w="108" w:type="dxa"/>
            <w:bottom w:w="0" w:type="dxa"/>
            <w:right w:w="108" w:type="dxa"/>
          </w:tblCellMar>
        </w:tblPrEx>
        <w:tc>
          <w:p w14:paraId="333636B3">
            <w:pPr>
              <w:pStyle w:val="24"/>
            </w:pPr>
            <w:r>
              <w:t>Test</w:t>
            </w:r>
          </w:p>
        </w:tc>
        <w:tc>
          <w:p w14:paraId="6F7F01E1">
            <w:pPr>
              <w:pStyle w:val="24"/>
            </w:pPr>
            <w:r>
              <w:t>0.7583</w:t>
            </w:r>
          </w:p>
        </w:tc>
        <w:tc>
          <w:p w14:paraId="6BB109EC">
            <w:pPr>
              <w:pStyle w:val="24"/>
            </w:pPr>
            <w:r>
              <w:t>0.7537</w:t>
            </w:r>
          </w:p>
        </w:tc>
      </w:tr>
      <w:tr w14:paraId="5F7A907D">
        <w:tblPrEx>
          <w:tblCellMar>
            <w:top w:w="0" w:type="dxa"/>
            <w:left w:w="108" w:type="dxa"/>
            <w:bottom w:w="0" w:type="dxa"/>
            <w:right w:w="108" w:type="dxa"/>
          </w:tblCellMar>
        </w:tblPrEx>
        <w:tc>
          <w:p w14:paraId="772FE3A2">
            <w:pPr>
              <w:pStyle w:val="24"/>
            </w:pPr>
            <w:r>
              <w:rPr>
                <w:b/>
                <w:bCs/>
              </w:rPr>
              <w:t>All</w:t>
            </w:r>
          </w:p>
        </w:tc>
        <w:tc>
          <w:p w14:paraId="520A3FBB">
            <w:pPr>
              <w:pStyle w:val="24"/>
            </w:pPr>
            <w:r>
              <w:rPr>
                <w:b/>
                <w:bCs/>
              </w:rPr>
              <w:t>0.8219</w:t>
            </w:r>
          </w:p>
        </w:tc>
        <w:tc>
          <w:p w14:paraId="42E7FA7A">
            <w:pPr>
              <w:pStyle w:val="24"/>
            </w:pPr>
            <w:r>
              <w:rPr>
                <w:b/>
                <w:bCs/>
              </w:rPr>
              <w:t>0.8180</w:t>
            </w:r>
          </w:p>
        </w:tc>
      </w:tr>
    </w:tbl>
    <w:p w14:paraId="2253DB6C">
      <w:pPr>
        <w:pStyle w:val="3"/>
      </w:pPr>
      <w:r>
        <w:t xml:space="preserve">Routing becomes much harder in multi-operator arithmetic. Despite this, </w:t>
      </w:r>
      <w:r>
        <w:rPr>
          <w:b/>
          <w:bCs/>
        </w:rPr>
        <w:t>RED maintains 70–80% routing accuracy</w:t>
      </w:r>
      <w:r>
        <w:t xml:space="preserve">, and the </w:t>
      </w:r>
      <w:r>
        <w:rPr>
          <w:b/>
          <w:bCs/>
        </w:rPr>
        <w:t>residual fusion</w:t>
      </w:r>
      <w:r>
        <w:t xml:space="preserve"> mechanism significantly stabilizes performance even under misrouting—something classical MoE cannot achieve.</w:t>
      </w:r>
    </w:p>
    <w:p w14:paraId="12C6283E">
      <w:r>
        <w:pict>
          <v:rect id="_x0000_i1036" o:spt="1" style="height:1.5pt;width:0pt;" coordsize="21600,21600" o:hr="t" o:hrstd="t" o:hralign="center">
            <v:path/>
            <v:fill focussize="0,0"/>
            <v:stroke/>
            <v:imagedata o:title=""/>
            <o:lock v:ext="edit"/>
            <w10:wrap type="none"/>
            <w10:anchorlock/>
          </v:rect>
        </w:pict>
      </w:r>
    </w:p>
    <w:bookmarkEnd w:id="60"/>
    <w:p w14:paraId="2F5712D1">
      <w:pPr>
        <w:pStyle w:val="4"/>
      </w:pPr>
      <w:bookmarkStart w:id="61" w:name="generalization-across-operator-patterns"/>
      <w:r>
        <w:t>4.7.4 Generalization Across Operator Patterns</w:t>
      </w:r>
    </w:p>
    <w:tbl>
      <w:tblPr>
        <w:tblStyle w:val="41"/>
        <w:tblW w:w="0" w:type="auto"/>
        <w:tblInd w:w="0" w:type="dxa"/>
        <w:tblLayout w:type="autofit"/>
        <w:tblCellMar>
          <w:top w:w="0" w:type="dxa"/>
          <w:left w:w="108" w:type="dxa"/>
          <w:bottom w:w="0" w:type="dxa"/>
          <w:right w:w="108" w:type="dxa"/>
        </w:tblCellMar>
      </w:tblPr>
      <w:tblGrid>
        <w:gridCol w:w="1911"/>
        <w:gridCol w:w="1564"/>
        <w:gridCol w:w="1564"/>
        <w:gridCol w:w="910"/>
      </w:tblGrid>
      <w:tr w14:paraId="059B0CAC">
        <w:tblPrEx>
          <w:tblCellMar>
            <w:top w:w="0" w:type="dxa"/>
            <w:left w:w="108" w:type="dxa"/>
            <w:bottom w:w="0" w:type="dxa"/>
            <w:right w:w="108" w:type="dxa"/>
          </w:tblCellMar>
        </w:tblPrEx>
        <w:trPr>
          <w:tblHeader/>
        </w:trPr>
        <w:tc>
          <w:p w14:paraId="461F23CB">
            <w:pPr>
              <w:pStyle w:val="24"/>
            </w:pPr>
            <w:r>
              <w:t>Input Type</w:t>
            </w:r>
          </w:p>
        </w:tc>
        <w:tc>
          <w:p w14:paraId="53A620ED">
            <w:pPr>
              <w:pStyle w:val="24"/>
            </w:pPr>
            <w:r>
              <w:t>Global Head</w:t>
            </w:r>
          </w:p>
        </w:tc>
        <w:tc>
          <w:p w14:paraId="059E393A">
            <w:pPr>
              <w:pStyle w:val="24"/>
            </w:pPr>
            <w:r>
              <w:t>MoE</w:t>
            </w:r>
          </w:p>
        </w:tc>
        <w:tc>
          <w:p w14:paraId="14F05393">
            <w:pPr>
              <w:pStyle w:val="24"/>
            </w:pPr>
            <w:r>
              <w:rPr>
                <w:b/>
                <w:bCs/>
              </w:rPr>
              <w:t>RED</w:t>
            </w:r>
          </w:p>
        </w:tc>
      </w:tr>
      <w:tr w14:paraId="67C9E19B">
        <w:tblPrEx>
          <w:tblCellMar>
            <w:top w:w="0" w:type="dxa"/>
            <w:left w:w="108" w:type="dxa"/>
            <w:bottom w:w="0" w:type="dxa"/>
            <w:right w:w="108" w:type="dxa"/>
          </w:tblCellMar>
        </w:tblPrEx>
        <w:tc>
          <w:p w14:paraId="23FDE0DB">
            <w:pPr>
              <w:pStyle w:val="24"/>
            </w:pPr>
            <w:r>
              <w:t>addition-only</w:t>
            </w:r>
          </w:p>
        </w:tc>
        <w:tc>
          <w:p w14:paraId="7672F717">
            <w:pPr>
              <w:pStyle w:val="24"/>
            </w:pPr>
            <w:r>
              <w:t>medium</w:t>
            </w:r>
          </w:p>
        </w:tc>
        <w:tc>
          <w:p w14:paraId="33B835FF">
            <w:pPr>
              <w:pStyle w:val="24"/>
            </w:pPr>
            <w:r>
              <w:t>medium</w:t>
            </w:r>
          </w:p>
        </w:tc>
        <w:tc>
          <w:p w14:paraId="14523CDD">
            <w:pPr>
              <w:pStyle w:val="24"/>
            </w:pPr>
            <w:r>
              <w:rPr>
                <w:b/>
                <w:bCs/>
              </w:rPr>
              <w:t>high</w:t>
            </w:r>
          </w:p>
        </w:tc>
      </w:tr>
      <w:tr w14:paraId="7E1CA507">
        <w:tblPrEx>
          <w:tblCellMar>
            <w:top w:w="0" w:type="dxa"/>
            <w:left w:w="108" w:type="dxa"/>
            <w:bottom w:w="0" w:type="dxa"/>
            <w:right w:w="108" w:type="dxa"/>
          </w:tblCellMar>
        </w:tblPrEx>
        <w:tc>
          <w:p w14:paraId="2A0BC146">
            <w:pPr>
              <w:pStyle w:val="24"/>
            </w:pPr>
            <w:r>
              <w:t>subtraction-only</w:t>
            </w:r>
          </w:p>
        </w:tc>
        <w:tc>
          <w:p w14:paraId="5BDD5BAB">
            <w:pPr>
              <w:pStyle w:val="24"/>
            </w:pPr>
            <w:r>
              <w:t>low–medium</w:t>
            </w:r>
          </w:p>
        </w:tc>
        <w:tc>
          <w:p w14:paraId="09417E6C">
            <w:pPr>
              <w:pStyle w:val="24"/>
            </w:pPr>
            <w:r>
              <w:t>medium</w:t>
            </w:r>
          </w:p>
        </w:tc>
        <w:tc>
          <w:p w14:paraId="430FB394">
            <w:pPr>
              <w:pStyle w:val="24"/>
            </w:pPr>
            <w:r>
              <w:rPr>
                <w:b/>
                <w:bCs/>
              </w:rPr>
              <w:t>high</w:t>
            </w:r>
          </w:p>
        </w:tc>
      </w:tr>
      <w:tr w14:paraId="540CEF6B">
        <w:tblPrEx>
          <w:tblCellMar>
            <w:top w:w="0" w:type="dxa"/>
            <w:left w:w="108" w:type="dxa"/>
            <w:bottom w:w="0" w:type="dxa"/>
            <w:right w:w="108" w:type="dxa"/>
          </w:tblCellMar>
        </w:tblPrEx>
        <w:tc>
          <w:p w14:paraId="5D978437">
            <w:pPr>
              <w:pStyle w:val="24"/>
            </w:pPr>
            <w:r>
              <w:t>multi-step</w:t>
            </w:r>
          </w:p>
        </w:tc>
        <w:tc>
          <w:p w14:paraId="5199464A">
            <w:pPr>
              <w:pStyle w:val="24"/>
            </w:pPr>
            <w:r>
              <w:t>low</w:t>
            </w:r>
          </w:p>
        </w:tc>
        <w:tc>
          <w:p w14:paraId="01451CEF">
            <w:pPr>
              <w:pStyle w:val="24"/>
            </w:pPr>
            <w:r>
              <w:t>low–medium</w:t>
            </w:r>
          </w:p>
        </w:tc>
        <w:tc>
          <w:p w14:paraId="0A8632B1">
            <w:pPr>
              <w:pStyle w:val="24"/>
            </w:pPr>
            <w:r>
              <w:rPr>
                <w:b/>
                <w:bCs/>
              </w:rPr>
              <w:t>high</w:t>
            </w:r>
          </w:p>
        </w:tc>
      </w:tr>
      <w:tr w14:paraId="1434AC17">
        <w:tblPrEx>
          <w:tblCellMar>
            <w:top w:w="0" w:type="dxa"/>
            <w:left w:w="108" w:type="dxa"/>
            <w:bottom w:w="0" w:type="dxa"/>
            <w:right w:w="108" w:type="dxa"/>
          </w:tblCellMar>
        </w:tblPrEx>
        <w:tc>
          <w:p w14:paraId="0752577A">
            <w:pPr>
              <w:pStyle w:val="24"/>
            </w:pPr>
            <w:r>
              <w:t>boundary cases</w:t>
            </w:r>
          </w:p>
        </w:tc>
        <w:tc>
          <w:p w14:paraId="6807F895">
            <w:pPr>
              <w:pStyle w:val="24"/>
            </w:pPr>
            <w:r>
              <w:t>low</w:t>
            </w:r>
          </w:p>
        </w:tc>
        <w:tc>
          <w:p w14:paraId="4359F143">
            <w:pPr>
              <w:pStyle w:val="24"/>
            </w:pPr>
            <w:r>
              <w:t>unstable</w:t>
            </w:r>
          </w:p>
        </w:tc>
        <w:tc>
          <w:p w14:paraId="32CD1BB4">
            <w:pPr>
              <w:pStyle w:val="24"/>
            </w:pPr>
            <w:r>
              <w:rPr>
                <w:b/>
                <w:bCs/>
              </w:rPr>
              <w:t>stable</w:t>
            </w:r>
          </w:p>
        </w:tc>
      </w:tr>
    </w:tbl>
    <w:p w14:paraId="334DDAF0">
      <w:pPr>
        <w:pStyle w:val="3"/>
      </w:pPr>
      <w:r>
        <w:t>RED is the only architecture that robustly generalizes across all operator patterns.</w:t>
      </w:r>
    </w:p>
    <w:p w14:paraId="2CBC2C65">
      <w:r>
        <w:pict>
          <v:rect id="_x0000_i1037" o:spt="1" style="height:1.5pt;width:0pt;" coordsize="21600,21600" o:hr="t" o:hrstd="t" o:hralign="center">
            <v:path/>
            <v:fill focussize="0,0"/>
            <v:stroke/>
            <v:imagedata o:title=""/>
            <o:lock v:ext="edit"/>
            <w10:wrap type="none"/>
            <w10:anchorlock/>
          </v:rect>
        </w:pict>
      </w:r>
    </w:p>
    <w:bookmarkEnd w:id="61"/>
    <w:p w14:paraId="3027059F">
      <w:pPr>
        <w:pStyle w:val="4"/>
      </w:pPr>
      <w:bookmarkStart w:id="62" w:name="summary-of-task-2-findings"/>
      <w:r>
        <w:t>4.7.5 Summary of Task 2 Findings</w:t>
      </w:r>
    </w:p>
    <w:p w14:paraId="7D05558C">
      <w:pPr>
        <w:pStyle w:val="24"/>
        <w:numPr>
          <w:ilvl w:val="0"/>
          <w:numId w:val="7"/>
        </w:numPr>
      </w:pPr>
      <w:r>
        <w:t xml:space="preserve">Strengthening base and expert networks helps, but </w:t>
      </w:r>
      <w:r>
        <w:rPr>
          <w:b/>
          <w:bCs/>
        </w:rPr>
        <w:t>end-to-end symbolic multi-step reasoning remains difficult</w:t>
      </w:r>
      <w:r>
        <w:t>.</w:t>
      </w:r>
    </w:p>
    <w:p w14:paraId="7B9439BC">
      <w:pPr>
        <w:pStyle w:val="24"/>
        <w:numPr>
          <w:ilvl w:val="0"/>
          <w:numId w:val="7"/>
        </w:numPr>
      </w:pPr>
      <w:r>
        <w:rPr>
          <w:b/>
          <w:bCs/>
        </w:rPr>
        <w:t>RED dramatically outperforms</w:t>
      </w:r>
      <w:r>
        <w:t xml:space="preserve"> both the upgraded base and classical MoE, achieving stable range-specialized reasoning.</w:t>
      </w:r>
    </w:p>
    <w:p w14:paraId="6368E584">
      <w:pPr>
        <w:pStyle w:val="24"/>
        <w:numPr>
          <w:ilvl w:val="0"/>
          <w:numId w:val="7"/>
        </w:numPr>
      </w:pPr>
      <w:r>
        <w:t>Routing is challenging, but residual fusion makes RED resilient to misrouting.</w:t>
      </w:r>
    </w:p>
    <w:p w14:paraId="23926187">
      <w:pPr>
        <w:pStyle w:val="24"/>
        <w:numPr>
          <w:ilvl w:val="0"/>
          <w:numId w:val="7"/>
        </w:numPr>
      </w:pPr>
      <w:r>
        <w:t xml:space="preserve">These results represent the </w:t>
      </w:r>
      <w:r>
        <w:rPr>
          <w:b/>
          <w:bCs/>
        </w:rPr>
        <w:t>performance limit of end-to-end expert-based architectures</w:t>
      </w:r>
      <w:r>
        <w:t xml:space="preserve"> under the original Task 2 formulation.</w:t>
      </w:r>
    </w:p>
    <w:p w14:paraId="5AE482A0">
      <w:pPr>
        <w:pStyle w:val="23"/>
      </w:pPr>
      <w:r>
        <w:rPr>
          <w:b/>
          <w:bCs/>
        </w:rPr>
        <w:t>However, recall that “2-step” examples in Task 2 are effectively single-operation.</w:t>
      </w:r>
      <w:r>
        <w:t xml:space="preserve"> Therefore, Section </w:t>
      </w:r>
      <w:r>
        <w:rPr>
          <w:b/>
          <w:bCs/>
        </w:rPr>
        <w:t>4.8</w:t>
      </w:r>
      <w:r>
        <w:t xml:space="preserve"> introduces a redesigned evaluation with </w:t>
      </w:r>
      <w:r>
        <w:rPr>
          <w:i/>
          <w:iCs/>
        </w:rPr>
        <w:t>true</w:t>
      </w:r>
      <w:r>
        <w:t xml:space="preserve"> 2-/3-/4-step reasoning using a step decomposer, revealing the actual upper bound of modular arithmetic reasoning (&gt;0.99).</w:t>
      </w:r>
    </w:p>
    <w:bookmarkEnd w:id="62"/>
    <w:p w14:paraId="2449910B">
      <w:pPr>
        <w:pStyle w:val="4"/>
      </w:pPr>
      <w:bookmarkStart w:id="63" w:name="X94ed4825db67bc77bd13f5fa38ba949b6a9f8de"/>
      <w:r>
        <w:t>4.8 Step-Wise Decomposition Study on Mixed Arithmetic (Modular Execution, Revised)</w:t>
      </w:r>
    </w:p>
    <w:p w14:paraId="1E7C0F21">
      <w:pPr>
        <w:pStyle w:val="23"/>
      </w:pPr>
      <w:r>
        <w:t xml:space="preserve">This section evaluates the upper bound of modular arithmetic reasoning by separating </w:t>
      </w:r>
      <w:r>
        <w:rPr>
          <w:b/>
          <w:bCs/>
        </w:rPr>
        <w:t>program decomposition</w:t>
      </w:r>
      <w:r>
        <w:t xml:space="preserve"> from </w:t>
      </w:r>
      <w:r>
        <w:rPr>
          <w:b/>
          <w:bCs/>
        </w:rPr>
        <w:t>expert execution</w:t>
      </w:r>
      <w:r>
        <w:t xml:space="preserve">. Compared with Section 4.5, this revised version removes redundant training details and focuses strictly on </w:t>
      </w:r>
      <w:r>
        <w:rPr>
          <w:b/>
          <w:bCs/>
        </w:rPr>
        <w:t>evaluation</w:t>
      </w:r>
      <w:r>
        <w:t xml:space="preserve">, </w:t>
      </w:r>
      <w:r>
        <w:rPr>
          <w:b/>
          <w:bCs/>
        </w:rPr>
        <w:t>architecture behavior</w:t>
      </w:r>
      <w:r>
        <w:t xml:space="preserve">, and </w:t>
      </w:r>
      <w:r>
        <w:rPr>
          <w:b/>
          <w:bCs/>
        </w:rPr>
        <w:t>comparative insights</w:t>
      </w:r>
      <w:r>
        <w:t>.</w:t>
      </w:r>
    </w:p>
    <w:p w14:paraId="1CF8419A">
      <w:r>
        <w:pict>
          <v:rect id="_x0000_i1038" o:spt="1" style="height:1.5pt;width:0pt;" coordsize="21600,21600" o:hr="t" o:hrstd="t" o:hralign="center">
            <v:path/>
            <v:fill focussize="0,0"/>
            <v:stroke/>
            <v:imagedata o:title=""/>
            <o:lock v:ext="edit"/>
            <w10:wrap type="none"/>
            <w10:anchorlock/>
          </v:rect>
        </w:pict>
      </w:r>
    </w:p>
    <w:p w14:paraId="4B8EF917">
      <w:pPr>
        <w:pStyle w:val="5"/>
      </w:pPr>
      <w:bookmarkStart w:id="64" w:name="purpose-of-this-experiment-non-redundant"/>
      <w:r>
        <w:t>4.8.1 Purpose of This Experiment (Non-redundant)</w:t>
      </w:r>
    </w:p>
    <w:p w14:paraId="553152F8">
      <w:pPr>
        <w:pStyle w:val="23"/>
      </w:pPr>
      <w:r>
        <w:t xml:space="preserve">Section 4.5 describes how each module is trained. Here, 4.8 does </w:t>
      </w:r>
      <w:r>
        <w:rPr>
          <w:b/>
          <w:bCs/>
        </w:rPr>
        <w:t>not</w:t>
      </w:r>
      <w:r>
        <w:t xml:space="preserve"> repeat that content. Instead, we answer a different scientific question:</w:t>
      </w:r>
    </w:p>
    <w:p w14:paraId="007E640A">
      <w:pPr>
        <w:pStyle w:val="13"/>
      </w:pPr>
      <w:r>
        <w:rPr>
          <w:i/>
          <w:iCs/>
        </w:rPr>
        <w:t>If a model is given the correct computational structure (via a step decomposer), how well can independently trained arithmetic experts execute multi-step reasoning?</w:t>
      </w:r>
    </w:p>
    <w:p w14:paraId="310EB3E5">
      <w:pPr>
        <w:pStyle w:val="23"/>
      </w:pPr>
      <w:r>
        <w:t>The goal is to measure the theoretical performance ceiling of modular arithmetic systems.</w:t>
      </w:r>
    </w:p>
    <w:p w14:paraId="582BBE15">
      <w:r>
        <w:pict>
          <v:rect id="_x0000_i1039" o:spt="1" style="height:1.5pt;width:0pt;" coordsize="21600,21600" o:hr="t" o:hrstd="t" o:hralign="center">
            <v:path/>
            <v:fill focussize="0,0"/>
            <v:stroke/>
            <v:imagedata o:title=""/>
            <o:lock v:ext="edit"/>
            <w10:wrap type="none"/>
            <w10:anchorlock/>
          </v:rect>
        </w:pict>
      </w:r>
    </w:p>
    <w:bookmarkEnd w:id="64"/>
    <w:p w14:paraId="0F02F74F">
      <w:pPr>
        <w:pStyle w:val="5"/>
      </w:pPr>
      <w:bookmarkStart w:id="65" w:name="X5b3fa39cf604740caf44d0d9bce32566dddd358"/>
      <w:r>
        <w:t>4.8.2 What This Experiment Uses (Without Training Repetition)</w:t>
      </w:r>
    </w:p>
    <w:p w14:paraId="73549654">
      <w:pPr>
        <w:pStyle w:val="23"/>
      </w:pPr>
      <w:r>
        <w:t xml:space="preserve">To avoid overlap with Section 4.5, only the </w:t>
      </w:r>
      <w:r>
        <w:rPr>
          <w:b/>
          <w:bCs/>
        </w:rPr>
        <w:t>inputs to this experiment</w:t>
      </w:r>
      <w:r>
        <w:t xml:space="preserve"> are listed:</w:t>
      </w:r>
    </w:p>
    <w:p w14:paraId="4A33AE45">
      <w:pPr>
        <w:pStyle w:val="24"/>
        <w:numPr>
          <w:ilvl w:val="0"/>
          <w:numId w:val="2"/>
        </w:numPr>
      </w:pPr>
      <w:r>
        <w:rPr>
          <w:b/>
          <w:bCs/>
        </w:rPr>
        <w:t>Programs</w:t>
      </w:r>
      <w:r>
        <w:t xml:space="preserve"> generated by the step decomposer (not retrained here)</w:t>
      </w:r>
    </w:p>
    <w:p w14:paraId="6A85412B">
      <w:pPr>
        <w:pStyle w:val="24"/>
        <w:numPr>
          <w:ilvl w:val="0"/>
          <w:numId w:val="2"/>
        </w:numPr>
      </w:pPr>
      <w:r>
        <w:rPr>
          <w:b/>
          <w:bCs/>
        </w:rPr>
        <w:t>Addition and subtraction experts</w:t>
      </w:r>
      <w:r>
        <w:t xml:space="preserve"> (already trained in Stage 1)</w:t>
      </w:r>
    </w:p>
    <w:p w14:paraId="7C337334">
      <w:pPr>
        <w:pStyle w:val="24"/>
        <w:numPr>
          <w:ilvl w:val="0"/>
          <w:numId w:val="2"/>
        </w:numPr>
      </w:pPr>
      <w:r>
        <w:rPr>
          <w:b/>
          <w:bCs/>
        </w:rPr>
        <w:t>Router variants</w:t>
      </w:r>
      <w:r>
        <w:t xml:space="preserve"> used purely for routing comparisons:</w:t>
      </w:r>
    </w:p>
    <w:p w14:paraId="44952696">
      <w:pPr>
        <w:pStyle w:val="24"/>
        <w:numPr>
          <w:ilvl w:val="1"/>
          <w:numId w:val="2"/>
        </w:numPr>
      </w:pPr>
      <w:r>
        <w:t>RED router</w:t>
      </w:r>
    </w:p>
    <w:p w14:paraId="5EBEFA52">
      <w:pPr>
        <w:pStyle w:val="24"/>
        <w:numPr>
          <w:ilvl w:val="1"/>
          <w:numId w:val="2"/>
        </w:numPr>
      </w:pPr>
      <w:r>
        <w:t>Classical MoE router</w:t>
      </w:r>
    </w:p>
    <w:p w14:paraId="29457172">
      <w:pPr>
        <w:pStyle w:val="24"/>
        <w:numPr>
          <w:ilvl w:val="1"/>
          <w:numId w:val="2"/>
        </w:numPr>
      </w:pPr>
      <w:r>
        <w:t>AllFix (no routing)</w:t>
      </w:r>
    </w:p>
    <w:p w14:paraId="0D4D24E5">
      <w:pPr>
        <w:pStyle w:val="23"/>
      </w:pPr>
      <w:r>
        <w:t>No training hyperparameters are repeated here.</w:t>
      </w:r>
    </w:p>
    <w:p w14:paraId="67629F95">
      <w:r>
        <w:pict>
          <v:rect id="_x0000_i1040" o:spt="1" style="height:1.5pt;width:0pt;" coordsize="21600,21600" o:hr="t" o:hrstd="t" o:hralign="center">
            <v:path/>
            <v:fill focussize="0,0"/>
            <v:stroke/>
            <v:imagedata o:title=""/>
            <o:lock v:ext="edit"/>
            <w10:wrap type="none"/>
            <w10:anchorlock/>
          </v:rect>
        </w:pict>
      </w:r>
    </w:p>
    <w:bookmarkEnd w:id="65"/>
    <w:p w14:paraId="5AB75F2A">
      <w:pPr>
        <w:pStyle w:val="5"/>
      </w:pPr>
      <w:bookmarkStart w:id="66" w:name="red-modular-execution-upper-bound"/>
      <w:r>
        <w:t>4.8.3 RED Modular Execution (Upper Bound)</w:t>
      </w:r>
    </w:p>
    <w:p w14:paraId="6740477A">
      <w:pPr>
        <w:pStyle w:val="23"/>
      </w:pPr>
      <w:r>
        <w:t>Using decomposed programs + correct expert routing (RED), performance is nearly perfect:</w:t>
      </w:r>
    </w:p>
    <w:tbl>
      <w:tblPr>
        <w:tblStyle w:val="41"/>
        <w:tblW w:w="0" w:type="auto"/>
        <w:tblInd w:w="0" w:type="dxa"/>
        <w:tblLayout w:type="autofit"/>
        <w:tblCellMar>
          <w:top w:w="0" w:type="dxa"/>
          <w:left w:w="108" w:type="dxa"/>
          <w:bottom w:w="0" w:type="dxa"/>
          <w:right w:w="108" w:type="dxa"/>
        </w:tblCellMar>
      </w:tblPr>
      <w:tblGrid>
        <w:gridCol w:w="3311"/>
        <w:gridCol w:w="1203"/>
        <w:gridCol w:w="1243"/>
      </w:tblGrid>
      <w:tr w14:paraId="7A752DDB">
        <w:tblPrEx>
          <w:tblCellMar>
            <w:top w:w="0" w:type="dxa"/>
            <w:left w:w="108" w:type="dxa"/>
            <w:bottom w:w="0" w:type="dxa"/>
            <w:right w:w="108" w:type="dxa"/>
          </w:tblCellMar>
        </w:tblPrEx>
        <w:trPr>
          <w:tblHeader/>
        </w:trPr>
        <w:tc>
          <w:p w14:paraId="2283DA56">
            <w:pPr>
              <w:pStyle w:val="24"/>
            </w:pPr>
            <w:r>
              <w:t>Setting</w:t>
            </w:r>
          </w:p>
        </w:tc>
        <w:tc>
          <w:p w14:paraId="6BC000C7">
            <w:pPr>
              <w:pStyle w:val="24"/>
            </w:pPr>
            <w:r>
              <w:t>Accuracy</w:t>
            </w:r>
          </w:p>
        </w:tc>
        <w:tc>
          <w:p w14:paraId="2E4996CC">
            <w:pPr>
              <w:pStyle w:val="24"/>
            </w:pPr>
            <w:r>
              <w:t>Macro-F1</w:t>
            </w:r>
          </w:p>
        </w:tc>
      </w:tr>
      <w:tr w14:paraId="3695A524">
        <w:tblPrEx>
          <w:tblCellMar>
            <w:top w:w="0" w:type="dxa"/>
            <w:left w:w="108" w:type="dxa"/>
            <w:bottom w:w="0" w:type="dxa"/>
            <w:right w:w="108" w:type="dxa"/>
          </w:tblCellMar>
        </w:tblPrEx>
        <w:tc>
          <w:p w14:paraId="206B1DBE">
            <w:pPr>
              <w:pStyle w:val="24"/>
            </w:pPr>
            <w:r>
              <w:rPr>
                <w:b/>
                <w:bCs/>
              </w:rPr>
              <w:t>All expressions (2–4 steps)</w:t>
            </w:r>
          </w:p>
        </w:tc>
        <w:tc>
          <w:p w14:paraId="53DE4D3B">
            <w:pPr>
              <w:pStyle w:val="24"/>
            </w:pPr>
            <w:r>
              <w:rPr>
                <w:b/>
                <w:bCs/>
              </w:rPr>
              <w:t>0.9920</w:t>
            </w:r>
          </w:p>
        </w:tc>
        <w:tc>
          <w:p w14:paraId="111A2D1C">
            <w:pPr>
              <w:pStyle w:val="24"/>
            </w:pPr>
            <w:r>
              <w:rPr>
                <w:b/>
                <w:bCs/>
              </w:rPr>
              <w:t>0.9828</w:t>
            </w:r>
          </w:p>
        </w:tc>
      </w:tr>
      <w:tr w14:paraId="0F11A9C9">
        <w:tblPrEx>
          <w:tblCellMar>
            <w:top w:w="0" w:type="dxa"/>
            <w:left w:w="108" w:type="dxa"/>
            <w:bottom w:w="0" w:type="dxa"/>
            <w:right w:w="108" w:type="dxa"/>
          </w:tblCellMar>
        </w:tblPrEx>
        <w:tc>
          <w:p w14:paraId="6AB3E8AE">
            <w:pPr>
              <w:pStyle w:val="24"/>
            </w:pPr>
            <w:r>
              <w:t>2-step</w:t>
            </w:r>
          </w:p>
        </w:tc>
        <w:tc>
          <w:p w14:paraId="5B7C024E">
            <w:pPr>
              <w:pStyle w:val="24"/>
            </w:pPr>
            <w:r>
              <w:t>0.9912</w:t>
            </w:r>
          </w:p>
        </w:tc>
        <w:tc>
          <w:p w14:paraId="01720C3F">
            <w:pPr>
              <w:pStyle w:val="24"/>
            </w:pPr>
            <w:r>
              <w:t>0.9831</w:t>
            </w:r>
          </w:p>
        </w:tc>
      </w:tr>
      <w:tr w14:paraId="27A7482C">
        <w:tblPrEx>
          <w:tblCellMar>
            <w:top w:w="0" w:type="dxa"/>
            <w:left w:w="108" w:type="dxa"/>
            <w:bottom w:w="0" w:type="dxa"/>
            <w:right w:w="108" w:type="dxa"/>
          </w:tblCellMar>
        </w:tblPrEx>
        <w:tc>
          <w:p w14:paraId="3796E867">
            <w:pPr>
              <w:pStyle w:val="24"/>
            </w:pPr>
            <w:r>
              <w:t>3-step</w:t>
            </w:r>
          </w:p>
        </w:tc>
        <w:tc>
          <w:p w14:paraId="1D267463">
            <w:pPr>
              <w:pStyle w:val="24"/>
            </w:pPr>
            <w:r>
              <w:t>0.9935</w:t>
            </w:r>
          </w:p>
        </w:tc>
        <w:tc>
          <w:p w14:paraId="7E3BBD29">
            <w:pPr>
              <w:pStyle w:val="24"/>
            </w:pPr>
            <w:r>
              <w:t>0.9843</w:t>
            </w:r>
          </w:p>
        </w:tc>
      </w:tr>
      <w:tr w14:paraId="0F950178">
        <w:tblPrEx>
          <w:tblCellMar>
            <w:top w:w="0" w:type="dxa"/>
            <w:left w:w="108" w:type="dxa"/>
            <w:bottom w:w="0" w:type="dxa"/>
            <w:right w:w="108" w:type="dxa"/>
          </w:tblCellMar>
        </w:tblPrEx>
        <w:tc>
          <w:p w14:paraId="3605A2E9">
            <w:pPr>
              <w:pStyle w:val="24"/>
            </w:pPr>
            <w:r>
              <w:t>4-step</w:t>
            </w:r>
          </w:p>
        </w:tc>
        <w:tc>
          <w:p w14:paraId="1B2D84E7">
            <w:pPr>
              <w:pStyle w:val="24"/>
            </w:pPr>
            <w:r>
              <w:t>0.9910</w:t>
            </w:r>
          </w:p>
        </w:tc>
        <w:tc>
          <w:p w14:paraId="51A417C3">
            <w:pPr>
              <w:pStyle w:val="24"/>
            </w:pPr>
            <w:r>
              <w:t>0.9812</w:t>
            </w:r>
          </w:p>
        </w:tc>
      </w:tr>
    </w:tbl>
    <w:p w14:paraId="48ECE4CD">
      <w:pPr>
        <w:pStyle w:val="3"/>
      </w:pPr>
      <w:r>
        <w:rPr>
          <w:b/>
          <w:bCs/>
        </w:rPr>
        <w:t>Conclusion:</w:t>
      </w:r>
      <w:r>
        <w:br w:type="textWrapping"/>
      </w:r>
      <w:r>
        <w:t xml:space="preserve">RED achieves &gt;0.99 across all depths, confirming that modular arithmetic execution is </w:t>
      </w:r>
      <w:r>
        <w:rPr>
          <w:i/>
          <w:iCs/>
        </w:rPr>
        <w:t>not</w:t>
      </w:r>
      <w:r>
        <w:t xml:space="preserve"> the limiting factor in Section 4.7. The difficulty there arises from learning multi-step structure implicitly.</w:t>
      </w:r>
    </w:p>
    <w:p w14:paraId="34093F51">
      <w:r>
        <w:pict>
          <v:rect id="_x0000_i1041" o:spt="1" style="height:1.5pt;width:0pt;" coordsize="21600,21600" o:hr="t" o:hrstd="t" o:hralign="center">
            <v:path/>
            <v:fill focussize="0,0"/>
            <v:stroke/>
            <v:imagedata o:title=""/>
            <o:lock v:ext="edit"/>
            <w10:wrap type="none"/>
            <w10:anchorlock/>
          </v:rect>
        </w:pict>
      </w:r>
    </w:p>
    <w:bookmarkEnd w:id="66"/>
    <w:p w14:paraId="72DE73D8">
      <w:pPr>
        <w:pStyle w:val="5"/>
      </w:pPr>
      <w:bookmarkStart w:id="67" w:name="allfix-baseline-lower-bound"/>
      <w:r>
        <w:t>4.8.4 AllFix Baseline (Lower Bound)</w:t>
      </w:r>
    </w:p>
    <w:p w14:paraId="4E2FD6E3">
      <w:pPr>
        <w:pStyle w:val="23"/>
      </w:pPr>
      <w:r>
        <w:t>AllFix enforces equal weights on addition and subtraction experts → no routing, no specialization.</w:t>
      </w:r>
    </w:p>
    <w:tbl>
      <w:tblPr>
        <w:tblStyle w:val="41"/>
        <w:tblW w:w="0" w:type="auto"/>
        <w:tblInd w:w="0" w:type="dxa"/>
        <w:tblLayout w:type="autofit"/>
        <w:tblCellMar>
          <w:top w:w="0" w:type="dxa"/>
          <w:left w:w="108" w:type="dxa"/>
          <w:bottom w:w="0" w:type="dxa"/>
          <w:right w:w="108" w:type="dxa"/>
        </w:tblCellMar>
      </w:tblPr>
      <w:tblGrid>
        <w:gridCol w:w="3311"/>
        <w:gridCol w:w="1203"/>
        <w:gridCol w:w="1243"/>
      </w:tblGrid>
      <w:tr w14:paraId="6A7CCF58">
        <w:tblPrEx>
          <w:tblCellMar>
            <w:top w:w="0" w:type="dxa"/>
            <w:left w:w="108" w:type="dxa"/>
            <w:bottom w:w="0" w:type="dxa"/>
            <w:right w:w="108" w:type="dxa"/>
          </w:tblCellMar>
        </w:tblPrEx>
        <w:trPr>
          <w:tblHeader/>
        </w:trPr>
        <w:tc>
          <w:p w14:paraId="0AFFA960">
            <w:pPr>
              <w:pStyle w:val="24"/>
            </w:pPr>
            <w:r>
              <w:t>Setting</w:t>
            </w:r>
          </w:p>
        </w:tc>
        <w:tc>
          <w:p w14:paraId="067A9A34">
            <w:pPr>
              <w:pStyle w:val="24"/>
            </w:pPr>
            <w:r>
              <w:t>Accuracy</w:t>
            </w:r>
          </w:p>
        </w:tc>
        <w:tc>
          <w:p w14:paraId="46B87F52">
            <w:pPr>
              <w:pStyle w:val="24"/>
            </w:pPr>
            <w:r>
              <w:t>Macro-F1</w:t>
            </w:r>
          </w:p>
        </w:tc>
      </w:tr>
      <w:tr w14:paraId="515A38FC">
        <w:tblPrEx>
          <w:tblCellMar>
            <w:top w:w="0" w:type="dxa"/>
            <w:left w:w="108" w:type="dxa"/>
            <w:bottom w:w="0" w:type="dxa"/>
            <w:right w:w="108" w:type="dxa"/>
          </w:tblCellMar>
        </w:tblPrEx>
        <w:tc>
          <w:p w14:paraId="7A87A55C">
            <w:pPr>
              <w:pStyle w:val="24"/>
            </w:pPr>
            <w:r>
              <w:rPr>
                <w:b/>
                <w:bCs/>
              </w:rPr>
              <w:t>All expressions (2–4 steps)</w:t>
            </w:r>
          </w:p>
        </w:tc>
        <w:tc>
          <w:p w14:paraId="6839A010">
            <w:pPr>
              <w:pStyle w:val="24"/>
            </w:pPr>
            <w:r>
              <w:rPr>
                <w:b/>
                <w:bCs/>
              </w:rPr>
              <w:t>0.3216</w:t>
            </w:r>
          </w:p>
        </w:tc>
        <w:tc>
          <w:p w14:paraId="2E383FC4">
            <w:pPr>
              <w:pStyle w:val="24"/>
            </w:pPr>
            <w:r>
              <w:rPr>
                <w:b/>
                <w:bCs/>
              </w:rPr>
              <w:t>0.3014</w:t>
            </w:r>
          </w:p>
        </w:tc>
      </w:tr>
      <w:tr w14:paraId="249EDA3A">
        <w:tblPrEx>
          <w:tblCellMar>
            <w:top w:w="0" w:type="dxa"/>
            <w:left w:w="108" w:type="dxa"/>
            <w:bottom w:w="0" w:type="dxa"/>
            <w:right w:w="108" w:type="dxa"/>
          </w:tblCellMar>
        </w:tblPrEx>
        <w:tc>
          <w:p w14:paraId="1A95760F">
            <w:pPr>
              <w:pStyle w:val="24"/>
            </w:pPr>
            <w:r>
              <w:t>2-step</w:t>
            </w:r>
          </w:p>
        </w:tc>
        <w:tc>
          <w:p w14:paraId="458D2C50">
            <w:pPr>
              <w:pStyle w:val="24"/>
            </w:pPr>
            <w:r>
              <w:t>0.4121</w:t>
            </w:r>
          </w:p>
        </w:tc>
        <w:tc>
          <w:p w14:paraId="19DDE050">
            <w:pPr>
              <w:pStyle w:val="24"/>
            </w:pPr>
            <w:r>
              <w:t>0.3879</w:t>
            </w:r>
          </w:p>
        </w:tc>
      </w:tr>
      <w:tr w14:paraId="1AC173C2">
        <w:tblPrEx>
          <w:tblCellMar>
            <w:top w:w="0" w:type="dxa"/>
            <w:left w:w="108" w:type="dxa"/>
            <w:bottom w:w="0" w:type="dxa"/>
            <w:right w:w="108" w:type="dxa"/>
          </w:tblCellMar>
        </w:tblPrEx>
        <w:tc>
          <w:p w14:paraId="3A229892">
            <w:pPr>
              <w:pStyle w:val="24"/>
            </w:pPr>
            <w:r>
              <w:t>3-step</w:t>
            </w:r>
          </w:p>
        </w:tc>
        <w:tc>
          <w:p w14:paraId="6D30878A">
            <w:pPr>
              <w:pStyle w:val="24"/>
            </w:pPr>
            <w:r>
              <w:t>0.3313</w:t>
            </w:r>
          </w:p>
        </w:tc>
        <w:tc>
          <w:p w14:paraId="5EF9B9F6">
            <w:pPr>
              <w:pStyle w:val="24"/>
            </w:pPr>
            <w:r>
              <w:t>0.3094</w:t>
            </w:r>
          </w:p>
        </w:tc>
      </w:tr>
      <w:tr w14:paraId="304D95B8">
        <w:tblPrEx>
          <w:tblCellMar>
            <w:top w:w="0" w:type="dxa"/>
            <w:left w:w="108" w:type="dxa"/>
            <w:bottom w:w="0" w:type="dxa"/>
            <w:right w:w="108" w:type="dxa"/>
          </w:tblCellMar>
        </w:tblPrEx>
        <w:tc>
          <w:p w14:paraId="385199C4">
            <w:pPr>
              <w:pStyle w:val="24"/>
            </w:pPr>
            <w:r>
              <w:t>4-step</w:t>
            </w:r>
          </w:p>
        </w:tc>
        <w:tc>
          <w:p w14:paraId="49B2C642">
            <w:pPr>
              <w:pStyle w:val="24"/>
            </w:pPr>
            <w:r>
              <w:t>0.2674</w:t>
            </w:r>
          </w:p>
        </w:tc>
        <w:tc>
          <w:p w14:paraId="3304862F">
            <w:pPr>
              <w:pStyle w:val="24"/>
            </w:pPr>
            <w:r>
              <w:t>0.2455</w:t>
            </w:r>
          </w:p>
        </w:tc>
      </w:tr>
    </w:tbl>
    <w:p w14:paraId="50794F14">
      <w:pPr>
        <w:pStyle w:val="3"/>
      </w:pPr>
      <w:r>
        <w:rPr>
          <w:b/>
          <w:bCs/>
        </w:rPr>
        <w:t>Interpretation:</w:t>
      </w:r>
      <w:r>
        <w:br w:type="textWrapping"/>
      </w:r>
      <w:r>
        <w:t>This experiment isolates a crucial insight: - Expert execution alone is insufficient.</w:t>
      </w:r>
      <w:r>
        <w:br w:type="textWrapping"/>
      </w:r>
      <w:r>
        <w:t xml:space="preserve">- </w:t>
      </w:r>
      <w:r>
        <w:rPr>
          <w:b/>
          <w:bCs/>
        </w:rPr>
        <w:t>Correct routing is essential</w:t>
      </w:r>
      <w:r>
        <w:t xml:space="preserve"> for multi-step reasoning.</w:t>
      </w:r>
    </w:p>
    <w:p w14:paraId="2D47E09F">
      <w:r>
        <w:pict>
          <v:rect id="_x0000_i1042" o:spt="1" style="height:1.5pt;width:0pt;" coordsize="21600,21600" o:hr="t" o:hrstd="t" o:hralign="center">
            <v:path/>
            <v:fill focussize="0,0"/>
            <v:stroke/>
            <v:imagedata o:title=""/>
            <o:lock v:ext="edit"/>
            <w10:wrap type="none"/>
            <w10:anchorlock/>
          </v:rect>
        </w:pict>
      </w:r>
    </w:p>
    <w:bookmarkEnd w:id="67"/>
    <w:p w14:paraId="12AE675E">
      <w:pPr>
        <w:pStyle w:val="5"/>
      </w:pPr>
      <w:bookmarkStart w:id="68" w:name="classical-moe-baseline-middle-bound"/>
      <w:r>
        <w:t>4.8.5 Classical MoE Baseline (Middle Bound)</w:t>
      </w:r>
    </w:p>
    <w:tbl>
      <w:tblPr>
        <w:tblStyle w:val="41"/>
        <w:tblW w:w="0" w:type="auto"/>
        <w:tblInd w:w="0" w:type="dxa"/>
        <w:tblLayout w:type="autofit"/>
        <w:tblCellMar>
          <w:top w:w="0" w:type="dxa"/>
          <w:left w:w="108" w:type="dxa"/>
          <w:bottom w:w="0" w:type="dxa"/>
          <w:right w:w="108" w:type="dxa"/>
        </w:tblCellMar>
      </w:tblPr>
      <w:tblGrid>
        <w:gridCol w:w="3311"/>
        <w:gridCol w:w="1203"/>
        <w:gridCol w:w="1243"/>
      </w:tblGrid>
      <w:tr w14:paraId="5A7AC8B6">
        <w:tblPrEx>
          <w:tblCellMar>
            <w:top w:w="0" w:type="dxa"/>
            <w:left w:w="108" w:type="dxa"/>
            <w:bottom w:w="0" w:type="dxa"/>
            <w:right w:w="108" w:type="dxa"/>
          </w:tblCellMar>
        </w:tblPrEx>
        <w:trPr>
          <w:tblHeader/>
        </w:trPr>
        <w:tc>
          <w:p w14:paraId="26454274">
            <w:pPr>
              <w:pStyle w:val="24"/>
            </w:pPr>
            <w:r>
              <w:t>Setting</w:t>
            </w:r>
          </w:p>
        </w:tc>
        <w:tc>
          <w:p w14:paraId="72777F81">
            <w:pPr>
              <w:pStyle w:val="24"/>
            </w:pPr>
            <w:r>
              <w:t>Accuracy</w:t>
            </w:r>
          </w:p>
        </w:tc>
        <w:tc>
          <w:p w14:paraId="715A4C7C">
            <w:pPr>
              <w:pStyle w:val="24"/>
            </w:pPr>
            <w:r>
              <w:t>Macro-F1</w:t>
            </w:r>
          </w:p>
        </w:tc>
      </w:tr>
      <w:tr w14:paraId="349D9E8C">
        <w:tblPrEx>
          <w:tblCellMar>
            <w:top w:w="0" w:type="dxa"/>
            <w:left w:w="108" w:type="dxa"/>
            <w:bottom w:w="0" w:type="dxa"/>
            <w:right w:w="108" w:type="dxa"/>
          </w:tblCellMar>
        </w:tblPrEx>
        <w:tc>
          <w:p w14:paraId="32C0C431">
            <w:pPr>
              <w:pStyle w:val="24"/>
            </w:pPr>
            <w:r>
              <w:rPr>
                <w:b/>
                <w:bCs/>
              </w:rPr>
              <w:t>All expressions (2–4 steps)</w:t>
            </w:r>
          </w:p>
        </w:tc>
        <w:tc>
          <w:p w14:paraId="2E47CBF2">
            <w:pPr>
              <w:pStyle w:val="24"/>
            </w:pPr>
            <w:r>
              <w:rPr>
                <w:b/>
                <w:bCs/>
              </w:rPr>
              <w:t>0.8391</w:t>
            </w:r>
          </w:p>
        </w:tc>
        <w:tc>
          <w:p w14:paraId="016F9343">
            <w:pPr>
              <w:pStyle w:val="24"/>
            </w:pPr>
            <w:r>
              <w:rPr>
                <w:b/>
                <w:bCs/>
              </w:rPr>
              <w:t>0.8279</w:t>
            </w:r>
          </w:p>
        </w:tc>
      </w:tr>
      <w:tr w14:paraId="73684A91">
        <w:tblPrEx>
          <w:tblCellMar>
            <w:top w:w="0" w:type="dxa"/>
            <w:left w:w="108" w:type="dxa"/>
            <w:bottom w:w="0" w:type="dxa"/>
            <w:right w:w="108" w:type="dxa"/>
          </w:tblCellMar>
        </w:tblPrEx>
        <w:tc>
          <w:p w14:paraId="7E21698C">
            <w:pPr>
              <w:pStyle w:val="24"/>
            </w:pPr>
            <w:r>
              <w:t>2-step</w:t>
            </w:r>
          </w:p>
        </w:tc>
        <w:tc>
          <w:p w14:paraId="08795114">
            <w:pPr>
              <w:pStyle w:val="24"/>
            </w:pPr>
            <w:r>
              <w:t>0.8603</w:t>
            </w:r>
          </w:p>
        </w:tc>
        <w:tc>
          <w:p w14:paraId="2FF28851">
            <w:pPr>
              <w:pStyle w:val="24"/>
            </w:pPr>
            <w:r>
              <w:t>0.8455</w:t>
            </w:r>
          </w:p>
        </w:tc>
      </w:tr>
      <w:tr w14:paraId="2E29DFF6">
        <w:tblPrEx>
          <w:tblCellMar>
            <w:top w:w="0" w:type="dxa"/>
            <w:left w:w="108" w:type="dxa"/>
            <w:bottom w:w="0" w:type="dxa"/>
            <w:right w:w="108" w:type="dxa"/>
          </w:tblCellMar>
        </w:tblPrEx>
        <w:tc>
          <w:p w14:paraId="2B30DF15">
            <w:pPr>
              <w:pStyle w:val="24"/>
            </w:pPr>
            <w:r>
              <w:t>3-step</w:t>
            </w:r>
          </w:p>
        </w:tc>
        <w:tc>
          <w:p w14:paraId="5EE1B4FA">
            <w:pPr>
              <w:pStyle w:val="24"/>
            </w:pPr>
            <w:r>
              <w:t>0.8411</w:t>
            </w:r>
          </w:p>
        </w:tc>
        <w:tc>
          <w:p w14:paraId="4D414957">
            <w:pPr>
              <w:pStyle w:val="24"/>
            </w:pPr>
            <w:r>
              <w:t>0.8343</w:t>
            </w:r>
          </w:p>
        </w:tc>
      </w:tr>
      <w:tr w14:paraId="6FA94448">
        <w:tblPrEx>
          <w:tblCellMar>
            <w:top w:w="0" w:type="dxa"/>
            <w:left w:w="108" w:type="dxa"/>
            <w:bottom w:w="0" w:type="dxa"/>
            <w:right w:w="108" w:type="dxa"/>
          </w:tblCellMar>
        </w:tblPrEx>
        <w:tc>
          <w:p w14:paraId="10892930">
            <w:pPr>
              <w:pStyle w:val="24"/>
            </w:pPr>
            <w:r>
              <w:t>4-step</w:t>
            </w:r>
          </w:p>
        </w:tc>
        <w:tc>
          <w:p w14:paraId="6D9FE35E">
            <w:pPr>
              <w:pStyle w:val="24"/>
            </w:pPr>
            <w:r>
              <w:t>0.8267</w:t>
            </w:r>
          </w:p>
        </w:tc>
        <w:tc>
          <w:p w14:paraId="2EFF8204">
            <w:pPr>
              <w:pStyle w:val="24"/>
            </w:pPr>
            <w:r>
              <w:t>0.8078</w:t>
            </w:r>
          </w:p>
        </w:tc>
      </w:tr>
    </w:tbl>
    <w:p w14:paraId="2C9C71E6">
      <w:pPr>
        <w:pStyle w:val="3"/>
      </w:pPr>
      <w:r>
        <w:rPr>
          <w:b/>
          <w:bCs/>
        </w:rPr>
        <w:t>Interpretation:</w:t>
      </w:r>
      <w:r>
        <w:t xml:space="preserve"> - MoE works better than AllFix (routing &gt; no routing) - But still fails to approach RED - Errors compound with depth → instability in multi-step chains</w:t>
      </w:r>
    </w:p>
    <w:p w14:paraId="61A48CAF">
      <w:r>
        <w:pict>
          <v:rect id="_x0000_i1043" o:spt="1" style="height:1.5pt;width:0pt;" coordsize="21600,21600" o:hr="t" o:hrstd="t" o:hralign="center">
            <v:path/>
            <v:fill focussize="0,0"/>
            <v:stroke/>
            <v:imagedata o:title=""/>
            <o:lock v:ext="edit"/>
            <w10:wrap type="none"/>
            <w10:anchorlock/>
          </v:rect>
        </w:pict>
      </w:r>
    </w:p>
    <w:bookmarkEnd w:id="68"/>
    <w:p w14:paraId="2D9ACACF">
      <w:pPr>
        <w:pStyle w:val="5"/>
      </w:pPr>
      <w:bookmarkStart w:id="69" w:name="key-findings-all-redundancy-removed"/>
      <w:r>
        <w:t>4.8.6 Key Findings (All redundancy removed)</w:t>
      </w:r>
    </w:p>
    <w:p w14:paraId="5F1F6001">
      <w:pPr>
        <w:pStyle w:val="23"/>
      </w:pPr>
      <w:r>
        <w:t xml:space="preserve">Section 4.8 now provides </w:t>
      </w:r>
      <w:r>
        <w:rPr>
          <w:b/>
          <w:bCs/>
        </w:rPr>
        <w:t>only scientific conclusions</w:t>
      </w:r>
      <w:r>
        <w:t>, not duplicated training descriptions:</w:t>
      </w:r>
    </w:p>
    <w:p w14:paraId="284B7503">
      <w:pPr>
        <w:numPr>
          <w:ilvl w:val="0"/>
          <w:numId w:val="8"/>
        </w:numPr>
      </w:pPr>
      <w:r>
        <w:rPr>
          <w:b/>
          <w:bCs/>
        </w:rPr>
        <w:t>Execution is easy; structure is hard.</w:t>
      </w:r>
      <w:r>
        <w:br w:type="textWrapping"/>
      </w:r>
      <w:r>
        <w:t>Once the steps are known, modular execution reaches &gt;0.99.</w:t>
      </w:r>
    </w:p>
    <w:p w14:paraId="0DCB217C">
      <w:pPr>
        <w:numPr>
          <w:ilvl w:val="0"/>
          <w:numId w:val="8"/>
        </w:numPr>
      </w:pPr>
      <w:r>
        <w:rPr>
          <w:b/>
          <w:bCs/>
        </w:rPr>
        <w:t>Routing quality determines system performance.</w:t>
      </w:r>
      <w:r>
        <w:t xml:space="preserve"> AllFix (0.32) → MoE (0.84) → RED (0.99+) forms a clean difficulty spectrum.</w:t>
      </w:r>
    </w:p>
    <w:p w14:paraId="008B6829">
      <w:pPr>
        <w:numPr>
          <w:ilvl w:val="0"/>
          <w:numId w:val="8"/>
        </w:numPr>
      </w:pPr>
      <w:r>
        <w:rPr>
          <w:b/>
          <w:bCs/>
        </w:rPr>
        <w:t>Modularity enables decomposition of reasoning tasks.</w:t>
      </w:r>
    </w:p>
    <w:p w14:paraId="548B8984">
      <w:pPr>
        <w:pStyle w:val="24"/>
        <w:numPr>
          <w:ilvl w:val="1"/>
          <w:numId w:val="2"/>
        </w:numPr>
      </w:pPr>
      <w:r>
        <w:t>Step decomposer = planning module</w:t>
      </w:r>
      <w:r>
        <w:br w:type="textWrapping"/>
      </w:r>
    </w:p>
    <w:p w14:paraId="47EDF590">
      <w:pPr>
        <w:pStyle w:val="24"/>
        <w:numPr>
          <w:ilvl w:val="1"/>
          <w:numId w:val="2"/>
        </w:numPr>
      </w:pPr>
      <w:r>
        <w:t>Experts = computation modules</w:t>
      </w:r>
      <w:r>
        <w:br w:type="textWrapping"/>
      </w:r>
    </w:p>
    <w:p w14:paraId="6E7FF982">
      <w:pPr>
        <w:pStyle w:val="24"/>
        <w:numPr>
          <w:ilvl w:val="1"/>
          <w:numId w:val="2"/>
        </w:numPr>
      </w:pPr>
      <w:r>
        <w:t>Router = assignment module</w:t>
      </w:r>
      <w:r>
        <w:br w:type="textWrapping"/>
      </w:r>
      <w:r>
        <w:t>Together they form a strongly composable system.</w:t>
      </w:r>
    </w:p>
    <w:p w14:paraId="4AD50222">
      <w:pPr>
        <w:numPr>
          <w:ilvl w:val="0"/>
          <w:numId w:val="8"/>
        </w:numPr>
      </w:pPr>
      <w:r>
        <w:rPr>
          <w:b/>
          <w:bCs/>
        </w:rPr>
        <w:t>This experiment validates the entire modular architecture introduced in Section 4.5.</w:t>
      </w:r>
      <w:r>
        <w:br w:type="textWrapping"/>
      </w:r>
      <w:r>
        <w:t xml:space="preserve">Instead of repeating training details, Section 4.8 shows the </w:t>
      </w:r>
      <w:r>
        <w:rPr>
          <w:i/>
          <w:iCs/>
        </w:rPr>
        <w:t>functional outcome</w:t>
      </w:r>
      <w:r>
        <w:t xml:space="preserve"> of modular design.</w:t>
      </w:r>
    </w:p>
    <w:p w14:paraId="49AFAEB3">
      <w:r>
        <w:pict>
          <v:rect id="_x0000_i1044" o:spt="1" style="height:1.5pt;width:0pt;" coordsize="21600,21600" o:hr="t" o:hrstd="t" o:hralign="center">
            <v:path/>
            <v:fill focussize="0,0"/>
            <v:stroke/>
            <v:imagedata o:title=""/>
            <o:lock v:ext="edit"/>
            <w10:wrap type="none"/>
            <w10:anchorlock/>
          </v:rect>
        </w:pict>
      </w:r>
    </w:p>
    <w:bookmarkEnd w:id="69"/>
    <w:p w14:paraId="3A826F8C">
      <w:pPr>
        <w:pStyle w:val="5"/>
      </w:pPr>
      <w:bookmarkStart w:id="70" w:name="summary-2"/>
      <w:r>
        <w:t>4.8.7 Summary</w:t>
      </w:r>
    </w:p>
    <w:p w14:paraId="6F27A53C">
      <w:pPr>
        <w:pStyle w:val="23"/>
      </w:pPr>
      <w:r>
        <w:t xml:space="preserve">This revised version removes all duplicated training information and focuses exclusively on </w:t>
      </w:r>
      <w:r>
        <w:rPr>
          <w:b/>
          <w:bCs/>
        </w:rPr>
        <w:t>evaluation</w:t>
      </w:r>
      <w:r>
        <w:t xml:space="preserve"> and </w:t>
      </w:r>
      <w:r>
        <w:rPr>
          <w:b/>
          <w:bCs/>
        </w:rPr>
        <w:t>comparative insights</w:t>
      </w:r>
      <w:r>
        <w:t>, completing the logical chain:</w:t>
      </w:r>
    </w:p>
    <w:p w14:paraId="3A4BF030">
      <w:pPr>
        <w:pStyle w:val="24"/>
        <w:numPr>
          <w:ilvl w:val="0"/>
          <w:numId w:val="2"/>
        </w:numPr>
      </w:pPr>
      <w:r>
        <w:rPr>
          <w:b/>
          <w:bCs/>
        </w:rPr>
        <w:t>4.5: How the system is trained</w:t>
      </w:r>
    </w:p>
    <w:p w14:paraId="5589533C">
      <w:pPr>
        <w:pStyle w:val="24"/>
        <w:numPr>
          <w:ilvl w:val="0"/>
          <w:numId w:val="2"/>
        </w:numPr>
      </w:pPr>
      <w:r>
        <w:rPr>
          <w:b/>
          <w:bCs/>
        </w:rPr>
        <w:t>4.7: What happens under end-to-end arithmetic learning</w:t>
      </w:r>
    </w:p>
    <w:p w14:paraId="1AF8AE58">
      <w:pPr>
        <w:pStyle w:val="24"/>
        <w:numPr>
          <w:ilvl w:val="0"/>
          <w:numId w:val="2"/>
        </w:numPr>
      </w:pPr>
      <w:r>
        <w:rPr>
          <w:b/>
          <w:bCs/>
        </w:rPr>
        <w:t>4.8: What happens when structure is provided and experts are used optimally</w:t>
      </w:r>
    </w:p>
    <w:p w14:paraId="32AE2C39">
      <w:pPr>
        <w:pStyle w:val="23"/>
      </w:pPr>
      <w:r>
        <w:t>This separation makes Section 4.8 scientifically cleaner, more focused, and non-redundant.</w:t>
      </w:r>
    </w:p>
    <w:bookmarkEnd w:id="63"/>
    <w:bookmarkEnd w:id="70"/>
    <w:p w14:paraId="17F44D62">
      <w:pPr>
        <w:pStyle w:val="4"/>
      </w:pPr>
      <w:bookmarkStart w:id="71" w:name="X3b57c895cf8593dc695ed30ac1d9d2479199607"/>
      <w:r>
        <w:t>4.9 Ablation Studies (Fully Corrected and Updated)</w:t>
      </w:r>
    </w:p>
    <w:p w14:paraId="7E6FACCA">
      <w:pPr>
        <w:pStyle w:val="23"/>
      </w:pPr>
      <w:r>
        <w:t xml:space="preserve">This section evaluates the contribution of each architectural component of RED using </w:t>
      </w:r>
      <w:r>
        <w:rPr>
          <w:b/>
          <w:bCs/>
        </w:rPr>
        <w:t>Task 1 (pure addition)</w:t>
      </w:r>
      <w:r>
        <w:t xml:space="preserve"> and </w:t>
      </w:r>
      <w:r>
        <w:rPr>
          <w:b/>
          <w:bCs/>
        </w:rPr>
        <w:t>Task 2 (mixed arithmetic)</w:t>
      </w:r>
      <w:r>
        <w:t xml:space="preserve">. The earlier version of 4.9 contained placeholder values and outdated interpretations; the revised version below reflects </w:t>
      </w:r>
      <w:r>
        <w:rPr>
          <w:b/>
          <w:bCs/>
        </w:rPr>
        <w:t>the actual final results</w:t>
      </w:r>
      <w:r>
        <w:t xml:space="preserve"> from Sections 4.6–4.8 and corrects all inconsistencies.</w:t>
      </w:r>
    </w:p>
    <w:p w14:paraId="0742F550">
      <w:pPr>
        <w:pStyle w:val="3"/>
      </w:pPr>
      <w:r>
        <w:t xml:space="preserve">The ablation studies now follow three principles: 1. </w:t>
      </w:r>
      <w:r>
        <w:rPr>
          <w:b/>
          <w:bCs/>
        </w:rPr>
        <w:t>Use real evaluated numbers</w:t>
      </w:r>
      <w:r>
        <w:t xml:space="preserve"> (no placeholders). 2. </w:t>
      </w:r>
      <w:r>
        <w:rPr>
          <w:b/>
          <w:bCs/>
        </w:rPr>
        <w:t>Ensure consistency</w:t>
      </w:r>
      <w:r>
        <w:t xml:space="preserve"> with the training pipeline in Section 4.5. 3. </w:t>
      </w:r>
      <w:r>
        <w:rPr>
          <w:b/>
          <w:bCs/>
        </w:rPr>
        <w:t>Avoid overlap</w:t>
      </w:r>
      <w:r>
        <w:t xml:space="preserve"> with Section 4.8 (which analyzes execution, not architecture).</w:t>
      </w:r>
    </w:p>
    <w:p w14:paraId="5F5FDB03">
      <w:r>
        <w:pict>
          <v:rect id="_x0000_i1045" o:spt="1" style="height:1.5pt;width:0pt;" coordsize="21600,21600" o:hr="t" o:hrstd="t" o:hralign="center">
            <v:path/>
            <v:fill focussize="0,0"/>
            <v:stroke/>
            <v:imagedata o:title=""/>
            <o:lock v:ext="edit"/>
            <w10:wrap type="none"/>
            <w10:anchorlock/>
          </v:rect>
        </w:pict>
      </w:r>
    </w:p>
    <w:bookmarkEnd w:id="71"/>
    <w:p w14:paraId="565AB013">
      <w:pPr>
        <w:pStyle w:val="4"/>
      </w:pPr>
      <w:bookmarkStart w:id="72" w:name="effect-of-removing-the-residual-path"/>
      <w:r>
        <w:t>4.9.1 Effect of Removing the Residual Path</w:t>
      </w:r>
    </w:p>
    <w:p w14:paraId="362C1482">
      <w:pPr>
        <w:pStyle w:val="23"/>
      </w:pPr>
      <w:r>
        <w:t xml:space="preserve">This experiment replaces RED’s residual gating with </w:t>
      </w:r>
      <w:r>
        <w:rPr>
          <w:b/>
          <w:bCs/>
        </w:rPr>
        <w:t>classical softmax MoE gating</w:t>
      </w:r>
      <w:r>
        <w:t xml:space="preserve"> while keeping all experts and the backbone identical.</w:t>
      </w:r>
    </w:p>
    <w:tbl>
      <w:tblPr>
        <w:tblStyle w:val="41"/>
        <w:tblW w:w="0" w:type="auto"/>
        <w:tblInd w:w="0" w:type="dxa"/>
        <w:tblLayout w:type="autofit"/>
        <w:tblCellMar>
          <w:top w:w="0" w:type="dxa"/>
          <w:left w:w="108" w:type="dxa"/>
          <w:bottom w:w="0" w:type="dxa"/>
          <w:right w:w="108" w:type="dxa"/>
        </w:tblCellMar>
      </w:tblPr>
      <w:tblGrid>
        <w:gridCol w:w="2111"/>
        <w:gridCol w:w="1403"/>
        <w:gridCol w:w="1403"/>
      </w:tblGrid>
      <w:tr w14:paraId="293A4737">
        <w:tblPrEx>
          <w:tblCellMar>
            <w:top w:w="0" w:type="dxa"/>
            <w:left w:w="108" w:type="dxa"/>
            <w:bottom w:w="0" w:type="dxa"/>
            <w:right w:w="108" w:type="dxa"/>
          </w:tblCellMar>
        </w:tblPrEx>
        <w:trPr>
          <w:tblHeader/>
        </w:trPr>
        <w:tc>
          <w:p w14:paraId="7A30F55D">
            <w:pPr>
              <w:pStyle w:val="24"/>
            </w:pPr>
            <w:r>
              <w:t>Model Variant</w:t>
            </w:r>
          </w:p>
        </w:tc>
        <w:tc>
          <w:p w14:paraId="6D8175AF">
            <w:pPr>
              <w:pStyle w:val="24"/>
            </w:pPr>
            <w:r>
              <w:t>Task 1 Acc</w:t>
            </w:r>
          </w:p>
        </w:tc>
        <w:tc>
          <w:p w14:paraId="1FE34489">
            <w:pPr>
              <w:pStyle w:val="24"/>
            </w:pPr>
            <w:r>
              <w:t>Task 2 Acc</w:t>
            </w:r>
          </w:p>
        </w:tc>
      </w:tr>
      <w:tr w14:paraId="0D9DC28B">
        <w:tblPrEx>
          <w:tblCellMar>
            <w:top w:w="0" w:type="dxa"/>
            <w:left w:w="108" w:type="dxa"/>
            <w:bottom w:w="0" w:type="dxa"/>
            <w:right w:w="108" w:type="dxa"/>
          </w:tblCellMar>
        </w:tblPrEx>
        <w:tc>
          <w:p w14:paraId="120F6CB7">
            <w:pPr>
              <w:pStyle w:val="24"/>
            </w:pPr>
            <w:r>
              <w:t>MoE (no residual)</w:t>
            </w:r>
          </w:p>
        </w:tc>
        <w:tc>
          <w:p w14:paraId="27CD94B2">
            <w:pPr>
              <w:pStyle w:val="24"/>
            </w:pPr>
            <w:r>
              <w:t>0.8576</w:t>
            </w:r>
          </w:p>
        </w:tc>
        <w:tc>
          <w:p w14:paraId="470AC098">
            <w:pPr>
              <w:pStyle w:val="24"/>
            </w:pPr>
            <w:r>
              <w:t>0.5338</w:t>
            </w:r>
          </w:p>
        </w:tc>
      </w:tr>
      <w:tr w14:paraId="22A60E1B">
        <w:tblPrEx>
          <w:tblCellMar>
            <w:top w:w="0" w:type="dxa"/>
            <w:left w:w="108" w:type="dxa"/>
            <w:bottom w:w="0" w:type="dxa"/>
            <w:right w:w="108" w:type="dxa"/>
          </w:tblCellMar>
        </w:tblPrEx>
        <w:tc>
          <w:p w14:paraId="3F8F5E91">
            <w:pPr>
              <w:pStyle w:val="24"/>
            </w:pPr>
            <w:r>
              <w:rPr>
                <w:b/>
                <w:bCs/>
              </w:rPr>
              <w:t>RED (full model)</w:t>
            </w:r>
          </w:p>
        </w:tc>
        <w:tc>
          <w:p w14:paraId="252AC1FC">
            <w:pPr>
              <w:pStyle w:val="24"/>
            </w:pPr>
            <w:r>
              <w:rPr>
                <w:b/>
                <w:bCs/>
              </w:rPr>
              <w:t>0.9725</w:t>
            </w:r>
          </w:p>
        </w:tc>
        <w:tc>
          <w:p w14:paraId="72AD57F0">
            <w:pPr>
              <w:pStyle w:val="24"/>
            </w:pPr>
            <w:r>
              <w:rPr>
                <w:b/>
                <w:bCs/>
              </w:rPr>
              <w:t>0.7583</w:t>
            </w:r>
          </w:p>
        </w:tc>
      </w:tr>
    </w:tbl>
    <w:p w14:paraId="5A29DFBC">
      <w:pPr>
        <w:pStyle w:val="3"/>
      </w:pPr>
      <w:r>
        <w:rPr>
          <w:b/>
          <w:bCs/>
        </w:rPr>
        <w:t>Findings:</w:t>
      </w:r>
      <w:r>
        <w:t xml:space="preserve"> - Removing the residual path produces a </w:t>
      </w:r>
      <w:r>
        <w:rPr>
          <w:b/>
          <w:bCs/>
        </w:rPr>
        <w:t>large degradation</w:t>
      </w:r>
      <w:r>
        <w:t xml:space="preserve"> (–11.5% on Task 1, –22.5% on Task 2). - Residual routing stabilizes expert usage across ranges and operators. - Softmax MoE suffers from compounding routing errors in multi-step arithmetic.</w:t>
      </w:r>
    </w:p>
    <w:p w14:paraId="49C2E760">
      <w:pPr>
        <w:pStyle w:val="3"/>
      </w:pPr>
      <w:r>
        <w:rPr>
          <w:b/>
          <w:bCs/>
        </w:rPr>
        <w:t>Conclusion:</w:t>
      </w:r>
      <w:r>
        <w:br w:type="textWrapping"/>
      </w:r>
      <w:r>
        <w:t xml:space="preserve">&gt; The residual path is </w:t>
      </w:r>
      <w:r>
        <w:rPr>
          <w:i/>
          <w:iCs/>
        </w:rPr>
        <w:t>essential</w:t>
      </w:r>
      <w:r>
        <w:t xml:space="preserve"> for stable and accurate modular reasoning.</w:t>
      </w:r>
    </w:p>
    <w:p w14:paraId="558DD564">
      <w:r>
        <w:pict>
          <v:rect id="_x0000_i1046" o:spt="1" style="height:1.5pt;width:0pt;" coordsize="21600,21600" o:hr="t" o:hrstd="t" o:hralign="center">
            <v:path/>
            <v:fill focussize="0,0"/>
            <v:stroke/>
            <v:imagedata o:title=""/>
            <o:lock v:ext="edit"/>
            <w10:wrap type="none"/>
            <w10:anchorlock/>
          </v:rect>
        </w:pict>
      </w:r>
    </w:p>
    <w:bookmarkEnd w:id="72"/>
    <w:p w14:paraId="75780103">
      <w:pPr>
        <w:pStyle w:val="5"/>
      </w:pPr>
      <w:bookmarkStart w:id="73" w:name="number-of-experts"/>
      <w:r>
        <w:t>4.9.2 Number of Experts</w:t>
      </w:r>
    </w:p>
    <w:p w14:paraId="3F4FC479">
      <w:pPr>
        <w:pStyle w:val="23"/>
      </w:pPr>
      <w:r>
        <w:t>In practice, RED does not require a large number of experts to achieve strong performance. We consider two representative configurations:</w:t>
      </w:r>
    </w:p>
    <w:p w14:paraId="2B46F5B8">
      <w:pPr>
        <w:pStyle w:val="24"/>
        <w:numPr>
          <w:ilvl w:val="0"/>
          <w:numId w:val="2"/>
        </w:numPr>
      </w:pPr>
      <w:r>
        <w:t xml:space="preserve">a </w:t>
      </w:r>
      <w:r>
        <w:rPr>
          <w:b/>
          <w:bCs/>
        </w:rPr>
        <w:t>5-expert</w:t>
      </w:r>
      <w:r>
        <w:t xml:space="preserve"> variant on </w:t>
      </w:r>
      <w:r>
        <w:rPr>
          <w:b/>
          <w:bCs/>
        </w:rPr>
        <w:t>Task 1 (single-step addition)</w:t>
      </w:r>
      <w:r>
        <w:t>, where experts are specialized by output ranges (R1–R5), and</w:t>
      </w:r>
      <w:r>
        <w:br w:type="textWrapping"/>
      </w:r>
    </w:p>
    <w:p w14:paraId="1FE97C63">
      <w:pPr>
        <w:pStyle w:val="24"/>
        <w:numPr>
          <w:ilvl w:val="0"/>
          <w:numId w:val="2"/>
        </w:numPr>
      </w:pPr>
      <w:r>
        <w:t xml:space="preserve">a </w:t>
      </w:r>
      <w:r>
        <w:rPr>
          <w:b/>
          <w:bCs/>
        </w:rPr>
        <w:t>2-expert</w:t>
      </w:r>
      <w:r>
        <w:t xml:space="preserve"> variant on </w:t>
      </w:r>
      <w:r>
        <w:rPr>
          <w:b/>
          <w:bCs/>
        </w:rPr>
        <w:t>Task 2 with step-wise decomposition</w:t>
      </w:r>
      <w:r>
        <w:t xml:space="preserve"> (Section 4.8), where one expert handles addition and the other handles subtraction.</w:t>
      </w:r>
    </w:p>
    <w:p w14:paraId="18ED8E62">
      <w:pPr>
        <w:pStyle w:val="23"/>
      </w:pPr>
      <w:r>
        <w:t xml:space="preserve">Despite the fact that the 2-expert setting operates on </w:t>
      </w:r>
      <w:r>
        <w:rPr>
          <w:b/>
          <w:bCs/>
        </w:rPr>
        <w:t>2–4-step mixed arithmetic</w:t>
      </w:r>
      <w:r>
        <w:t xml:space="preserve"> and thus accumulates potential errors across multiple steps, both configurations achieve </w:t>
      </w:r>
      <w:r>
        <w:rPr>
          <w:b/>
          <w:bCs/>
        </w:rPr>
        <w:t>near-perfect execution accuracy (≈0.98–0.99)</w:t>
      </w:r>
      <w:r>
        <w:t xml:space="preserve"> once the correct computation structure is provided (via the step decomposer in the multi-step case).</w:t>
      </w:r>
    </w:p>
    <w:p w14:paraId="510799E1">
      <w:pPr>
        <w:pStyle w:val="3"/>
      </w:pPr>
      <w:r>
        <w:t>This leads to two observations:</w:t>
      </w:r>
    </w:p>
    <w:p w14:paraId="36FABB68">
      <w:pPr>
        <w:numPr>
          <w:ilvl w:val="0"/>
          <w:numId w:val="9"/>
        </w:numPr>
      </w:pPr>
      <w:r>
        <w:rPr>
          <w:b/>
          <w:bCs/>
        </w:rPr>
        <w:t>RED does not rely on a large expert pool.</w:t>
      </w:r>
      <w:r>
        <w:br w:type="textWrapping"/>
      </w:r>
      <w:r>
        <w:t>Even with only two experts (addition and subtraction), RED can execute multi-step expressions almost perfectly.</w:t>
      </w:r>
    </w:p>
    <w:p w14:paraId="20F44727">
      <w:pPr>
        <w:numPr>
          <w:ilvl w:val="0"/>
          <w:numId w:val="9"/>
        </w:numPr>
      </w:pPr>
      <w:r>
        <w:rPr>
          <w:b/>
          <w:bCs/>
        </w:rPr>
        <w:t>The primary bottleneck lies in structure inference, not in expert capacity.</w:t>
      </w:r>
      <w:r>
        <w:br w:type="textWrapping"/>
      </w:r>
      <w:r>
        <w:t>When the step structure is given, both 2-expert and 5-expert RED variants saturate at very high accuracy, indicating that arithmetic execution is intrinsically easy for the modular system.</w:t>
      </w:r>
    </w:p>
    <w:p w14:paraId="2D817DC6">
      <w:pPr>
        <w:pStyle w:val="23"/>
      </w:pPr>
      <w:r>
        <w:t>Therefore, in RED, the number of experts is mainly an engineering degree of freedom (e.g., for distributing training across multiple machines), rather than a critical performance-sensitive hyperparameter.</w:t>
      </w:r>
    </w:p>
    <w:p w14:paraId="53E72BDB">
      <w:r>
        <w:pict>
          <v:rect id="_x0000_i1047" o:spt="1" style="height:1.5pt;width:0pt;" coordsize="21600,21600" o:hr="t" o:hrstd="t" o:hralign="center">
            <v:path/>
            <v:fill focussize="0,0"/>
            <v:stroke/>
            <v:imagedata o:title=""/>
            <o:lock v:ext="edit"/>
            <w10:wrap type="none"/>
            <w10:anchorlock/>
          </v:rect>
        </w:pict>
      </w:r>
    </w:p>
    <w:bookmarkEnd w:id="73"/>
    <w:p w14:paraId="7B927AE5">
      <w:pPr>
        <w:pStyle w:val="4"/>
      </w:pPr>
      <w:bookmarkStart w:id="74" w:name="bottleneck-size-in-residual-adapters"/>
      <w:r>
        <w:t>4.9.3 Bottleneck Size in Residual Adapters</w:t>
      </w:r>
    </w:p>
    <w:p w14:paraId="5DB82B0B">
      <w:pPr>
        <w:pStyle w:val="23"/>
      </w:pPr>
      <w:r>
        <w:t>Residual adapters compress the expert contributions through a low-rank projection. We vary the bottleneck ratio ( r ).</w:t>
      </w:r>
    </w:p>
    <w:tbl>
      <w:tblPr>
        <w:tblStyle w:val="41"/>
        <w:tblW w:w="0" w:type="auto"/>
        <w:tblInd w:w="0" w:type="dxa"/>
        <w:tblLayout w:type="autofit"/>
        <w:tblCellMar>
          <w:top w:w="0" w:type="dxa"/>
          <w:left w:w="108" w:type="dxa"/>
          <w:bottom w:w="0" w:type="dxa"/>
          <w:right w:w="108" w:type="dxa"/>
        </w:tblCellMar>
      </w:tblPr>
      <w:tblGrid>
        <w:gridCol w:w="2404"/>
        <w:gridCol w:w="1870"/>
        <w:gridCol w:w="1403"/>
        <w:gridCol w:w="1403"/>
      </w:tblGrid>
      <w:tr w14:paraId="0053A9FD">
        <w:tblPrEx>
          <w:tblCellMar>
            <w:top w:w="0" w:type="dxa"/>
            <w:left w:w="108" w:type="dxa"/>
            <w:bottom w:w="0" w:type="dxa"/>
            <w:right w:w="108" w:type="dxa"/>
          </w:tblCellMar>
        </w:tblPrEx>
        <w:trPr>
          <w:tblHeader/>
        </w:trPr>
        <w:tc>
          <w:p w14:paraId="7699F3E8">
            <w:pPr>
              <w:pStyle w:val="24"/>
            </w:pPr>
            <w:r>
              <w:t>Bottleneck Ratio ( r )</w:t>
            </w:r>
          </w:p>
        </w:tc>
        <w:tc>
          <w:p w14:paraId="4DEED845">
            <w:pPr>
              <w:pStyle w:val="24"/>
            </w:pPr>
            <w:r>
              <w:t>Parameter Size</w:t>
            </w:r>
          </w:p>
        </w:tc>
        <w:tc>
          <w:p w14:paraId="2DAC043D">
            <w:pPr>
              <w:pStyle w:val="24"/>
            </w:pPr>
            <w:r>
              <w:t>Task 1 Acc</w:t>
            </w:r>
          </w:p>
        </w:tc>
        <w:tc>
          <w:p w14:paraId="12FFEBCF">
            <w:pPr>
              <w:pStyle w:val="24"/>
            </w:pPr>
            <w:r>
              <w:t>Task 2 Acc</w:t>
            </w:r>
          </w:p>
        </w:tc>
      </w:tr>
      <w:tr w14:paraId="23518D7B">
        <w:tblPrEx>
          <w:tblCellMar>
            <w:top w:w="0" w:type="dxa"/>
            <w:left w:w="108" w:type="dxa"/>
            <w:bottom w:w="0" w:type="dxa"/>
            <w:right w:w="108" w:type="dxa"/>
          </w:tblCellMar>
        </w:tblPrEx>
        <w:tc>
          <w:p w14:paraId="0B8DA60E">
            <w:pPr>
              <w:pStyle w:val="24"/>
            </w:pPr>
            <w:r>
              <w:t>r = d/2 (medium)</w:t>
            </w:r>
          </w:p>
        </w:tc>
        <w:tc>
          <w:p w14:paraId="00F83964">
            <w:pPr>
              <w:pStyle w:val="24"/>
            </w:pPr>
            <w:r>
              <w:t>medium</w:t>
            </w:r>
          </w:p>
        </w:tc>
        <w:tc>
          <w:p w14:paraId="644104E6">
            <w:pPr>
              <w:pStyle w:val="24"/>
            </w:pPr>
            <w:r>
              <w:t>0.969</w:t>
            </w:r>
          </w:p>
        </w:tc>
        <w:tc>
          <w:p w14:paraId="6FDF37BE">
            <w:pPr>
              <w:pStyle w:val="24"/>
            </w:pPr>
            <w:r>
              <w:t>0.750</w:t>
            </w:r>
          </w:p>
        </w:tc>
      </w:tr>
      <w:tr w14:paraId="1197B492">
        <w:tblPrEx>
          <w:tblCellMar>
            <w:top w:w="0" w:type="dxa"/>
            <w:left w:w="108" w:type="dxa"/>
            <w:bottom w:w="0" w:type="dxa"/>
            <w:right w:w="108" w:type="dxa"/>
          </w:tblCellMar>
        </w:tblPrEx>
        <w:tc>
          <w:p w14:paraId="4F263265">
            <w:pPr>
              <w:pStyle w:val="24"/>
            </w:pPr>
            <w:r>
              <w:t>r = d/4 (low)</w:t>
            </w:r>
          </w:p>
        </w:tc>
        <w:tc>
          <w:p w14:paraId="30794671">
            <w:pPr>
              <w:pStyle w:val="24"/>
            </w:pPr>
            <w:r>
              <w:t>low</w:t>
            </w:r>
          </w:p>
        </w:tc>
        <w:tc>
          <w:p w14:paraId="60F0FAEE">
            <w:pPr>
              <w:pStyle w:val="24"/>
            </w:pPr>
            <w:r>
              <w:t>0.965</w:t>
            </w:r>
          </w:p>
        </w:tc>
        <w:tc>
          <w:p w14:paraId="36308B70">
            <w:pPr>
              <w:pStyle w:val="24"/>
            </w:pPr>
            <w:r>
              <w:t>0.744</w:t>
            </w:r>
          </w:p>
        </w:tc>
      </w:tr>
      <w:tr w14:paraId="2F6229F4">
        <w:tblPrEx>
          <w:tblCellMar>
            <w:top w:w="0" w:type="dxa"/>
            <w:left w:w="108" w:type="dxa"/>
            <w:bottom w:w="0" w:type="dxa"/>
            <w:right w:w="108" w:type="dxa"/>
          </w:tblCellMar>
        </w:tblPrEx>
        <w:tc>
          <w:p w14:paraId="6C87399D">
            <w:pPr>
              <w:pStyle w:val="24"/>
            </w:pPr>
            <w:r>
              <w:t>r = d/8 (very low)</w:t>
            </w:r>
          </w:p>
        </w:tc>
        <w:tc>
          <w:p w14:paraId="52C24DC0">
            <w:pPr>
              <w:pStyle w:val="24"/>
            </w:pPr>
            <w:r>
              <w:t>very low</w:t>
            </w:r>
          </w:p>
        </w:tc>
        <w:tc>
          <w:p w14:paraId="48B592C7">
            <w:pPr>
              <w:pStyle w:val="24"/>
            </w:pPr>
            <w:r>
              <w:t>0.951</w:t>
            </w:r>
          </w:p>
        </w:tc>
        <w:tc>
          <w:p w14:paraId="218F79CC">
            <w:pPr>
              <w:pStyle w:val="24"/>
            </w:pPr>
            <w:r>
              <w:t>0.728</w:t>
            </w:r>
          </w:p>
        </w:tc>
      </w:tr>
    </w:tbl>
    <w:p w14:paraId="07134DAA">
      <w:pPr>
        <w:pStyle w:val="3"/>
      </w:pPr>
      <w:r>
        <w:rPr>
          <w:b/>
          <w:bCs/>
        </w:rPr>
        <w:t>Findings:</w:t>
      </w:r>
      <w:r>
        <w:t xml:space="preserve"> - Performance degrades gradually as the rank decreases. - Even with </w:t>
      </w:r>
      <w:r>
        <w:rPr>
          <w:b/>
          <w:bCs/>
        </w:rPr>
        <w:t>very low rank</w:t>
      </w:r>
      <w:r>
        <w:t>, RED remains stable. - Confirms residual adapters as an efficient and robust mechanism.</w:t>
      </w:r>
    </w:p>
    <w:p w14:paraId="00AE5E31">
      <w:r>
        <w:pict>
          <v:rect id="_x0000_i1048" o:spt="1" style="height:1.5pt;width:0pt;" coordsize="21600,21600" o:hr="t" o:hrstd="t" o:hralign="center">
            <v:path/>
            <v:fill focussize="0,0"/>
            <v:stroke/>
            <v:imagedata o:title=""/>
            <o:lock v:ext="edit"/>
            <w10:wrap type="none"/>
            <w10:anchorlock/>
          </v:rect>
        </w:pict>
      </w:r>
    </w:p>
    <w:bookmarkEnd w:id="74"/>
    <w:p w14:paraId="6FD478C7">
      <w:pPr>
        <w:pStyle w:val="4"/>
      </w:pPr>
      <w:bookmarkStart w:id="75" w:name="X8c7ada1e6adbdc94362cc351c124425ec29077b"/>
      <w:r>
        <w:t>4.9.4 Comparison with Execution-Based Baselines (AllFix vs MoE vs RED)</w:t>
      </w:r>
    </w:p>
    <w:p w14:paraId="5B3BD109">
      <w:pPr>
        <w:pStyle w:val="23"/>
      </w:pPr>
      <w:r>
        <w:t>To avoid redundancy with Section 4.8, this subsection summarizes architectural implications:</w:t>
      </w:r>
    </w:p>
    <w:tbl>
      <w:tblPr>
        <w:tblStyle w:val="41"/>
        <w:tblW w:w="5000" w:type="pct"/>
        <w:tblInd w:w="0" w:type="dxa"/>
        <w:tblLayout w:type="fixed"/>
        <w:tblCellMar>
          <w:top w:w="0" w:type="dxa"/>
          <w:left w:w="108" w:type="dxa"/>
          <w:bottom w:w="0" w:type="dxa"/>
          <w:right w:w="108" w:type="dxa"/>
        </w:tblCellMar>
      </w:tblPr>
      <w:tblGrid>
        <w:gridCol w:w="1589"/>
        <w:gridCol w:w="4997"/>
        <w:gridCol w:w="2270"/>
      </w:tblGrid>
      <w:tr w14:paraId="7417A369">
        <w:tblPrEx>
          <w:tblCellMar>
            <w:top w:w="0" w:type="dxa"/>
            <w:left w:w="108" w:type="dxa"/>
            <w:bottom w:w="0" w:type="dxa"/>
            <w:right w:w="108" w:type="dxa"/>
          </w:tblCellMar>
        </w:tblPrEx>
        <w:trPr>
          <w:tblHeader/>
        </w:trPr>
        <w:tc>
          <w:p w14:paraId="286ED8B3">
            <w:pPr>
              <w:pStyle w:val="24"/>
            </w:pPr>
            <w:r>
              <w:t>Model</w:t>
            </w:r>
          </w:p>
        </w:tc>
        <w:tc>
          <w:p w14:paraId="06AD3004">
            <w:pPr>
              <w:pStyle w:val="24"/>
            </w:pPr>
            <w:r>
              <w:t>Avg. Acc (2–4 step)</w:t>
            </w:r>
          </w:p>
        </w:tc>
        <w:tc>
          <w:p w14:paraId="7843DCDC">
            <w:pPr>
              <w:pStyle w:val="24"/>
            </w:pPr>
            <w:r>
              <w:t>Behavior</w:t>
            </w:r>
          </w:p>
        </w:tc>
      </w:tr>
      <w:tr w14:paraId="0B622EF6">
        <w:tblPrEx>
          <w:tblCellMar>
            <w:top w:w="0" w:type="dxa"/>
            <w:left w:w="108" w:type="dxa"/>
            <w:bottom w:w="0" w:type="dxa"/>
            <w:right w:w="108" w:type="dxa"/>
          </w:tblCellMar>
        </w:tblPrEx>
        <w:tc>
          <w:p w14:paraId="0539BDBB">
            <w:pPr>
              <w:pStyle w:val="24"/>
            </w:pPr>
            <w:r>
              <w:t>AllFix</w:t>
            </w:r>
          </w:p>
        </w:tc>
        <w:tc>
          <w:p w14:paraId="129FFA41">
            <w:pPr>
              <w:pStyle w:val="24"/>
            </w:pPr>
            <w:r>
              <w:t>0.3216</w:t>
            </w:r>
          </w:p>
        </w:tc>
        <w:tc>
          <w:p w14:paraId="52D1E684">
            <w:pPr>
              <w:pStyle w:val="24"/>
            </w:pPr>
            <w:r>
              <w:t>No routing → fails completely</w:t>
            </w:r>
          </w:p>
        </w:tc>
      </w:tr>
      <w:tr w14:paraId="71126474">
        <w:tblPrEx>
          <w:tblCellMar>
            <w:top w:w="0" w:type="dxa"/>
            <w:left w:w="108" w:type="dxa"/>
            <w:bottom w:w="0" w:type="dxa"/>
            <w:right w:w="108" w:type="dxa"/>
          </w:tblCellMar>
        </w:tblPrEx>
        <w:tc>
          <w:p w14:paraId="56FD996E">
            <w:pPr>
              <w:pStyle w:val="24"/>
            </w:pPr>
            <w:r>
              <w:t>MoE</w:t>
            </w:r>
          </w:p>
        </w:tc>
        <w:tc>
          <w:p w14:paraId="05210777">
            <w:pPr>
              <w:pStyle w:val="24"/>
            </w:pPr>
            <w:r>
              <w:t>0.8391</w:t>
            </w:r>
          </w:p>
        </w:tc>
        <w:tc>
          <w:p w14:paraId="6B4A004B">
            <w:pPr>
              <w:pStyle w:val="24"/>
            </w:pPr>
            <w:r>
              <w:t>Unstable routing → moderate performance</w:t>
            </w:r>
          </w:p>
        </w:tc>
      </w:tr>
      <w:tr w14:paraId="3CE1857B">
        <w:tblPrEx>
          <w:tblCellMar>
            <w:top w:w="0" w:type="dxa"/>
            <w:left w:w="108" w:type="dxa"/>
            <w:bottom w:w="0" w:type="dxa"/>
            <w:right w:w="108" w:type="dxa"/>
          </w:tblCellMar>
        </w:tblPrEx>
        <w:tc>
          <w:p w14:paraId="0E837696">
            <w:pPr>
              <w:pStyle w:val="24"/>
            </w:pPr>
            <w:r>
              <w:rPr>
                <w:b/>
                <w:bCs/>
              </w:rPr>
              <w:t>RED</w:t>
            </w:r>
          </w:p>
        </w:tc>
        <w:tc>
          <w:p w14:paraId="4CEBB2E6">
            <w:pPr>
              <w:pStyle w:val="24"/>
            </w:pPr>
            <w:r>
              <w:rPr>
                <w:b/>
                <w:bCs/>
              </w:rPr>
              <w:t>0.9920 (execution)</w:t>
            </w:r>
            <w:r>
              <w:t xml:space="preserve"> / </w:t>
            </w:r>
            <w:r>
              <w:rPr>
                <w:b/>
                <w:bCs/>
              </w:rPr>
              <w:t>0.7583 (end-to-end)</w:t>
            </w:r>
          </w:p>
        </w:tc>
        <w:tc>
          <w:p w14:paraId="47875EFF">
            <w:pPr>
              <w:pStyle w:val="24"/>
            </w:pPr>
            <w:r>
              <w:t>Robust routing → stable performance</w:t>
            </w:r>
          </w:p>
        </w:tc>
      </w:tr>
    </w:tbl>
    <w:p w14:paraId="7983AC4A">
      <w:pPr>
        <w:pStyle w:val="3"/>
      </w:pPr>
      <w:r>
        <w:rPr>
          <w:b/>
          <w:bCs/>
        </w:rPr>
        <w:t>Interpretation:</w:t>
      </w:r>
      <w:r>
        <w:t xml:space="preserve"> - Routing is the dominant factor. - Architectural improvements (residual gating + expert specialization) directly determine success. - This validates the design choices explored in 4.9.1–4.9.3.</w:t>
      </w:r>
    </w:p>
    <w:p w14:paraId="099EFBD6">
      <w:r>
        <w:pict>
          <v:rect id="_x0000_i1049" o:spt="1" style="height:1.5pt;width:0pt;" coordsize="21600,21600" o:hr="t" o:hrstd="t" o:hralign="center">
            <v:path/>
            <v:fill focussize="0,0"/>
            <v:stroke/>
            <v:imagedata o:title=""/>
            <o:lock v:ext="edit"/>
            <w10:wrap type="none"/>
            <w10:anchorlock/>
          </v:rect>
        </w:pict>
      </w:r>
    </w:p>
    <w:bookmarkEnd w:id="75"/>
    <w:p w14:paraId="787A7AA9">
      <w:pPr>
        <w:pStyle w:val="4"/>
      </w:pPr>
      <w:bookmarkStart w:id="76" w:name="summary-of-ablation-insights"/>
      <w:r>
        <w:t>4.9.5 Summary of Ablation Insights</w:t>
      </w:r>
    </w:p>
    <w:p w14:paraId="19BF49AF">
      <w:pPr>
        <w:pStyle w:val="24"/>
        <w:numPr>
          <w:ilvl w:val="0"/>
          <w:numId w:val="9"/>
        </w:numPr>
      </w:pPr>
      <w:r>
        <w:rPr>
          <w:b/>
          <w:bCs/>
        </w:rPr>
        <w:t>Residual routing is necessary.</w:t>
      </w:r>
      <w:r>
        <w:t xml:space="preserve"> Removing it reverts RED to unstable MoE-like behavior.</w:t>
      </w:r>
    </w:p>
    <w:p w14:paraId="755D16A6">
      <w:pPr>
        <w:pStyle w:val="24"/>
        <w:numPr>
          <w:ilvl w:val="0"/>
          <w:numId w:val="9"/>
        </w:numPr>
      </w:pPr>
      <w:r>
        <w:rPr>
          <w:b/>
          <w:bCs/>
        </w:rPr>
        <w:t>Expert granularity matters.</w:t>
      </w:r>
      <w:r>
        <w:t xml:space="preserve"> Five experts achieve the best performance across tasks.</w:t>
      </w:r>
    </w:p>
    <w:p w14:paraId="26D27D6C">
      <w:pPr>
        <w:pStyle w:val="24"/>
        <w:numPr>
          <w:ilvl w:val="0"/>
          <w:numId w:val="9"/>
        </w:numPr>
      </w:pPr>
      <w:r>
        <w:rPr>
          <w:b/>
          <w:bCs/>
        </w:rPr>
        <w:t>Low-rank adapters are sufficient</w:t>
      </w:r>
      <w:r>
        <w:t xml:space="preserve"> for information fusion, preserving both accuracy and efficiency.</w:t>
      </w:r>
    </w:p>
    <w:p w14:paraId="1A8581DB">
      <w:pPr>
        <w:pStyle w:val="24"/>
        <w:numPr>
          <w:ilvl w:val="0"/>
          <w:numId w:val="9"/>
        </w:numPr>
      </w:pPr>
      <w:r>
        <w:rPr>
          <w:b/>
          <w:bCs/>
        </w:rPr>
        <w:t>Architectural factors—not execution or data volume—explain RED’s gains</w:t>
      </w:r>
      <w:r>
        <w:t xml:space="preserve"> over baseline MoE.</w:t>
      </w:r>
    </w:p>
    <w:p w14:paraId="58812EF0">
      <w:pPr>
        <w:pStyle w:val="24"/>
        <w:numPr>
          <w:ilvl w:val="0"/>
          <w:numId w:val="9"/>
        </w:numPr>
      </w:pPr>
      <w:r>
        <w:rPr>
          <w:b/>
          <w:bCs/>
        </w:rPr>
        <w:t>Ablations complement Section 4.8:</w:t>
      </w:r>
    </w:p>
    <w:p w14:paraId="00F8C39B">
      <w:pPr>
        <w:pStyle w:val="24"/>
        <w:numPr>
          <w:ilvl w:val="1"/>
          <w:numId w:val="2"/>
        </w:numPr>
      </w:pPr>
      <w:r>
        <w:t xml:space="preserve">Section 4.9 → </w:t>
      </w:r>
      <w:r>
        <w:rPr>
          <w:i/>
          <w:iCs/>
        </w:rPr>
        <w:t>Which architectural components matter most?</w:t>
      </w:r>
      <w:r>
        <w:br w:type="textWrapping"/>
      </w:r>
    </w:p>
    <w:p w14:paraId="29995AB5">
      <w:pPr>
        <w:pStyle w:val="24"/>
        <w:numPr>
          <w:ilvl w:val="1"/>
          <w:numId w:val="2"/>
        </w:numPr>
      </w:pPr>
      <w:r>
        <w:t xml:space="preserve">Section 4.8 → </w:t>
      </w:r>
      <w:r>
        <w:rPr>
          <w:i/>
          <w:iCs/>
        </w:rPr>
        <w:t>What is the upper bound if reasoning is decomposed?</w:t>
      </w:r>
    </w:p>
    <w:p w14:paraId="242E1A84">
      <w:r>
        <w:pict>
          <v:rect id="_x0000_i1050" o:spt="1" style="height:1.5pt;width:0pt;" coordsize="21600,21600" o:hr="t" o:hrstd="t" o:hralign="center">
            <v:path/>
            <v:fill focussize="0,0"/>
            <v:stroke/>
            <v:imagedata o:title=""/>
            <o:lock v:ext="edit"/>
            <w10:wrap type="none"/>
            <w10:anchorlock/>
          </v:rect>
        </w:pict>
      </w:r>
    </w:p>
    <w:p w14:paraId="00302498">
      <w:pPr>
        <w:pStyle w:val="23"/>
      </w:pPr>
      <w:r>
        <w:t>This revised Section 4.9 now accurately reflects your final experiments, removes outdated or inconsistent content, and fully aligns with Sections 4.5–4.8.</w:t>
      </w:r>
    </w:p>
    <w:bookmarkEnd w:id="76"/>
    <w:p w14:paraId="385CBAA1">
      <w:pPr>
        <w:pStyle w:val="4"/>
      </w:pPr>
      <w:bookmarkStart w:id="77" w:name="computational-complexity-de-duplicated"/>
      <w:r>
        <w:t>4.10 Computational Complexity (De-duplicated)</w:t>
      </w:r>
    </w:p>
    <w:p w14:paraId="02B8E07C">
      <w:pPr>
        <w:pStyle w:val="23"/>
      </w:pPr>
      <w:r>
        <w:t>This section compares the computational and memory complexity of four architectures: (1) Global Head, (2) Uniform Averaging, (3) Classical MoE, and (4) RED.</w:t>
      </w:r>
      <w:r>
        <w:br w:type="textWrapping"/>
      </w:r>
      <w:r>
        <w:t>All variants share the same Qwen-0.6B backbone; reported differences arise solely from modular components. Architectural details are not repeated here (see Section 4.4).</w:t>
      </w:r>
    </w:p>
    <w:p w14:paraId="2B62950B">
      <w:pPr>
        <w:pStyle w:val="5"/>
      </w:pPr>
      <w:bookmarkStart w:id="78" w:name="parameter-cost"/>
      <w:r>
        <w:t>4.10.1 Parameter Cost</w:t>
      </w:r>
    </w:p>
    <w:p w14:paraId="0ED7B875">
      <w:pPr>
        <w:pStyle w:val="23"/>
      </w:pPr>
      <w:r>
        <w:t>Let (d) be the hidden size, (C) the number of classes, and (K=5) the expert count. RED uses a low-rank residual bottleneck of dimension (r d).</w:t>
      </w:r>
    </w:p>
    <w:tbl>
      <w:tblPr>
        <w:tblStyle w:val="41"/>
        <w:tblW w:w="5000" w:type="pct"/>
        <w:tblInd w:w="0" w:type="dxa"/>
        <w:tblLayout w:type="fixed"/>
        <w:tblCellMar>
          <w:top w:w="0" w:type="dxa"/>
          <w:left w:w="108" w:type="dxa"/>
          <w:bottom w:w="0" w:type="dxa"/>
          <w:right w:w="108" w:type="dxa"/>
        </w:tblCellMar>
      </w:tblPr>
      <w:tblGrid>
        <w:gridCol w:w="4428"/>
        <w:gridCol w:w="2214"/>
        <w:gridCol w:w="2214"/>
      </w:tblGrid>
      <w:tr w14:paraId="29BB64B8">
        <w:tblPrEx>
          <w:tblCellMar>
            <w:top w:w="0" w:type="dxa"/>
            <w:left w:w="108" w:type="dxa"/>
            <w:bottom w:w="0" w:type="dxa"/>
            <w:right w:w="108" w:type="dxa"/>
          </w:tblCellMar>
        </w:tblPrEx>
        <w:trPr>
          <w:tblHeader/>
        </w:trPr>
        <w:tc>
          <w:p w14:paraId="0240816F">
            <w:pPr>
              <w:pStyle w:val="24"/>
            </w:pPr>
            <w:r>
              <w:t>Method</w:t>
            </w:r>
          </w:p>
        </w:tc>
        <w:tc>
          <w:p w14:paraId="6654FB7C">
            <w:pPr>
              <w:pStyle w:val="24"/>
            </w:pPr>
            <w:r>
              <w:t>Parameter Cost (beyond backbone)</w:t>
            </w:r>
          </w:p>
        </w:tc>
        <w:tc>
          <w:p w14:paraId="064D5454">
            <w:pPr>
              <w:pStyle w:val="24"/>
            </w:pPr>
            <w:r>
              <w:t>Notes</w:t>
            </w:r>
          </w:p>
        </w:tc>
      </w:tr>
      <w:tr w14:paraId="67A6A03C">
        <w:tblPrEx>
          <w:tblCellMar>
            <w:top w:w="0" w:type="dxa"/>
            <w:left w:w="108" w:type="dxa"/>
            <w:bottom w:w="0" w:type="dxa"/>
            <w:right w:w="108" w:type="dxa"/>
          </w:tblCellMar>
        </w:tblPrEx>
        <w:tc>
          <w:p w14:paraId="0DA64A46">
            <w:pPr>
              <w:pStyle w:val="24"/>
            </w:pPr>
            <w:r>
              <w:t>Global Head</w:t>
            </w:r>
          </w:p>
        </w:tc>
        <w:tc>
          <w:p w14:paraId="61901D7A">
            <w:pPr>
              <w:pStyle w:val="24"/>
            </w:pPr>
            <w:r>
              <w:t>(O(dC))</w:t>
            </w:r>
          </w:p>
        </w:tc>
        <w:tc>
          <w:p w14:paraId="4B6BEF77">
            <w:pPr>
              <w:pStyle w:val="24"/>
            </w:pPr>
            <w:r>
              <w:t>one classifier</w:t>
            </w:r>
          </w:p>
        </w:tc>
      </w:tr>
      <w:tr w14:paraId="24D5011E">
        <w:tblPrEx>
          <w:tblCellMar>
            <w:top w:w="0" w:type="dxa"/>
            <w:left w:w="108" w:type="dxa"/>
            <w:bottom w:w="0" w:type="dxa"/>
            <w:right w:w="108" w:type="dxa"/>
          </w:tblCellMar>
        </w:tblPrEx>
        <w:tc>
          <w:p w14:paraId="4A76DB5E">
            <w:pPr>
              <w:pStyle w:val="24"/>
            </w:pPr>
            <w:r>
              <w:t>Uniform Avg</w:t>
            </w:r>
          </w:p>
        </w:tc>
        <w:tc>
          <w:p w14:paraId="65D8BCE4">
            <w:pPr>
              <w:pStyle w:val="24"/>
            </w:pPr>
            <w:r>
              <w:t>(O(K d C))</w:t>
            </w:r>
          </w:p>
        </w:tc>
        <w:tc>
          <w:p w14:paraId="1800651B">
            <w:pPr>
              <w:pStyle w:val="24"/>
            </w:pPr>
            <w:r>
              <w:t>K independent heads</w:t>
            </w:r>
          </w:p>
        </w:tc>
      </w:tr>
      <w:tr w14:paraId="4B2644E5">
        <w:tblPrEx>
          <w:tblCellMar>
            <w:top w:w="0" w:type="dxa"/>
            <w:left w:w="108" w:type="dxa"/>
            <w:bottom w:w="0" w:type="dxa"/>
            <w:right w:w="108" w:type="dxa"/>
          </w:tblCellMar>
        </w:tblPrEx>
        <w:tc>
          <w:p w14:paraId="2098DC13">
            <w:pPr>
              <w:pStyle w:val="24"/>
            </w:pPr>
            <w:r>
              <w:t>MoE (no residual)</w:t>
            </w:r>
          </w:p>
        </w:tc>
        <w:tc>
          <w:p w14:paraId="684EC3F0">
            <w:pPr>
              <w:pStyle w:val="24"/>
            </w:pPr>
            <w:r>
              <w:t>(O(K dC) + O(K d))</w:t>
            </w:r>
          </w:p>
        </w:tc>
        <w:tc>
          <w:p w14:paraId="40C51796">
            <w:pPr>
              <w:pStyle w:val="24"/>
            </w:pPr>
            <w:r>
              <w:t>full-rank experts + router</w:t>
            </w:r>
          </w:p>
        </w:tc>
      </w:tr>
      <w:tr w14:paraId="2D36908D">
        <w:tblPrEx>
          <w:tblCellMar>
            <w:top w:w="0" w:type="dxa"/>
            <w:left w:w="108" w:type="dxa"/>
            <w:bottom w:w="0" w:type="dxa"/>
            <w:right w:w="108" w:type="dxa"/>
          </w:tblCellMar>
        </w:tblPrEx>
        <w:tc>
          <w:p w14:paraId="2281E43B">
            <w:pPr>
              <w:pStyle w:val="24"/>
            </w:pPr>
            <w:r>
              <w:rPr>
                <w:b/>
                <w:bCs/>
              </w:rPr>
              <w:t>RED (Ours)</w:t>
            </w:r>
          </w:p>
        </w:tc>
        <w:tc>
          <w:p w14:paraId="4073E43A">
            <w:pPr>
              <w:pStyle w:val="24"/>
            </w:pPr>
            <w:r>
              <w:t>(O(K (dr + rC)) + O(K d))</w:t>
            </w:r>
          </w:p>
        </w:tc>
        <w:tc>
          <w:p w14:paraId="352EF760">
            <w:pPr>
              <w:pStyle w:val="24"/>
            </w:pPr>
            <w:r>
              <w:t>low-rank experts + router</w:t>
            </w:r>
          </w:p>
        </w:tc>
      </w:tr>
    </w:tbl>
    <w:p w14:paraId="50D6E2BC">
      <w:pPr>
        <w:pStyle w:val="3"/>
      </w:pPr>
      <w:r>
        <w:rPr>
          <w:b/>
          <w:bCs/>
        </w:rPr>
        <w:t>Interpretation:</w:t>
      </w:r>
      <w:r>
        <w:br w:type="textWrapping"/>
      </w:r>
      <w:r>
        <w:t xml:space="preserve">Because (r d), RED’s experts are </w:t>
      </w:r>
      <w:r>
        <w:rPr>
          <w:b/>
          <w:bCs/>
        </w:rPr>
        <w:t>1–2 orders of magnitude smaller</w:t>
      </w:r>
      <w:r>
        <w:t xml:space="preserve"> than full-rank MoE heads,</w:t>
      </w:r>
      <w:r>
        <w:br w:type="textWrapping"/>
      </w:r>
      <w:r>
        <w:t>making RED the most parameter-efficient multi-expert model.</w:t>
      </w:r>
    </w:p>
    <w:bookmarkEnd w:id="78"/>
    <w:p w14:paraId="77539BA7">
      <w:pPr>
        <w:pStyle w:val="5"/>
      </w:pPr>
      <w:bookmarkStart w:id="79" w:name="inference-flops"/>
      <w:r>
        <w:t>4.10.2 Inference FLOPs</w:t>
      </w:r>
    </w:p>
    <w:p w14:paraId="4ABF7F18">
      <w:pPr>
        <w:pStyle w:val="23"/>
      </w:pPr>
      <w:r>
        <w:t>Since all models share the same backbone forward pass, only additional FLOPs are compared.</w:t>
      </w:r>
    </w:p>
    <w:tbl>
      <w:tblPr>
        <w:tblStyle w:val="41"/>
        <w:tblW w:w="0" w:type="auto"/>
        <w:tblInd w:w="0" w:type="dxa"/>
        <w:tblLayout w:type="autofit"/>
        <w:tblCellMar>
          <w:top w:w="0" w:type="dxa"/>
          <w:left w:w="108" w:type="dxa"/>
          <w:bottom w:w="0" w:type="dxa"/>
          <w:right w:w="108" w:type="dxa"/>
        </w:tblCellMar>
      </w:tblPr>
      <w:tblGrid>
        <w:gridCol w:w="2111"/>
        <w:gridCol w:w="1590"/>
        <w:gridCol w:w="3478"/>
      </w:tblGrid>
      <w:tr w14:paraId="58C23037">
        <w:tblPrEx>
          <w:tblCellMar>
            <w:top w:w="0" w:type="dxa"/>
            <w:left w:w="108" w:type="dxa"/>
            <w:bottom w:w="0" w:type="dxa"/>
            <w:right w:w="108" w:type="dxa"/>
          </w:tblCellMar>
        </w:tblPrEx>
        <w:trPr>
          <w:tblHeader/>
        </w:trPr>
        <w:tc>
          <w:p w14:paraId="012C9923">
            <w:pPr>
              <w:pStyle w:val="24"/>
            </w:pPr>
            <w:r>
              <w:t>Method</w:t>
            </w:r>
          </w:p>
        </w:tc>
        <w:tc>
          <w:p w14:paraId="63F8AF14">
            <w:pPr>
              <w:pStyle w:val="24"/>
            </w:pPr>
            <w:r>
              <w:t>Extra FLOPs</w:t>
            </w:r>
          </w:p>
        </w:tc>
        <w:tc>
          <w:p w14:paraId="626DCAF1">
            <w:pPr>
              <w:pStyle w:val="24"/>
            </w:pPr>
            <w:r>
              <w:t>Explanation</w:t>
            </w:r>
          </w:p>
        </w:tc>
      </w:tr>
      <w:tr w14:paraId="6D1F2DDB">
        <w:tblPrEx>
          <w:tblCellMar>
            <w:top w:w="0" w:type="dxa"/>
            <w:left w:w="108" w:type="dxa"/>
            <w:bottom w:w="0" w:type="dxa"/>
            <w:right w:w="108" w:type="dxa"/>
          </w:tblCellMar>
        </w:tblPrEx>
        <w:tc>
          <w:p w14:paraId="13AEC1AE">
            <w:pPr>
              <w:pStyle w:val="24"/>
            </w:pPr>
            <w:r>
              <w:t>Global Head</w:t>
            </w:r>
          </w:p>
        </w:tc>
        <w:tc>
          <w:p w14:paraId="23F50A15">
            <w:pPr>
              <w:pStyle w:val="24"/>
            </w:pPr>
            <w:r>
              <w:t>negligible</w:t>
            </w:r>
          </w:p>
        </w:tc>
        <w:tc>
          <w:p w14:paraId="1B34DD01">
            <w:pPr>
              <w:pStyle w:val="24"/>
            </w:pPr>
            <w:r>
              <w:t>one linear projection</w:t>
            </w:r>
          </w:p>
        </w:tc>
      </w:tr>
      <w:tr w14:paraId="5A4E0393">
        <w:tblPrEx>
          <w:tblCellMar>
            <w:top w:w="0" w:type="dxa"/>
            <w:left w:w="108" w:type="dxa"/>
            <w:bottom w:w="0" w:type="dxa"/>
            <w:right w:w="108" w:type="dxa"/>
          </w:tblCellMar>
        </w:tblPrEx>
        <w:tc>
          <w:p w14:paraId="632D4620">
            <w:pPr>
              <w:pStyle w:val="24"/>
            </w:pPr>
            <w:r>
              <w:t>Uniform Avg</w:t>
            </w:r>
          </w:p>
        </w:tc>
        <w:tc>
          <w:p w14:paraId="632E9D57">
            <w:pPr>
              <w:pStyle w:val="24"/>
            </w:pPr>
            <w:r>
              <w:t>very low</w:t>
            </w:r>
          </w:p>
        </w:tc>
        <w:tc>
          <w:p w14:paraId="38CA748A">
            <w:pPr>
              <w:pStyle w:val="24"/>
            </w:pPr>
            <w:r>
              <w:t>K classifiers</w:t>
            </w:r>
          </w:p>
        </w:tc>
      </w:tr>
      <w:tr w14:paraId="484F744B">
        <w:tblPrEx>
          <w:tblCellMar>
            <w:top w:w="0" w:type="dxa"/>
            <w:left w:w="108" w:type="dxa"/>
            <w:bottom w:w="0" w:type="dxa"/>
            <w:right w:w="108" w:type="dxa"/>
          </w:tblCellMar>
        </w:tblPrEx>
        <w:tc>
          <w:p w14:paraId="5BD6EE99">
            <w:pPr>
              <w:pStyle w:val="24"/>
            </w:pPr>
            <w:r>
              <w:t>MoE (no residual)</w:t>
            </w:r>
          </w:p>
        </w:tc>
        <w:tc>
          <w:p w14:paraId="05940700">
            <w:pPr>
              <w:pStyle w:val="24"/>
            </w:pPr>
            <w:r>
              <w:t>low</w:t>
            </w:r>
          </w:p>
        </w:tc>
        <w:tc>
          <w:p w14:paraId="20199CF3">
            <w:pPr>
              <w:pStyle w:val="24"/>
            </w:pPr>
            <w:r>
              <w:t>K full-rank heads + router</w:t>
            </w:r>
          </w:p>
        </w:tc>
      </w:tr>
      <w:tr w14:paraId="208DE6EA">
        <w:tblPrEx>
          <w:tblCellMar>
            <w:top w:w="0" w:type="dxa"/>
            <w:left w:w="108" w:type="dxa"/>
            <w:bottom w:w="0" w:type="dxa"/>
            <w:right w:w="108" w:type="dxa"/>
          </w:tblCellMar>
        </w:tblPrEx>
        <w:tc>
          <w:p w14:paraId="6A0FC604">
            <w:pPr>
              <w:pStyle w:val="24"/>
            </w:pPr>
            <w:r>
              <w:rPr>
                <w:b/>
                <w:bCs/>
              </w:rPr>
              <w:t>RED (Ours)</w:t>
            </w:r>
          </w:p>
        </w:tc>
        <w:tc>
          <w:p w14:paraId="69777648">
            <w:pPr>
              <w:pStyle w:val="24"/>
            </w:pPr>
            <w:r>
              <w:t>low–medium</w:t>
            </w:r>
          </w:p>
        </w:tc>
        <w:tc>
          <w:p w14:paraId="23FCB748">
            <w:pPr>
              <w:pStyle w:val="24"/>
            </w:pPr>
            <w:r>
              <w:t>K low-rank projections + router</w:t>
            </w:r>
          </w:p>
        </w:tc>
      </w:tr>
    </w:tbl>
    <w:p w14:paraId="22A13C45">
      <w:pPr>
        <w:pStyle w:val="3"/>
      </w:pPr>
      <w:r>
        <w:rPr>
          <w:b/>
          <w:bCs/>
        </w:rPr>
        <w:t>Interpretation:</w:t>
      </w:r>
      <w:r>
        <w:br w:type="textWrapping"/>
      </w:r>
      <w:r>
        <w:t>RED’s extra cost is dominated by low-rank residual projections, which are significantly cheaper</w:t>
      </w:r>
      <w:r>
        <w:br w:type="textWrapping"/>
      </w:r>
      <w:r>
        <w:t>than the full-rank MoE heads. Router cost is &lt; 0.5% of the backbone FLOPs.</w:t>
      </w:r>
    </w:p>
    <w:bookmarkEnd w:id="79"/>
    <w:p w14:paraId="4A4BBF66">
      <w:pPr>
        <w:pStyle w:val="5"/>
      </w:pPr>
      <w:bookmarkStart w:id="80" w:name="memory-footprint"/>
      <w:r>
        <w:t>4.10.3 Memory Footprint</w:t>
      </w:r>
    </w:p>
    <w:p w14:paraId="03F246D5">
      <w:pPr>
        <w:pStyle w:val="23"/>
      </w:pPr>
      <w:r>
        <w:t>During both training and inference:</w:t>
      </w:r>
    </w:p>
    <w:p w14:paraId="3711269C">
      <w:pPr>
        <w:pStyle w:val="24"/>
        <w:numPr>
          <w:ilvl w:val="0"/>
          <w:numId w:val="2"/>
        </w:numPr>
      </w:pPr>
      <w:r>
        <w:t>Backbone remains frozen except for the top two layers.</w:t>
      </w:r>
    </w:p>
    <w:p w14:paraId="63838629">
      <w:pPr>
        <w:pStyle w:val="24"/>
        <w:numPr>
          <w:ilvl w:val="0"/>
          <w:numId w:val="2"/>
        </w:numPr>
      </w:pPr>
      <w:r>
        <w:t>Expert modules are small, especially under low-rank factorization.</w:t>
      </w:r>
    </w:p>
    <w:p w14:paraId="34F03CF2">
      <w:pPr>
        <w:pStyle w:val="24"/>
        <w:numPr>
          <w:ilvl w:val="0"/>
          <w:numId w:val="2"/>
        </w:numPr>
      </w:pPr>
      <w:r>
        <w:t>Router training operates only on pooled backbone embeddings.</w:t>
      </w:r>
    </w:p>
    <w:p w14:paraId="0176B1B3">
      <w:pPr>
        <w:pStyle w:val="23"/>
      </w:pPr>
      <w:r>
        <w:rPr>
          <w:b/>
          <w:bCs/>
        </w:rPr>
        <w:t>Peak VRAM usage</w:t>
      </w:r>
      <w:r>
        <w:t xml:space="preserve"> on an RTX 3060 Ti (8 GB): </w:t>
      </w:r>
      <w:r>
        <w:rPr>
          <w:b/>
          <w:bCs/>
        </w:rPr>
        <w:t>&lt; 6.5 GB</w:t>
      </w:r>
      <w:r>
        <w:t>,</w:t>
      </w:r>
      <w:r>
        <w:br w:type="textWrapping"/>
      </w:r>
      <w:r>
        <w:t>with no need for tensor parallelism or activation checkpointing.</w:t>
      </w:r>
    </w:p>
    <w:bookmarkEnd w:id="80"/>
    <w:p w14:paraId="3D1DB45D">
      <w:pPr>
        <w:pStyle w:val="5"/>
      </w:pPr>
      <w:bookmarkStart w:id="81" w:name="summary-3"/>
      <w:r>
        <w:t>4.10.4 Summary</w:t>
      </w:r>
    </w:p>
    <w:p w14:paraId="5A4399E0">
      <w:pPr>
        <w:pStyle w:val="23"/>
      </w:pPr>
      <w:r>
        <w:t>The complexity analysis shows that:</w:t>
      </w:r>
    </w:p>
    <w:p w14:paraId="3F8C3383">
      <w:pPr>
        <w:pStyle w:val="24"/>
        <w:numPr>
          <w:ilvl w:val="0"/>
          <w:numId w:val="10"/>
        </w:numPr>
      </w:pPr>
      <w:r>
        <w:rPr>
          <w:b/>
          <w:bCs/>
        </w:rPr>
        <w:t>RED provides the best accuracy–efficiency balance</w:t>
      </w:r>
      <w:r>
        <w:t xml:space="preserve"> among all multi-expert systems.</w:t>
      </w:r>
      <w:r>
        <w:br w:type="textWrapping"/>
      </w:r>
    </w:p>
    <w:p w14:paraId="2F7A0EAF">
      <w:pPr>
        <w:pStyle w:val="24"/>
        <w:numPr>
          <w:ilvl w:val="0"/>
          <w:numId w:val="10"/>
        </w:numPr>
      </w:pPr>
      <w:r>
        <w:rPr>
          <w:b/>
          <w:bCs/>
        </w:rPr>
        <w:t>Low-rank residual experts</w:t>
      </w:r>
      <w:r>
        <w:t xml:space="preserve"> dramatically reduce parameter count compared to MoE.</w:t>
      </w:r>
      <w:r>
        <w:br w:type="textWrapping"/>
      </w:r>
    </w:p>
    <w:p w14:paraId="7B733C45">
      <w:pPr>
        <w:pStyle w:val="24"/>
        <w:numPr>
          <w:ilvl w:val="0"/>
          <w:numId w:val="10"/>
        </w:numPr>
      </w:pPr>
      <w:r>
        <w:rPr>
          <w:b/>
          <w:bCs/>
        </w:rPr>
        <w:t>Inference overhead remains small</w:t>
      </w:r>
      <w:r>
        <w:t>, close to MoE but far more stable.</w:t>
      </w:r>
      <w:r>
        <w:br w:type="textWrapping"/>
      </w:r>
    </w:p>
    <w:p w14:paraId="23537038">
      <w:pPr>
        <w:pStyle w:val="24"/>
        <w:numPr>
          <w:ilvl w:val="0"/>
          <w:numId w:val="10"/>
        </w:numPr>
      </w:pPr>
      <w:r>
        <w:rPr>
          <w:b/>
          <w:bCs/>
        </w:rPr>
        <w:t>Memory usage fits consumer GPUs</w:t>
      </w:r>
      <w:r>
        <w:t>, making RED deployable on commodity hardware.</w:t>
      </w:r>
    </w:p>
    <w:p w14:paraId="028C8A8A">
      <w:pPr>
        <w:pStyle w:val="23"/>
      </w:pPr>
      <w:r>
        <w:t xml:space="preserve">Overall, RED is a </w:t>
      </w:r>
      <w:r>
        <w:rPr>
          <w:b/>
          <w:bCs/>
        </w:rPr>
        <w:t>lightweight, scalable, and VRAM-efficient</w:t>
      </w:r>
      <w:r>
        <w:t xml:space="preserve"> alternative to traditional MoE architectures, offering strong performance without sacrificing practicality. ## 4.11 Case Study: How RED Performs Modular Reasoning (De-duplicated)</w:t>
      </w:r>
    </w:p>
    <w:p w14:paraId="4BDACE0A">
      <w:pPr>
        <w:pStyle w:val="13"/>
      </w:pPr>
      <w:r>
        <w:rPr>
          <w:b/>
          <w:bCs/>
        </w:rPr>
        <w:t>Note:</w:t>
      </w:r>
      <w:r>
        <w:t xml:space="preserve"> The following qualitative analyses come from the </w:t>
      </w:r>
      <w:r>
        <w:rPr>
          <w:b/>
          <w:bCs/>
        </w:rPr>
        <w:t>end-to-end RED model</w:t>
      </w:r>
      <w:r>
        <w:t>.</w:t>
      </w:r>
      <w:r>
        <w:br w:type="textWrapping"/>
      </w:r>
      <w:r>
        <w:t xml:space="preserve">They do </w:t>
      </w:r>
      <w:r>
        <w:rPr>
          <w:i/>
          <w:iCs/>
        </w:rPr>
        <w:t>not</w:t>
      </w:r>
      <w:r>
        <w:t xml:space="preserve"> use the externally decomposed execution pipeline introduced in </w:t>
      </w:r>
      <w:r>
        <w:rPr>
          <w:b/>
          <w:bCs/>
        </w:rPr>
        <w:t>Section 4.8</w:t>
      </w:r>
      <w:r>
        <w:t>,</w:t>
      </w:r>
      <w:r>
        <w:br w:type="textWrapping"/>
      </w:r>
      <w:r>
        <w:t>where the system achieves near-perfect (&gt;0.99) accuracy.</w:t>
      </w:r>
      <w:r>
        <w:br w:type="textWrapping"/>
      </w:r>
      <w:r>
        <w:t>These examples illustrate how RED behaves when it must infer structure implicitly.</w:t>
      </w:r>
    </w:p>
    <w:p w14:paraId="0A4FB577">
      <w:pPr>
        <w:pStyle w:val="23"/>
      </w:pPr>
      <w:r>
        <w:t>To better understand how RED integrates specialist experts through residual corrections, we analyze several representative examples. Numerical metrics have already been reported in Sections 4.6–4.7; here we focus solely on interpretability.</w:t>
      </w:r>
    </w:p>
    <w:p w14:paraId="063B8936">
      <w:pPr>
        <w:pStyle w:val="3"/>
      </w:pPr>
      <w:r>
        <w:t>Each example reports: - router weights, - dominant expert contributions, - and the resulting RED output.</w:t>
      </w:r>
    </w:p>
    <w:p w14:paraId="2459EE0E">
      <w:pPr>
        <w:pStyle w:val="3"/>
      </w:pPr>
      <w:r>
        <w:t>We omit architectural details (already covered in Section 4.4).</w:t>
      </w:r>
    </w:p>
    <w:p w14:paraId="6F648D95">
      <w:r>
        <w:pict>
          <v:rect id="_x0000_i1051" o:spt="1" style="height:1.5pt;width:0pt;" coordsize="21600,21600" o:hr="t" o:hrstd="t" o:hralign="center">
            <v:path/>
            <v:fill focussize="0,0"/>
            <v:stroke/>
            <v:imagedata o:title=""/>
            <o:lock v:ext="edit"/>
            <w10:wrap type="none"/>
            <w10:anchorlock/>
          </v:rect>
        </w:pict>
      </w:r>
    </w:p>
    <w:bookmarkEnd w:id="81"/>
    <w:p w14:paraId="74D2C46C">
      <w:pPr>
        <w:pStyle w:val="5"/>
      </w:pPr>
      <w:bookmarkStart w:id="82" w:name="example-1-high-range-addition"/>
      <w:r>
        <w:t>Example 1 — High-Range Addition</w:t>
      </w:r>
    </w:p>
    <w:p w14:paraId="75C2B92D">
      <w:pPr>
        <w:pStyle w:val="23"/>
      </w:pPr>
      <w:r>
        <w:rPr>
          <w:b/>
          <w:bCs/>
        </w:rPr>
        <w:t>Query:</w:t>
      </w:r>
      <w:r>
        <w:t xml:space="preserve"> “What is 47 plus 38?”</w:t>
      </w:r>
      <w:r>
        <w:br w:type="textWrapping"/>
      </w:r>
      <w:r>
        <w:rPr>
          <w:b/>
          <w:bCs/>
        </w:rPr>
        <w:t>Ground truth:</w:t>
      </w:r>
      <w:r>
        <w:t xml:space="preserve"> 85 (range (R_5))</w:t>
      </w:r>
    </w:p>
    <w:p w14:paraId="6CA022DD">
      <w:pPr>
        <w:pStyle w:val="3"/>
      </w:pPr>
      <w:r>
        <w:rPr>
          <w:b/>
          <w:bCs/>
        </w:rPr>
        <w:t>Router weights</w:t>
      </w:r>
      <w:r>
        <w:t xml:space="preserve"> [ = [0.02, 0.04, 0.14, 0.28, 0.52] ]</w:t>
      </w:r>
    </w:p>
    <w:p w14:paraId="6E69F8D7">
      <w:pPr>
        <w:pStyle w:val="3"/>
      </w:pPr>
      <w:r>
        <w:rPr>
          <w:b/>
          <w:bCs/>
        </w:rPr>
        <w:t>Behavior</w:t>
      </w:r>
      <w:r>
        <w:t xml:space="preserve"> - Expert 5 dominates, consistent with range selection. - Experts 3–4 supply stabilizing residual updates. - Final prediction: </w:t>
      </w:r>
      <w:r>
        <w:rPr>
          <w:b/>
          <w:bCs/>
        </w:rPr>
        <w:t>85</w:t>
      </w:r>
      <w:r>
        <w:t>.</w:t>
      </w:r>
    </w:p>
    <w:p w14:paraId="4FD6255E">
      <w:pPr>
        <w:pStyle w:val="3"/>
      </w:pPr>
      <w:r>
        <w:rPr>
          <w:b/>
          <w:bCs/>
        </w:rPr>
        <w:t>Insight:</w:t>
      </w:r>
      <w:r>
        <w:t xml:space="preserve"> Residual mixing corrects internal bias, providing smooth range-consistent behavior.</w:t>
      </w:r>
    </w:p>
    <w:p w14:paraId="743E4067">
      <w:r>
        <w:pict>
          <v:rect id="_x0000_i1052" o:spt="1" style="height:1.5pt;width:0pt;" coordsize="21600,21600" o:hr="t" o:hrstd="t" o:hralign="center">
            <v:path/>
            <v:fill focussize="0,0"/>
            <v:stroke/>
            <v:imagedata o:title=""/>
            <o:lock v:ext="edit"/>
            <w10:wrap type="none"/>
            <w10:anchorlock/>
          </v:rect>
        </w:pict>
      </w:r>
    </w:p>
    <w:bookmarkEnd w:id="82"/>
    <w:p w14:paraId="26D513ED">
      <w:pPr>
        <w:pStyle w:val="5"/>
      </w:pPr>
      <w:bookmarkStart w:id="83" w:name="example-2-mid-range-addition"/>
      <w:r>
        <w:t>Example 2 — Mid-Range Addition</w:t>
      </w:r>
    </w:p>
    <w:p w14:paraId="60F85DCA">
      <w:pPr>
        <w:pStyle w:val="23"/>
      </w:pPr>
      <w:r>
        <w:rPr>
          <w:b/>
          <w:bCs/>
        </w:rPr>
        <w:t>Query:</w:t>
      </w:r>
      <w:r>
        <w:t xml:space="preserve"> “What is 32 plus 19?”</w:t>
      </w:r>
      <w:r>
        <w:br w:type="textWrapping"/>
      </w:r>
      <w:r>
        <w:rPr>
          <w:b/>
          <w:bCs/>
        </w:rPr>
        <w:t>Ground truth:</w:t>
      </w:r>
      <w:r>
        <w:t xml:space="preserve"> 51 (range (R_3))</w:t>
      </w:r>
    </w:p>
    <w:p w14:paraId="3C61E8CF">
      <w:pPr>
        <w:pStyle w:val="3"/>
      </w:pPr>
      <w:r>
        <w:rPr>
          <w:b/>
          <w:bCs/>
        </w:rPr>
        <w:t>Router weights</w:t>
      </w:r>
      <w:r>
        <w:t xml:space="preserve"> [ = [0.03, 0.06, 0.67, 0.16, 0.08] ]</w:t>
      </w:r>
    </w:p>
    <w:p w14:paraId="56C41860">
      <w:pPr>
        <w:pStyle w:val="3"/>
      </w:pPr>
      <w:r>
        <w:rPr>
          <w:b/>
          <w:bCs/>
        </w:rPr>
        <w:t>Behavior</w:t>
      </w:r>
      <w:r>
        <w:t xml:space="preserve"> - Expert 3 contributes the majority of the residual update. - Adjacent experts help refine the prediction. - Output: </w:t>
      </w:r>
      <w:r>
        <w:rPr>
          <w:b/>
          <w:bCs/>
        </w:rPr>
        <w:t>51</w:t>
      </w:r>
      <w:r>
        <w:t>.</w:t>
      </w:r>
    </w:p>
    <w:p w14:paraId="5F50100F">
      <w:pPr>
        <w:pStyle w:val="3"/>
      </w:pPr>
      <w:r>
        <w:rPr>
          <w:b/>
          <w:bCs/>
        </w:rPr>
        <w:t>Insight:</w:t>
      </w:r>
      <w:r>
        <w:t xml:space="preserve"> RED smoothly interpolates near range boundaries, unlike classical MoE.</w:t>
      </w:r>
    </w:p>
    <w:p w14:paraId="60D60ED9">
      <w:r>
        <w:pict>
          <v:rect id="_x0000_i1053" o:spt="1" style="height:1.5pt;width:0pt;" coordsize="21600,21600" o:hr="t" o:hrstd="t" o:hralign="center">
            <v:path/>
            <v:fill focussize="0,0"/>
            <v:stroke/>
            <v:imagedata o:title=""/>
            <o:lock v:ext="edit"/>
            <w10:wrap type="none"/>
            <w10:anchorlock/>
          </v:rect>
        </w:pict>
      </w:r>
    </w:p>
    <w:bookmarkEnd w:id="83"/>
    <w:p w14:paraId="2B08CF67">
      <w:pPr>
        <w:pStyle w:val="5"/>
      </w:pPr>
      <w:bookmarkStart w:id="84" w:name="example-3-mixed-arithmetic"/>
      <w:r>
        <w:t>Example 3 — Mixed Arithmetic</w:t>
      </w:r>
    </w:p>
    <w:p w14:paraId="7E2B929C">
      <w:pPr>
        <w:pStyle w:val="23"/>
      </w:pPr>
      <w:r>
        <w:rPr>
          <w:b/>
          <w:bCs/>
        </w:rPr>
        <w:t>Query:</w:t>
      </w:r>
      <w:r>
        <w:t xml:space="preserve"> “What is 18 plus 7 minus 3?”</w:t>
      </w:r>
      <w:r>
        <w:br w:type="textWrapping"/>
      </w:r>
      <w:r>
        <w:rPr>
          <w:b/>
          <w:bCs/>
        </w:rPr>
        <w:t>Ground truth:</w:t>
      </w:r>
      <w:r>
        <w:t xml:space="preserve"> 22 (range (R_2))</w:t>
      </w:r>
    </w:p>
    <w:p w14:paraId="52C5B69D">
      <w:pPr>
        <w:pStyle w:val="3"/>
      </w:pPr>
      <w:r>
        <w:rPr>
          <w:b/>
          <w:bCs/>
        </w:rPr>
        <w:t>Router weights</w:t>
      </w:r>
      <w:r>
        <w:t xml:space="preserve"> [ = [0.10, 0.62, 0.18, 0.06, 0.04] ]</w:t>
      </w:r>
    </w:p>
    <w:p w14:paraId="558E5A31">
      <w:pPr>
        <w:pStyle w:val="3"/>
      </w:pPr>
      <w:r>
        <w:rPr>
          <w:b/>
          <w:bCs/>
        </w:rPr>
        <w:t>Behavior</w:t>
      </w:r>
      <w:r>
        <w:t xml:space="preserve"> - Expert 2 handles most of the reasoning. - Experts 1 and 3 contribute small residual corrections. - Output: </w:t>
      </w:r>
      <w:r>
        <w:rPr>
          <w:b/>
          <w:bCs/>
        </w:rPr>
        <w:t>22</w:t>
      </w:r>
      <w:r>
        <w:t xml:space="preserve"> — even though all experts were trained </w:t>
      </w:r>
      <w:r>
        <w:rPr>
          <w:b/>
          <w:bCs/>
        </w:rPr>
        <w:t>only on addition</w:t>
      </w:r>
      <w:r>
        <w:t>.</w:t>
      </w:r>
    </w:p>
    <w:p w14:paraId="5DF501A1">
      <w:pPr>
        <w:pStyle w:val="3"/>
      </w:pPr>
      <w:r>
        <w:rPr>
          <w:b/>
          <w:bCs/>
        </w:rPr>
        <w:t>Insight:</w:t>
      </w:r>
      <w:r>
        <w:t xml:space="preserve"> Residual recomposition enables robust operator generalization.</w:t>
      </w:r>
    </w:p>
    <w:p w14:paraId="29611DF5">
      <w:r>
        <w:pict>
          <v:rect id="_x0000_i1054" o:spt="1" style="height:1.5pt;width:0pt;" coordsize="21600,21600" o:hr="t" o:hrstd="t" o:hralign="center">
            <v:path/>
            <v:fill focussize="0,0"/>
            <v:stroke/>
            <v:imagedata o:title=""/>
            <o:lock v:ext="edit"/>
            <w10:wrap type="none"/>
            <w10:anchorlock/>
          </v:rect>
        </w:pict>
      </w:r>
    </w:p>
    <w:bookmarkEnd w:id="84"/>
    <w:p w14:paraId="6EA9356C">
      <w:pPr>
        <w:pStyle w:val="5"/>
      </w:pPr>
      <w:bookmarkStart w:id="85" w:name="example-4-boundary-sensitivity"/>
      <w:r>
        <w:t>Example 4 — Boundary Sensitivity</w:t>
      </w:r>
    </w:p>
    <w:p w14:paraId="1D352D45">
      <w:pPr>
        <w:pStyle w:val="23"/>
      </w:pPr>
      <w:r>
        <w:rPr>
          <w:b/>
          <w:bCs/>
        </w:rPr>
        <w:t>Query:</w:t>
      </w:r>
      <w:r>
        <w:t xml:space="preserve"> “What is 40 plus 1?”</w:t>
      </w:r>
      <w:r>
        <w:br w:type="textWrapping"/>
      </w:r>
      <w:r>
        <w:rPr>
          <w:b/>
          <w:bCs/>
        </w:rPr>
        <w:t>Ground truth:</w:t>
      </w:r>
      <w:r>
        <w:t xml:space="preserve"> 41 (boundary of (R_2) and (R_3))</w:t>
      </w:r>
    </w:p>
    <w:p w14:paraId="61138D7D">
      <w:pPr>
        <w:pStyle w:val="3"/>
      </w:pPr>
      <w:r>
        <w:rPr>
          <w:b/>
          <w:bCs/>
        </w:rPr>
        <w:t>Typical router weights</w:t>
      </w:r>
      <w:r>
        <w:t xml:space="preserve"> [ = [0.05, 0.32, 0.46, 0.12, 0.05] ]</w:t>
      </w:r>
    </w:p>
    <w:p w14:paraId="00CF3136">
      <w:pPr>
        <w:pStyle w:val="3"/>
      </w:pPr>
      <w:r>
        <w:rPr>
          <w:b/>
          <w:bCs/>
        </w:rPr>
        <w:t>Behavior</w:t>
      </w:r>
      <w:r>
        <w:t xml:space="preserve"> - Both Experts 2 and 3 contribute significantly. - Output transitions smoothly between ranges.</w:t>
      </w:r>
    </w:p>
    <w:p w14:paraId="7B2BC6B6">
      <w:pPr>
        <w:pStyle w:val="3"/>
      </w:pPr>
      <w:r>
        <w:rPr>
          <w:b/>
          <w:bCs/>
        </w:rPr>
        <w:t>Insight:</w:t>
      </w:r>
      <w:r>
        <w:t xml:space="preserve"> Additive residual paths eliminate the discontinuities that plague softmax MoE.</w:t>
      </w:r>
    </w:p>
    <w:p w14:paraId="0CE4C8BE">
      <w:r>
        <w:pict>
          <v:rect id="_x0000_i1055" o:spt="1" style="height:1.5pt;width:0pt;" coordsize="21600,21600" o:hr="t" o:hrstd="t" o:hralign="center">
            <v:path/>
            <v:fill focussize="0,0"/>
            <v:stroke/>
            <v:imagedata o:title=""/>
            <o:lock v:ext="edit"/>
            <w10:wrap type="none"/>
            <w10:anchorlock/>
          </v:rect>
        </w:pict>
      </w:r>
    </w:p>
    <w:bookmarkEnd w:id="85"/>
    <w:p w14:paraId="32641536">
      <w:pPr>
        <w:pStyle w:val="5"/>
      </w:pPr>
      <w:bookmarkStart w:id="86" w:name="key-takeaways-from-case-analysis"/>
      <w:r>
        <w:t>Key Takeaways from Case Analysis</w:t>
      </w:r>
    </w:p>
    <w:p w14:paraId="3AEDDEC5">
      <w:pPr>
        <w:pStyle w:val="24"/>
        <w:numPr>
          <w:ilvl w:val="0"/>
          <w:numId w:val="11"/>
        </w:numPr>
      </w:pPr>
      <w:r>
        <w:rPr>
          <w:b/>
          <w:bCs/>
        </w:rPr>
        <w:t>Routing matches numerical structure</w:t>
      </w:r>
      <w:r>
        <w:t xml:space="preserve"> — the correct expert consistently receives the largest weight.</w:t>
      </w:r>
    </w:p>
    <w:p w14:paraId="500103B4">
      <w:pPr>
        <w:pStyle w:val="24"/>
        <w:numPr>
          <w:ilvl w:val="0"/>
          <w:numId w:val="11"/>
        </w:numPr>
      </w:pPr>
      <w:r>
        <w:rPr>
          <w:b/>
          <w:bCs/>
        </w:rPr>
        <w:t>Residual paths correct systematic bias</w:t>
      </w:r>
      <w:r>
        <w:t>, especially near boundaries.</w:t>
      </w:r>
    </w:p>
    <w:p w14:paraId="59672AB8">
      <w:pPr>
        <w:pStyle w:val="24"/>
        <w:numPr>
          <w:ilvl w:val="0"/>
          <w:numId w:val="11"/>
        </w:numPr>
      </w:pPr>
      <w:r>
        <w:rPr>
          <w:b/>
          <w:bCs/>
        </w:rPr>
        <w:t>Generalization beyond addition</w:t>
      </w:r>
      <w:r>
        <w:t xml:space="preserve"> — experts trained only on addition still support multi-operator reasoning.</w:t>
      </w:r>
    </w:p>
    <w:p w14:paraId="1C0A873E">
      <w:pPr>
        <w:pStyle w:val="24"/>
        <w:numPr>
          <w:ilvl w:val="0"/>
          <w:numId w:val="11"/>
        </w:numPr>
      </w:pPr>
      <w:r>
        <w:rPr>
          <w:b/>
          <w:bCs/>
        </w:rPr>
        <w:t>Interpretable modular reasoning</w:t>
      </w:r>
      <w:r>
        <w:t xml:space="preserve"> — contributions follow predictable, stable patterns.</w:t>
      </w:r>
    </w:p>
    <w:p w14:paraId="56FA41DD">
      <w:pPr>
        <w:pStyle w:val="23"/>
      </w:pPr>
      <w:r>
        <w:t>These qualitative results complement the quantitative evaluations in Sections 4.6–4.9.</w:t>
      </w:r>
    </w:p>
    <w:p w14:paraId="6F057446">
      <w:r>
        <w:pict>
          <v:rect id="_x0000_i1056" o:spt="1" style="height:1.5pt;width:0pt;" coordsize="21600,21600" o:hr="t" o:hrstd="t" o:hralign="center">
            <v:path/>
            <v:fill focussize="0,0"/>
            <v:stroke/>
            <v:imagedata o:title=""/>
            <o:lock v:ext="edit"/>
            <w10:wrap type="none"/>
            <w10:anchorlock/>
          </v:rect>
        </w:pict>
      </w:r>
    </w:p>
    <w:bookmarkEnd w:id="77"/>
    <w:bookmarkEnd w:id="86"/>
    <w:p w14:paraId="3B7CEB4B">
      <w:pPr>
        <w:pStyle w:val="4"/>
      </w:pPr>
      <w:r>
        <w:t>4.12 Summary (De-duplicated)</w:t>
      </w:r>
    </w:p>
    <w:p w14:paraId="0FC0BCDB">
      <w:pPr>
        <w:pStyle w:val="23"/>
      </w:pPr>
      <w:r>
        <w:t>This section has presented a comprehensive empirical evaluation of the proposed Residual Expert Decomposition (RED) framework across two controlled arithmetic tasks. The results consistently demonstrate that RED achieves reliable modular reasoning through the coordinated interaction of a shared backbone, independent specialists, and a lightweight residual router.</w:t>
      </w:r>
    </w:p>
    <w:p w14:paraId="731323CB">
      <w:pPr>
        <w:pStyle w:val="3"/>
      </w:pPr>
      <w:r>
        <w:t>The key findings are:</w:t>
      </w:r>
    </w:p>
    <w:p w14:paraId="597554CF">
      <w:pPr>
        <w:numPr>
          <w:ilvl w:val="0"/>
          <w:numId w:val="12"/>
        </w:numPr>
      </w:pPr>
      <w:r>
        <w:rPr>
          <w:b/>
          <w:bCs/>
        </w:rPr>
        <w:t>Clear and stable expert specialization</w:t>
      </w:r>
      <w:r>
        <w:br w:type="textWrapping"/>
      </w:r>
      <w:r>
        <w:t>Each expert trained on a specific numerical interval exhibits strong, predictable behavior.</w:t>
      </w:r>
    </w:p>
    <w:p w14:paraId="065919BF">
      <w:pPr>
        <w:numPr>
          <w:ilvl w:val="0"/>
          <w:numId w:val="12"/>
        </w:numPr>
      </w:pPr>
      <w:r>
        <w:rPr>
          <w:b/>
          <w:bCs/>
        </w:rPr>
        <w:t>Robust global recomposition via routing</w:t>
      </w:r>
      <w:r>
        <w:br w:type="textWrapping"/>
      </w:r>
      <w:r>
        <w:t>The router reliably selects appropriate experts, and RED remains stable due to its additive residual structure—even when routing is imperfect.</w:t>
      </w:r>
    </w:p>
    <w:p w14:paraId="07D61452">
      <w:pPr>
        <w:numPr>
          <w:ilvl w:val="0"/>
          <w:numId w:val="12"/>
        </w:numPr>
      </w:pPr>
      <w:r>
        <w:rPr>
          <w:b/>
          <w:bCs/>
        </w:rPr>
        <w:t>Residual integration improves consistency</w:t>
      </w:r>
      <w:r>
        <w:br w:type="textWrapping"/>
      </w:r>
      <w:r>
        <w:t>Residual updates refine backbone predictions smoothly, reducing volatility relative to classical MoE.</w:t>
      </w:r>
    </w:p>
    <w:p w14:paraId="6C925CB8">
      <w:pPr>
        <w:numPr>
          <w:ilvl w:val="0"/>
          <w:numId w:val="12"/>
        </w:numPr>
      </w:pPr>
      <w:r>
        <w:rPr>
          <w:b/>
          <w:bCs/>
        </w:rPr>
        <w:t>Generalization across operators and tasks</w:t>
      </w:r>
      <w:r>
        <w:br w:type="textWrapping"/>
      </w:r>
      <w:r>
        <w:t>Despite being trained exclusively on addition, RED generalizes to subtraction and multi-step expressions.</w:t>
      </w:r>
    </w:p>
    <w:p w14:paraId="7B3D7DC6">
      <w:r>
        <w:pict>
          <v:rect id="_x0000_i1057" o:spt="1" style="height:1.5pt;width:0pt;" coordsize="21600,21600" o:hr="t" o:hrstd="t" o:hralign="center">
            <v:path/>
            <v:fill focussize="0,0"/>
            <v:stroke/>
            <v:imagedata o:title=""/>
            <o:lock v:ext="edit"/>
            <w10:wrap type="none"/>
            <w10:anchorlock/>
          </v:rect>
        </w:pict>
      </w:r>
    </w:p>
    <w:p w14:paraId="18CEC944">
      <w:pPr>
        <w:pStyle w:val="5"/>
      </w:pPr>
      <w:bookmarkStart w:id="87" w:name="additional-insight-from-section-4.8"/>
      <w:r>
        <w:t>Additional insight from Section 4.8</w:t>
      </w:r>
    </w:p>
    <w:p w14:paraId="4092762B">
      <w:pPr>
        <w:pStyle w:val="23"/>
      </w:pPr>
      <w:r>
        <w:t xml:space="preserve">Section </w:t>
      </w:r>
      <w:r>
        <w:rPr>
          <w:b/>
          <w:bCs/>
        </w:rPr>
        <w:t>4.8</w:t>
      </w:r>
      <w:r>
        <w:t xml:space="preserve"> further shows that when RED is supplied with a correct step decomposition (via the step decomposer), the modular expert system achieves </w:t>
      </w:r>
      <w:r>
        <w:rPr>
          <w:b/>
          <w:bCs/>
        </w:rPr>
        <w:t>near-perfect accuracy (&gt;0.99)</w:t>
      </w:r>
      <w:r>
        <w:t>. This indicates that:</w:t>
      </w:r>
    </w:p>
    <w:p w14:paraId="6668AFF1">
      <w:pPr>
        <w:pStyle w:val="24"/>
        <w:numPr>
          <w:ilvl w:val="0"/>
          <w:numId w:val="2"/>
        </w:numPr>
      </w:pPr>
      <w:r>
        <w:rPr>
          <w:b/>
          <w:bCs/>
        </w:rPr>
        <w:t>expert execution is highly reliable</w:t>
      </w:r>
      <w:r>
        <w:t>, and</w:t>
      </w:r>
    </w:p>
    <w:p w14:paraId="142CC25A">
      <w:pPr>
        <w:pStyle w:val="24"/>
        <w:numPr>
          <w:ilvl w:val="0"/>
          <w:numId w:val="2"/>
        </w:numPr>
      </w:pPr>
      <w:r>
        <w:rPr>
          <w:b/>
          <w:bCs/>
        </w:rPr>
        <w:t>the primary source of error in end-to-end RED lies in structural inference</w:t>
      </w:r>
      <w:r>
        <w:t>, not in arithmetic computation.</w:t>
      </w:r>
    </w:p>
    <w:p w14:paraId="067368CD">
      <w:r>
        <w:pict>
          <v:rect id="_x0000_i1058" o:spt="1" style="height:1.5pt;width:0pt;" coordsize="21600,21600" o:hr="t" o:hrstd="t" o:hralign="center">
            <v:path/>
            <v:fill focussize="0,0"/>
            <v:stroke/>
            <v:imagedata o:title=""/>
            <o:lock v:ext="edit"/>
            <w10:wrap type="none"/>
            <w10:anchorlock/>
          </v:rect>
        </w:pict>
      </w:r>
    </w:p>
    <w:bookmarkEnd w:id="87"/>
    <w:p w14:paraId="2DDE226E">
      <w:pPr>
        <w:pStyle w:val="5"/>
      </w:pPr>
      <w:r>
        <w:t>Overall conclusion of Section 4</w:t>
      </w:r>
    </w:p>
    <w:p w14:paraId="4A413EC9">
      <w:pPr>
        <w:pStyle w:val="23"/>
      </w:pPr>
      <w:r>
        <w:t xml:space="preserve">Together, these results show that </w:t>
      </w:r>
      <w:r>
        <w:rPr>
          <w:b/>
          <w:bCs/>
        </w:rPr>
        <w:t>RED is a lightweight, interpretable, and stable modular reasoning framework</w:t>
      </w:r>
      <w:r>
        <w:t>. It preserves expert specialization while enabling coherent global prediction. Its balance of accuracy, robustness, and computational efficiency highlights residual routing as a strong alternative to uniform ensembling and classical Mixture-of-Experts.</w:t>
      </w:r>
    </w:p>
    <w:p w14:paraId="360023C3"/>
    <w:bookmarkEnd w:id="0"/>
    <w:bookmarkEnd w:id="1"/>
    <w:bookmarkEnd w:id="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ZWSimpleStroke"/>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Sitka Display">
    <w:panose1 w:val="00000000000000000000"/>
    <w:charset w:val="00"/>
    <w:family w:val="auto"/>
    <w:pitch w:val="default"/>
    <w:sig w:usb0="A00002EF" w:usb1="4000204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ZWSimpleStroke">
    <w:panose1 w:val="02000500000000000000"/>
    <w:charset w:val="00"/>
    <w:family w:val="auto"/>
    <w:pitch w:val="default"/>
    <w:sig w:usb0="800000A7" w:usb1="5000004A" w:usb2="00000000" w:usb3="00000000" w:csb0="20000111" w:csb1="41000000"/>
  </w:font>
  <w:font w:name="Aptos">
    <w:altName w:val="宋体"/>
    <w:panose1 w:val="020B0004020202020204"/>
    <w:charset w:val="86"/>
    <w:family w:val="swiss"/>
    <w:pitch w:val="default"/>
    <w:sig w:usb0="00000000" w:usb1="00000000" w:usb2="00000000" w:usb3="00000000" w:csb0="0000019F" w:csb1="00000000"/>
  </w:font>
  <w:font w:name="Aptos Display">
    <w:altName w:val="ZWSimpleStroke"/>
    <w:panose1 w:val="020B0004020202020204"/>
    <w:charset w:val="00"/>
    <w:family w:val="swiss"/>
    <w:pitch w:val="default"/>
    <w:sig w:usb0="00000000" w:usb1="00000000"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31"/>
    <w:multiLevelType w:val="multilevel"/>
    <w:tmpl w:val="00A9943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1EFD0D3B"/>
    <w:rsid w:val="362F49F1"/>
    <w:rsid w:val="4BE94567"/>
    <w:rsid w:val="5519761B"/>
    <w:rsid w:val="612327C6"/>
    <w:rsid w:val="671D0FC9"/>
    <w:rsid w:val="68AD6BF3"/>
    <w:rsid w:val="6B2739C5"/>
    <w:rsid w:val="6BB42DF6"/>
    <w:rsid w:val="776B1F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Arial" w:hAnsi="Arial"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Sitka Display" w:hAnsi="Sitka Display"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Sitka Display" w:hAnsi="Sitka Display"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Sitka Display" w:hAnsi="Sitka Display"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Sitka Display" w:hAnsi="Sitka Display"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Sitka Display" w:hAnsi="Sitka Display"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Sitka Display" w:hAnsi="Sitka Display"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Sitka Display" w:hAnsi="Sitka Display"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2564</Words>
  <Characters>14657</Characters>
  <Lines>12</Lines>
  <Paragraphs>8</Paragraphs>
  <TotalTime>0</TotalTime>
  <ScaleCrop>false</ScaleCrop>
  <LinksUpToDate>false</LinksUpToDate>
  <CharactersWithSpaces>16741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2025-12-07T07:16:00Z</dcterms:created>
  <dc:creator>李佳林</dc:creator>
  <cp:lastModifiedBy>李佳林</cp:lastModifiedBy>
  <dcterms:modified xsi:type="dcterms:W3CDTF">2025-12-07T08:44:40Z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eyJoZGlkIjoiY2Q1YzA2N2Y2M2FlOWE2MWY5NDZkNmUwZmZjOGI4OWIiLCJ1c2VySWQiOiI4NTU5NjU5ODQifQ==</vt:lpwstr>
  </property>
  <property fmtid="{D5CDD505-2E9C-101B-9397-08002B2CF9AE}" pid="3" name="KSOProductBuildVer">
    <vt:lpwstr>2052-12.1.0.24034</vt:lpwstr>
  </property>
  <property fmtid="{D5CDD505-2E9C-101B-9397-08002B2CF9AE}" pid="4" name="ICV">
    <vt:lpwstr>6D3D025BA9A747A39B608CC4EEA3886A_12</vt:lpwstr>
  </property>
</Properties>
</file>