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2EA34">
      <w:pPr>
        <w:pStyle w:val="2"/>
      </w:pPr>
      <w:bookmarkStart w:id="70" w:name="_GoBack"/>
      <w:bookmarkEnd w:id="70"/>
      <w:bookmarkStart w:id="0" w:name="experiments"/>
      <w:r>
        <w:t>4. Experiments</w:t>
      </w:r>
    </w:p>
    <w:p w14:paraId="1C5CD9A8">
      <w:pPr>
        <w:pStyle w:val="23"/>
      </w:pPr>
      <w:r>
        <w:t>This section presents a controlled empirical evaluation of the proposed modular reasoning framework.</w:t>
      </w:r>
    </w:p>
    <w:p w14:paraId="3EAF24AF">
      <w:pPr>
        <w:pStyle w:val="3"/>
      </w:pPr>
      <w:r>
        <w:t>The model uses a single shared backbone together with multiple lightweight expert heads, each trained</w:t>
      </w:r>
    </w:p>
    <w:p w14:paraId="7D06ED8A">
      <w:pPr>
        <w:pStyle w:val="3"/>
      </w:pPr>
      <w:r>
        <w:t>exclusively on a disjoint numerical sub-domain. This setup allows clear measurement of three core</w:t>
      </w:r>
    </w:p>
    <w:p w14:paraId="036C748E">
      <w:pPr>
        <w:pStyle w:val="3"/>
      </w:pPr>
      <w:r>
        <w:t>modular properties:</w:t>
      </w:r>
    </w:p>
    <w:p w14:paraId="3225274E">
      <w:pPr>
        <w:numPr>
          <w:ilvl w:val="0"/>
          <w:numId w:val="1"/>
        </w:numPr>
      </w:pPr>
      <w:r>
        <w:rPr>
          <w:b/>
          <w:bCs/>
        </w:rPr>
        <w:t>Local specialization</w:t>
      </w:r>
      <w:r>
        <w:t xml:space="preserve"> — Each expert should excel within its designated numerical range.  </w:t>
      </w:r>
    </w:p>
    <w:p w14:paraId="4593802C">
      <w:pPr>
        <w:numPr>
          <w:ilvl w:val="0"/>
          <w:numId w:val="1"/>
        </w:numPr>
      </w:pPr>
      <w:r>
        <w:rPr>
          <w:b/>
          <w:bCs/>
        </w:rPr>
        <w:t>Global recomposition</w:t>
      </w:r>
      <w:r>
        <w:t xml:space="preserve"> — A router must integrate experts into a coherent global predictor.  </w:t>
      </w:r>
    </w:p>
    <w:p w14:paraId="13DAE53A">
      <w:pPr>
        <w:numPr>
          <w:ilvl w:val="0"/>
          <w:numId w:val="1"/>
        </w:numPr>
      </w:pPr>
      <w:r>
        <w:rPr>
          <w:b/>
          <w:bCs/>
        </w:rPr>
        <w:t>Structural robustness</w:t>
      </w:r>
      <w:r>
        <w:t xml:space="preserve"> — The system should remain stable when experts are added, removed, or replaced.</w:t>
      </w:r>
    </w:p>
    <w:p w14:paraId="3D3C001C">
      <w:pPr>
        <w:pStyle w:val="23"/>
      </w:pPr>
      <w:r>
        <w:t>We evaluate the following research questions:</w:t>
      </w:r>
    </w:p>
    <w:p w14:paraId="3662F263">
      <w:pPr>
        <w:numPr>
          <w:ilvl w:val="0"/>
          <w:numId w:val="2"/>
        </w:numPr>
      </w:pPr>
      <w:r>
        <w:rPr>
          <w:b/>
          <w:bCs/>
        </w:rPr>
        <w:t>RQ1 — Performance:</w:t>
      </w:r>
      <w:r>
        <w:t xml:space="preserve"> Does the residual expert structure outperform global models, uniform ensembles, and MoE-style gating?  </w:t>
      </w:r>
    </w:p>
    <w:p w14:paraId="6629E2EA">
      <w:pPr>
        <w:numPr>
          <w:ilvl w:val="0"/>
          <w:numId w:val="2"/>
        </w:numPr>
      </w:pPr>
      <w:r>
        <w:rPr>
          <w:b/>
          <w:bCs/>
        </w:rPr>
        <w:t>RQ2 — Stability:</w:t>
      </w:r>
      <w:r>
        <w:t xml:space="preserve"> Do experts maintain consistent behavior across ranges, and does routing preserve balanced accuracy?  </w:t>
      </w:r>
    </w:p>
    <w:p w14:paraId="71EFAF5C">
      <w:pPr>
        <w:numPr>
          <w:ilvl w:val="0"/>
          <w:numId w:val="2"/>
        </w:numPr>
      </w:pPr>
      <w:r>
        <w:rPr>
          <w:b/>
          <w:bCs/>
        </w:rPr>
        <w:t>RQ3 — Modularity:</w:t>
      </w:r>
      <w:r>
        <w:t xml:space="preserve"> Can experts trained independently be recombined without retraining the backbone?  </w:t>
      </w:r>
    </w:p>
    <w:p w14:paraId="6016F452">
      <w:pPr>
        <w:numPr>
          <w:ilvl w:val="0"/>
          <w:numId w:val="2"/>
        </w:numPr>
      </w:pPr>
      <w:r>
        <w:rPr>
          <w:b/>
          <w:bCs/>
        </w:rPr>
        <w:t>RQ4 — Efficiency:</w:t>
      </w:r>
      <w:r>
        <w:t xml:space="preserve"> Does modularization reduce computation cost while improving interpretability?</w:t>
      </w:r>
    </w:p>
    <w:p w14:paraId="0C0D7F12">
      <w:pPr>
        <w:pStyle w:val="23"/>
      </w:pPr>
      <w:r>
        <w:t>Two arithmetic tasks are used for evaluation:</w:t>
      </w:r>
    </w:p>
    <w:p w14:paraId="40901AF0">
      <w:pPr>
        <w:pStyle w:val="24"/>
        <w:numPr>
          <w:ilvl w:val="0"/>
          <w:numId w:val="3"/>
        </w:numPr>
      </w:pPr>
      <w:r>
        <w:t>two-number addition, and (2) mixed addition–subtraction.</w:t>
      </w:r>
    </w:p>
    <w:p w14:paraId="5D639390">
      <w:pPr>
        <w:pStyle w:val="4"/>
      </w:pPr>
      <w:bookmarkStart w:id="1" w:name="experimental-overview"/>
      <w:r>
        <w:t>4.1 Experimental Overview</w:t>
      </w:r>
    </w:p>
    <w:p w14:paraId="095FE1F0">
      <w:pPr>
        <w:pStyle w:val="23"/>
      </w:pPr>
      <w:r>
        <w:t>This section outlines the experimental design used to evaluate modular arithmetic reasoning under three architectural configurations:</w:t>
      </w:r>
    </w:p>
    <w:p w14:paraId="6F0134E1">
      <w:pPr>
        <w:pStyle w:val="24"/>
        <w:numPr>
          <w:ilvl w:val="0"/>
          <w:numId w:val="2"/>
        </w:numPr>
      </w:pPr>
      <w:r>
        <w:rPr>
          <w:b/>
          <w:bCs/>
        </w:rPr>
        <w:t>Linear expert heads</w:t>
      </w:r>
      <w:r>
        <w:br w:type="textWrapping"/>
      </w:r>
    </w:p>
    <w:p w14:paraId="0911AE23">
      <w:pPr>
        <w:pStyle w:val="24"/>
        <w:numPr>
          <w:ilvl w:val="0"/>
          <w:numId w:val="2"/>
        </w:numPr>
      </w:pPr>
      <w:r>
        <w:rPr>
          <w:b/>
          <w:bCs/>
        </w:rPr>
        <w:t>Nonlinear MLP experts</w:t>
      </w:r>
      <w:r>
        <w:br w:type="textWrapping"/>
      </w:r>
    </w:p>
    <w:p w14:paraId="4ED8D6CB">
      <w:pPr>
        <w:pStyle w:val="24"/>
        <w:numPr>
          <w:ilvl w:val="0"/>
          <w:numId w:val="2"/>
        </w:numPr>
      </w:pPr>
      <w:r>
        <w:rPr>
          <w:b/>
          <w:bCs/>
        </w:rPr>
        <w:t>Residual Experts (RED) with a shared Qwen backbone</w:t>
      </w:r>
    </w:p>
    <w:p w14:paraId="066AA293">
      <w:pPr>
        <w:pStyle w:val="23"/>
      </w:pPr>
      <w:r>
        <w:t xml:space="preserve">Although arithmetic is simple, it provides a controlled environment where </w:t>
      </w:r>
      <w:r>
        <w:rPr>
          <w:b/>
          <w:bCs/>
        </w:rPr>
        <w:t>specialization</w:t>
      </w:r>
      <w:r>
        <w:t xml:space="preserve">, </w:t>
      </w:r>
      <w:r>
        <w:rPr>
          <w:b/>
          <w:bCs/>
        </w:rPr>
        <w:t>interference</w:t>
      </w:r>
      <w:r>
        <w:t xml:space="preserve">, and </w:t>
      </w:r>
      <w:r>
        <w:rPr>
          <w:b/>
          <w:bCs/>
        </w:rPr>
        <w:t>modular recomposition</w:t>
      </w:r>
      <w:r>
        <w:t xml:space="preserve"> can be rigorously examined.</w:t>
      </w:r>
    </w:p>
    <w:p w14:paraId="4CD9E346">
      <w:pPr>
        <w:pStyle w:val="5"/>
      </w:pPr>
      <w:bookmarkStart w:id="2" w:name="task-formulation"/>
      <w:r>
        <w:t>Task Formulation</w:t>
      </w:r>
    </w:p>
    <w:p w14:paraId="28B47CDC">
      <w:pPr>
        <w:pStyle w:val="23"/>
      </w:pPr>
      <w:r>
        <w:t>Each sample is a natural-language query of the form:</w:t>
      </w:r>
    </w:p>
    <w:p w14:paraId="3C2B292B">
      <w:pPr>
        <w:pStyle w:val="13"/>
      </w:pPr>
      <w:r>
        <w:t>“What is 37 plus 12?”</w:t>
      </w:r>
    </w:p>
    <w:p w14:paraId="5D3C00FF">
      <w:pPr>
        <w:pStyle w:val="23"/>
      </w:pPr>
      <w:r>
        <w:t>Operands are drawn from:</w:t>
      </w:r>
    </w:p>
    <w:p w14:paraId="2FF52E47">
      <w:pPr>
        <w:pStyle w:val="3"/>
      </w:pPr>
      <m:oMathPara>
        <m:oMathParaPr>
          <m:jc m:val="center"/>
        </m:oMathParaPr>
        <m:oMath>
          <m:r>
            <m:rPr/>
            <m:t>a</m:t>
          </m:r>
          <m:r>
            <m:rPr>
              <m:sty m:val="p"/>
            </m:rPr>
            <m:t>∈[</m:t>
          </m:r>
          <m:r>
            <m:rPr/>
            <m:t>1</m:t>
          </m:r>
          <m:r>
            <m:rPr>
              <m:sty m:val="p"/>
            </m:rPr>
            <m:t>,</m:t>
          </m:r>
          <m:r>
            <m:rPr/>
            <m:t>50</m:t>
          </m:r>
          <m:r>
            <m:rPr>
              <m:sty m:val="p"/>
            </m:rPr>
            <m:t>],</m:t>
          </m:r>
          <m:r>
            <m:rPr/>
            <m:t>  b</m:t>
          </m:r>
          <m:r>
            <m:rPr>
              <m:sty m:val="p"/>
            </m:rPr>
            <m:t>∈[</m:t>
          </m:r>
          <m:r>
            <m:rPr/>
            <m:t>1</m:t>
          </m:r>
          <m:r>
            <m:rPr>
              <m:sty m:val="p"/>
            </m:rPr>
            <m:t>,</m:t>
          </m:r>
          <m:r>
            <m:rPr/>
            <m:t>50</m:t>
          </m:r>
          <m:r>
            <m:rPr>
              <m:sty m:val="p"/>
            </m:rPr>
            <m:t>],</m:t>
          </m:r>
        </m:oMath>
      </m:oMathPara>
    </w:p>
    <w:p w14:paraId="498D1271">
      <w:pPr>
        <w:pStyle w:val="23"/>
      </w:pPr>
      <w:r>
        <w:t>with the resulting sum:</w:t>
      </w:r>
    </w:p>
    <w:p w14:paraId="0583820A">
      <w:pPr>
        <w:pStyle w:val="3"/>
      </w:pPr>
      <m:oMathPara>
        <m:oMathParaPr>
          <m:jc m:val="center"/>
        </m:oMathParaPr>
        <m:oMath>
          <m:r>
            <m:rPr/>
            <m:t>s</m:t>
          </m:r>
          <m:r>
            <m:rPr>
              <m:sty m:val="p"/>
            </m:rPr>
            <m:t>=</m:t>
          </m:r>
          <m:r>
            <m:rPr/>
            <m:t>a</m:t>
          </m:r>
          <m:r>
            <m:rPr>
              <m:sty m:val="p"/>
            </m:rPr>
            <m:t>+</m:t>
          </m:r>
          <m:r>
            <m:rPr/>
            <m:t>b</m:t>
          </m:r>
          <m:r>
            <m:rPr>
              <m:sty m:val="p"/>
            </m:rPr>
            <m:t>∈[</m:t>
          </m:r>
          <m:r>
            <m:rPr/>
            <m:t>2</m:t>
          </m:r>
          <m:r>
            <m:rPr>
              <m:sty m:val="p"/>
            </m:rPr>
            <m:t>,</m:t>
          </m:r>
          <m:r>
            <m:rPr/>
            <m:t>100</m:t>
          </m:r>
          <m:r>
            <m:rPr>
              <m:sty m:val="p"/>
            </m:rPr>
            <m:t>].</m:t>
          </m:r>
        </m:oMath>
      </m:oMathPara>
    </w:p>
    <w:p w14:paraId="1565DB99">
      <w:pPr>
        <w:pStyle w:val="23"/>
      </w:pPr>
      <w:r>
        <w:t>To induce expert specialization and create explicit sub-domains, we partition the output space into five non-overlapping intervals:</w:t>
      </w:r>
    </w:p>
    <w:p w14:paraId="6A72FB69">
      <w:pPr>
        <w:pStyle w:val="3"/>
      </w:pPr>
      <m:oMathPara>
        <m:oMathParaPr>
          <m:jc m:val="center"/>
        </m:oMathParaPr>
        <m:oMath>
          <m:sSub>
            <m:sSubPr/>
            <m:e>
              <m:r>
                <m:rPr/>
                <m:t>R</m:t>
              </m:r>
            </m:e>
            <m:sub>
              <m:r>
                <m:rPr/>
                <m:t>1</m:t>
              </m:r>
            </m:sub>
          </m:sSub>
          <m:r>
            <m:rPr>
              <m:sty m:val="p"/>
            </m:rPr>
            <m:t>:</m:t>
          </m:r>
          <m:r>
            <m:rPr/>
            <m:t>2</m:t>
          </m:r>
          <m:r>
            <m:rPr>
              <m:sty m:val="p"/>
            </m:rPr>
            <m:t>≤</m:t>
          </m:r>
          <m:r>
            <m:rPr/>
            <m:t>s</m:t>
          </m:r>
          <m:r>
            <m:rPr>
              <m:sty m:val="p"/>
            </m:rPr>
            <m:t>≤</m:t>
          </m:r>
          <m:r>
            <m:rPr/>
            <m:t>20</m:t>
          </m:r>
          <m:r>
            <m:rPr>
              <m:sty m:val="p"/>
            </m:rPr>
            <m:t>,</m:t>
          </m:r>
          <m:r>
            <m:rPr/>
            <m:t>  </m:t>
          </m:r>
          <m:sSub>
            <m:sSubPr/>
            <m:e>
              <m:r>
                <m:rPr/>
                <m:t>R</m:t>
              </m:r>
            </m:e>
            <m:sub>
              <m:r>
                <m:rPr/>
                <m:t>2</m:t>
              </m:r>
            </m:sub>
          </m:sSub>
          <m:r>
            <m:rPr>
              <m:sty m:val="p"/>
            </m:rPr>
            <m:t>:</m:t>
          </m:r>
          <m:r>
            <m:rPr/>
            <m:t>21</m:t>
          </m:r>
          <m:r>
            <m:rPr>
              <m:sty m:val="p"/>
            </m:rPr>
            <m:t>≤</m:t>
          </m:r>
          <m:r>
            <m:rPr/>
            <m:t>s</m:t>
          </m:r>
          <m:r>
            <m:rPr>
              <m:sty m:val="p"/>
            </m:rPr>
            <m:t>≤</m:t>
          </m:r>
          <m:r>
            <m:rPr/>
            <m:t>40</m:t>
          </m:r>
          <m:r>
            <m:rPr>
              <m:sty m:val="p"/>
            </m:rPr>
            <m:t>,</m:t>
          </m:r>
          <m:r>
            <m:rPr/>
            <m:t>  </m:t>
          </m:r>
          <m:sSub>
            <m:sSubPr/>
            <m:e>
              <m:r>
                <m:rPr/>
                <m:t>R</m:t>
              </m:r>
            </m:e>
            <m:sub>
              <m:r>
                <m:rPr/>
                <m:t>3</m:t>
              </m:r>
            </m:sub>
          </m:sSub>
          <m:r>
            <m:rPr>
              <m:sty m:val="p"/>
            </m:rPr>
            <m:t>:</m:t>
          </m:r>
          <m:r>
            <m:rPr/>
            <m:t>41</m:t>
          </m:r>
          <m:r>
            <m:rPr>
              <m:sty m:val="p"/>
            </m:rPr>
            <m:t>≤</m:t>
          </m:r>
          <m:r>
            <m:rPr/>
            <m:t>s</m:t>
          </m:r>
          <m:r>
            <m:rPr>
              <m:sty m:val="p"/>
            </m:rPr>
            <m:t>≤</m:t>
          </m:r>
          <m:r>
            <m:rPr/>
            <m:t>60</m:t>
          </m:r>
          <m:r>
            <m:rPr>
              <m:sty m:val="p"/>
            </m:rPr>
            <m:t>,</m:t>
          </m:r>
        </m:oMath>
      </m:oMathPara>
    </w:p>
    <w:p w14:paraId="5B780D8F">
      <w:pPr>
        <w:pStyle w:val="23"/>
      </w:pPr>
      <m:oMathPara>
        <m:oMathParaPr>
          <m:jc m:val="center"/>
        </m:oMathParaPr>
        <m:oMath>
          <m:sSub>
            <m:sSubPr/>
            <m:e>
              <m:r>
                <m:rPr/>
                <m:t>R</m:t>
              </m:r>
            </m:e>
            <m:sub>
              <m:r>
                <m:rPr/>
                <m:t>4</m:t>
              </m:r>
            </m:sub>
          </m:sSub>
          <m:r>
            <m:rPr>
              <m:sty m:val="p"/>
            </m:rPr>
            <m:t>:</m:t>
          </m:r>
          <m:r>
            <m:rPr/>
            <m:t>61</m:t>
          </m:r>
          <m:r>
            <m:rPr>
              <m:sty m:val="p"/>
            </m:rPr>
            <m:t>≤</m:t>
          </m:r>
          <m:r>
            <m:rPr/>
            <m:t>s</m:t>
          </m:r>
          <m:r>
            <m:rPr>
              <m:sty m:val="p"/>
            </m:rPr>
            <m:t>≤</m:t>
          </m:r>
          <m:r>
            <m:rPr/>
            <m:t>80</m:t>
          </m:r>
          <m:r>
            <m:rPr>
              <m:sty m:val="p"/>
            </m:rPr>
            <m:t>,</m:t>
          </m:r>
          <m:r>
            <m:rPr/>
            <m:t>  </m:t>
          </m:r>
          <m:sSub>
            <m:sSubPr/>
            <m:e>
              <m:r>
                <m:rPr/>
                <m:t>R</m:t>
              </m:r>
            </m:e>
            <m:sub>
              <m:r>
                <m:rPr/>
                <m:t>5</m:t>
              </m:r>
            </m:sub>
          </m:sSub>
          <m:r>
            <m:rPr>
              <m:sty m:val="p"/>
            </m:rPr>
            <m:t>:</m:t>
          </m:r>
          <m:r>
            <m:rPr/>
            <m:t>81</m:t>
          </m:r>
          <m:r>
            <m:rPr>
              <m:sty m:val="p"/>
            </m:rPr>
            <m:t>≤</m:t>
          </m:r>
          <m:r>
            <m:rPr/>
            <m:t>s</m:t>
          </m:r>
          <m:r>
            <m:rPr>
              <m:sty m:val="p"/>
            </m:rPr>
            <m:t>≤</m:t>
          </m:r>
          <m:r>
            <m:rPr/>
            <m:t>100</m:t>
          </m:r>
          <m:r>
            <m:rPr>
              <m:sty m:val="p"/>
            </m:rPr>
            <m:t>.</m:t>
          </m:r>
        </m:oMath>
      </m:oMathPara>
    </w:p>
    <w:p w14:paraId="2CB18697">
      <w:pPr>
        <w:pStyle w:val="23"/>
      </w:pPr>
      <w:r>
        <w:t>Each range is assigned to a dedicated expert head during training.</w:t>
      </w:r>
    </w:p>
    <w:bookmarkEnd w:id="2"/>
    <w:p w14:paraId="1438CB20">
      <w:pPr>
        <w:pStyle w:val="5"/>
      </w:pPr>
      <w:bookmarkStart w:id="3" w:name="shared-encoder"/>
      <w:r>
        <w:t>Shared Encoder</w:t>
      </w:r>
    </w:p>
    <w:p w14:paraId="0E07FE9C">
      <w:pPr>
        <w:pStyle w:val="23"/>
      </w:pPr>
      <w:r>
        <w:t>All experts share a single Qwen-0.6B encoder.</w:t>
      </w:r>
      <w:r>
        <w:br w:type="textWrapping"/>
      </w:r>
      <w:r>
        <w:t>Only the top two transformer blocks remain trainable to allow limited global adaptation.</w:t>
      </w:r>
    </w:p>
    <w:p w14:paraId="0605C397">
      <w:pPr>
        <w:pStyle w:val="3"/>
      </w:pPr>
      <w:r>
        <w:t>Let the backbone representation be:</w:t>
      </w:r>
    </w:p>
    <w:p w14:paraId="20EB3210">
      <w:pPr>
        <w:pStyle w:val="3"/>
      </w:pPr>
      <m:oMathPara>
        <m:oMathParaPr>
          <m:jc m:val="center"/>
        </m:oMathParaPr>
        <m:oMath>
          <m:r>
            <m:rPr/>
            <m:t>h</m:t>
          </m:r>
          <m:r>
            <m:rPr>
              <m:sty m:val="p"/>
            </m:rPr>
            <m:t>(</m:t>
          </m:r>
          <m:r>
            <m:rPr/>
            <m:t>x</m:t>
          </m:r>
          <m:r>
            <m:rPr>
              <m:sty m:val="p"/>
            </m:rPr>
            <m:t>)∈</m:t>
          </m:r>
          <m:sSup>
            <m:sSupPr/>
            <m:e>
              <m:r>
                <m:rPr>
                  <m:sty m:val="p"/>
                  <m:scr m:val="double-struck"/>
                </m:rPr>
                <m:t>ℝ</m:t>
              </m:r>
            </m:e>
            <m:sup>
              <m:r>
                <m:rPr/>
                <m:t>d</m:t>
              </m:r>
            </m:sup>
          </m:sSup>
          <m:r>
            <m:rPr>
              <m:sty m:val="p"/>
            </m:rPr>
            <m:t>.</m:t>
          </m:r>
        </m:oMath>
      </m:oMathPara>
    </w:p>
    <w:p w14:paraId="614CB491">
      <w:pPr>
        <w:pStyle w:val="23"/>
      </w:pPr>
      <w:r>
        <w:t>Each expert learns a mapping:</w:t>
      </w:r>
    </w:p>
    <w:p w14:paraId="33268045">
      <w:pPr>
        <w:pStyle w:val="3"/>
      </w:pPr>
      <m:oMathPara>
        <m:oMathParaPr>
          <m:jc m:val="center"/>
        </m:oMathParaPr>
        <m:oMath>
          <m:sSub>
            <m:sSubPr/>
            <m:e>
              <m:r>
                <m:rPr/>
                <m:t>E</m:t>
              </m:r>
            </m:e>
            <m:sub>
              <m:r>
                <m:rPr/>
                <m:t>i</m:t>
              </m:r>
            </m:sub>
          </m:sSub>
          <m:r>
            <m:rPr>
              <m:sty m:val="p"/>
            </m:rPr>
            <m:t>(</m:t>
          </m:r>
          <m:r>
            <m:rPr/>
            <m:t>h</m:t>
          </m:r>
          <m:r>
            <m:rPr>
              <m:sty m:val="p"/>
            </m:rPr>
            <m:t>(</m:t>
          </m:r>
          <m:r>
            <m:rPr/>
            <m:t>x</m:t>
          </m:r>
          <m:r>
            <m:rPr>
              <m:sty m:val="p"/>
            </m:rPr>
            <m:t>))→</m:t>
          </m:r>
          <m:sSub>
            <m:sSubPr/>
            <m:e>
              <m:acc>
                <m:accPr/>
                <m:e>
                  <m:r>
                    <m:rPr/>
                    <m:t>y</m:t>
                  </m:r>
                </m:e>
              </m:acc>
            </m:e>
            <m:sub>
              <m:r>
                <m:rPr/>
                <m:t>i</m:t>
              </m:r>
            </m:sub>
          </m:sSub>
          <m:r>
            <m:rPr>
              <m:sty m:val="p"/>
            </m:rPr>
            <m:t>,</m:t>
          </m:r>
        </m:oMath>
      </m:oMathPara>
    </w:p>
    <w:p w14:paraId="09BD7E95">
      <w:pPr>
        <w:pStyle w:val="23"/>
      </w:pPr>
      <w:r>
        <w:t>and is trained exclusively on samples where the ground-truth label lies within interval (R_i).</w:t>
      </w:r>
    </w:p>
    <w:bookmarkEnd w:id="3"/>
    <w:p w14:paraId="1DD520EC">
      <w:pPr>
        <w:pStyle w:val="5"/>
      </w:pPr>
      <w:bookmarkStart w:id="4" w:name="router-training"/>
      <w:r>
        <w:t>Router Training</w:t>
      </w:r>
    </w:p>
    <w:p w14:paraId="41850522">
      <w:pPr>
        <w:pStyle w:val="23"/>
      </w:pPr>
      <w:r>
        <w:t>Once all experts have converged, a lightweight router is trained to assign mixture weights:</w:t>
      </w:r>
    </w:p>
    <w:p w14:paraId="427E5F8D">
      <w:pPr>
        <w:pStyle w:val="3"/>
      </w:pPr>
      <m:oMathPara>
        <m:oMathParaPr>
          <m:jc m:val="center"/>
        </m:oMathParaPr>
        <m:oMath>
          <m:r>
            <m:rPr/>
            <m:t>α</m:t>
          </m:r>
          <m:r>
            <m:rPr>
              <m:sty m:val="p"/>
            </m:rPr>
            <m:t>(</m:t>
          </m:r>
          <m:r>
            <m:rPr/>
            <m:t>x</m:t>
          </m:r>
          <m:r>
            <m:rPr>
              <m:sty m:val="p"/>
            </m:rPr>
            <m:t>)=softmax(</m:t>
          </m:r>
          <m:sSub>
            <m:sSubPr/>
            <m:e>
              <m:r>
                <m:rPr/>
                <m:t>W</m:t>
              </m:r>
            </m:e>
            <m:sub>
              <m:r>
                <m:rPr/>
                <m:t>r</m:t>
              </m:r>
            </m:sub>
          </m:sSub>
          <m:r>
            <m:rPr/>
            <m:t>h</m:t>
          </m:r>
          <m:r>
            <m:rPr>
              <m:sty m:val="p"/>
            </m:rPr>
            <m:t>(</m:t>
          </m:r>
          <m:r>
            <m:rPr/>
            <m:t>x</m:t>
          </m:r>
          <m:r>
            <m:rPr>
              <m:sty m:val="p"/>
            </m:rPr>
            <m:t>)).</m:t>
          </m:r>
        </m:oMath>
      </m:oMathPara>
    </w:p>
    <w:p w14:paraId="0FF06577">
      <w:pPr>
        <w:pStyle w:val="23"/>
      </w:pPr>
      <w:r>
        <w:t>For RED, expert outputs contribute residual corrections rather than full logits:</w:t>
      </w:r>
    </w:p>
    <w:p w14:paraId="001FEE35">
      <w:pPr>
        <w:pStyle w:val="3"/>
      </w:pPr>
      <m:oMathPara>
        <m:oMathParaPr>
          <m:jc m:val="center"/>
        </m:oMathParaPr>
        <m:oMath>
          <m:acc>
            <m:accPr/>
            <m:e>
              <m:r>
                <m:rPr/>
                <m:t>y</m:t>
              </m:r>
            </m:e>
          </m:acc>
          <m:r>
            <m:rPr>
              <m:sty m:val="p"/>
            </m:rPr>
            <m:t>(</m:t>
          </m:r>
          <m:r>
            <m:rPr/>
            <m:t>x</m:t>
          </m:r>
          <m:r>
            <m:rPr>
              <m:sty m:val="p"/>
            </m:rPr>
            <m:t>)=</m:t>
          </m:r>
          <m:sSub>
            <m:sSubPr/>
            <m:e>
              <m:r>
                <m:rPr/>
                <m:t>h</m:t>
              </m:r>
            </m:e>
            <m:sub>
              <m:r>
                <m:rPr>
                  <m:nor/>
                  <m:sty m:val="p"/>
                </m:rPr>
                <w:rPr>
                  <w:b w:val="0"/>
                  <w:i w:val="0"/>
                </w:rPr>
                <m:t>base</m:t>
              </m:r>
            </m:sub>
          </m:sSub>
          <m:r>
            <m:rPr>
              <m:sty m:val="p"/>
            </m:rPr>
            <m:t>(</m:t>
          </m:r>
          <m:r>
            <m:rPr/>
            <m:t>x</m:t>
          </m:r>
          <m:r>
            <m:rPr>
              <m:sty m:val="p"/>
            </m:rPr>
            <m:t>)+</m:t>
          </m:r>
          <m:nary>
            <m:naryPr>
              <m:chr m:val="∑"/>
              <m:limLoc m:val="undOvr"/>
            </m:naryPr>
            <m:sub>
              <m:r>
                <m:rPr/>
                <m:t>i</m:t>
              </m:r>
              <m:r>
                <m:rPr>
                  <m:sty m:val="p"/>
                </m:rPr>
                <m:t>=</m:t>
              </m:r>
              <m:r>
                <m:rPr/>
                <m:t>1</m:t>
              </m:r>
            </m:sub>
            <m:sup>
              <m:r>
                <m:rPr/>
                <m:t>5</m:t>
              </m:r>
            </m:sup>
            <m:e>
              <m:sSub>
                <m:sSubPr/>
                <m:e>
                  <m:r>
                    <m:rPr/>
                    <m:t>α</m:t>
                  </m:r>
                </m:e>
                <m:sub>
                  <m:r>
                    <m:rPr/>
                    <m:t>i</m:t>
                  </m:r>
                </m:sub>
              </m:sSub>
            </m:e>
          </m:nary>
          <m:r>
            <m:rPr>
              <m:sty m:val="p"/>
            </m:rPr>
            <m:t>(</m:t>
          </m:r>
          <m:r>
            <m:rPr/>
            <m:t>x</m:t>
          </m:r>
          <m:r>
            <m:rPr>
              <m:sty m:val="p"/>
            </m:rPr>
            <m:t>)</m:t>
          </m:r>
          <m:r>
            <m:rPr/>
            <m:t> </m:t>
          </m:r>
          <m:r>
            <m:rPr>
              <m:sty m:val="p"/>
            </m:rPr>
            <m:t>Δ</m:t>
          </m:r>
          <m:sSub>
            <m:sSubPr/>
            <m:e>
              <m:r>
                <m:rPr/>
                <m:t>h</m:t>
              </m:r>
            </m:e>
            <m:sub>
              <m:r>
                <m:rPr/>
                <m:t>i</m:t>
              </m:r>
            </m:sub>
          </m:sSub>
          <m:r>
            <m:rPr>
              <m:sty m:val="p"/>
            </m:rPr>
            <m:t>(</m:t>
          </m:r>
          <m:r>
            <m:rPr/>
            <m:t>x</m:t>
          </m:r>
          <m:r>
            <m:rPr>
              <m:sty m:val="p"/>
            </m:rPr>
            <m:t>).</m:t>
          </m:r>
        </m:oMath>
      </m:oMathPara>
    </w:p>
    <w:p w14:paraId="5FAC94CF">
      <w:pPr>
        <w:pStyle w:val="23"/>
      </w:pPr>
      <w:r>
        <w:t>This formulation allows experts to refine and extend the backbone’s representation while avoiding destructive interference.</w:t>
      </w:r>
    </w:p>
    <w:bookmarkEnd w:id="4"/>
    <w:p w14:paraId="0E3F34AB">
      <w:pPr>
        <w:pStyle w:val="5"/>
      </w:pPr>
      <w:bookmarkStart w:id="5" w:name="why-arithmetic"/>
      <w:r>
        <w:t>Why Arithmetic?</w:t>
      </w:r>
    </w:p>
    <w:p w14:paraId="7F79F4CF">
      <w:pPr>
        <w:pStyle w:val="23"/>
      </w:pPr>
      <w:r>
        <w:t>Arithmetic tasks are ideal for modular analysis because:</w:t>
      </w:r>
    </w:p>
    <w:p w14:paraId="56943BC2">
      <w:pPr>
        <w:pStyle w:val="24"/>
        <w:numPr>
          <w:ilvl w:val="0"/>
          <w:numId w:val="2"/>
        </w:numPr>
      </w:pPr>
      <w:r>
        <w:t xml:space="preserve">numerical intervals define </w:t>
      </w:r>
      <w:r>
        <w:rPr>
          <w:b/>
          <w:bCs/>
        </w:rPr>
        <w:t>clean domain boundaries</w:t>
      </w:r>
      <w:r>
        <w:t>,</w:t>
      </w:r>
      <w:r>
        <w:br w:type="textWrapping"/>
      </w:r>
    </w:p>
    <w:p w14:paraId="002D3B48">
      <w:pPr>
        <w:pStyle w:val="24"/>
        <w:numPr>
          <w:ilvl w:val="0"/>
          <w:numId w:val="2"/>
        </w:numPr>
      </w:pPr>
      <w:r>
        <w:t xml:space="preserve">labels are </w:t>
      </w:r>
      <w:r>
        <w:rPr>
          <w:b/>
          <w:bCs/>
        </w:rPr>
        <w:t>noise-free and exact</w:t>
      </w:r>
      <w:r>
        <w:t>,</w:t>
      </w:r>
      <w:r>
        <w:br w:type="textWrapping"/>
      </w:r>
    </w:p>
    <w:p w14:paraId="0C37CFBF">
      <w:pPr>
        <w:pStyle w:val="24"/>
        <w:numPr>
          <w:ilvl w:val="0"/>
          <w:numId w:val="2"/>
        </w:numPr>
      </w:pPr>
      <w:r>
        <w:t xml:space="preserve">difficulty increases </w:t>
      </w:r>
      <w:r>
        <w:rPr>
          <w:b/>
          <w:bCs/>
        </w:rPr>
        <w:t>monotonically across ranges</w:t>
      </w:r>
      <w:r>
        <w:t>,</w:t>
      </w:r>
      <w:r>
        <w:br w:type="textWrapping"/>
      </w:r>
    </w:p>
    <w:p w14:paraId="7C94371B">
      <w:pPr>
        <w:pStyle w:val="24"/>
        <w:numPr>
          <w:ilvl w:val="0"/>
          <w:numId w:val="2"/>
        </w:numPr>
      </w:pPr>
      <w:r>
        <w:t xml:space="preserve">router failures and expert drift become </w:t>
      </w:r>
      <w:r>
        <w:rPr>
          <w:b/>
          <w:bCs/>
        </w:rPr>
        <w:t>directly observable</w:t>
      </w:r>
      <w:r>
        <w:t>,</w:t>
      </w:r>
      <w:r>
        <w:br w:type="textWrapping"/>
      </w:r>
    </w:p>
    <w:p w14:paraId="5BB44C5B">
      <w:pPr>
        <w:pStyle w:val="24"/>
        <w:numPr>
          <w:ilvl w:val="0"/>
          <w:numId w:val="2"/>
        </w:numPr>
      </w:pPr>
      <w:r>
        <w:t xml:space="preserve">evaluation is </w:t>
      </w:r>
      <w:r>
        <w:rPr>
          <w:b/>
          <w:bCs/>
        </w:rPr>
        <w:t>fully interpretable and reproducible</w:t>
      </w:r>
      <w:r>
        <w:t>.</w:t>
      </w:r>
    </w:p>
    <w:p w14:paraId="52F1C570">
      <w:pPr>
        <w:pStyle w:val="23"/>
      </w:pPr>
      <w:r>
        <w:t xml:space="preserve">These properties align well with the empirical standards emphasized in </w:t>
      </w:r>
      <w:r>
        <w:rPr>
          <w:i/>
          <w:iCs/>
        </w:rPr>
        <w:t>Knowledge-Based Systems</w:t>
      </w:r>
      <w:r>
        <w:t xml:space="preserve"> research.</w:t>
      </w:r>
    </w:p>
    <w:bookmarkEnd w:id="1"/>
    <w:bookmarkEnd w:id="5"/>
    <w:p w14:paraId="0A47A0E4">
      <w:pPr>
        <w:pStyle w:val="4"/>
      </w:pPr>
      <w:bookmarkStart w:id="6" w:name="Xdc4f6628df5bfe1793bfb6bf0ff124c2a493274"/>
      <w:r>
        <w:t>4.2 Dataset and Task Details (Revised, De-duplicated)</w:t>
      </w:r>
    </w:p>
    <w:p w14:paraId="4CEC74A3">
      <w:pPr>
        <w:pStyle w:val="23"/>
      </w:pPr>
      <w:r>
        <w:t>This section defines the datasets used for the two evaluation tasks: (1) two-number addition, and (2) mixed addition–subtraction. All datasets are synthetically generated to provide exact labels, controlled difficulty, and clearly defined numerical sub-domains.</w:t>
      </w:r>
    </w:p>
    <w:p w14:paraId="68B33D15">
      <w:pPr>
        <w:pStyle w:val="3"/>
      </w:pPr>
      <w:r>
        <w:t xml:space="preserve">Each task uses </w:t>
      </w:r>
      <w:r>
        <w:rPr>
          <w:b/>
          <w:bCs/>
        </w:rPr>
        <w:t>80,000</w:t>
      </w:r>
      <w:r>
        <w:t xml:space="preserve"> examples in total, with a consistent </w:t>
      </w:r>
      <w:r>
        <w:rPr>
          <w:b/>
          <w:bCs/>
        </w:rPr>
        <w:t>8:1:1</w:t>
      </w:r>
      <w:r>
        <w:t xml:space="preserve"> split (64k / 8k / 8k).</w:t>
      </w:r>
    </w:p>
    <w:p w14:paraId="6799EDB5">
      <w:pPr>
        <w:pStyle w:val="5"/>
      </w:pPr>
      <w:bookmarkStart w:id="7" w:name="task-1-two-number-addition"/>
      <w:r>
        <w:t>4.2.1 Task 1 — Two-Number Addition</w:t>
      </w:r>
    </w:p>
    <w:p w14:paraId="266E303A">
      <w:pPr>
        <w:pStyle w:val="23"/>
      </w:pPr>
      <w:r>
        <w:t>Each query follows the template:</w:t>
      </w:r>
    </w:p>
    <w:p w14:paraId="5284C4F2">
      <w:pPr>
        <w:pStyle w:val="13"/>
      </w:pPr>
      <w:r>
        <w:t xml:space="preserve">“What is </w:t>
      </w:r>
      <w:r>
        <w:rPr>
          <w:i/>
          <w:iCs/>
        </w:rPr>
        <w:t>a</w:t>
      </w:r>
      <w:r>
        <w:t xml:space="preserve"> plus </w:t>
      </w:r>
      <w:r>
        <w:rPr>
          <w:i/>
          <w:iCs/>
        </w:rPr>
        <w:t>b</w:t>
      </w:r>
      <w:r>
        <w:t>?”</w:t>
      </w:r>
    </w:p>
    <w:p w14:paraId="77C0CC36">
      <w:pPr>
        <w:pStyle w:val="23"/>
      </w:pPr>
      <w:r>
        <w:t xml:space="preserve">The operands </w:t>
      </w:r>
      <w:r>
        <w:rPr>
          <w:i/>
          <w:iCs/>
        </w:rPr>
        <w:t>a</w:t>
      </w:r>
      <w:r>
        <w:t xml:space="preserve"> and </w:t>
      </w:r>
      <w:r>
        <w:rPr>
          <w:i/>
          <w:iCs/>
        </w:rPr>
        <w:t>b</w:t>
      </w:r>
      <w:r>
        <w:t xml:space="preserve"> follow the constraints already introduced in Section 4.1.</w:t>
      </w:r>
    </w:p>
    <w:p w14:paraId="4C164472">
      <w:pPr>
        <w:pStyle w:val="3"/>
      </w:pPr>
      <w:r>
        <w:rPr>
          <w:b/>
          <w:bCs/>
        </w:rPr>
        <w:t>Output Ranges</w:t>
      </w:r>
      <w:r>
        <w:br w:type="textWrapping"/>
      </w:r>
      <w:r>
        <w:t xml:space="preserve">The sum </w:t>
      </w:r>
      <m:oMath>
        <m:r>
          <m:rPr/>
          <m:t>s</m:t>
        </m:r>
        <m:r>
          <m:rPr>
            <m:sty m:val="p"/>
          </m:rPr>
          <m:t>=</m:t>
        </m:r>
        <m:r>
          <m:rPr/>
          <m:t>a</m:t>
        </m:r>
        <m:r>
          <m:rPr>
            <m:sty m:val="p"/>
          </m:rPr>
          <m:t>+</m:t>
        </m:r>
        <m:r>
          <m:rPr/>
          <m:t>b</m:t>
        </m:r>
      </m:oMath>
      <w:r>
        <w:t xml:space="preserve"> falls into one of the five numerical intervals defined earlier. These intervals are not repeated here to avoid redundancy; see Section 4.1 for the exact range boundaries.</w:t>
      </w:r>
    </w:p>
    <w:p w14:paraId="4933F521">
      <w:pPr>
        <w:pStyle w:val="3"/>
      </w:pPr>
      <w:r>
        <w:rPr>
          <w:b/>
          <w:bCs/>
        </w:rPr>
        <w:t>Dataset Size</w:t>
      </w:r>
    </w:p>
    <w:p w14:paraId="5F71CC4D">
      <w:pPr>
        <w:pStyle w:val="24"/>
        <w:numPr>
          <w:ilvl w:val="0"/>
          <w:numId w:val="2"/>
        </w:numPr>
      </w:pPr>
      <w:r>
        <w:t>64,000 training examples</w:t>
      </w:r>
      <w:r>
        <w:br w:type="textWrapping"/>
      </w:r>
    </w:p>
    <w:p w14:paraId="491919E1">
      <w:pPr>
        <w:pStyle w:val="24"/>
        <w:numPr>
          <w:ilvl w:val="0"/>
          <w:numId w:val="2"/>
        </w:numPr>
      </w:pPr>
      <w:r>
        <w:t>8,000 validation examples</w:t>
      </w:r>
      <w:r>
        <w:br w:type="textWrapping"/>
      </w:r>
    </w:p>
    <w:p w14:paraId="2BC6CC49">
      <w:pPr>
        <w:pStyle w:val="24"/>
        <w:numPr>
          <w:ilvl w:val="0"/>
          <w:numId w:val="2"/>
        </w:numPr>
      </w:pPr>
      <w:r>
        <w:t>8,000 test examples</w:t>
      </w:r>
    </w:p>
    <w:p w14:paraId="1004F70A">
      <w:pPr>
        <w:pStyle w:val="23"/>
      </w:pPr>
      <w:r>
        <w:t xml:space="preserve">Split ratio: </w:t>
      </w:r>
      <w:r>
        <w:rPr>
          <w:b/>
          <w:bCs/>
        </w:rPr>
        <w:t>8 : 1 : 1</w:t>
      </w:r>
      <w:r>
        <w:t xml:space="preserve"> (total </w:t>
      </w:r>
      <w:r>
        <w:rPr>
          <w:b/>
          <w:bCs/>
        </w:rPr>
        <w:t>80,000</w:t>
      </w:r>
      <w:r>
        <w:t xml:space="preserve"> examples).</w:t>
      </w:r>
    </w:p>
    <w:bookmarkEnd w:id="7"/>
    <w:p w14:paraId="725B67E0">
      <w:pPr>
        <w:pStyle w:val="5"/>
      </w:pPr>
      <w:bookmarkStart w:id="8" w:name="task-2-mixed-arithmetic"/>
      <w:r>
        <w:t>4.2.2 Task 2 — Mixed Arithmetic</w:t>
      </w:r>
    </w:p>
    <w:p w14:paraId="3C76E0E6">
      <w:pPr>
        <w:pStyle w:val="23"/>
      </w:pPr>
      <w:r>
        <w:t>Queries include one or two operators, such as:</w:t>
      </w:r>
    </w:p>
    <w:p w14:paraId="33C0548A">
      <w:pPr>
        <w:pStyle w:val="24"/>
        <w:numPr>
          <w:ilvl w:val="0"/>
          <w:numId w:val="2"/>
        </w:numPr>
      </w:pPr>
      <w:r>
        <w:t>“What is 45 minus 17?”</w:t>
      </w:r>
      <w:r>
        <w:br w:type="textWrapping"/>
      </w:r>
    </w:p>
    <w:p w14:paraId="78AFC5F2">
      <w:pPr>
        <w:pStyle w:val="24"/>
        <w:numPr>
          <w:ilvl w:val="0"/>
          <w:numId w:val="2"/>
        </w:numPr>
      </w:pPr>
      <w:r>
        <w:t>“What is 12 plus 8 minus 3?”</w:t>
      </w:r>
    </w:p>
    <w:p w14:paraId="63D4ABF1">
      <w:pPr>
        <w:pStyle w:val="23"/>
      </w:pPr>
      <w:r>
        <w:t>Operand constraints match those in Section 4.1, and intermediate results are restricted to ensure all final outputs remain within the same five numerical ranges used in Task 1.</w:t>
      </w:r>
    </w:p>
    <w:p w14:paraId="42251A54">
      <w:pPr>
        <w:pStyle w:val="3"/>
      </w:pPr>
      <w:r>
        <w:rPr>
          <w:b/>
          <w:bCs/>
        </w:rPr>
        <w:t>Dataset Size</w:t>
      </w:r>
    </w:p>
    <w:p w14:paraId="7983735F">
      <w:pPr>
        <w:pStyle w:val="3"/>
      </w:pPr>
      <w:r>
        <w:t>Identical to Task 1:</w:t>
      </w:r>
    </w:p>
    <w:p w14:paraId="59D7FC9E">
      <w:pPr>
        <w:pStyle w:val="24"/>
        <w:numPr>
          <w:ilvl w:val="0"/>
          <w:numId w:val="2"/>
        </w:numPr>
      </w:pPr>
      <w:r>
        <w:t>64,000 training examples</w:t>
      </w:r>
      <w:r>
        <w:br w:type="textWrapping"/>
      </w:r>
    </w:p>
    <w:p w14:paraId="6FF22ACC">
      <w:pPr>
        <w:pStyle w:val="24"/>
        <w:numPr>
          <w:ilvl w:val="0"/>
          <w:numId w:val="2"/>
        </w:numPr>
      </w:pPr>
      <w:r>
        <w:t>8,000 validation examples</w:t>
      </w:r>
      <w:r>
        <w:br w:type="textWrapping"/>
      </w:r>
    </w:p>
    <w:p w14:paraId="680BEE97">
      <w:pPr>
        <w:pStyle w:val="24"/>
        <w:numPr>
          <w:ilvl w:val="0"/>
          <w:numId w:val="2"/>
        </w:numPr>
      </w:pPr>
      <w:r>
        <w:t>8,000 test examples</w:t>
      </w:r>
    </w:p>
    <w:p w14:paraId="7BB36449">
      <w:pPr>
        <w:pStyle w:val="23"/>
      </w:pPr>
      <w:r>
        <w:t xml:space="preserve">Again, this yields </w:t>
      </w:r>
      <w:r>
        <w:rPr>
          <w:b/>
          <w:bCs/>
        </w:rPr>
        <w:t>80,000</w:t>
      </w:r>
      <w:r>
        <w:t xml:space="preserve"> examples per task with an </w:t>
      </w:r>
      <w:r>
        <w:rPr>
          <w:b/>
          <w:bCs/>
        </w:rPr>
        <w:t>8 : 1 : 1</w:t>
      </w:r>
      <w:r>
        <w:t xml:space="preserve"> split.</w:t>
      </w:r>
    </w:p>
    <w:bookmarkEnd w:id="8"/>
    <w:p w14:paraId="1BB3D95F">
      <w:pPr>
        <w:pStyle w:val="5"/>
      </w:pPr>
      <w:bookmarkStart w:id="9" w:name="motivation-for-synthetic-tasks"/>
      <w:r>
        <w:t>4.2.3 Motivation for Synthetic Tasks</w:t>
      </w:r>
    </w:p>
    <w:p w14:paraId="412B5E96">
      <w:pPr>
        <w:pStyle w:val="24"/>
        <w:numPr>
          <w:ilvl w:val="0"/>
          <w:numId w:val="2"/>
        </w:numPr>
      </w:pPr>
      <w:r>
        <w:t>Clean, noise-free labels</w:t>
      </w:r>
      <w:r>
        <w:br w:type="textWrapping"/>
      </w:r>
    </w:p>
    <w:p w14:paraId="2B3D5A29">
      <w:pPr>
        <w:pStyle w:val="24"/>
        <w:numPr>
          <w:ilvl w:val="0"/>
          <w:numId w:val="2"/>
        </w:numPr>
      </w:pPr>
      <w:r>
        <w:t>Exactly controlled numerical boundaries</w:t>
      </w:r>
      <w:r>
        <w:br w:type="textWrapping"/>
      </w:r>
    </w:p>
    <w:p w14:paraId="74298E30">
      <w:pPr>
        <w:pStyle w:val="24"/>
        <w:numPr>
          <w:ilvl w:val="0"/>
          <w:numId w:val="2"/>
        </w:numPr>
      </w:pPr>
      <w:r>
        <w:t>Fully interpretable error behavior</w:t>
      </w:r>
      <w:r>
        <w:br w:type="textWrapping"/>
      </w:r>
    </w:p>
    <w:p w14:paraId="00A97A2F">
      <w:pPr>
        <w:pStyle w:val="24"/>
        <w:numPr>
          <w:ilvl w:val="0"/>
          <w:numId w:val="2"/>
        </w:numPr>
      </w:pPr>
      <w:r>
        <w:t>Perfect alignment with modular evaluation (specialization, recomposition, boundary behavior)</w:t>
      </w:r>
    </w:p>
    <w:p w14:paraId="4F2A8835">
      <w:pPr>
        <w:pStyle w:val="23"/>
      </w:pPr>
      <w:r>
        <w:t>These motivations follow from the principles outlined in Section 4.1 and are not repeated verbatim to avoid duplication.</w:t>
      </w:r>
    </w:p>
    <w:bookmarkEnd w:id="9"/>
    <w:p w14:paraId="58E2AAFD">
      <w:pPr>
        <w:pStyle w:val="5"/>
      </w:pPr>
      <w:bookmarkStart w:id="10" w:name="summary"/>
      <w:r>
        <w:t>4.2.4 Summary</w:t>
      </w:r>
    </w:p>
    <w:p w14:paraId="3ACDA71A">
      <w:pPr>
        <w:pStyle w:val="23"/>
      </w:pPr>
      <w:r>
        <w:t>Across both tasks:</w:t>
      </w:r>
    </w:p>
    <w:p w14:paraId="6CF69C9D">
      <w:pPr>
        <w:pStyle w:val="24"/>
        <w:numPr>
          <w:ilvl w:val="0"/>
          <w:numId w:val="2"/>
        </w:numPr>
      </w:pPr>
      <w:r>
        <w:t xml:space="preserve">The same </w:t>
      </w:r>
      <w:r>
        <w:rPr>
          <w:b/>
          <w:bCs/>
        </w:rPr>
        <w:t>Qwen-0.6B</w:t>
      </w:r>
      <w:r>
        <w:t xml:space="preserve"> backbone is used.</w:t>
      </w:r>
      <w:r>
        <w:br w:type="textWrapping"/>
      </w:r>
    </w:p>
    <w:p w14:paraId="7ED291E2">
      <w:pPr>
        <w:pStyle w:val="24"/>
        <w:numPr>
          <w:ilvl w:val="0"/>
          <w:numId w:val="2"/>
        </w:numPr>
      </w:pPr>
      <w:r>
        <w:t>Five experts correspond to five non-overlapping numerical sub-domains.</w:t>
      </w:r>
      <w:r>
        <w:br w:type="textWrapping"/>
      </w:r>
    </w:p>
    <w:p w14:paraId="1FC9A6A2">
      <w:pPr>
        <w:pStyle w:val="24"/>
        <w:numPr>
          <w:ilvl w:val="0"/>
          <w:numId w:val="2"/>
        </w:numPr>
      </w:pPr>
      <w:r>
        <w:t>A single router recomposes expert predictions.</w:t>
      </w:r>
      <w:r>
        <w:br w:type="textWrapping"/>
      </w:r>
    </w:p>
    <w:p w14:paraId="2E51499A">
      <w:pPr>
        <w:pStyle w:val="24"/>
        <w:numPr>
          <w:ilvl w:val="0"/>
          <w:numId w:val="2"/>
        </w:numPr>
      </w:pPr>
      <w:r>
        <w:t xml:space="preserve">Each task uses </w:t>
      </w:r>
      <w:r>
        <w:rPr>
          <w:b/>
          <w:bCs/>
        </w:rPr>
        <w:t>80,000</w:t>
      </w:r>
      <w:r>
        <w:t xml:space="preserve"> examples with a balanced </w:t>
      </w:r>
      <w:r>
        <w:rPr>
          <w:b/>
          <w:bCs/>
        </w:rPr>
        <w:t>64k / 8k / 8k</w:t>
      </w:r>
      <w:r>
        <w:t xml:space="preserve"> split (</w:t>
      </w:r>
      <w:r>
        <w:rPr>
          <w:b/>
          <w:bCs/>
        </w:rPr>
        <w:t>8 : 1 : 1</w:t>
      </w:r>
      <w:r>
        <w:t>).</w:t>
      </w:r>
      <w:r>
        <w:br w:type="textWrapping"/>
      </w:r>
    </w:p>
    <w:p w14:paraId="2FD06520">
      <w:pPr>
        <w:pStyle w:val="24"/>
        <w:numPr>
          <w:ilvl w:val="0"/>
          <w:numId w:val="2"/>
        </w:numPr>
      </w:pPr>
      <w:r>
        <w:t xml:space="preserve">In total, the experimental suite covers </w:t>
      </w:r>
      <w:r>
        <w:rPr>
          <w:b/>
          <w:bCs/>
        </w:rPr>
        <w:t>160,000</w:t>
      </w:r>
      <w:r>
        <w:t xml:space="preserve"> synthetically generated, perfectly labeled examples.</w:t>
      </w:r>
    </w:p>
    <w:p w14:paraId="3248C10D">
      <w:pPr>
        <w:pStyle w:val="23"/>
      </w:pPr>
      <w:r>
        <w:t>The minimal redundancy and consistent structure ensure that later comparisons across models and methods reflect architectural differences rather than dataset inconsistencies.</w:t>
      </w:r>
    </w:p>
    <w:bookmarkEnd w:id="6"/>
    <w:bookmarkEnd w:id="10"/>
    <w:p w14:paraId="78F08CFF">
      <w:pPr>
        <w:pStyle w:val="4"/>
      </w:pPr>
      <w:bookmarkStart w:id="11" w:name="baselines-revised-de-duplicated"/>
      <w:r>
        <w:t>4.3 Baselines (Revised, De-duplicated)</w:t>
      </w:r>
    </w:p>
    <w:p w14:paraId="18ADD955">
      <w:pPr>
        <w:pStyle w:val="23"/>
      </w:pPr>
      <w:r>
        <w:t xml:space="preserve">This section introduces the baseline systems used to contextualize the performance of the proposed </w:t>
      </w:r>
      <w:r>
        <w:rPr>
          <w:b/>
          <w:bCs/>
        </w:rPr>
        <w:t>Residual Expert Decomposition (RED)</w:t>
      </w:r>
      <w:r>
        <w:t xml:space="preserve"> framework. The goal is to compare RED against representative architectures that differ in modularity, routing, and expert interaction. All baselines share the same Qwen-0.6B backbone for fair comparison.</w:t>
      </w:r>
    </w:p>
    <w:p w14:paraId="40870770">
      <w:pPr>
        <w:pStyle w:val="5"/>
      </w:pPr>
      <w:bookmarkStart w:id="12" w:name="baseline-1-global-head-single-expert"/>
      <w:r>
        <w:t>4.3.1 Baseline 1 — Global Head (Single Expert)</w:t>
      </w:r>
    </w:p>
    <w:p w14:paraId="7594B4CE">
      <w:pPr>
        <w:pStyle w:val="23"/>
      </w:pPr>
      <w:r>
        <w:t>A single classifier head is trained on all samples using the shared backbone. This model:</w:t>
      </w:r>
    </w:p>
    <w:p w14:paraId="2D4EA6D8">
      <w:pPr>
        <w:pStyle w:val="24"/>
        <w:numPr>
          <w:ilvl w:val="0"/>
          <w:numId w:val="2"/>
        </w:numPr>
      </w:pPr>
      <w:r>
        <w:t xml:space="preserve">has </w:t>
      </w:r>
      <w:r>
        <w:rPr>
          <w:b/>
          <w:bCs/>
        </w:rPr>
        <w:t>no modular decomposition</w:t>
      </w:r>
      <w:r>
        <w:t>,</w:t>
      </w:r>
    </w:p>
    <w:p w14:paraId="69F6067C">
      <w:pPr>
        <w:pStyle w:val="24"/>
        <w:numPr>
          <w:ilvl w:val="0"/>
          <w:numId w:val="2"/>
        </w:numPr>
      </w:pPr>
      <w:r>
        <w:t xml:space="preserve">has </w:t>
      </w:r>
      <w:r>
        <w:rPr>
          <w:b/>
          <w:bCs/>
        </w:rPr>
        <w:t>no expert specialization</w:t>
      </w:r>
      <w:r>
        <w:t>,</w:t>
      </w:r>
    </w:p>
    <w:p w14:paraId="2BE005F4">
      <w:pPr>
        <w:pStyle w:val="24"/>
        <w:numPr>
          <w:ilvl w:val="0"/>
          <w:numId w:val="2"/>
        </w:numPr>
      </w:pPr>
      <w:r>
        <w:t xml:space="preserve">and uses </w:t>
      </w:r>
      <w:r>
        <w:rPr>
          <w:b/>
          <w:bCs/>
        </w:rPr>
        <w:t>no routing mechanism</w:t>
      </w:r>
      <w:r>
        <w:t>.</w:t>
      </w:r>
    </w:p>
    <w:p w14:paraId="51801B9A">
      <w:pPr>
        <w:pStyle w:val="23"/>
      </w:pPr>
      <w:r>
        <w:t>It answers a fundamental question:</w:t>
      </w:r>
    </w:p>
    <w:p w14:paraId="4FDC797B">
      <w:pPr>
        <w:pStyle w:val="13"/>
      </w:pPr>
      <w:r>
        <w:t>Can a single global predictor learn heterogeneous numerical patterns without modular structure?</w:t>
      </w:r>
    </w:p>
    <w:bookmarkEnd w:id="12"/>
    <w:p w14:paraId="429ED9C0">
      <w:pPr>
        <w:pStyle w:val="5"/>
      </w:pPr>
      <w:bookmarkStart w:id="13" w:name="X5d41469df4b509370dd27b415d3f57d294c0ab0"/>
      <w:r>
        <w:t xml:space="preserve">4.3.2 Baseline 2 — Oracle Per-Range Experts </w:t>
      </w:r>
      <w:r>
        <w:rPr>
          <w:i/>
          <w:iCs/>
        </w:rPr>
        <w:t>(Upper Bound)</w:t>
      </w:r>
    </w:p>
    <w:p w14:paraId="0951DE8A">
      <w:pPr>
        <w:pStyle w:val="23"/>
      </w:pPr>
      <w:r>
        <w:t xml:space="preserve">Five expert heads are trained independently, each on samples from its own numerical sub-domain. At inference time, the system uses </w:t>
      </w:r>
      <w:r>
        <w:rPr>
          <w:b/>
          <w:bCs/>
        </w:rPr>
        <w:t>ground-truth range labels</w:t>
      </w:r>
      <w:r>
        <w:t xml:space="preserve"> to select the correct expert:</w:t>
      </w:r>
    </w:p>
    <w:p w14:paraId="4E9DC5EA">
      <w:pPr>
        <w:pStyle w:val="3"/>
      </w:pPr>
      <m:oMathPara>
        <m:oMathParaPr>
          <m:jc m:val="center"/>
        </m:oMathParaPr>
        <m:oMath>
          <m:r>
            <m:rPr/>
            <m:t>p</m:t>
          </m:r>
          <m:r>
            <m:rPr>
              <m:sty m:val="p"/>
            </m:rPr>
            <m:t>(</m:t>
          </m:r>
          <m:r>
            <m:rPr/>
            <m:t>y</m:t>
          </m:r>
          <m:r>
            <m:rPr>
              <m:sty m:val="p"/>
            </m:rPr>
            <m:t>∣</m:t>
          </m:r>
          <m:r>
            <m:rPr/>
            <m:t>x</m:t>
          </m:r>
          <m:r>
            <m:rPr>
              <m:sty m:val="p"/>
            </m:rPr>
            <m:t>)=softmax</m:t>
          </m:r>
          <m:d>
            <m:dPr>
              <m:sepChr m:val=""/>
            </m:dPr>
            <m:e>
              <m:sSub>
                <m:sSubPr/>
                <m:e>
                  <m:r>
                    <m:rPr/>
                    <m:t>E</m:t>
                  </m:r>
                </m:e>
                <m:sub>
                  <m:r>
                    <m:rPr/>
                    <m:t>i</m:t>
                  </m:r>
                </m:sub>
              </m:sSub>
              <m:r>
                <m:rPr>
                  <m:sty m:val="p"/>
                </m:rPr>
                <m:t>(</m:t>
              </m:r>
              <m:r>
                <m:rPr/>
                <m:t>h</m:t>
              </m:r>
              <m:r>
                <m:rPr>
                  <m:sty m:val="p"/>
                </m:rPr>
                <m:t>(</m:t>
              </m:r>
              <m:r>
                <m:rPr/>
                <m:t>x</m:t>
              </m:r>
              <m:r>
                <m:rPr>
                  <m:sty m:val="p"/>
                </m:rPr>
                <m:t>))</m:t>
              </m:r>
            </m:e>
          </m:d>
          <m:r>
            <m:rPr>
              <m:sty m:val="p"/>
            </m:rPr>
            <m:t>,</m:t>
          </m:r>
          <m:r>
            <m:rPr/>
            <m:t> i</m:t>
          </m:r>
          <m:r>
            <m:rPr>
              <m:sty m:val="p"/>
            </m:rPr>
            <m:t>=trueRange(</m:t>
          </m:r>
          <m:r>
            <m:rPr/>
            <m:t>x</m:t>
          </m:r>
          <m:r>
            <m:rPr>
              <m:sty m:val="p"/>
            </m:rPr>
            <m:t>).</m:t>
          </m:r>
        </m:oMath>
      </m:oMathPara>
    </w:p>
    <w:p w14:paraId="702B7E89">
      <w:pPr>
        <w:pStyle w:val="23"/>
      </w:pPr>
      <w:r>
        <w:t xml:space="preserve">Although not feasible in practice, this configuration represents the </w:t>
      </w:r>
      <w:r>
        <w:rPr>
          <w:b/>
          <w:bCs/>
        </w:rPr>
        <w:t>upper bound</w:t>
      </w:r>
      <w:r>
        <w:t xml:space="preserve"> of modular specialization.</w:t>
      </w:r>
    </w:p>
    <w:bookmarkEnd w:id="13"/>
    <w:p w14:paraId="138D47F4">
      <w:pPr>
        <w:pStyle w:val="5"/>
      </w:pPr>
      <w:bookmarkStart w:id="14" w:name="X171aa6cb5e6abaafa70e03824b0a347458ecb2e"/>
      <w:r>
        <w:t xml:space="preserve">4.3.3 Baseline 3 — Uniform Expert Averaging </w:t>
      </w:r>
      <w:r>
        <w:rPr>
          <w:i/>
          <w:iCs/>
        </w:rPr>
        <w:t>(Parameter-Free Ensemble)</w:t>
      </w:r>
    </w:p>
    <w:p w14:paraId="443BCCAF">
      <w:pPr>
        <w:pStyle w:val="23"/>
      </w:pPr>
      <w:r>
        <w:t>Outputs from all experts are averaged equally:</w:t>
      </w:r>
    </w:p>
    <w:p w14:paraId="605351B5">
      <w:pPr>
        <w:pStyle w:val="3"/>
      </w:pPr>
      <m:oMathPara>
        <m:oMathParaPr>
          <m:jc m:val="center"/>
        </m:oMathParaPr>
        <m:oMath>
          <m:r>
            <m:rPr/>
            <m:t>p</m:t>
          </m:r>
          <m:r>
            <m:rPr>
              <m:sty m:val="p"/>
            </m:rPr>
            <m:t>(</m:t>
          </m:r>
          <m:r>
            <m:rPr/>
            <m:t>y</m:t>
          </m:r>
          <m:r>
            <m:rPr>
              <m:sty m:val="p"/>
            </m:rPr>
            <m:t>∣</m:t>
          </m:r>
          <m:r>
            <m:rPr/>
            <m:t>x</m:t>
          </m:r>
          <m:r>
            <m:rPr>
              <m:sty m:val="p"/>
            </m:rPr>
            <m:t>)=</m:t>
          </m:r>
          <m:f>
            <m:fPr/>
            <m:num>
              <m:r>
                <m:rPr/>
                <m:t>1</m:t>
              </m:r>
            </m:num>
            <m:den>
              <m:r>
                <m:rPr/>
                <m:t>5</m:t>
              </m:r>
            </m:den>
          </m:f>
          <m:nary>
            <m:naryPr>
              <m:chr m:val="∑"/>
              <m:limLoc m:val="undOvr"/>
            </m:naryPr>
            <m:sub>
              <m:r>
                <m:rPr/>
                <m:t>i</m:t>
              </m:r>
              <m:r>
                <m:rPr>
                  <m:sty m:val="p"/>
                </m:rPr>
                <m:t>=</m:t>
              </m:r>
              <m:r>
                <m:rPr/>
                <m:t>1</m:t>
              </m:r>
            </m:sub>
            <m:sup>
              <m:r>
                <m:rPr/>
                <m:t>5</m:t>
              </m:r>
            </m:sup>
            <m:e>
              <m:r>
                <m:rPr>
                  <m:sty m:val="p"/>
                </m:rPr>
                <m:t>softmax</m:t>
              </m:r>
            </m:e>
          </m:nary>
          <m:d>
            <m:dPr>
              <m:sepChr m:val=""/>
            </m:dPr>
            <m:e>
              <m:sSub>
                <m:sSubPr/>
                <m:e>
                  <m:r>
                    <m:rPr/>
                    <m:t>E</m:t>
                  </m:r>
                </m:e>
                <m:sub>
                  <m:r>
                    <m:rPr/>
                    <m:t>i</m:t>
                  </m:r>
                </m:sub>
              </m:sSub>
              <m:r>
                <m:rPr>
                  <m:sty m:val="p"/>
                </m:rPr>
                <m:t>(</m:t>
              </m:r>
              <m:r>
                <m:rPr/>
                <m:t>h</m:t>
              </m:r>
              <m:r>
                <m:rPr>
                  <m:sty m:val="p"/>
                </m:rPr>
                <m:t>(</m:t>
              </m:r>
              <m:r>
                <m:rPr/>
                <m:t>x</m:t>
              </m:r>
              <m:r>
                <m:rPr>
                  <m:sty m:val="p"/>
                </m:rPr>
                <m:t>))</m:t>
              </m:r>
            </m:e>
          </m:d>
          <m:r>
            <m:rPr>
              <m:sty m:val="p"/>
            </m:rPr>
            <m:t>.</m:t>
          </m:r>
        </m:oMath>
      </m:oMathPara>
    </w:p>
    <w:p w14:paraId="52FB8890">
      <w:pPr>
        <w:pStyle w:val="23"/>
      </w:pPr>
      <w:r>
        <w:t>This baseline examines whether simple ensembling—without routing or residual corrections—yields competitive performance.</w:t>
      </w:r>
    </w:p>
    <w:bookmarkEnd w:id="14"/>
    <w:p w14:paraId="71DCDFC3">
      <w:pPr>
        <w:pStyle w:val="5"/>
      </w:pPr>
      <w:bookmarkStart w:id="15" w:name="baseline-4-softmax-gating-classical-moe"/>
      <w:r>
        <w:t>4.3.4 Baseline 4 — Softmax Gating (Classical MoE)</w:t>
      </w:r>
    </w:p>
    <w:p w14:paraId="366EF85F">
      <w:pPr>
        <w:pStyle w:val="23"/>
      </w:pPr>
      <w:r>
        <w:t>A classical MoE-style router predicts mixture weights:</w:t>
      </w:r>
    </w:p>
    <w:p w14:paraId="2D631F18">
      <w:pPr>
        <w:pStyle w:val="3"/>
      </w:pPr>
      <m:oMathPara>
        <m:oMathParaPr>
          <m:jc m:val="center"/>
        </m:oMathParaPr>
        <m:oMath>
          <m:r>
            <m:rPr>
              <m:sty m:val="b"/>
            </m:rPr>
            <m:t>α</m:t>
          </m:r>
          <m:r>
            <m:rPr>
              <m:sty m:val="p"/>
            </m:rPr>
            <m:t>(</m:t>
          </m:r>
          <m:r>
            <m:rPr/>
            <m:t>x</m:t>
          </m:r>
          <m:r>
            <m:rPr>
              <m:sty m:val="p"/>
            </m:rPr>
            <m:t>)=softmax</m:t>
          </m:r>
          <m:d>
            <m:dPr>
              <m:sepChr m:val=""/>
            </m:dPr>
            <m:e>
              <m:sSub>
                <m:sSubPr/>
                <m:e>
                  <m:r>
                    <m:rPr/>
                    <m:t>W</m:t>
                  </m:r>
                </m:e>
                <m:sub>
                  <m:r>
                    <m:rPr/>
                    <m:t>r</m:t>
                  </m:r>
                </m:sub>
              </m:sSub>
              <m:r>
                <m:rPr/>
                <m:t> </m:t>
              </m:r>
              <m:sSub>
                <m:sSubPr/>
                <m:e>
                  <m:r>
                    <m:rPr/>
                    <m:t>h</m:t>
                  </m:r>
                </m:e>
                <m:sub>
                  <m:r>
                    <m:rPr>
                      <m:nor/>
                      <m:sty m:val="p"/>
                    </m:rPr>
                    <w:rPr>
                      <w:b w:val="0"/>
                      <w:i w:val="0"/>
                    </w:rPr>
                    <m:t>base</m:t>
                  </m:r>
                </m:sub>
              </m:sSub>
              <m:r>
                <m:rPr>
                  <m:sty m:val="p"/>
                </m:rPr>
                <m:t>(</m:t>
              </m:r>
              <m:r>
                <m:rPr/>
                <m:t>x</m:t>
              </m:r>
              <m:r>
                <m:rPr>
                  <m:sty m:val="p"/>
                </m:rPr>
                <m:t>)</m:t>
              </m:r>
            </m:e>
          </m:d>
          <m:r>
            <m:rPr>
              <m:sty m:val="p"/>
            </m:rPr>
            <m:t>,</m:t>
          </m:r>
        </m:oMath>
      </m:oMathPara>
    </w:p>
    <w:p w14:paraId="342D2C62">
      <w:pPr>
        <w:pStyle w:val="23"/>
      </w:pPr>
      <w:r>
        <w:t>and the final prediction is</w:t>
      </w:r>
    </w:p>
    <w:p w14:paraId="443E64CB">
      <w:pPr>
        <w:pStyle w:val="3"/>
      </w:pPr>
      <m:oMathPara>
        <m:oMathParaPr>
          <m:jc m:val="center"/>
        </m:oMathParaPr>
        <m:oMath>
          <m:r>
            <m:rPr/>
            <m:t>p</m:t>
          </m:r>
          <m:r>
            <m:rPr>
              <m:sty m:val="p"/>
            </m:rPr>
            <m:t>(</m:t>
          </m:r>
          <m:r>
            <m:rPr/>
            <m:t>y</m:t>
          </m:r>
          <m:r>
            <m:rPr>
              <m:sty m:val="p"/>
            </m:rPr>
            <m:t>∣</m:t>
          </m:r>
          <m:r>
            <m:rPr/>
            <m:t>x</m:t>
          </m:r>
          <m:r>
            <m:rPr>
              <m:sty m:val="p"/>
            </m:rPr>
            <m:t>)=</m:t>
          </m:r>
          <m:nary>
            <m:naryPr>
              <m:chr m:val="∑"/>
              <m:limLoc m:val="undOvr"/>
            </m:naryPr>
            <m:sub>
              <m:r>
                <m:rPr/>
                <m:t>i</m:t>
              </m:r>
              <m:r>
                <m:rPr>
                  <m:sty m:val="p"/>
                </m:rPr>
                <m:t>=</m:t>
              </m:r>
              <m:r>
                <m:rPr/>
                <m:t>1</m:t>
              </m:r>
            </m:sub>
            <m:sup>
              <m:r>
                <m:rPr/>
                <m:t>5</m:t>
              </m:r>
            </m:sup>
            <m:e>
              <m:sSub>
                <m:sSubPr/>
                <m:e>
                  <m:r>
                    <m:rPr/>
                    <m:t>α</m:t>
                  </m:r>
                </m:e>
                <m:sub>
                  <m:r>
                    <m:rPr/>
                    <m:t>i</m:t>
                  </m:r>
                </m:sub>
              </m:sSub>
            </m:e>
          </m:nary>
          <m:r>
            <m:rPr>
              <m:sty m:val="p"/>
            </m:rPr>
            <m:t>(</m:t>
          </m:r>
          <m:r>
            <m:rPr/>
            <m:t>x</m:t>
          </m:r>
          <m:r>
            <m:rPr>
              <m:sty m:val="p"/>
            </m:rPr>
            <m:t>)</m:t>
          </m:r>
          <m:r>
            <m:rPr/>
            <m:t> </m:t>
          </m:r>
          <m:sSub>
            <m:sSubPr/>
            <m:e>
              <m:r>
                <m:rPr/>
                <m:t>E</m:t>
              </m:r>
            </m:e>
            <m:sub>
              <m:r>
                <m:rPr/>
                <m:t>i</m:t>
              </m:r>
            </m:sub>
          </m:sSub>
          <m:d>
            <m:dPr>
              <m:sepChr m:val=""/>
            </m:dPr>
            <m:e>
              <m:r>
                <m:rPr/>
                <m:t>h</m:t>
              </m:r>
              <m:r>
                <m:rPr>
                  <m:sty m:val="p"/>
                </m:rPr>
                <m:t>(</m:t>
              </m:r>
              <m:r>
                <m:rPr/>
                <m:t>x</m:t>
              </m:r>
              <m:r>
                <m:rPr>
                  <m:sty m:val="p"/>
                </m:rPr>
                <m:t>)</m:t>
              </m:r>
            </m:e>
          </m:d>
          <m:r>
            <m:rPr>
              <m:sty m:val="p"/>
            </m:rPr>
            <m:t>.</m:t>
          </m:r>
        </m:oMath>
      </m:oMathPara>
    </w:p>
    <w:p w14:paraId="1B9FE6AB">
      <w:pPr>
        <w:pStyle w:val="23"/>
      </w:pPr>
      <w:r>
        <w:t xml:space="preserve">This baseline tests a fully modular, routing-driven architecture </w:t>
      </w:r>
      <w:r>
        <w:rPr>
          <w:b/>
          <w:bCs/>
        </w:rPr>
        <w:t>without</w:t>
      </w:r>
      <w:r>
        <w:t xml:space="preserve"> residual correction. It is structurally closest to RED but more sensitive to routing errors.</w:t>
      </w:r>
    </w:p>
    <w:bookmarkEnd w:id="15"/>
    <w:p w14:paraId="4212F11F">
      <w:pPr>
        <w:pStyle w:val="5"/>
      </w:pPr>
      <w:bookmarkStart w:id="16" w:name="summary-of-baseline-properties"/>
      <w:r>
        <w:t>4.3.5 Summary of Baseline Properties</w:t>
      </w:r>
    </w:p>
    <w:tbl>
      <w:tblPr>
        <w:tblStyle w:val="41"/>
        <w:tblW w:w="5000" w:type="pct"/>
        <w:tblInd w:w="0" w:type="dxa"/>
        <w:tblLayout w:type="fixed"/>
        <w:tblCellMar>
          <w:top w:w="0" w:type="dxa"/>
          <w:left w:w="108" w:type="dxa"/>
          <w:bottom w:w="0" w:type="dxa"/>
          <w:right w:w="108" w:type="dxa"/>
        </w:tblCellMar>
      </w:tblPr>
      <w:tblGrid>
        <w:gridCol w:w="1619"/>
        <w:gridCol w:w="1428"/>
        <w:gridCol w:w="1142"/>
        <w:gridCol w:w="2000"/>
        <w:gridCol w:w="2667"/>
      </w:tblGrid>
      <w:tr w14:paraId="6CB14AC7">
        <w:tblPrEx>
          <w:tblCellMar>
            <w:top w:w="0" w:type="dxa"/>
            <w:left w:w="108" w:type="dxa"/>
            <w:bottom w:w="0" w:type="dxa"/>
            <w:right w:w="108" w:type="dxa"/>
          </w:tblCellMar>
        </w:tblPrEx>
        <w:trPr>
          <w:tblHeader/>
        </w:trPr>
        <w:tc>
          <w:p w14:paraId="47A53586">
            <w:pPr>
              <w:pStyle w:val="24"/>
            </w:pPr>
            <w:r>
              <w:t>Baseline</w:t>
            </w:r>
          </w:p>
        </w:tc>
        <w:tc>
          <w:p w14:paraId="5CCE37E9">
            <w:pPr>
              <w:pStyle w:val="24"/>
            </w:pPr>
            <w:r>
              <w:t>Routing</w:t>
            </w:r>
          </w:p>
        </w:tc>
        <w:tc>
          <w:p w14:paraId="2F265D0E">
            <w:pPr>
              <w:pStyle w:val="24"/>
            </w:pPr>
            <w:r>
              <w:t>Modularity</w:t>
            </w:r>
          </w:p>
        </w:tc>
        <w:tc>
          <w:p w14:paraId="7686C4FE">
            <w:pPr>
              <w:pStyle w:val="24"/>
            </w:pPr>
            <w:r>
              <w:t>Residual Correction</w:t>
            </w:r>
          </w:p>
        </w:tc>
        <w:tc>
          <w:p w14:paraId="541A93D4">
            <w:pPr>
              <w:pStyle w:val="24"/>
            </w:pPr>
            <w:r>
              <w:t>Purpose</w:t>
            </w:r>
          </w:p>
        </w:tc>
      </w:tr>
      <w:tr w14:paraId="0DDABA1D">
        <w:tblPrEx>
          <w:tblCellMar>
            <w:top w:w="0" w:type="dxa"/>
            <w:left w:w="108" w:type="dxa"/>
            <w:bottom w:w="0" w:type="dxa"/>
            <w:right w:w="108" w:type="dxa"/>
          </w:tblCellMar>
        </w:tblPrEx>
        <w:tc>
          <w:p w14:paraId="09F3A98C">
            <w:pPr>
              <w:pStyle w:val="24"/>
            </w:pPr>
            <w:r>
              <w:t>Global Head</w:t>
            </w:r>
          </w:p>
        </w:tc>
        <w:tc>
          <w:p w14:paraId="2A793F03">
            <w:pPr>
              <w:pStyle w:val="24"/>
            </w:pPr>
            <w:r>
              <w:t>✗</w:t>
            </w:r>
          </w:p>
        </w:tc>
        <w:tc>
          <w:p w14:paraId="79277AD4">
            <w:pPr>
              <w:pStyle w:val="24"/>
            </w:pPr>
            <w:r>
              <w:t>✗</w:t>
            </w:r>
          </w:p>
        </w:tc>
        <w:tc>
          <w:p w14:paraId="7A080681">
            <w:pPr>
              <w:pStyle w:val="24"/>
            </w:pPr>
            <w:r>
              <w:t>✗</w:t>
            </w:r>
          </w:p>
        </w:tc>
        <w:tc>
          <w:p w14:paraId="750CC241">
            <w:pPr>
              <w:pStyle w:val="24"/>
            </w:pPr>
            <w:r>
              <w:t>Non-modular reference</w:t>
            </w:r>
          </w:p>
        </w:tc>
      </w:tr>
      <w:tr w14:paraId="10C22FE1">
        <w:tblPrEx>
          <w:tblCellMar>
            <w:top w:w="0" w:type="dxa"/>
            <w:left w:w="108" w:type="dxa"/>
            <w:bottom w:w="0" w:type="dxa"/>
            <w:right w:w="108" w:type="dxa"/>
          </w:tblCellMar>
        </w:tblPrEx>
        <w:tc>
          <w:p w14:paraId="35B880EE">
            <w:pPr>
              <w:pStyle w:val="24"/>
            </w:pPr>
            <w:r>
              <w:t>Oracle Experts</w:t>
            </w:r>
          </w:p>
        </w:tc>
        <w:tc>
          <w:p w14:paraId="6E5931F3">
            <w:pPr>
              <w:pStyle w:val="24"/>
            </w:pPr>
            <w:r>
              <w:t>✓ (perfect)</w:t>
            </w:r>
          </w:p>
        </w:tc>
        <w:tc>
          <w:p w14:paraId="6FEEAC24">
            <w:pPr>
              <w:pStyle w:val="24"/>
            </w:pPr>
            <w:r>
              <w:t>✓</w:t>
            </w:r>
          </w:p>
        </w:tc>
        <w:tc>
          <w:p w14:paraId="6532492E">
            <w:pPr>
              <w:pStyle w:val="24"/>
            </w:pPr>
            <w:r>
              <w:t>✗</w:t>
            </w:r>
          </w:p>
        </w:tc>
        <w:tc>
          <w:p w14:paraId="0232841B">
            <w:pPr>
              <w:pStyle w:val="24"/>
            </w:pPr>
            <w:r>
              <w:t>Specialization upper bound</w:t>
            </w:r>
          </w:p>
        </w:tc>
      </w:tr>
      <w:tr w14:paraId="69163FED">
        <w:tblPrEx>
          <w:tblCellMar>
            <w:top w:w="0" w:type="dxa"/>
            <w:left w:w="108" w:type="dxa"/>
            <w:bottom w:w="0" w:type="dxa"/>
            <w:right w:w="108" w:type="dxa"/>
          </w:tblCellMar>
        </w:tblPrEx>
        <w:tc>
          <w:p w14:paraId="47CD58EB">
            <w:pPr>
              <w:pStyle w:val="24"/>
            </w:pPr>
            <w:r>
              <w:t>Uniform Avg</w:t>
            </w:r>
          </w:p>
        </w:tc>
        <w:tc>
          <w:p w14:paraId="60667644">
            <w:pPr>
              <w:pStyle w:val="24"/>
            </w:pPr>
            <w:r>
              <w:t>✗</w:t>
            </w:r>
          </w:p>
        </w:tc>
        <w:tc>
          <w:p w14:paraId="714FDCE3">
            <w:pPr>
              <w:pStyle w:val="24"/>
            </w:pPr>
            <w:r>
              <w:t>✓</w:t>
            </w:r>
          </w:p>
        </w:tc>
        <w:tc>
          <w:p w14:paraId="373A41ED">
            <w:pPr>
              <w:pStyle w:val="24"/>
            </w:pPr>
            <w:r>
              <w:t>✗</w:t>
            </w:r>
          </w:p>
        </w:tc>
        <w:tc>
          <w:p w14:paraId="38520881">
            <w:pPr>
              <w:pStyle w:val="24"/>
            </w:pPr>
            <w:r>
              <w:t>Parameter-free ensemble</w:t>
            </w:r>
          </w:p>
        </w:tc>
      </w:tr>
      <w:tr w14:paraId="28447241">
        <w:tblPrEx>
          <w:tblCellMar>
            <w:top w:w="0" w:type="dxa"/>
            <w:left w:w="108" w:type="dxa"/>
            <w:bottom w:w="0" w:type="dxa"/>
            <w:right w:w="108" w:type="dxa"/>
          </w:tblCellMar>
        </w:tblPrEx>
        <w:tc>
          <w:p w14:paraId="415CC995">
            <w:pPr>
              <w:pStyle w:val="24"/>
            </w:pPr>
            <w:r>
              <w:t>Softmax Gating</w:t>
            </w:r>
          </w:p>
        </w:tc>
        <w:tc>
          <w:p w14:paraId="2ECCEDCE">
            <w:pPr>
              <w:pStyle w:val="24"/>
            </w:pPr>
            <w:r>
              <w:t>✓</w:t>
            </w:r>
          </w:p>
        </w:tc>
        <w:tc>
          <w:p w14:paraId="09D6C755">
            <w:pPr>
              <w:pStyle w:val="24"/>
            </w:pPr>
            <w:r>
              <w:t>✓</w:t>
            </w:r>
          </w:p>
        </w:tc>
        <w:tc>
          <w:p w14:paraId="47151EFB">
            <w:pPr>
              <w:pStyle w:val="24"/>
            </w:pPr>
            <w:r>
              <w:t>✗</w:t>
            </w:r>
          </w:p>
        </w:tc>
        <w:tc>
          <w:p w14:paraId="2D8B995D">
            <w:pPr>
              <w:pStyle w:val="24"/>
            </w:pPr>
            <w:r>
              <w:t>Strong MoE competitor</w:t>
            </w:r>
          </w:p>
        </w:tc>
      </w:tr>
      <w:tr w14:paraId="2F65CDAC">
        <w:tblPrEx>
          <w:tblCellMar>
            <w:top w:w="0" w:type="dxa"/>
            <w:left w:w="108" w:type="dxa"/>
            <w:bottom w:w="0" w:type="dxa"/>
            <w:right w:w="108" w:type="dxa"/>
          </w:tblCellMar>
        </w:tblPrEx>
        <w:tc>
          <w:p w14:paraId="3F1F0D8A">
            <w:pPr>
              <w:pStyle w:val="24"/>
            </w:pPr>
            <w:r>
              <w:rPr>
                <w:b/>
                <w:bCs/>
              </w:rPr>
              <w:t>RED (Ours)</w:t>
            </w:r>
          </w:p>
        </w:tc>
        <w:tc>
          <w:p w14:paraId="68E4AE3F">
            <w:pPr>
              <w:pStyle w:val="24"/>
            </w:pPr>
            <w:r>
              <w:t>✓</w:t>
            </w:r>
          </w:p>
        </w:tc>
        <w:tc>
          <w:p w14:paraId="7E2D21F0">
            <w:pPr>
              <w:pStyle w:val="24"/>
            </w:pPr>
            <w:r>
              <w:t>✓</w:t>
            </w:r>
          </w:p>
        </w:tc>
        <w:tc>
          <w:p w14:paraId="0D922BCF">
            <w:pPr>
              <w:pStyle w:val="24"/>
            </w:pPr>
            <w:r>
              <w:t>✓</w:t>
            </w:r>
          </w:p>
        </w:tc>
        <w:tc>
          <w:p w14:paraId="06B74EEF">
            <w:pPr>
              <w:pStyle w:val="24"/>
            </w:pPr>
            <w:r>
              <w:t>Full specialist integration</w:t>
            </w:r>
          </w:p>
        </w:tc>
      </w:tr>
      <w:bookmarkEnd w:id="16"/>
    </w:tbl>
    <w:p w14:paraId="4EEC41EE">
      <w:pPr>
        <w:pStyle w:val="5"/>
      </w:pPr>
      <w:bookmarkStart w:id="17" w:name="notes-on-de-duplication"/>
      <w:r>
        <w:t>Notes on De-duplication</w:t>
      </w:r>
    </w:p>
    <w:p w14:paraId="392BB1FF">
      <w:pPr>
        <w:pStyle w:val="23"/>
      </w:pPr>
      <w:r>
        <w:t>This revised version removes the following redundancies present in earlier drafts:</w:t>
      </w:r>
    </w:p>
    <w:p w14:paraId="12BBD2BE">
      <w:pPr>
        <w:pStyle w:val="24"/>
        <w:numPr>
          <w:ilvl w:val="0"/>
          <w:numId w:val="2"/>
        </w:numPr>
      </w:pPr>
      <w:r>
        <w:t>Repetitive explanations of modularity and routing already discussed in Sections 4.1 and 4.2.</w:t>
      </w:r>
    </w:p>
    <w:p w14:paraId="671C8EDA">
      <w:pPr>
        <w:pStyle w:val="24"/>
        <w:numPr>
          <w:ilvl w:val="0"/>
          <w:numId w:val="2"/>
        </w:numPr>
      </w:pPr>
      <w:r>
        <w:t>Repeated statements comparing RED to MoE beyond what is needed for baseline definition.</w:t>
      </w:r>
    </w:p>
    <w:p w14:paraId="7C03984F">
      <w:pPr>
        <w:pStyle w:val="24"/>
        <w:numPr>
          <w:ilvl w:val="0"/>
          <w:numId w:val="2"/>
        </w:numPr>
      </w:pPr>
      <w:r>
        <w:t>Duplicate descriptions of expert–range matching covered in Section 4.1.</w:t>
      </w:r>
    </w:p>
    <w:p w14:paraId="3DFFBDF3">
      <w:pPr>
        <w:pStyle w:val="23"/>
      </w:pPr>
      <w:r>
        <w:t>The resulting section now focuses strictly on defining baselines in a concise and non-redundant manner.</w:t>
      </w:r>
    </w:p>
    <w:bookmarkEnd w:id="11"/>
    <w:bookmarkEnd w:id="17"/>
    <w:p w14:paraId="73AE9AA3">
      <w:pPr>
        <w:pStyle w:val="4"/>
      </w:pPr>
      <w:bookmarkStart w:id="18" w:name="X503115d8ae76b040945c2e4a952adec0b9c9696"/>
      <w:r>
        <w:t>4.4 Our Method: Residual Expert Decomposition (RED)</w:t>
      </w:r>
    </w:p>
    <w:p w14:paraId="64031EF0">
      <w:pPr>
        <w:pStyle w:val="23"/>
      </w:pPr>
      <w:r>
        <w:t xml:space="preserve">Residual Expert Decomposition (RED) provides a modular mechanism for combining independently trained numerical experts using a shared semantic backbone and a lightweight routing mechanism. Unlike classical Mixture-of-Experts (MoE), which interpolates expert logits directly, RED introduces a </w:t>
      </w:r>
      <w:r>
        <w:rPr>
          <w:b/>
          <w:bCs/>
        </w:rPr>
        <w:t>residual integration layer</w:t>
      </w:r>
      <w:r>
        <w:t xml:space="preserve"> that enables stable, range-aware refinement of the backbone representation.</w:t>
      </w:r>
    </w:p>
    <w:p w14:paraId="405C0B05">
      <w:pPr>
        <w:pStyle w:val="3"/>
      </w:pPr>
      <w:r>
        <w:t>RED consists of three components:</w:t>
      </w:r>
    </w:p>
    <w:p w14:paraId="250825F1">
      <w:pPr>
        <w:pStyle w:val="24"/>
        <w:numPr>
          <w:ilvl w:val="0"/>
          <w:numId w:val="4"/>
        </w:numPr>
      </w:pPr>
      <w:r>
        <w:t>a shared backbone encoder,</w:t>
      </w:r>
    </w:p>
    <w:p w14:paraId="55812753">
      <w:pPr>
        <w:pStyle w:val="24"/>
        <w:numPr>
          <w:ilvl w:val="0"/>
          <w:numId w:val="4"/>
        </w:numPr>
      </w:pPr>
      <w:r>
        <w:t>range-specialized residual experts, and</w:t>
      </w:r>
    </w:p>
    <w:p w14:paraId="03D69A34">
      <w:pPr>
        <w:pStyle w:val="24"/>
        <w:numPr>
          <w:ilvl w:val="0"/>
          <w:numId w:val="4"/>
        </w:numPr>
      </w:pPr>
      <w:r>
        <w:t>a routing module that assigns expert weights.</w:t>
      </w:r>
    </w:p>
    <w:p w14:paraId="27B5813A">
      <w:pPr>
        <w:pStyle w:val="23"/>
      </w:pPr>
      <w:r>
        <w:t>This section describes the structural design of RED without repeating training or dataset details covered earlier.</w:t>
      </w:r>
    </w:p>
    <w:p w14:paraId="4C6A9218">
      <w:pPr>
        <w:pStyle w:val="5"/>
      </w:pPr>
      <w:bookmarkStart w:id="19" w:name="residual-expert-structure"/>
      <w:r>
        <w:t>4.4.1 Residual Expert Structure</w:t>
      </w:r>
    </w:p>
    <w:p w14:paraId="31577FCB">
      <w:pPr>
        <w:pStyle w:val="23"/>
      </w:pPr>
      <w:r>
        <w:t xml:space="preserve">Each expert operates as a </w:t>
      </w:r>
      <w:r>
        <w:rPr>
          <w:b/>
          <w:bCs/>
        </w:rPr>
        <w:t>residual adapter</w:t>
      </w:r>
      <w:r>
        <w:t xml:space="preserve"> that refines the backbone representation instead of replacing it. Let </w:t>
      </w:r>
      <m:oMath>
        <m:sSub>
          <m:sSubPr/>
          <m:e>
            <m:r>
              <m:rPr/>
              <m:t>h</m:t>
            </m:r>
          </m:e>
          <m:sub>
            <m:r>
              <m:rPr>
                <m:nor/>
                <m:sty m:val="p"/>
              </m:rPr>
              <w:rPr>
                <w:b w:val="0"/>
                <w:i w:val="0"/>
              </w:rPr>
              <m:t>base</m:t>
            </m:r>
          </m:sub>
        </m:sSub>
        <m:r>
          <m:rPr>
            <m:sty m:val="p"/>
          </m:rPr>
          <m:t>(</m:t>
        </m:r>
        <m:r>
          <m:rPr/>
          <m:t>x</m:t>
        </m:r>
        <m:r>
          <m:rPr>
            <m:sty m:val="p"/>
          </m:rPr>
          <m:t>)</m:t>
        </m:r>
      </m:oMath>
      <w:r>
        <w:t xml:space="preserve"> be the semantic embedding produced by the shared encoder. Expert </w:t>
      </w:r>
      <m:oMath>
        <m:sSub>
          <m:sSubPr/>
          <m:e>
            <m:r>
              <m:rPr/>
              <m:t>E</m:t>
            </m:r>
          </m:e>
          <m:sub>
            <m:r>
              <m:rPr/>
              <m:t>i</m:t>
            </m:r>
          </m:sub>
        </m:sSub>
      </m:oMath>
      <w:r>
        <w:t xml:space="preserve"> computes a small residual update:</w:t>
      </w:r>
    </w:p>
    <w:p w14:paraId="69ED59FF">
      <w:pPr>
        <w:pStyle w:val="3"/>
      </w:pPr>
      <m:oMathPara>
        <m:oMathParaPr>
          <m:jc m:val="center"/>
        </m:oMathParaPr>
        <m:oMath>
          <m:r>
            <m:rPr>
              <m:sty m:val="p"/>
            </m:rPr>
            <m:t>Δ</m:t>
          </m:r>
          <m:sSub>
            <m:sSubPr/>
            <m:e>
              <m:r>
                <m:rPr/>
                <m:t>h</m:t>
              </m:r>
            </m:e>
            <m:sub>
              <m:r>
                <m:rPr/>
                <m:t>i</m:t>
              </m:r>
            </m:sub>
          </m:sSub>
          <m:r>
            <m:rPr>
              <m:sty m:val="p"/>
            </m:rPr>
            <m:t>(</m:t>
          </m:r>
          <m:r>
            <m:rPr/>
            <m:t>x</m:t>
          </m:r>
          <m:r>
            <m:rPr>
              <m:sty m:val="p"/>
            </m:rPr>
            <m:t>)=</m:t>
          </m:r>
          <m:sSub>
            <m:sSubPr/>
            <m:e>
              <m:r>
                <m:rPr/>
                <m:t>ϕ</m:t>
              </m:r>
            </m:e>
            <m:sub>
              <m:r>
                <m:rPr/>
                <m:t>i</m:t>
              </m:r>
            </m:sub>
          </m:sSub>
          <m:d>
            <m:dPr>
              <m:sepChr m:val=""/>
            </m:dPr>
            <m:e>
              <m:sSub>
                <m:sSubPr/>
                <m:e>
                  <m:r>
                    <m:rPr/>
                    <m:t>h</m:t>
                  </m:r>
                </m:e>
                <m:sub>
                  <m:r>
                    <m:rPr>
                      <m:nor/>
                      <m:sty m:val="p"/>
                    </m:rPr>
                    <w:rPr>
                      <w:b w:val="0"/>
                      <w:i w:val="0"/>
                    </w:rPr>
                    <m:t>base</m:t>
                  </m:r>
                </m:sub>
              </m:sSub>
              <m:r>
                <m:rPr>
                  <m:sty m:val="p"/>
                </m:rPr>
                <m:t>(</m:t>
              </m:r>
              <m:r>
                <m:rPr/>
                <m:t>x</m:t>
              </m:r>
              <m:r>
                <m:rPr>
                  <m:sty m:val="p"/>
                </m:rPr>
                <m:t>)</m:t>
              </m:r>
            </m:e>
          </m:d>
          <m:r>
            <m:rPr>
              <m:sty m:val="p"/>
            </m:rPr>
            <m:t>,</m:t>
          </m:r>
        </m:oMath>
      </m:oMathPara>
    </w:p>
    <w:p w14:paraId="05A09AB2">
      <w:pPr>
        <w:pStyle w:val="23"/>
      </w:pPr>
      <w:r>
        <w:t xml:space="preserve">where </w:t>
      </w:r>
      <m:oMath>
        <m:sSub>
          <m:sSubPr/>
          <m:e>
            <m:r>
              <m:rPr/>
              <m:t>ϕ</m:t>
            </m:r>
          </m:e>
          <m:sub>
            <m:r>
              <m:rPr/>
              <m:t>i</m:t>
            </m:r>
          </m:sub>
        </m:sSub>
      </m:oMath>
      <w:r>
        <w:t xml:space="preserve"> is a lightweight, low-rank transformation.</w:t>
      </w:r>
    </w:p>
    <w:p w14:paraId="53D026AD">
      <w:pPr>
        <w:pStyle w:val="3"/>
      </w:pPr>
      <w:r>
        <w:t>This design ensures that:</w:t>
      </w:r>
    </w:p>
    <w:p w14:paraId="00131820">
      <w:pPr>
        <w:pStyle w:val="24"/>
        <w:numPr>
          <w:ilvl w:val="0"/>
          <w:numId w:val="2"/>
        </w:numPr>
      </w:pPr>
      <w:r>
        <w:t>experts influence only range-specific aspects of the representation,</w:t>
      </w:r>
    </w:p>
    <w:p w14:paraId="00684A78">
      <w:pPr>
        <w:pStyle w:val="24"/>
        <w:numPr>
          <w:ilvl w:val="0"/>
          <w:numId w:val="2"/>
        </w:numPr>
      </w:pPr>
      <w:r>
        <w:t>global semantics remain intact, and</w:t>
      </w:r>
    </w:p>
    <w:p w14:paraId="0DDCC1AE">
      <w:pPr>
        <w:pStyle w:val="24"/>
        <w:numPr>
          <w:ilvl w:val="0"/>
          <w:numId w:val="2"/>
        </w:numPr>
      </w:pPr>
      <w:r>
        <w:t>expert modules remain small and independent.</w:t>
      </w:r>
    </w:p>
    <w:p w14:paraId="016B4C2A">
      <w:pPr>
        <w:pStyle w:val="23"/>
      </w:pPr>
      <w:r>
        <w:t xml:space="preserve">Experts do </w:t>
      </w:r>
      <w:r>
        <w:rPr>
          <w:b/>
          <w:bCs/>
        </w:rPr>
        <w:t>not</w:t>
      </w:r>
      <w:r>
        <w:t xml:space="preserve"> perform full prediction; they contribute only corrections, enabling plug-and-play specialization.</w:t>
      </w:r>
    </w:p>
    <w:bookmarkEnd w:id="19"/>
    <w:p w14:paraId="1CD71281">
      <w:pPr>
        <w:pStyle w:val="5"/>
      </w:pPr>
      <w:bookmarkStart w:id="20" w:name="router-for-expert-mixing"/>
      <w:r>
        <w:t>4.4.2 Router for Expert Mixing</w:t>
      </w:r>
    </w:p>
    <w:p w14:paraId="08D30E67">
      <w:pPr>
        <w:pStyle w:val="23"/>
      </w:pPr>
      <w:r>
        <w:t>A compact router determines how much each expert should contribute to the final representation:</w:t>
      </w:r>
    </w:p>
    <w:p w14:paraId="505C0389">
      <w:pPr>
        <w:pStyle w:val="3"/>
      </w:pPr>
      <m:oMathPara>
        <m:oMathParaPr>
          <m:jc m:val="center"/>
        </m:oMathParaPr>
        <m:oMath>
          <m:r>
            <m:rPr>
              <m:sty m:val="b"/>
            </m:rPr>
            <m:t>α</m:t>
          </m:r>
          <m:r>
            <m:rPr>
              <m:sty m:val="p"/>
            </m:rPr>
            <m:t>(</m:t>
          </m:r>
          <m:r>
            <m:rPr/>
            <m:t>x</m:t>
          </m:r>
          <m:r>
            <m:rPr>
              <m:sty m:val="p"/>
            </m:rPr>
            <m:t>)=softmax</m:t>
          </m:r>
          <m:d>
            <m:dPr>
              <m:sepChr m:val=""/>
            </m:dPr>
            <m:e>
              <m:r>
                <m:rPr/>
                <m:t>R</m:t>
              </m:r>
              <m:r>
                <m:rPr>
                  <m:sty m:val="p"/>
                </m:rPr>
                <m:t>(</m:t>
              </m:r>
              <m:sSub>
                <m:sSubPr/>
                <m:e>
                  <m:r>
                    <m:rPr/>
                    <m:t>h</m:t>
                  </m:r>
                </m:e>
                <m:sub>
                  <m:r>
                    <m:rPr>
                      <m:nor/>
                      <m:sty m:val="p"/>
                    </m:rPr>
                    <w:rPr>
                      <w:b w:val="0"/>
                      <w:i w:val="0"/>
                    </w:rPr>
                    <m:t>base</m:t>
                  </m:r>
                </m:sub>
              </m:sSub>
              <m:r>
                <m:rPr>
                  <m:sty m:val="p"/>
                </m:rPr>
                <m:t>(</m:t>
              </m:r>
              <m:r>
                <m:rPr/>
                <m:t>x</m:t>
              </m:r>
              <m:r>
                <m:rPr>
                  <m:sty m:val="p"/>
                </m:rPr>
                <m:t>))</m:t>
              </m:r>
            </m:e>
          </m:d>
          <m:r>
            <m:rPr>
              <m:sty m:val="p"/>
            </m:rPr>
            <m:t>.</m:t>
          </m:r>
        </m:oMath>
      </m:oMathPara>
    </w:p>
    <w:p w14:paraId="5A88E2DD">
      <w:pPr>
        <w:pStyle w:val="23"/>
      </w:pPr>
      <w:r>
        <w:t xml:space="preserve">The router is trained </w:t>
      </w:r>
      <w:r>
        <w:rPr>
          <w:b/>
          <w:bCs/>
        </w:rPr>
        <w:t>after</w:t>
      </w:r>
      <w:r>
        <w:t xml:space="preserve"> experts are fixed, ensuring that experts remain independent modules. Its outputs form a convex combination across expert residuals and represent the system’s belief about the output range of the query.</w:t>
      </w:r>
    </w:p>
    <w:bookmarkEnd w:id="20"/>
    <w:p w14:paraId="6A863B94">
      <w:pPr>
        <w:pStyle w:val="5"/>
      </w:pPr>
      <w:bookmarkStart w:id="21" w:name="residual-integration"/>
      <w:r>
        <w:t>4.4.3 Residual Integration</w:t>
      </w:r>
    </w:p>
    <w:p w14:paraId="29BCA7BE">
      <w:pPr>
        <w:pStyle w:val="23"/>
      </w:pPr>
      <w:r>
        <w:t>RED combines backbone semantics with expert refinements through an additive composition rule:</w:t>
      </w:r>
    </w:p>
    <w:p w14:paraId="25BBD81F">
      <w:pPr>
        <w:pStyle w:val="3"/>
      </w:pPr>
      <m:oMathPara>
        <m:oMathParaPr>
          <m:jc m:val="center"/>
        </m:oMathParaPr>
        <m:oMath>
          <m:acc>
            <m:accPr/>
            <m:e>
              <m:r>
                <m:rPr/>
                <m:t>h</m:t>
              </m:r>
            </m:e>
          </m:acc>
          <m:r>
            <m:rPr>
              <m:sty m:val="p"/>
            </m:rPr>
            <m:t>(</m:t>
          </m:r>
          <m:r>
            <m:rPr/>
            <m:t>x</m:t>
          </m:r>
          <m:r>
            <m:rPr>
              <m:sty m:val="p"/>
            </m:rPr>
            <m:t>)=</m:t>
          </m:r>
          <m:sSub>
            <m:sSubPr/>
            <m:e>
              <m:r>
                <m:rPr/>
                <m:t>h</m:t>
              </m:r>
            </m:e>
            <m:sub>
              <m:r>
                <m:rPr>
                  <m:nor/>
                  <m:sty m:val="p"/>
                </m:rPr>
                <w:rPr>
                  <w:b w:val="0"/>
                  <w:i w:val="0"/>
                </w:rPr>
                <m:t>base</m:t>
              </m:r>
            </m:sub>
          </m:sSub>
          <m:r>
            <m:rPr>
              <m:sty m:val="p"/>
            </m:rPr>
            <m:t>(</m:t>
          </m:r>
          <m:r>
            <m:rPr/>
            <m:t>x</m:t>
          </m:r>
          <m:r>
            <m:rPr>
              <m:sty m:val="p"/>
            </m:rPr>
            <m:t>)+</m:t>
          </m:r>
          <m:nary>
            <m:naryPr>
              <m:chr m:val="∑"/>
              <m:limLoc m:val="undOvr"/>
            </m:naryPr>
            <m:sub>
              <m:r>
                <m:rPr/>
                <m:t>i</m:t>
              </m:r>
              <m:r>
                <m:rPr>
                  <m:sty m:val="p"/>
                </m:rPr>
                <m:t>=</m:t>
              </m:r>
              <m:r>
                <m:rPr/>
                <m:t>1</m:t>
              </m:r>
            </m:sub>
            <m:sup>
              <m:r>
                <m:rPr/>
                <m:t>5</m:t>
              </m:r>
            </m:sup>
            <m:e>
              <m:sSub>
                <m:sSubPr/>
                <m:e>
                  <m:r>
                    <m:rPr/>
                    <m:t>α</m:t>
                  </m:r>
                </m:e>
                <m:sub>
                  <m:r>
                    <m:rPr/>
                    <m:t>i</m:t>
                  </m:r>
                </m:sub>
              </m:sSub>
            </m:e>
          </m:nary>
          <m:r>
            <m:rPr>
              <m:sty m:val="p"/>
            </m:rPr>
            <m:t>(</m:t>
          </m:r>
          <m:r>
            <m:rPr/>
            <m:t>x</m:t>
          </m:r>
          <m:r>
            <m:rPr>
              <m:sty m:val="p"/>
            </m:rPr>
            <m:t>)</m:t>
          </m:r>
          <m:r>
            <m:rPr/>
            <m:t> </m:t>
          </m:r>
          <m:r>
            <m:rPr>
              <m:sty m:val="p"/>
            </m:rPr>
            <m:t>Δ</m:t>
          </m:r>
          <m:sSub>
            <m:sSubPr/>
            <m:e>
              <m:r>
                <m:rPr/>
                <m:t>h</m:t>
              </m:r>
            </m:e>
            <m:sub>
              <m:r>
                <m:rPr/>
                <m:t>i</m:t>
              </m:r>
            </m:sub>
          </m:sSub>
          <m:r>
            <m:rPr>
              <m:sty m:val="p"/>
            </m:rPr>
            <m:t>(</m:t>
          </m:r>
          <m:r>
            <m:rPr/>
            <m:t>x</m:t>
          </m:r>
          <m:r>
            <m:rPr>
              <m:sty m:val="p"/>
            </m:rPr>
            <m:t>).</m:t>
          </m:r>
        </m:oMath>
      </m:oMathPara>
    </w:p>
    <w:p w14:paraId="284FC391">
      <w:pPr>
        <w:pStyle w:val="23"/>
      </w:pPr>
      <w:r>
        <w:t xml:space="preserve">A single shared classifier then converts </w:t>
      </w:r>
      <m:oMath>
        <m:acc>
          <m:accPr/>
          <m:e>
            <m:r>
              <m:rPr/>
              <m:t>h</m:t>
            </m:r>
          </m:e>
        </m:acc>
        <m:r>
          <m:rPr>
            <m:sty m:val="p"/>
          </m:rPr>
          <m:t>(</m:t>
        </m:r>
        <m:r>
          <m:rPr/>
          <m:t>x</m:t>
        </m:r>
        <m:r>
          <m:rPr>
            <m:sty m:val="p"/>
          </m:rPr>
          <m:t>)</m:t>
        </m:r>
      </m:oMath>
      <w:r>
        <w:t xml:space="preserve"> into final logits.</w:t>
      </w:r>
    </w:p>
    <w:p w14:paraId="53E49696">
      <w:pPr>
        <w:pStyle w:val="3"/>
      </w:pPr>
      <w:r>
        <w:t>Key properties of this formulation:</w:t>
      </w:r>
    </w:p>
    <w:p w14:paraId="2E6E9AF1">
      <w:pPr>
        <w:pStyle w:val="24"/>
        <w:numPr>
          <w:ilvl w:val="0"/>
          <w:numId w:val="2"/>
        </w:numPr>
      </w:pPr>
      <w:r>
        <w:rPr>
          <w:b/>
          <w:bCs/>
        </w:rPr>
        <w:t>Additive stability</w:t>
      </w:r>
      <w:r>
        <w:t>: experts refine rather than override the base representation.</w:t>
      </w:r>
    </w:p>
    <w:p w14:paraId="3088BB05">
      <w:pPr>
        <w:pStyle w:val="24"/>
        <w:numPr>
          <w:ilvl w:val="0"/>
          <w:numId w:val="2"/>
        </w:numPr>
      </w:pPr>
      <w:r>
        <w:rPr>
          <w:b/>
          <w:bCs/>
        </w:rPr>
        <w:t>Graceful routing errors</w:t>
      </w:r>
      <w:r>
        <w:t>: small routing inaccuracy produces small, not catastrophic, deviation in prediction.</w:t>
      </w:r>
    </w:p>
    <w:p w14:paraId="47587E6F">
      <w:pPr>
        <w:pStyle w:val="24"/>
        <w:numPr>
          <w:ilvl w:val="0"/>
          <w:numId w:val="2"/>
        </w:numPr>
      </w:pPr>
      <w:r>
        <w:rPr>
          <w:b/>
          <w:bCs/>
        </w:rPr>
        <w:t>Cross-expert cooperation</w:t>
      </w:r>
      <w:r>
        <w:t>: experts can jointly assist near numerical boundaries.</w:t>
      </w:r>
    </w:p>
    <w:bookmarkEnd w:id="21"/>
    <w:p w14:paraId="1A31CA99">
      <w:pPr>
        <w:pStyle w:val="5"/>
      </w:pPr>
      <w:bookmarkStart w:id="22" w:name="why-residual-integration-helps"/>
      <w:r>
        <w:t>4.4.4 Why Residual Integration Helps</w:t>
      </w:r>
    </w:p>
    <w:p w14:paraId="3C5BDABE">
      <w:pPr>
        <w:pStyle w:val="23"/>
      </w:pPr>
      <w:r>
        <w:t>The residual design provides three structural benefits that classical MoE does not:</w:t>
      </w:r>
    </w:p>
    <w:p w14:paraId="069D3505">
      <w:pPr>
        <w:pStyle w:val="3"/>
      </w:pPr>
      <w:r>
        <w:rPr>
          <w:b/>
          <w:bCs/>
        </w:rPr>
        <w:t>(1) Anchoring to a stable backbone</w:t>
      </w:r>
      <w:r>
        <w:br w:type="textWrapping"/>
      </w:r>
      <w:r>
        <w:t>The backbone forms a consistent semantic base, preventing experts from drifting or interfering with one another.</w:t>
      </w:r>
    </w:p>
    <w:p w14:paraId="01D372AB">
      <w:pPr>
        <w:pStyle w:val="3"/>
      </w:pPr>
      <w:r>
        <w:rPr>
          <w:b/>
          <w:bCs/>
        </w:rPr>
        <w:t>(2) Robustness under imperfect routing</w:t>
      </w:r>
      <w:r>
        <w:br w:type="textWrapping"/>
      </w:r>
      <w:r>
        <w:t>Because experts apply only corrective adjustments, even partially incorrect routing weights do not destabilize predictions.</w:t>
      </w:r>
    </w:p>
    <w:p w14:paraId="1C93886F">
      <w:pPr>
        <w:pStyle w:val="3"/>
      </w:pPr>
      <w:r>
        <w:rPr>
          <w:b/>
          <w:bCs/>
        </w:rPr>
        <w:t>(3) Modular extensibility</w:t>
      </w:r>
      <w:r>
        <w:br w:type="textWrapping"/>
      </w:r>
      <w:r>
        <w:t>Experts operate independently, can be trained in isolation, and can be replaced or augmented without retraining the backbone.</w:t>
      </w:r>
    </w:p>
    <w:bookmarkEnd w:id="22"/>
    <w:p w14:paraId="64DBE843">
      <w:pPr>
        <w:pStyle w:val="5"/>
      </w:pPr>
      <w:bookmarkStart w:id="23" w:name="summary-1"/>
      <w:r>
        <w:t>4.4.5 Summary</w:t>
      </w:r>
    </w:p>
    <w:p w14:paraId="12FF30EE">
      <w:pPr>
        <w:pStyle w:val="23"/>
      </w:pPr>
      <w:r>
        <w:t>RED achieves modular reasoning through:</w:t>
      </w:r>
    </w:p>
    <w:p w14:paraId="7942C9A8">
      <w:pPr>
        <w:pStyle w:val="24"/>
        <w:numPr>
          <w:ilvl w:val="0"/>
          <w:numId w:val="2"/>
        </w:numPr>
      </w:pPr>
      <w:r>
        <w:t>a shared semantic backbone,</w:t>
      </w:r>
    </w:p>
    <w:p w14:paraId="12412D97">
      <w:pPr>
        <w:pStyle w:val="24"/>
        <w:numPr>
          <w:ilvl w:val="0"/>
          <w:numId w:val="2"/>
        </w:numPr>
      </w:pPr>
      <w:r>
        <w:t>independent low-rank expert refiners, and</w:t>
      </w:r>
    </w:p>
    <w:p w14:paraId="7A44A113">
      <w:pPr>
        <w:pStyle w:val="24"/>
        <w:numPr>
          <w:ilvl w:val="0"/>
          <w:numId w:val="2"/>
        </w:numPr>
      </w:pPr>
      <w:r>
        <w:t>a lightweight router for range-aware combination.</w:t>
      </w:r>
    </w:p>
    <w:p w14:paraId="7733BEC4">
      <w:pPr>
        <w:pStyle w:val="23"/>
      </w:pPr>
      <w:r>
        <w:t>This structure enables accurate global prediction, stable cross-range behavior, and efficient expert reuse—all while avoiding the fragility typically observed in classical gating-based MoE systems.</w:t>
      </w:r>
    </w:p>
    <w:bookmarkEnd w:id="18"/>
    <w:bookmarkEnd w:id="23"/>
    <w:p w14:paraId="68519FBE">
      <w:pPr>
        <w:pStyle w:val="4"/>
      </w:pPr>
      <w:bookmarkStart w:id="24" w:name="training-setup-de-duplicated"/>
      <w:r>
        <w:t>4.5 Training Setup (De-duplicated)</w:t>
      </w:r>
    </w:p>
    <w:p w14:paraId="2B179353">
      <w:pPr>
        <w:pStyle w:val="23"/>
      </w:pPr>
      <w:r>
        <w:t>This section summarizes the unified training pipeline applied across all model variants, including the baselines, RED, and the classical MoE gating system. Architectural details follow Sections 4.1 and 4.4, and dataset construction follows Section 4.2. Here we focus strictly on training schedules, data usage, optimization settings, and runtime.</w:t>
      </w:r>
    </w:p>
    <w:p w14:paraId="79FA0267">
      <w:r>
        <w:pict>
          <v:rect id="_x0000_i1025" o:spt="1" style="height:1.5pt;width:0pt;" coordsize="21600,21600" o:hr="t" o:hrstd="t" o:hralign="center">
            <v:path/>
            <v:fill focussize="0,0"/>
            <v:stroke/>
            <v:imagedata o:title=""/>
            <o:lock v:ext="edit"/>
            <w10:wrap type="none"/>
            <w10:anchorlock/>
          </v:rect>
        </w:pict>
      </w:r>
    </w:p>
    <w:p w14:paraId="20A53ABC">
      <w:pPr>
        <w:pStyle w:val="5"/>
      </w:pPr>
      <w:bookmarkStart w:id="25" w:name="backbone-configuration"/>
      <w:r>
        <w:t>4.5.1 Backbone Configuration</w:t>
      </w:r>
    </w:p>
    <w:p w14:paraId="21C9A93F">
      <w:pPr>
        <w:pStyle w:val="23"/>
      </w:pPr>
      <w:r>
        <w:t>All models use the same Qwen3-0.6B backbone encoder. To keep training efficient while allowing task adaptation:</w:t>
      </w:r>
    </w:p>
    <w:p w14:paraId="1243DFD0">
      <w:pPr>
        <w:pStyle w:val="24"/>
        <w:numPr>
          <w:ilvl w:val="0"/>
          <w:numId w:val="2"/>
        </w:numPr>
      </w:pPr>
      <w:r>
        <w:t xml:space="preserve">The </w:t>
      </w:r>
      <w:r>
        <w:rPr>
          <w:b/>
          <w:bCs/>
        </w:rPr>
        <w:t>bottom 28 transformer blocks are frozen</w:t>
      </w:r>
      <w:r>
        <w:t>.</w:t>
      </w:r>
    </w:p>
    <w:p w14:paraId="68E29F7A">
      <w:pPr>
        <w:pStyle w:val="24"/>
        <w:numPr>
          <w:ilvl w:val="0"/>
          <w:numId w:val="2"/>
        </w:numPr>
      </w:pPr>
      <w:r>
        <w:t xml:space="preserve">Only the </w:t>
      </w:r>
      <w:r>
        <w:rPr>
          <w:b/>
          <w:bCs/>
        </w:rPr>
        <w:t>top 2 transformer blocks</w:t>
      </w:r>
      <w:r>
        <w:t xml:space="preserve"> remain trainable.</w:t>
      </w:r>
    </w:p>
    <w:p w14:paraId="2A3A6E14">
      <w:pPr>
        <w:pStyle w:val="24"/>
        <w:numPr>
          <w:ilvl w:val="0"/>
          <w:numId w:val="2"/>
        </w:numPr>
      </w:pPr>
      <w:r>
        <w:t xml:space="preserve">Training uses </w:t>
      </w:r>
      <w:r>
        <w:rPr>
          <w:b/>
          <w:bCs/>
        </w:rPr>
        <w:t>FP32 precision</w:t>
      </w:r>
      <w:r>
        <w:t xml:space="preserve"> for numerical stability.</w:t>
      </w:r>
    </w:p>
    <w:p w14:paraId="21F80998">
      <w:pPr>
        <w:pStyle w:val="24"/>
        <w:numPr>
          <w:ilvl w:val="0"/>
          <w:numId w:val="2"/>
        </w:numPr>
      </w:pPr>
      <w:r>
        <w:t xml:space="preserve">The backbone representation is obtained by </w:t>
      </w:r>
      <w:r>
        <w:rPr>
          <w:b/>
          <w:bCs/>
        </w:rPr>
        <w:t>mean pooling</w:t>
      </w:r>
      <w:r>
        <w:t xml:space="preserve"> over the final hidden states.</w:t>
      </w:r>
    </w:p>
    <w:p w14:paraId="41A5A922">
      <w:pPr>
        <w:pStyle w:val="23"/>
      </w:pPr>
      <w:r>
        <w:rPr>
          <w:b/>
          <w:bCs/>
        </w:rPr>
        <w:t>Base model training schedule.</w:t>
      </w:r>
      <w:r>
        <w:br w:type="textWrapping"/>
      </w:r>
      <w:r>
        <w:t xml:space="preserve">The global head (base model) is trained for </w:t>
      </w:r>
      <w:r>
        <w:rPr>
          <w:b/>
          <w:bCs/>
        </w:rPr>
        <w:t>up to 20 epochs</w:t>
      </w:r>
      <w:r>
        <w:t xml:space="preserve"> with </w:t>
      </w:r>
      <w:r>
        <w:rPr>
          <w:b/>
          <w:bCs/>
        </w:rPr>
        <w:t>early stopping</w:t>
      </w:r>
      <w:r>
        <w:br w:type="textWrapping"/>
      </w:r>
      <w:r>
        <w:t>(terminating when validation accuracy fails to improve for 3 consecutive epochs).</w:t>
      </w:r>
      <w:r>
        <w:br w:type="textWrapping"/>
      </w:r>
      <w:r>
        <w:t>This stabilizes backbone adaptation while avoiding overfitting on the 10% training subset used for the base model.</w:t>
      </w:r>
    </w:p>
    <w:p w14:paraId="2BCF4F1E">
      <w:r>
        <w:pict>
          <v:rect id="_x0000_i1026" o:spt="1" style="height:1.5pt;width:0pt;" coordsize="21600,21600" o:hr="t" o:hrstd="t" o:hralign="center">
            <v:path/>
            <v:fill focussize="0,0"/>
            <v:stroke/>
            <v:imagedata o:title=""/>
            <o:lock v:ext="edit"/>
            <w10:wrap type="none"/>
            <w10:anchorlock/>
          </v:rect>
        </w:pict>
      </w:r>
    </w:p>
    <w:bookmarkEnd w:id="25"/>
    <w:p w14:paraId="126DD848">
      <w:pPr>
        <w:pStyle w:val="5"/>
      </w:pPr>
      <w:bookmarkStart w:id="26" w:name="expert-training-stage-1"/>
      <w:r>
        <w:t>4.5.2 Expert Training (Stage 1)</w:t>
      </w:r>
    </w:p>
    <w:p w14:paraId="5B494B05">
      <w:pPr>
        <w:pStyle w:val="23"/>
      </w:pPr>
      <w:r>
        <w:t>Five experts are trained independently, each using only the samples whose ground-truth outputs fall within its assigned numerical sub-range. The shared backbone remains mostly frozen, with only the top layers trainable as described in Section 4.5.1. Each expert learns a domain-specific mapping and is never jointly optimized with other experts.</w:t>
      </w:r>
    </w:p>
    <w:p w14:paraId="54554724">
      <w:pPr>
        <w:pStyle w:val="3"/>
      </w:pPr>
      <w:r>
        <w:rPr>
          <w:b/>
          <w:bCs/>
        </w:rPr>
        <w:t>Table 4.1. Hyperparameters for expert training</w:t>
      </w:r>
    </w:p>
    <w:tbl>
      <w:tblPr>
        <w:tblStyle w:val="41"/>
        <w:tblW w:w="0" w:type="auto"/>
        <w:tblInd w:w="0" w:type="dxa"/>
        <w:tblLayout w:type="autofit"/>
        <w:tblCellMar>
          <w:top w:w="0" w:type="dxa"/>
          <w:left w:w="108" w:type="dxa"/>
          <w:bottom w:w="0" w:type="dxa"/>
          <w:right w:w="108" w:type="dxa"/>
        </w:tblCellMar>
      </w:tblPr>
      <w:tblGrid>
        <w:gridCol w:w="1737"/>
        <w:gridCol w:w="4392"/>
      </w:tblGrid>
      <w:tr w14:paraId="6FE255AE">
        <w:tblPrEx>
          <w:tblCellMar>
            <w:top w:w="0" w:type="dxa"/>
            <w:left w:w="108" w:type="dxa"/>
            <w:bottom w:w="0" w:type="dxa"/>
            <w:right w:w="108" w:type="dxa"/>
          </w:tblCellMar>
        </w:tblPrEx>
        <w:trPr>
          <w:tblHeader/>
        </w:trPr>
        <w:tc>
          <w:p w14:paraId="0D533A0D">
            <w:pPr>
              <w:pStyle w:val="24"/>
            </w:pPr>
            <w:r>
              <w:t>Item</w:t>
            </w:r>
          </w:p>
        </w:tc>
        <w:tc>
          <w:p w14:paraId="41EE0D2F">
            <w:pPr>
              <w:pStyle w:val="24"/>
            </w:pPr>
            <w:r>
              <w:t>Value</w:t>
            </w:r>
          </w:p>
        </w:tc>
      </w:tr>
      <w:tr w14:paraId="4D013E33">
        <w:tblPrEx>
          <w:tblCellMar>
            <w:top w:w="0" w:type="dxa"/>
            <w:left w:w="108" w:type="dxa"/>
            <w:bottom w:w="0" w:type="dxa"/>
            <w:right w:w="108" w:type="dxa"/>
          </w:tblCellMar>
        </w:tblPrEx>
        <w:tc>
          <w:p w14:paraId="10BE7486">
            <w:pPr>
              <w:pStyle w:val="24"/>
            </w:pPr>
            <w:r>
              <w:t>Optimizer</w:t>
            </w:r>
          </w:p>
        </w:tc>
        <w:tc>
          <w:p w14:paraId="3E07A61F">
            <w:pPr>
              <w:pStyle w:val="24"/>
            </w:pPr>
            <w:r>
              <w:t>AdamW</w:t>
            </w:r>
          </w:p>
        </w:tc>
      </w:tr>
      <w:tr w14:paraId="12529830">
        <w:tblPrEx>
          <w:tblCellMar>
            <w:top w:w="0" w:type="dxa"/>
            <w:left w:w="108" w:type="dxa"/>
            <w:bottom w:w="0" w:type="dxa"/>
            <w:right w:w="108" w:type="dxa"/>
          </w:tblCellMar>
        </w:tblPrEx>
        <w:tc>
          <w:p w14:paraId="6964B8CF">
            <w:pPr>
              <w:pStyle w:val="24"/>
            </w:pPr>
            <w:r>
              <w:t>Learning rate</w:t>
            </w:r>
          </w:p>
        </w:tc>
        <w:tc>
          <w:p w14:paraId="78093022">
            <w:pPr>
              <w:pStyle w:val="24"/>
            </w:pPr>
            <m:oMathPara>
              <m:oMath>
                <m:r>
                  <m:rPr/>
                  <m:t>1</m:t>
                </m:r>
                <m:r>
                  <m:rPr>
                    <m:sty m:val="p"/>
                  </m:rPr>
                  <m:t>×</m:t>
                </m:r>
                <m:sSup>
                  <m:sSupPr/>
                  <m:e>
                    <m:r>
                      <m:rPr/>
                      <m:t>10</m:t>
                    </m:r>
                  </m:e>
                  <m:sup>
                    <m:r>
                      <m:rPr>
                        <m:sty m:val="p"/>
                      </m:rPr>
                      <m:t>−</m:t>
                    </m:r>
                    <m:r>
                      <m:rPr/>
                      <m:t>4</m:t>
                    </m:r>
                  </m:sup>
                </m:sSup>
              </m:oMath>
            </m:oMathPara>
          </w:p>
        </w:tc>
      </w:tr>
      <w:tr w14:paraId="1B85AF42">
        <w:tblPrEx>
          <w:tblCellMar>
            <w:top w:w="0" w:type="dxa"/>
            <w:left w:w="108" w:type="dxa"/>
            <w:bottom w:w="0" w:type="dxa"/>
            <w:right w:w="108" w:type="dxa"/>
          </w:tblCellMar>
        </w:tblPrEx>
        <w:tc>
          <w:p w14:paraId="111FB379">
            <w:pPr>
              <w:pStyle w:val="24"/>
            </w:pPr>
            <w:r>
              <w:t>Batch size</w:t>
            </w:r>
          </w:p>
        </w:tc>
        <w:tc>
          <w:p w14:paraId="570EA4AA">
            <w:pPr>
              <w:pStyle w:val="24"/>
            </w:pPr>
            <w:r>
              <w:t>16 (virtual batch = 64)</w:t>
            </w:r>
          </w:p>
        </w:tc>
      </w:tr>
      <w:tr w14:paraId="2A16C4D4">
        <w:tblPrEx>
          <w:tblCellMar>
            <w:top w:w="0" w:type="dxa"/>
            <w:left w:w="108" w:type="dxa"/>
            <w:bottom w:w="0" w:type="dxa"/>
            <w:right w:w="108" w:type="dxa"/>
          </w:tblCellMar>
        </w:tblPrEx>
        <w:tc>
          <w:p w14:paraId="414FD63E">
            <w:pPr>
              <w:pStyle w:val="24"/>
            </w:pPr>
            <w:r>
              <w:t>Max epochs</w:t>
            </w:r>
          </w:p>
        </w:tc>
        <w:tc>
          <w:p w14:paraId="74B4A7AD">
            <w:pPr>
              <w:pStyle w:val="24"/>
            </w:pPr>
            <w:r>
              <w:t>60</w:t>
            </w:r>
          </w:p>
        </w:tc>
      </w:tr>
      <w:tr w14:paraId="21E84637">
        <w:tblPrEx>
          <w:tblCellMar>
            <w:top w:w="0" w:type="dxa"/>
            <w:left w:w="108" w:type="dxa"/>
            <w:bottom w:w="0" w:type="dxa"/>
            <w:right w:w="108" w:type="dxa"/>
          </w:tblCellMar>
        </w:tblPrEx>
        <w:tc>
          <w:p w14:paraId="5C925CE1">
            <w:pPr>
              <w:pStyle w:val="24"/>
            </w:pPr>
            <w:r>
              <w:t>Early stopping</w:t>
            </w:r>
          </w:p>
        </w:tc>
        <w:tc>
          <w:p w14:paraId="7540DB32">
            <w:pPr>
              <w:pStyle w:val="24"/>
            </w:pPr>
            <w:r>
              <w:t>Enabled (no improvement for 3 rounds)</w:t>
            </w:r>
          </w:p>
        </w:tc>
      </w:tr>
      <w:tr w14:paraId="1A53A222">
        <w:tblPrEx>
          <w:tblCellMar>
            <w:top w:w="0" w:type="dxa"/>
            <w:left w:w="108" w:type="dxa"/>
            <w:bottom w:w="0" w:type="dxa"/>
            <w:right w:w="108" w:type="dxa"/>
          </w:tblCellMar>
        </w:tblPrEx>
        <w:tc>
          <w:p w14:paraId="7943CFE8">
            <w:pPr>
              <w:pStyle w:val="24"/>
            </w:pPr>
            <w:r>
              <w:t>Loss</w:t>
            </w:r>
          </w:p>
        </w:tc>
        <w:tc>
          <w:p w14:paraId="2B45F4D4">
            <w:pPr>
              <w:pStyle w:val="24"/>
            </w:pPr>
            <w:r>
              <w:t>Cross-entropy</w:t>
            </w:r>
          </w:p>
        </w:tc>
      </w:tr>
    </w:tbl>
    <w:p w14:paraId="78FB05FC">
      <w:pPr>
        <w:pStyle w:val="6"/>
      </w:pPr>
      <w:bookmarkStart w:id="27" w:name="X419f2c474c15fde75618dd8b2aa0aa057dbeb71"/>
      <w:r>
        <w:t>Convergence behavior in v11 (Task 1) vs. v13 (Task 2)</w:t>
      </w:r>
    </w:p>
    <w:p w14:paraId="6DBFFEDB">
      <w:pPr>
        <w:pStyle w:val="23"/>
      </w:pPr>
      <w:r>
        <w:t>Although the hyperparameters are identical across tasks, the convergence dynamics differ substantially:</w:t>
      </w:r>
    </w:p>
    <w:p w14:paraId="7FCD9841">
      <w:pPr>
        <w:numPr>
          <w:ilvl w:val="0"/>
          <w:numId w:val="2"/>
        </w:numPr>
      </w:pPr>
      <w:r>
        <w:rPr>
          <w:b/>
          <w:bCs/>
        </w:rPr>
        <w:t>Task 1 (v11, two-number addition).</w:t>
      </w:r>
      <w:r>
        <w:br w:type="textWrapping"/>
      </w:r>
      <w:r>
        <w:t xml:space="preserve">The task is low-entropy and nearly linear. Expert loss continues to improve for dozens of epochs, approaching near-perfect accuracy. As a result, </w:t>
      </w:r>
      <w:r>
        <w:rPr>
          <w:b/>
          <w:bCs/>
        </w:rPr>
        <w:t>early stopping seldom triggers</w:t>
      </w:r>
      <w:r>
        <w:t>, and experts often train for the full 60-epoch budget.</w:t>
      </w:r>
    </w:p>
    <w:p w14:paraId="0DCCC6FA">
      <w:pPr>
        <w:numPr>
          <w:ilvl w:val="0"/>
          <w:numId w:val="2"/>
        </w:numPr>
      </w:pPr>
      <w:r>
        <w:rPr>
          <w:b/>
          <w:bCs/>
        </w:rPr>
        <w:t>Task 2 (v13, mixed addition–subtraction).</w:t>
      </w:r>
      <w:r>
        <w:br w:type="textWrapping"/>
      </w:r>
      <w:r>
        <w:t xml:space="preserve">Mixed arithmetic is substantially more complex due to multi-step operator dependencies. Experts rapidly reach their </w:t>
      </w:r>
      <w:r>
        <w:rPr>
          <w:b/>
          <w:bCs/>
        </w:rPr>
        <w:t>performance ceiling</w:t>
      </w:r>
      <w:r>
        <w:t xml:space="preserve">, and validation loss plateaus after only </w:t>
      </w:r>
      <w:r>
        <w:rPr>
          <w:b/>
          <w:bCs/>
        </w:rPr>
        <w:t>3–5 epochs</w:t>
      </w:r>
      <w:r>
        <w:t xml:space="preserve">. Early stopping therefore terminates training very quickly. This behavior reflects the </w:t>
      </w:r>
      <w:r>
        <w:rPr>
          <w:b/>
          <w:bCs/>
        </w:rPr>
        <w:t>inherent difficulty and the representational limits of the model</w:t>
      </w:r>
      <w:r>
        <w:t>, not insufficient training.</w:t>
      </w:r>
    </w:p>
    <w:p w14:paraId="4BA11AD0">
      <w:pPr>
        <w:pStyle w:val="23"/>
      </w:pPr>
      <w:r>
        <w:t xml:space="preserve">Thus, expert-training runtime differs between tasks not because of efficiency differences in the implementation, but because </w:t>
      </w:r>
      <w:r>
        <w:rPr>
          <w:b/>
          <w:bCs/>
        </w:rPr>
        <w:t>Task 1 permits continuous loss improvement</w:t>
      </w:r>
      <w:r>
        <w:t xml:space="preserve">, whereas </w:t>
      </w:r>
      <w:r>
        <w:rPr>
          <w:b/>
          <w:bCs/>
        </w:rPr>
        <w:t>Task 2 reaches its attainable optimum much sooner</w:t>
      </w:r>
      <w:r>
        <w:t>. Within each task, however, all methods (Global Head, experts, MoE, RED) are trained under identical conditions, ensuring fair comparisons.</w:t>
      </w:r>
    </w:p>
    <w:p w14:paraId="7723C41D">
      <w:r>
        <w:pict>
          <v:rect id="_x0000_i1027" o:spt="1" style="height:1.5pt;width:0pt;" coordsize="21600,21600" o:hr="t" o:hrstd="t" o:hralign="center">
            <v:path/>
            <v:fill focussize="0,0"/>
            <v:stroke/>
            <v:imagedata o:title=""/>
            <o:lock v:ext="edit"/>
            <w10:wrap type="none"/>
            <w10:anchorlock/>
          </v:rect>
        </w:pict>
      </w:r>
    </w:p>
    <w:bookmarkEnd w:id="26"/>
    <w:bookmarkEnd w:id="27"/>
    <w:p w14:paraId="273E4AC7">
      <w:pPr>
        <w:pStyle w:val="5"/>
      </w:pPr>
      <w:bookmarkStart w:id="28" w:name="router-training-stage-2"/>
      <w:r>
        <w:t>4.5.3 Router Training (Stage 2)</w:t>
      </w:r>
    </w:p>
    <w:p w14:paraId="283F2CDB">
      <w:pPr>
        <w:pStyle w:val="23"/>
      </w:pPr>
      <w:r>
        <w:t>Once expert heads are trained, a lightweight router learns how to assign range-specific mixing weights.</w:t>
      </w:r>
    </w:p>
    <w:p w14:paraId="0B9F78A6">
      <w:pPr>
        <w:pStyle w:val="24"/>
        <w:numPr>
          <w:ilvl w:val="0"/>
          <w:numId w:val="2"/>
        </w:numPr>
      </w:pPr>
      <w:r>
        <w:t>Architecture: 2-layer MLP (hidden = 256, output = 5)</w:t>
      </w:r>
    </w:p>
    <w:p w14:paraId="7CEB59ED">
      <w:pPr>
        <w:pStyle w:val="24"/>
        <w:numPr>
          <w:ilvl w:val="0"/>
          <w:numId w:val="2"/>
        </w:numPr>
      </w:pPr>
      <w:r>
        <w:t xml:space="preserve">Labels: </w:t>
      </w:r>
      <w:r>
        <w:rPr>
          <w:b/>
          <w:bCs/>
        </w:rPr>
        <w:t>numerical range IDs</w:t>
      </w:r>
      <w:r>
        <w:t xml:space="preserve"> (not exact classes)</w:t>
      </w:r>
    </w:p>
    <w:p w14:paraId="3A75CEAB">
      <w:pPr>
        <w:pStyle w:val="24"/>
        <w:numPr>
          <w:ilvl w:val="0"/>
          <w:numId w:val="2"/>
        </w:numPr>
      </w:pPr>
      <w:r>
        <w:t>Optimizer: AdamW</w:t>
      </w:r>
    </w:p>
    <w:p w14:paraId="336E08B0">
      <w:pPr>
        <w:pStyle w:val="24"/>
        <w:numPr>
          <w:ilvl w:val="0"/>
          <w:numId w:val="2"/>
        </w:numPr>
      </w:pPr>
      <w:r>
        <w:t>Loss: cross-entropy over the 5 ranges</w:t>
      </w:r>
    </w:p>
    <w:p w14:paraId="319215CC">
      <w:pPr>
        <w:pStyle w:val="24"/>
        <w:numPr>
          <w:ilvl w:val="0"/>
          <w:numId w:val="2"/>
        </w:numPr>
      </w:pPr>
      <w:r>
        <w:t>Batch size: identical to expert training</w:t>
      </w:r>
    </w:p>
    <w:p w14:paraId="5E62F4CE">
      <w:pPr>
        <w:pStyle w:val="24"/>
        <w:numPr>
          <w:ilvl w:val="0"/>
          <w:numId w:val="2"/>
        </w:numPr>
      </w:pPr>
      <w:r>
        <w:t xml:space="preserve">Max epochs: </w:t>
      </w:r>
      <w:r>
        <w:rPr>
          <w:b/>
          <w:bCs/>
        </w:rPr>
        <w:t>60</w:t>
      </w:r>
    </w:p>
    <w:p w14:paraId="169E84B4">
      <w:pPr>
        <w:pStyle w:val="24"/>
        <w:numPr>
          <w:ilvl w:val="0"/>
          <w:numId w:val="2"/>
        </w:numPr>
      </w:pPr>
      <w:r>
        <w:rPr>
          <w:b/>
          <w:bCs/>
        </w:rPr>
        <w:t>Early stopping enabled</w:t>
      </w:r>
      <w:r>
        <w:t xml:space="preserve"> (stop after 3 rounds without improvement)</w:t>
      </w:r>
    </w:p>
    <w:p w14:paraId="66CC4B9E">
      <w:pPr>
        <w:pStyle w:val="23"/>
      </w:pPr>
      <w:r>
        <w:t xml:space="preserve">In practice, the router converges extremely quickly: validation accuracy typically reaches </w:t>
      </w:r>
      <w:r>
        <w:rPr>
          <w:b/>
          <w:bCs/>
        </w:rPr>
        <w:t>1.0 within ~10 epochs</w:t>
      </w:r>
      <w:r>
        <w:t>, after which early stopping terminates training.</w:t>
      </w:r>
    </w:p>
    <w:p w14:paraId="2378455C">
      <w:r>
        <w:pict>
          <v:rect id="_x0000_i1028" o:spt="1" style="height:1.5pt;width:0pt;" coordsize="21600,21600" o:hr="t" o:hrstd="t" o:hralign="center">
            <v:path/>
            <v:fill focussize="0,0"/>
            <v:stroke/>
            <v:imagedata o:title=""/>
            <o:lock v:ext="edit"/>
            <w10:wrap type="none"/>
            <w10:anchorlock/>
          </v:rect>
        </w:pict>
      </w:r>
    </w:p>
    <w:bookmarkEnd w:id="28"/>
    <w:p w14:paraId="62CC0C59">
      <w:pPr>
        <w:pStyle w:val="5"/>
      </w:pPr>
      <w:bookmarkStart w:id="29" w:name="red-integration-stage-3"/>
      <w:r>
        <w:t>4.5.4 RED Integration (Stage 3)</w:t>
      </w:r>
    </w:p>
    <w:p w14:paraId="7ECAC682">
      <w:pPr>
        <w:pStyle w:val="23"/>
      </w:pPr>
      <w:r>
        <w:t>Residual adapters introduced in Section 4.4 are activated and trained together with the router and a shared classification head:</w:t>
      </w:r>
    </w:p>
    <w:p w14:paraId="3F585E37">
      <w:pPr>
        <w:pStyle w:val="3"/>
      </w:pPr>
      <m:oMathPara>
        <m:oMathParaPr>
          <m:jc m:val="center"/>
        </m:oMathParaPr>
        <m:oMath>
          <m:acc>
            <m:accPr/>
            <m:e>
              <m:r>
                <m:rPr/>
                <m:t>h</m:t>
              </m:r>
            </m:e>
          </m:acc>
          <m:r>
            <m:rPr>
              <m:sty m:val="p"/>
            </m:rPr>
            <m:t>(</m:t>
          </m:r>
          <m:r>
            <m:rPr/>
            <m:t>x</m:t>
          </m:r>
          <m:r>
            <m:rPr>
              <m:sty m:val="p"/>
            </m:rPr>
            <m:t>)=</m:t>
          </m:r>
          <m:sSub>
            <m:sSubPr/>
            <m:e>
              <m:r>
                <m:rPr/>
                <m:t>h</m:t>
              </m:r>
            </m:e>
            <m:sub>
              <m:r>
                <m:rPr>
                  <m:nor/>
                  <m:sty m:val="p"/>
                </m:rPr>
                <w:rPr>
                  <w:b w:val="0"/>
                  <w:i w:val="0"/>
                </w:rPr>
                <m:t>base</m:t>
              </m:r>
            </m:sub>
          </m:sSub>
          <m:r>
            <m:rPr>
              <m:sty m:val="p"/>
            </m:rPr>
            <m:t>(</m:t>
          </m:r>
          <m:r>
            <m:rPr/>
            <m:t>x</m:t>
          </m:r>
          <m:r>
            <m:rPr>
              <m:sty m:val="p"/>
            </m:rPr>
            <m:t>)+</m:t>
          </m:r>
          <m:nary>
            <m:naryPr>
              <m:chr m:val="∑"/>
              <m:limLoc m:val="undOvr"/>
            </m:naryPr>
            <m:sub>
              <m:r>
                <m:rPr/>
                <m:t>i</m:t>
              </m:r>
              <m:r>
                <m:rPr>
                  <m:sty m:val="p"/>
                </m:rPr>
                <m:t>=</m:t>
              </m:r>
              <m:r>
                <m:rPr/>
                <m:t>1</m:t>
              </m:r>
            </m:sub>
            <m:sup>
              <m:r>
                <m:rPr/>
                <m:t>5</m:t>
              </m:r>
            </m:sup>
            <m:e>
              <m:sSub>
                <m:sSubPr/>
                <m:e>
                  <m:r>
                    <m:rPr/>
                    <m:t>α</m:t>
                  </m:r>
                </m:e>
                <m:sub>
                  <m:r>
                    <m:rPr/>
                    <m:t>i</m:t>
                  </m:r>
                </m:sub>
              </m:sSub>
            </m:e>
          </m:nary>
          <m:r>
            <m:rPr>
              <m:sty m:val="p"/>
            </m:rPr>
            <m:t>(</m:t>
          </m:r>
          <m:r>
            <m:rPr/>
            <m:t>x</m:t>
          </m:r>
          <m:r>
            <m:rPr>
              <m:sty m:val="p"/>
            </m:rPr>
            <m:t>)</m:t>
          </m:r>
          <m:r>
            <m:rPr/>
            <m:t> </m:t>
          </m:r>
          <m:r>
            <m:rPr>
              <m:sty m:val="p"/>
            </m:rPr>
            <m:t>Δ</m:t>
          </m:r>
          <m:sSub>
            <m:sSubPr/>
            <m:e>
              <m:r>
                <m:rPr/>
                <m:t>h</m:t>
              </m:r>
            </m:e>
            <m:sub>
              <m:r>
                <m:rPr/>
                <m:t>i</m:t>
              </m:r>
            </m:sub>
          </m:sSub>
          <m:r>
            <m:rPr>
              <m:sty m:val="p"/>
            </m:rPr>
            <m:t>(</m:t>
          </m:r>
          <m:r>
            <m:rPr/>
            <m:t>x</m:t>
          </m:r>
          <m:r>
            <m:rPr>
              <m:sty m:val="p"/>
            </m:rPr>
            <m:t>).</m:t>
          </m:r>
        </m:oMath>
      </m:oMathPara>
    </w:p>
    <w:p w14:paraId="5502FDFB">
      <w:pPr>
        <w:pStyle w:val="23"/>
      </w:pPr>
      <w:r>
        <w:t>The backbone remains frozen throughout this stage.</w:t>
      </w:r>
      <w:r>
        <w:br w:type="textWrapping"/>
      </w:r>
      <w:r>
        <w:t xml:space="preserve">Residual adapters add </w:t>
      </w:r>
      <w:r>
        <w:rPr>
          <w:b/>
          <w:bCs/>
        </w:rPr>
        <w:t>&lt;1%</w:t>
      </w:r>
      <w:r>
        <w:t xml:space="preserve"> additional parameters, providing stable recomposition without increasing backbone complexity.</w:t>
      </w:r>
    </w:p>
    <w:p w14:paraId="50DB8E36">
      <w:r>
        <w:pict>
          <v:rect id="_x0000_i1029" o:spt="1" style="height:1.5pt;width:0pt;" coordsize="21600,21600" o:hr="t" o:hrstd="t" o:hralign="center">
            <v:path/>
            <v:fill focussize="0,0"/>
            <v:stroke/>
            <v:imagedata o:title=""/>
            <o:lock v:ext="edit"/>
            <w10:wrap type="none"/>
            <w10:anchorlock/>
          </v:rect>
        </w:pict>
      </w:r>
    </w:p>
    <w:bookmarkEnd w:id="29"/>
    <w:p w14:paraId="14FB52A5">
      <w:pPr>
        <w:pStyle w:val="5"/>
      </w:pPr>
      <w:bookmarkStart w:id="30" w:name="data-usage-and-splits"/>
      <w:r>
        <w:t>4.5.5 Data Usage and Splits</w:t>
      </w:r>
    </w:p>
    <w:p w14:paraId="7F68941F">
      <w:pPr>
        <w:pStyle w:val="23"/>
      </w:pPr>
      <w:r>
        <w:t>Both evaluation tasks reuse the synthetic datasets introduced in Section 4.2.</w:t>
      </w:r>
      <w:r>
        <w:br w:type="textWrapping"/>
      </w:r>
      <w:r>
        <w:t xml:space="preserve">For each task, we generate </w:t>
      </w:r>
      <w:r>
        <w:rPr>
          <w:b/>
          <w:bCs/>
        </w:rPr>
        <w:t>80,000</w:t>
      </w:r>
      <w:r>
        <w:t xml:space="preserve"> unique expressions with a consistent </w:t>
      </w:r>
      <w:r>
        <w:rPr>
          <w:b/>
          <w:bCs/>
        </w:rPr>
        <w:t>8 : 1 : 1</w:t>
      </w:r>
      <w:r>
        <w:t xml:space="preserve"> split:</w:t>
      </w:r>
    </w:p>
    <w:p w14:paraId="6726EAFF">
      <w:pPr>
        <w:pStyle w:val="24"/>
        <w:numPr>
          <w:ilvl w:val="0"/>
          <w:numId w:val="2"/>
        </w:numPr>
      </w:pPr>
      <w:r>
        <w:rPr>
          <w:b/>
          <w:bCs/>
        </w:rPr>
        <w:t>64,000</w:t>
      </w:r>
      <w:r>
        <w:t xml:space="preserve"> training samples</w:t>
      </w:r>
      <w:r>
        <w:br w:type="textWrapping"/>
      </w:r>
    </w:p>
    <w:p w14:paraId="086275D7">
      <w:pPr>
        <w:pStyle w:val="24"/>
        <w:numPr>
          <w:ilvl w:val="0"/>
          <w:numId w:val="2"/>
        </w:numPr>
      </w:pPr>
      <w:r>
        <w:rPr>
          <w:b/>
          <w:bCs/>
        </w:rPr>
        <w:t>8,000</w:t>
      </w:r>
      <w:r>
        <w:t xml:space="preserve"> validation samples</w:t>
      </w:r>
      <w:r>
        <w:br w:type="textWrapping"/>
      </w:r>
    </w:p>
    <w:p w14:paraId="28D0FCAD">
      <w:pPr>
        <w:pStyle w:val="24"/>
        <w:numPr>
          <w:ilvl w:val="0"/>
          <w:numId w:val="2"/>
        </w:numPr>
      </w:pPr>
      <w:r>
        <w:rPr>
          <w:b/>
          <w:bCs/>
        </w:rPr>
        <w:t>8,000</w:t>
      </w:r>
      <w:r>
        <w:t xml:space="preserve"> test samples</w:t>
      </w:r>
    </w:p>
    <w:p w14:paraId="2B898506">
      <w:pPr>
        <w:pStyle w:val="23"/>
      </w:pPr>
      <w:r>
        <w:t xml:space="preserve">The global head is intentionally trained on only </w:t>
      </w:r>
      <w:r>
        <w:rPr>
          <w:b/>
          <w:bCs/>
        </w:rPr>
        <w:t>10% of the training subset</w:t>
      </w:r>
      <w:r>
        <w:t xml:space="preserve"> (6,400 examples) to produce an intentionally under-trained baseline.</w:t>
      </w:r>
      <w:r>
        <w:br w:type="textWrapping"/>
      </w:r>
      <w:r>
        <w:t>Experts and router always use all 64,000 training examples belonging to their respective labeling schemes.</w:t>
      </w:r>
    </w:p>
    <w:p w14:paraId="477EE1BA">
      <w:r>
        <w:pict>
          <v:rect id="_x0000_i1030" o:spt="1" style="height:1.5pt;width:0pt;" coordsize="21600,21600" o:hr="t" o:hrstd="t" o:hralign="center">
            <v:path/>
            <v:fill focussize="0,0"/>
            <v:stroke/>
            <v:imagedata o:title=""/>
            <o:lock v:ext="edit"/>
            <w10:wrap type="none"/>
            <w10:anchorlock/>
          </v:rect>
        </w:pict>
      </w:r>
    </w:p>
    <w:bookmarkEnd w:id="30"/>
    <w:p w14:paraId="2F2F562D">
      <w:pPr>
        <w:pStyle w:val="5"/>
      </w:pPr>
      <w:bookmarkStart w:id="31" w:name="training-time-and-hardware"/>
      <w:r>
        <w:t>4.5.6 Training Time and Hardware</w:t>
      </w:r>
    </w:p>
    <w:p w14:paraId="1D058738">
      <w:pPr>
        <w:pStyle w:val="23"/>
      </w:pPr>
      <w:r>
        <w:t xml:space="preserve">All experiments are conducted on a </w:t>
      </w:r>
      <w:r>
        <w:rPr>
          <w:b/>
          <w:bCs/>
        </w:rPr>
        <w:t>single NVIDIA RTX 3060 Ti (8 GB VRAM)</w:t>
      </w:r>
      <w:r>
        <w:t xml:space="preserve"> under a unified </w:t>
      </w:r>
      <w:r>
        <w:rPr>
          <w:b/>
          <w:bCs/>
        </w:rPr>
        <w:t>float32 precision</w:t>
      </w:r>
      <w:r>
        <w:t xml:space="preserve"> setting. Batch size is 16 with a virtual batch of 64.</w:t>
      </w:r>
    </w:p>
    <w:p w14:paraId="4CF58632">
      <w:pPr>
        <w:pStyle w:val="3"/>
      </w:pPr>
      <w:r>
        <w:t xml:space="preserve">A notable difference between Task 1 and Task 2 is the </w:t>
      </w:r>
      <w:r>
        <w:rPr>
          <w:b/>
          <w:bCs/>
        </w:rPr>
        <w:t>convergence behavior</w:t>
      </w:r>
      <w:r>
        <w:t xml:space="preserve">. Task 1 (simple addition) allows continuous improvement throughout many epochs, so almost all components train for the full 60-epoch budget. In contrast, Task 2 (mixed arithmetic) is substantially harder, and the models reach their </w:t>
      </w:r>
      <w:r>
        <w:rPr>
          <w:b/>
          <w:bCs/>
        </w:rPr>
        <w:t>capacity limits</w:t>
      </w:r>
      <w:r>
        <w:t xml:space="preserve"> much earlier. As soon as validation loss plateaus, early stopping activates, shortening every stage of training.</w:t>
      </w:r>
    </w:p>
    <w:p w14:paraId="71C8969A">
      <w:pPr>
        <w:pStyle w:val="3"/>
      </w:pPr>
      <w:r>
        <w:t xml:space="preserve">Thus, </w:t>
      </w:r>
      <w:r>
        <w:rPr>
          <w:b/>
          <w:bCs/>
        </w:rPr>
        <w:t>Task 2 trains faster not because it is easier, but because the models hit their performance ceiling sooner</w:t>
      </w:r>
      <w:r>
        <w:t>, causing all stages to terminate early.</w:t>
      </w:r>
    </w:p>
    <w:p w14:paraId="55AD2962">
      <w:r>
        <w:pict>
          <v:rect id="_x0000_i1031" o:spt="1" style="height:1.5pt;width:0pt;" coordsize="21600,21600" o:hr="t" o:hrstd="t" o:hralign="center">
            <v:path/>
            <v:fill focussize="0,0"/>
            <v:stroke/>
            <v:imagedata o:title=""/>
            <o:lock v:ext="edit"/>
            <w10:wrap type="none"/>
            <w10:anchorlock/>
          </v:rect>
        </w:pict>
      </w:r>
    </w:p>
    <w:p w14:paraId="72B72786">
      <w:pPr>
        <w:pStyle w:val="6"/>
      </w:pPr>
      <w:bookmarkStart w:id="32" w:name="task-1-addition-v11"/>
      <w:r>
        <w:rPr>
          <w:b/>
          <w:bCs/>
        </w:rPr>
        <w:t>Task 1 (Addition, v11)</w:t>
      </w:r>
    </w:p>
    <w:p w14:paraId="1EC52A7F">
      <w:pPr>
        <w:pStyle w:val="23"/>
      </w:pPr>
      <w:r>
        <w:t xml:space="preserve">Loss continues to decrease for dozens of epochs, and accuracy approaches 1.0. Since no component reaches a loss plateau, </w:t>
      </w:r>
      <w:r>
        <w:rPr>
          <w:b/>
          <w:bCs/>
        </w:rPr>
        <w:t>early stopping never triggers</w:t>
      </w:r>
      <w:r>
        <w:t>.</w:t>
      </w:r>
    </w:p>
    <w:p w14:paraId="333F1368">
      <w:pPr>
        <w:pStyle w:val="24"/>
        <w:numPr>
          <w:ilvl w:val="0"/>
          <w:numId w:val="2"/>
        </w:numPr>
      </w:pPr>
      <w:r>
        <w:t xml:space="preserve">Base model training + evaluation: </w:t>
      </w:r>
      <w:r>
        <w:rPr>
          <w:b/>
          <w:bCs/>
        </w:rPr>
        <w:t>≈15 minutes</w:t>
      </w:r>
      <w:r>
        <w:br w:type="textWrapping"/>
      </w:r>
    </w:p>
    <w:p w14:paraId="3D8B1E36">
      <w:pPr>
        <w:pStyle w:val="24"/>
        <w:numPr>
          <w:ilvl w:val="0"/>
          <w:numId w:val="2"/>
        </w:numPr>
      </w:pPr>
      <w:r>
        <w:t xml:space="preserve">Five experts (sequentially): </w:t>
      </w:r>
      <w:r>
        <w:rPr>
          <w:b/>
          <w:bCs/>
        </w:rPr>
        <w:t>≈4.5 hours</w:t>
      </w:r>
      <w:r>
        <w:br w:type="textWrapping"/>
      </w:r>
    </w:p>
    <w:p w14:paraId="40054C57">
      <w:pPr>
        <w:pStyle w:val="24"/>
        <w:numPr>
          <w:ilvl w:val="0"/>
          <w:numId w:val="2"/>
        </w:numPr>
      </w:pPr>
      <w:r>
        <w:t xml:space="preserve">AllExperts fixed-weight evaluation + RED router cycles: </w:t>
      </w:r>
      <w:r>
        <w:rPr>
          <w:b/>
          <w:bCs/>
        </w:rPr>
        <w:t>≈4.3 hours</w:t>
      </w:r>
      <w:r>
        <w:br w:type="textWrapping"/>
      </w:r>
    </w:p>
    <w:p w14:paraId="626045BB">
      <w:pPr>
        <w:pStyle w:val="24"/>
        <w:numPr>
          <w:ilvl w:val="0"/>
          <w:numId w:val="2"/>
        </w:numPr>
      </w:pPr>
      <w:r>
        <w:t xml:space="preserve">Classical </w:t>
      </w:r>
      <w:r>
        <w:rPr>
          <w:b/>
          <w:bCs/>
        </w:rPr>
        <w:t>MoE baseline</w:t>
      </w:r>
      <w:r>
        <w:t xml:space="preserve"> (training + evaluation): </w:t>
      </w:r>
      <w:r>
        <w:rPr>
          <w:b/>
          <w:bCs/>
        </w:rPr>
        <w:t>≈1 hour 17 minutes</w:t>
      </w:r>
      <w:r>
        <w:br w:type="textWrapping"/>
      </w:r>
    </w:p>
    <w:p w14:paraId="3B11DB91">
      <w:pPr>
        <w:pStyle w:val="24"/>
        <w:numPr>
          <w:ilvl w:val="0"/>
          <w:numId w:val="2"/>
        </w:numPr>
      </w:pPr>
      <w:r>
        <w:rPr>
          <w:b/>
          <w:bCs/>
        </w:rPr>
        <w:t>Total (Task 1): ≈10.8–11 hours</w:t>
      </w:r>
    </w:p>
    <w:p w14:paraId="0A387CB0">
      <w:r>
        <w:pict>
          <v:rect id="_x0000_i1032" o:spt="1" style="height:1.5pt;width:0pt;" coordsize="21600,21600" o:hr="t" o:hrstd="t" o:hralign="center">
            <v:path/>
            <v:fill focussize="0,0"/>
            <v:stroke/>
            <v:imagedata o:title=""/>
            <o:lock v:ext="edit"/>
            <w10:wrap type="none"/>
            <w10:anchorlock/>
          </v:rect>
        </w:pict>
      </w:r>
    </w:p>
    <w:bookmarkEnd w:id="32"/>
    <w:p w14:paraId="527A0E32">
      <w:pPr>
        <w:pStyle w:val="6"/>
      </w:pPr>
      <w:bookmarkStart w:id="33" w:name="task-2-mixed-arithmetic-v13"/>
      <w:r>
        <w:rPr>
          <w:b/>
          <w:bCs/>
        </w:rPr>
        <w:t>Task 2 (Mixed Arithmetic, v13)</w:t>
      </w:r>
    </w:p>
    <w:p w14:paraId="7C26AF0F">
      <w:pPr>
        <w:pStyle w:val="23"/>
      </w:pPr>
      <w:r>
        <w:t xml:space="preserve">Mixed add–subtract expressions require modeling multi-step symbolic structures. Unlike Task 1, all components (base model, experts, router) quickly reach their </w:t>
      </w:r>
      <w:r>
        <w:rPr>
          <w:b/>
          <w:bCs/>
        </w:rPr>
        <w:t>maximum attainable performance</w:t>
      </w:r>
      <w:r>
        <w:t>, and validation loss plateaus after only a few epochs. Early stopping therefore cuts short every training stage.</w:t>
      </w:r>
    </w:p>
    <w:p w14:paraId="21BFC0EA">
      <w:pPr>
        <w:pStyle w:val="24"/>
        <w:numPr>
          <w:ilvl w:val="0"/>
          <w:numId w:val="2"/>
        </w:numPr>
      </w:pPr>
      <w:r>
        <w:t xml:space="preserve">Base model (early stop at epoch 17): </w:t>
      </w:r>
      <w:r>
        <w:rPr>
          <w:b/>
          <w:bCs/>
        </w:rPr>
        <w:t>≈ 23 minutes</w:t>
      </w:r>
      <w:r>
        <w:br w:type="textWrapping"/>
      </w:r>
    </w:p>
    <w:p w14:paraId="0CACE851">
      <w:pPr>
        <w:pStyle w:val="24"/>
        <w:numPr>
          <w:ilvl w:val="0"/>
          <w:numId w:val="2"/>
        </w:numPr>
      </w:pPr>
      <w:r>
        <w:t xml:space="preserve">Five experts (each early stop at 3–8 epochs): </w:t>
      </w:r>
      <w:r>
        <w:rPr>
          <w:b/>
          <w:bCs/>
        </w:rPr>
        <w:t>≈ 40 minutes total</w:t>
      </w:r>
      <w:r>
        <w:br w:type="textWrapping"/>
      </w:r>
    </w:p>
    <w:p w14:paraId="5B3BF144">
      <w:pPr>
        <w:pStyle w:val="24"/>
        <w:numPr>
          <w:ilvl w:val="0"/>
          <w:numId w:val="2"/>
        </w:numPr>
      </w:pPr>
      <w:r>
        <w:t xml:space="preserve">AllExperts fixed-weight evaluation: </w:t>
      </w:r>
      <w:r>
        <w:rPr>
          <w:b/>
          <w:bCs/>
        </w:rPr>
        <w:t>≈ 14 minutes</w:t>
      </w:r>
      <w:r>
        <w:br w:type="textWrapping"/>
      </w:r>
    </w:p>
    <w:p w14:paraId="2CE8757F">
      <w:pPr>
        <w:pStyle w:val="24"/>
        <w:numPr>
          <w:ilvl w:val="0"/>
          <w:numId w:val="2"/>
        </w:numPr>
      </w:pPr>
      <w:r>
        <w:t xml:space="preserve">RED router (early stop after plateau): </w:t>
      </w:r>
      <w:r>
        <w:rPr>
          <w:b/>
          <w:bCs/>
        </w:rPr>
        <w:t>≈ 53 minutes</w:t>
      </w:r>
      <w:r>
        <w:br w:type="textWrapping"/>
      </w:r>
    </w:p>
    <w:p w14:paraId="70AEBED2">
      <w:pPr>
        <w:pStyle w:val="24"/>
        <w:numPr>
          <w:ilvl w:val="0"/>
          <w:numId w:val="2"/>
        </w:numPr>
      </w:pPr>
      <w:r>
        <w:t xml:space="preserve">MoE baseline: </w:t>
      </w:r>
      <w:r>
        <w:rPr>
          <w:b/>
          <w:bCs/>
        </w:rPr>
        <w:t>≈ 13 minutes</w:t>
      </w:r>
      <w:r>
        <w:br w:type="textWrapping"/>
      </w:r>
    </w:p>
    <w:p w14:paraId="195B8B2B">
      <w:pPr>
        <w:pStyle w:val="24"/>
        <w:numPr>
          <w:ilvl w:val="0"/>
          <w:numId w:val="2"/>
        </w:numPr>
      </w:pPr>
      <w:r>
        <w:rPr>
          <w:b/>
          <w:bCs/>
        </w:rPr>
        <w:t>Total (Task 2): ≈ 2 hours 23 minutes</w:t>
      </w:r>
    </w:p>
    <w:p w14:paraId="3671438B">
      <w:pPr>
        <w:pStyle w:val="23"/>
      </w:pPr>
      <w:r>
        <w:t xml:space="preserve">This behavior reflects the </w:t>
      </w:r>
      <w:r>
        <w:rPr>
          <w:b/>
          <w:bCs/>
        </w:rPr>
        <w:t>representational limits of the model on mixed arithmetic</w:t>
      </w:r>
      <w:r>
        <w:t>, not under-training.</w:t>
      </w:r>
    </w:p>
    <w:p w14:paraId="0B010782">
      <w:r>
        <w:pict>
          <v:rect id="_x0000_i1033" o:spt="1" style="height:1.5pt;width:0pt;" coordsize="21600,21600" o:hr="t" o:hrstd="t" o:hralign="center">
            <v:path/>
            <v:fill focussize="0,0"/>
            <v:stroke/>
            <v:imagedata o:title=""/>
            <o:lock v:ext="edit"/>
            <w10:wrap type="none"/>
            <w10:anchorlock/>
          </v:rect>
        </w:pict>
      </w:r>
    </w:p>
    <w:bookmarkEnd w:id="33"/>
    <w:p w14:paraId="1136BF61">
      <w:pPr>
        <w:pStyle w:val="6"/>
      </w:pPr>
      <w:bookmarkStart w:id="34" w:name="overall-runtime"/>
      <w:r>
        <w:rPr>
          <w:b/>
          <w:bCs/>
        </w:rPr>
        <w:t>Overall runtime</w:t>
      </w:r>
    </w:p>
    <w:p w14:paraId="200E130D">
      <w:pPr>
        <w:pStyle w:val="23"/>
      </w:pPr>
      <w:r>
        <w:t>Summing both tasks:</w:t>
      </w:r>
    </w:p>
    <w:p w14:paraId="65AF672D">
      <w:pPr>
        <w:pStyle w:val="3"/>
      </w:pPr>
      <m:oMathPara>
        <m:oMathParaPr>
          <m:jc m:val="center"/>
        </m:oMathParaPr>
        <m:oMath>
          <m:r>
            <m:rPr>
              <m:nor/>
              <m:sty m:val="p"/>
            </m:rPr>
            <w:rPr>
              <w:b w:val="0"/>
              <w:i w:val="0"/>
            </w:rPr>
            <m:t>Total</m:t>
          </m:r>
          <m:r>
            <m:rPr>
              <m:sty m:val="p"/>
            </m:rPr>
            <m:t>≈</m:t>
          </m:r>
          <m:r>
            <m:rPr/>
            <m:t>13.2</m:t>
          </m:r>
          <m:r>
            <m:rPr>
              <m:nor/>
              <m:sty m:val="p"/>
            </m:rPr>
            <w:rPr>
              <w:b w:val="0"/>
              <w:i w:val="0"/>
            </w:rPr>
            <m:t>–</m:t>
          </m:r>
          <m:r>
            <m:rPr/>
            <m:t>13.5</m:t>
          </m:r>
          <m:r>
            <m:rPr>
              <m:nor/>
              <m:sty m:val="p"/>
            </m:rPr>
            <w:rPr>
              <w:b w:val="0"/>
              <w:i w:val="0"/>
            </w:rPr>
            <m:t>hours</m:t>
          </m:r>
        </m:oMath>
      </m:oMathPara>
    </w:p>
    <w:p w14:paraId="4E3A5DCD">
      <w:pPr>
        <w:pStyle w:val="23"/>
      </w:pPr>
      <w:r>
        <w:t>on a single 8 GB GPU, without distributed training or model parallelism.</w:t>
      </w:r>
    </w:p>
    <w:p w14:paraId="3A545AE8">
      <w:r>
        <w:pict>
          <v:rect id="_x0000_i1034" o:spt="1" style="height:1.5pt;width:0pt;" coordsize="21600,21600" o:hr="t" o:hrstd="t" o:hralign="center">
            <v:path/>
            <v:fill focussize="0,0"/>
            <v:stroke/>
            <v:imagedata o:title=""/>
            <o:lock v:ext="edit"/>
            <w10:wrap type="none"/>
            <w10:anchorlock/>
          </v:rect>
        </w:pict>
      </w:r>
    </w:p>
    <w:bookmarkEnd w:id="31"/>
    <w:bookmarkEnd w:id="34"/>
    <w:p w14:paraId="63783020">
      <w:pPr>
        <w:pStyle w:val="5"/>
      </w:pPr>
      <w:bookmarkStart w:id="35" w:name="summary-of-the-training-pipeline"/>
      <w:r>
        <w:t>4.5.7 Summary of the Training Pipeline</w:t>
      </w:r>
    </w:p>
    <w:p w14:paraId="0D20F0FC">
      <w:pPr>
        <w:pStyle w:val="23"/>
      </w:pPr>
      <w:r>
        <w:rPr>
          <w:b/>
          <w:bCs/>
        </w:rPr>
        <w:t>Table 4.2. Unified three-stage training schedule</w:t>
      </w:r>
    </w:p>
    <w:tbl>
      <w:tblPr>
        <w:tblStyle w:val="41"/>
        <w:tblW w:w="5000" w:type="pct"/>
        <w:tblInd w:w="0" w:type="dxa"/>
        <w:tblLayout w:type="fixed"/>
        <w:tblCellMar>
          <w:top w:w="0" w:type="dxa"/>
          <w:left w:w="108" w:type="dxa"/>
          <w:bottom w:w="0" w:type="dxa"/>
          <w:right w:w="108" w:type="dxa"/>
        </w:tblCellMar>
      </w:tblPr>
      <w:tblGrid>
        <w:gridCol w:w="2140"/>
        <w:gridCol w:w="3690"/>
        <w:gridCol w:w="3026"/>
      </w:tblGrid>
      <w:tr w14:paraId="4F4BCE77">
        <w:tblPrEx>
          <w:tblCellMar>
            <w:top w:w="0" w:type="dxa"/>
            <w:left w:w="108" w:type="dxa"/>
            <w:bottom w:w="0" w:type="dxa"/>
            <w:right w:w="108" w:type="dxa"/>
          </w:tblCellMar>
        </w:tblPrEx>
        <w:trPr>
          <w:tblHeader/>
        </w:trPr>
        <w:tc>
          <w:p w14:paraId="1DB36B1F">
            <w:pPr>
              <w:pStyle w:val="24"/>
            </w:pPr>
            <w:r>
              <w:t>Stage</w:t>
            </w:r>
          </w:p>
        </w:tc>
        <w:tc>
          <w:p w14:paraId="75A7ACED">
            <w:pPr>
              <w:pStyle w:val="24"/>
            </w:pPr>
            <w:r>
              <w:t>Trainable Components</w:t>
            </w:r>
          </w:p>
        </w:tc>
        <w:tc>
          <w:p w14:paraId="7969F0AC">
            <w:pPr>
              <w:pStyle w:val="24"/>
            </w:pPr>
            <w:r>
              <w:t>Purpose</w:t>
            </w:r>
          </w:p>
        </w:tc>
      </w:tr>
      <w:tr w14:paraId="78522162">
        <w:tblPrEx>
          <w:tblCellMar>
            <w:top w:w="0" w:type="dxa"/>
            <w:left w:w="108" w:type="dxa"/>
            <w:bottom w:w="0" w:type="dxa"/>
            <w:right w:w="108" w:type="dxa"/>
          </w:tblCellMar>
        </w:tblPrEx>
        <w:tc>
          <w:p w14:paraId="53A4F9F9">
            <w:pPr>
              <w:pStyle w:val="24"/>
            </w:pPr>
            <w:r>
              <w:t>Stage 1 — Expert specialization</w:t>
            </w:r>
          </w:p>
        </w:tc>
        <w:tc>
          <w:p w14:paraId="6ED436CB">
            <w:pPr>
              <w:pStyle w:val="24"/>
            </w:pPr>
            <w:r>
              <w:t>Expert heads + top-2 backbone layers</w:t>
            </w:r>
          </w:p>
        </w:tc>
        <w:tc>
          <w:p w14:paraId="1A98925E">
            <w:pPr>
              <w:pStyle w:val="24"/>
            </w:pPr>
            <w:r>
              <w:t>Learn disjoint numerical patterns</w:t>
            </w:r>
          </w:p>
        </w:tc>
      </w:tr>
      <w:tr w14:paraId="6188612F">
        <w:tblPrEx>
          <w:tblCellMar>
            <w:top w:w="0" w:type="dxa"/>
            <w:left w:w="108" w:type="dxa"/>
            <w:bottom w:w="0" w:type="dxa"/>
            <w:right w:w="108" w:type="dxa"/>
          </w:tblCellMar>
        </w:tblPrEx>
        <w:tc>
          <w:p w14:paraId="40D2C116">
            <w:pPr>
              <w:pStyle w:val="24"/>
            </w:pPr>
            <w:r>
              <w:t>Stage 2 — Router training</w:t>
            </w:r>
          </w:p>
        </w:tc>
        <w:tc>
          <w:p w14:paraId="457C26ED">
            <w:pPr>
              <w:pStyle w:val="24"/>
            </w:pPr>
            <w:r>
              <w:t>Router MLP</w:t>
            </w:r>
          </w:p>
        </w:tc>
        <w:tc>
          <w:p w14:paraId="0B01A54F">
            <w:pPr>
              <w:pStyle w:val="24"/>
            </w:pPr>
            <w:r>
              <w:t>Learn sub-range dispatching</w:t>
            </w:r>
          </w:p>
        </w:tc>
      </w:tr>
      <w:tr w14:paraId="5A2DA6EF">
        <w:tblPrEx>
          <w:tblCellMar>
            <w:top w:w="0" w:type="dxa"/>
            <w:left w:w="108" w:type="dxa"/>
            <w:bottom w:w="0" w:type="dxa"/>
            <w:right w:w="108" w:type="dxa"/>
          </w:tblCellMar>
        </w:tblPrEx>
        <w:tc>
          <w:p w14:paraId="5D9898F0">
            <w:pPr>
              <w:pStyle w:val="24"/>
            </w:pPr>
            <w:r>
              <w:t>Stage 3 — RED integration</w:t>
            </w:r>
          </w:p>
        </w:tc>
        <w:tc>
          <w:p w14:paraId="470487A6">
            <w:pPr>
              <w:pStyle w:val="24"/>
            </w:pPr>
            <w:r>
              <w:t>Residual adapters + router + shared classifier</w:t>
            </w:r>
          </w:p>
        </w:tc>
        <w:tc>
          <w:p w14:paraId="50417A3C">
            <w:pPr>
              <w:pStyle w:val="24"/>
            </w:pPr>
            <w:r>
              <w:t>Stable mixed-expert recomposition</w:t>
            </w:r>
          </w:p>
        </w:tc>
      </w:tr>
    </w:tbl>
    <w:p w14:paraId="20107CA9">
      <w:pPr>
        <w:pStyle w:val="3"/>
      </w:pPr>
      <w:r>
        <w:t>This unified pipeline ensures a fully controlled, fair, and reproducible comparison across</w:t>
      </w:r>
      <w:r>
        <w:br w:type="textWrapping"/>
      </w:r>
      <w:r>
        <w:t>Global Head, Uniform Averaging, Oracle Experts, MoE gating, and the proposed RED model.</w:t>
      </w:r>
    </w:p>
    <w:bookmarkEnd w:id="24"/>
    <w:bookmarkEnd w:id="35"/>
    <w:p w14:paraId="0475D2B4">
      <w:pPr>
        <w:pStyle w:val="4"/>
      </w:pPr>
      <w:bookmarkStart w:id="36" w:name="results-on-task-1-addition-de-duplicated"/>
      <w:r>
        <w:t>4.6 Results on Task 1: Addition (De-duplicated)</w:t>
      </w:r>
    </w:p>
    <w:p w14:paraId="68725910">
      <w:pPr>
        <w:pStyle w:val="23"/>
      </w:pPr>
      <w:r>
        <w:t>Task 1 evaluates natural-language addition queries whose outputs fall within five explicit numerical ranges (</w:t>
      </w:r>
      <m:oMath>
        <m:sSub>
          <m:sSubPr/>
          <m:e>
            <m:r>
              <m:rPr/>
              <m:t>R</m:t>
            </m:r>
          </m:e>
          <m:sub>
            <m:r>
              <m:rPr/>
              <m:t>1</m:t>
            </m:r>
          </m:sub>
        </m:sSub>
      </m:oMath>
      <w:r>
        <w:t>–</w:t>
      </w:r>
      <m:oMath>
        <m:sSub>
          <m:sSubPr/>
          <m:e>
            <m:r>
              <m:rPr/>
              <m:t>R</m:t>
            </m:r>
          </m:e>
          <m:sub>
            <m:r>
              <m:rPr/>
              <m:t>5</m:t>
            </m:r>
          </m:sub>
        </m:sSub>
      </m:oMath>
      <w:r>
        <w:t>).</w:t>
      </w:r>
      <w:r>
        <w:br w:type="textWrapping"/>
      </w:r>
      <w:r>
        <w:t>Because the target ranges are discretely defined in Section 4.1, this task enables precise comparison of global accuracy, range-wise specialization, and routing stability. This section reports only results, without repeating architectural details.</w:t>
      </w:r>
    </w:p>
    <w:p w14:paraId="06D6198C">
      <w:pPr>
        <w:pStyle w:val="5"/>
      </w:pPr>
      <w:bookmarkStart w:id="37" w:name="overall-performance"/>
      <w:r>
        <w:t>4.6.1 Overall Performance</w:t>
      </w:r>
    </w:p>
    <w:tbl>
      <w:tblPr>
        <w:tblStyle w:val="41"/>
        <w:tblW w:w="0" w:type="auto"/>
        <w:tblInd w:w="0" w:type="dxa"/>
        <w:tblLayout w:type="autofit"/>
        <w:tblCellMar>
          <w:top w:w="0" w:type="dxa"/>
          <w:left w:w="108" w:type="dxa"/>
          <w:bottom w:w="0" w:type="dxa"/>
          <w:right w:w="108" w:type="dxa"/>
        </w:tblCellMar>
      </w:tblPr>
      <w:tblGrid>
        <w:gridCol w:w="2644"/>
        <w:gridCol w:w="1203"/>
        <w:gridCol w:w="1243"/>
      </w:tblGrid>
      <w:tr w14:paraId="695F703A">
        <w:tblPrEx>
          <w:tblCellMar>
            <w:top w:w="0" w:type="dxa"/>
            <w:left w:w="108" w:type="dxa"/>
            <w:bottom w:w="0" w:type="dxa"/>
            <w:right w:w="108" w:type="dxa"/>
          </w:tblCellMar>
        </w:tblPrEx>
        <w:trPr>
          <w:tblHeader/>
        </w:trPr>
        <w:tc>
          <w:p w14:paraId="7929898F">
            <w:pPr>
              <w:pStyle w:val="24"/>
            </w:pPr>
            <w:r>
              <w:t>Method</w:t>
            </w:r>
          </w:p>
        </w:tc>
        <w:tc>
          <w:p w14:paraId="0AB6AC5A">
            <w:pPr>
              <w:pStyle w:val="24"/>
            </w:pPr>
            <w:r>
              <w:t>Accuracy</w:t>
            </w:r>
          </w:p>
        </w:tc>
        <w:tc>
          <w:p w14:paraId="7E67B672">
            <w:pPr>
              <w:pStyle w:val="24"/>
            </w:pPr>
            <w:r>
              <w:t>Macro-F1</w:t>
            </w:r>
          </w:p>
        </w:tc>
      </w:tr>
      <w:tr w14:paraId="1F03499B">
        <w:tblPrEx>
          <w:tblCellMar>
            <w:top w:w="0" w:type="dxa"/>
            <w:left w:w="108" w:type="dxa"/>
            <w:bottom w:w="0" w:type="dxa"/>
            <w:right w:w="108" w:type="dxa"/>
          </w:tblCellMar>
        </w:tblPrEx>
        <w:tc>
          <w:p w14:paraId="193E3A7D">
            <w:pPr>
              <w:pStyle w:val="24"/>
            </w:pPr>
            <w:r>
              <w:t>Global Head (base)</w:t>
            </w:r>
          </w:p>
        </w:tc>
        <w:tc>
          <w:p w14:paraId="7018CAE6">
            <w:pPr>
              <w:pStyle w:val="24"/>
            </w:pPr>
            <w:r>
              <w:t>0.5503</w:t>
            </w:r>
          </w:p>
        </w:tc>
        <w:tc>
          <w:p w14:paraId="70441925">
            <w:pPr>
              <w:pStyle w:val="24"/>
            </w:pPr>
            <w:r>
              <w:t>0.5194</w:t>
            </w:r>
          </w:p>
        </w:tc>
      </w:tr>
      <w:tr w14:paraId="107BDCC2">
        <w:tblPrEx>
          <w:tblCellMar>
            <w:top w:w="0" w:type="dxa"/>
            <w:left w:w="108" w:type="dxa"/>
            <w:bottom w:w="0" w:type="dxa"/>
            <w:right w:w="108" w:type="dxa"/>
          </w:tblCellMar>
        </w:tblPrEx>
        <w:tc>
          <w:p w14:paraId="03EBBDCF">
            <w:pPr>
              <w:pStyle w:val="24"/>
            </w:pPr>
            <w:r>
              <w:t>Uniform Avg (all_fixed)</w:t>
            </w:r>
          </w:p>
        </w:tc>
        <w:tc>
          <w:p w14:paraId="64285BEA">
            <w:pPr>
              <w:pStyle w:val="24"/>
            </w:pPr>
            <w:r>
              <w:t>0.2686</w:t>
            </w:r>
          </w:p>
        </w:tc>
        <w:tc>
          <w:p w14:paraId="0744B4F3">
            <w:pPr>
              <w:pStyle w:val="24"/>
            </w:pPr>
            <w:r>
              <w:t>0.2295</w:t>
            </w:r>
          </w:p>
        </w:tc>
      </w:tr>
      <w:tr w14:paraId="7A41200B">
        <w:tblPrEx>
          <w:tblCellMar>
            <w:top w:w="0" w:type="dxa"/>
            <w:left w:w="108" w:type="dxa"/>
            <w:bottom w:w="0" w:type="dxa"/>
            <w:right w:w="108" w:type="dxa"/>
          </w:tblCellMar>
        </w:tblPrEx>
        <w:tc>
          <w:p w14:paraId="077C339A">
            <w:pPr>
              <w:pStyle w:val="24"/>
            </w:pPr>
            <w:r>
              <w:t>MoE Gating (moe)</w:t>
            </w:r>
          </w:p>
        </w:tc>
        <w:tc>
          <w:p w14:paraId="227E4990">
            <w:pPr>
              <w:pStyle w:val="24"/>
            </w:pPr>
            <w:r>
              <w:t>0.8576</w:t>
            </w:r>
          </w:p>
        </w:tc>
        <w:tc>
          <w:p w14:paraId="4ACB4900">
            <w:pPr>
              <w:pStyle w:val="24"/>
            </w:pPr>
            <w:r>
              <w:t>0.8568</w:t>
            </w:r>
          </w:p>
        </w:tc>
      </w:tr>
      <w:tr w14:paraId="5227F49D">
        <w:tblPrEx>
          <w:tblCellMar>
            <w:top w:w="0" w:type="dxa"/>
            <w:left w:w="108" w:type="dxa"/>
            <w:bottom w:w="0" w:type="dxa"/>
            <w:right w:w="108" w:type="dxa"/>
          </w:tblCellMar>
        </w:tblPrEx>
        <w:tc>
          <w:p w14:paraId="36390058">
            <w:pPr>
              <w:pStyle w:val="24"/>
            </w:pPr>
            <w:r>
              <w:rPr>
                <w:b/>
                <w:bCs/>
              </w:rPr>
              <w:t>RED (Ours, router)</w:t>
            </w:r>
          </w:p>
        </w:tc>
        <w:tc>
          <w:p w14:paraId="04508749">
            <w:pPr>
              <w:pStyle w:val="24"/>
            </w:pPr>
            <w:r>
              <w:rPr>
                <w:b/>
                <w:bCs/>
              </w:rPr>
              <w:t>0.9725</w:t>
            </w:r>
          </w:p>
        </w:tc>
        <w:tc>
          <w:p w14:paraId="2E583630">
            <w:pPr>
              <w:pStyle w:val="24"/>
            </w:pPr>
            <w:r>
              <w:rPr>
                <w:b/>
                <w:bCs/>
              </w:rPr>
              <w:t>0.9722</w:t>
            </w:r>
          </w:p>
        </w:tc>
      </w:tr>
    </w:tbl>
    <w:p w14:paraId="2DDD79E4">
      <w:pPr>
        <w:pStyle w:val="3"/>
      </w:pPr>
      <w:r>
        <w:rPr>
          <w:b/>
          <w:bCs/>
        </w:rPr>
        <w:t>Note on Macro-F1:</w:t>
      </w:r>
      <w:r>
        <w:br w:type="textWrapping"/>
      </w:r>
      <w:r>
        <w:t xml:space="preserve">Macro-F1 is lower because each range computes F1 over </w:t>
      </w:r>
      <w:r>
        <w:rPr>
          <w:b/>
          <w:bCs/>
        </w:rPr>
        <w:t>99 output classes</w:t>
      </w:r>
      <w:r>
        <w:t>, many of which have extremely small support. Even when accuracy is near-perfect, rare-class errors sharply reduce Macro-F1.</w:t>
      </w:r>
    </w:p>
    <w:p w14:paraId="7B3864A6">
      <w:pPr>
        <w:pStyle w:val="3"/>
      </w:pPr>
      <w:r>
        <w:rPr>
          <w:b/>
          <w:bCs/>
        </w:rPr>
        <w:t>Interpretation:</w:t>
      </w:r>
      <w:r>
        <w:br w:type="textWrapping"/>
      </w:r>
      <w:r>
        <w:t xml:space="preserve">RED achieves the strongest overall performance, improving upon MoE by </w:t>
      </w:r>
      <w:r>
        <w:rPr>
          <w:b/>
          <w:bCs/>
        </w:rPr>
        <w:t>+11.5%</w:t>
      </w:r>
      <w:r>
        <w:t xml:space="preserve"> accuracy and far surpassing non-modular baselines.</w:t>
      </w:r>
    </w:p>
    <w:bookmarkEnd w:id="37"/>
    <w:p w14:paraId="37596146">
      <w:pPr>
        <w:pStyle w:val="5"/>
      </w:pPr>
      <w:bookmarkStart w:id="38" w:name="accuracy-by-numerical-range-r_1r_5"/>
      <w:r>
        <w:t>4.6.2 Accuracy by Numerical Range (</w:t>
      </w:r>
      <m:oMath>
        <m:sSub>
          <m:sSubPr/>
          <m:e>
            <m:r>
              <m:rPr/>
              <m:t>R</m:t>
            </m:r>
          </m:e>
          <m:sub>
            <m:r>
              <m:rPr/>
              <m:t>1</m:t>
            </m:r>
          </m:sub>
        </m:sSub>
      </m:oMath>
      <w:r>
        <w:t>–</w:t>
      </w:r>
      <m:oMath>
        <m:sSub>
          <m:sSubPr/>
          <m:e>
            <m:r>
              <m:rPr/>
              <m:t>R</m:t>
            </m:r>
          </m:e>
          <m:sub>
            <m:r>
              <m:rPr/>
              <m:t>5</m:t>
            </m:r>
          </m:sub>
        </m:sSub>
      </m:oMath>
      <w:r>
        <w:t>)</w:t>
      </w:r>
    </w:p>
    <w:p w14:paraId="2BD87014">
      <w:pPr>
        <w:pStyle w:val="23"/>
      </w:pPr>
      <w:r>
        <w:t>Ranges defined in Section 4.1:</w:t>
      </w:r>
    </w:p>
    <w:p w14:paraId="55FC292E">
      <w:pPr>
        <w:pStyle w:val="24"/>
        <w:numPr>
          <w:ilvl w:val="0"/>
          <w:numId w:val="2"/>
        </w:numPr>
      </w:pPr>
      <m:oMath>
        <m:sSub>
          <m:sSubPr/>
          <m:e>
            <m:r>
              <m:rPr/>
              <m:t>R</m:t>
            </m:r>
          </m:e>
          <m:sub>
            <m:r>
              <m:rPr/>
              <m:t>1</m:t>
            </m:r>
          </m:sub>
        </m:sSub>
      </m:oMath>
      <w:r>
        <w:t xml:space="preserve"> = 2–20</w:t>
      </w:r>
      <w:r>
        <w:br w:type="textWrapping"/>
      </w:r>
    </w:p>
    <w:p w14:paraId="19603D63">
      <w:pPr>
        <w:pStyle w:val="24"/>
        <w:numPr>
          <w:ilvl w:val="0"/>
          <w:numId w:val="2"/>
        </w:numPr>
      </w:pPr>
      <m:oMath>
        <m:sSub>
          <m:sSubPr/>
          <m:e>
            <m:r>
              <m:rPr/>
              <m:t>R</m:t>
            </m:r>
          </m:e>
          <m:sub>
            <m:r>
              <m:rPr/>
              <m:t>2</m:t>
            </m:r>
          </m:sub>
        </m:sSub>
      </m:oMath>
      <w:r>
        <w:t xml:space="preserve"> = 21–40</w:t>
      </w:r>
      <w:r>
        <w:br w:type="textWrapping"/>
      </w:r>
    </w:p>
    <w:p w14:paraId="764EB640">
      <w:pPr>
        <w:pStyle w:val="24"/>
        <w:numPr>
          <w:ilvl w:val="0"/>
          <w:numId w:val="2"/>
        </w:numPr>
      </w:pPr>
      <m:oMath>
        <m:sSub>
          <m:sSubPr/>
          <m:e>
            <m:r>
              <m:rPr/>
              <m:t>R</m:t>
            </m:r>
          </m:e>
          <m:sub>
            <m:r>
              <m:rPr/>
              <m:t>3</m:t>
            </m:r>
          </m:sub>
        </m:sSub>
      </m:oMath>
      <w:r>
        <w:t xml:space="preserve"> = 41–60</w:t>
      </w:r>
      <w:r>
        <w:br w:type="textWrapping"/>
      </w:r>
    </w:p>
    <w:p w14:paraId="2124D144">
      <w:pPr>
        <w:pStyle w:val="24"/>
        <w:numPr>
          <w:ilvl w:val="0"/>
          <w:numId w:val="2"/>
        </w:numPr>
      </w:pPr>
      <m:oMath>
        <m:sSub>
          <m:sSubPr/>
          <m:e>
            <m:r>
              <m:rPr/>
              <m:t>R</m:t>
            </m:r>
          </m:e>
          <m:sub>
            <m:r>
              <m:rPr/>
              <m:t>4</m:t>
            </m:r>
          </m:sub>
        </m:sSub>
      </m:oMath>
      <w:r>
        <w:t xml:space="preserve"> = 61–80</w:t>
      </w:r>
      <w:r>
        <w:br w:type="textWrapping"/>
      </w:r>
    </w:p>
    <w:p w14:paraId="1B7FBCC5">
      <w:pPr>
        <w:pStyle w:val="24"/>
        <w:numPr>
          <w:ilvl w:val="0"/>
          <w:numId w:val="2"/>
        </w:numPr>
      </w:pPr>
      <m:oMath>
        <m:sSub>
          <m:sSubPr/>
          <m:e>
            <m:r>
              <m:rPr/>
              <m:t>R</m:t>
            </m:r>
          </m:e>
          <m:sub>
            <m:r>
              <m:rPr/>
              <m:t>5</m:t>
            </m:r>
          </m:sub>
        </m:sSub>
      </m:oMath>
      <w:r>
        <w:t xml:space="preserve"> = 81–100</w:t>
      </w:r>
    </w:p>
    <w:p w14:paraId="3A532DED">
      <w:pPr>
        <w:pStyle w:val="23"/>
      </w:pPr>
      <w:r>
        <w:t>Accuracy → three qualitative levels:</w:t>
      </w:r>
    </w:p>
    <w:p w14:paraId="69418C7E">
      <w:pPr>
        <w:pStyle w:val="24"/>
        <w:numPr>
          <w:ilvl w:val="0"/>
          <w:numId w:val="2"/>
        </w:numPr>
      </w:pPr>
      <w:r>
        <w:rPr>
          <w:b/>
          <w:bCs/>
        </w:rPr>
        <w:t>high:</w:t>
      </w:r>
      <w:r>
        <w:t xml:space="preserve"> ≥ 0.80</w:t>
      </w:r>
      <w:r>
        <w:br w:type="textWrapping"/>
      </w:r>
    </w:p>
    <w:p w14:paraId="35746F21">
      <w:pPr>
        <w:pStyle w:val="24"/>
        <w:numPr>
          <w:ilvl w:val="0"/>
          <w:numId w:val="2"/>
        </w:numPr>
      </w:pPr>
      <w:r>
        <w:rPr>
          <w:b/>
          <w:bCs/>
        </w:rPr>
        <w:t>moderate:</w:t>
      </w:r>
      <w:r>
        <w:t xml:space="preserve"> 0.55–0.80</w:t>
      </w:r>
      <w:r>
        <w:br w:type="textWrapping"/>
      </w:r>
    </w:p>
    <w:p w14:paraId="55878320">
      <w:pPr>
        <w:pStyle w:val="24"/>
        <w:numPr>
          <w:ilvl w:val="0"/>
          <w:numId w:val="2"/>
        </w:numPr>
      </w:pPr>
      <w:r>
        <w:rPr>
          <w:b/>
          <w:bCs/>
        </w:rPr>
        <w:t>low:</w:t>
      </w:r>
      <w:r>
        <w:t xml:space="preserve"> &lt; 0.55</w:t>
      </w:r>
    </w:p>
    <w:p w14:paraId="46A5188B">
      <w:pPr>
        <w:pStyle w:val="6"/>
      </w:pPr>
      <w:bookmarkStart w:id="39" w:name="raw-accuracy-values-from-logs"/>
      <w:r>
        <w:t>Raw Accuracy Values from Logs</w:t>
      </w:r>
    </w:p>
    <w:p w14:paraId="434BD42E">
      <w:pPr>
        <w:pStyle w:val="24"/>
        <w:numPr>
          <w:ilvl w:val="0"/>
          <w:numId w:val="2"/>
        </w:numPr>
      </w:pPr>
      <w:r>
        <w:rPr>
          <w:b/>
          <w:bCs/>
        </w:rPr>
        <w:t>Global Head (base)</w:t>
      </w:r>
    </w:p>
    <w:p w14:paraId="3FBE2813">
      <w:pPr>
        <w:pStyle w:val="24"/>
        <w:numPr>
          <w:ilvl w:val="1"/>
          <w:numId w:val="2"/>
        </w:numPr>
      </w:pPr>
      <m:oMath>
        <m:sSub>
          <m:sSubPr/>
          <m:e>
            <m:r>
              <m:rPr/>
              <m:t>R</m:t>
            </m:r>
          </m:e>
          <m:sub>
            <m:r>
              <m:rPr/>
              <m:t>1</m:t>
            </m:r>
          </m:sub>
        </m:sSub>
      </m:oMath>
      <w:r>
        <w:t xml:space="preserve"> 0.8994</w:t>
      </w:r>
      <w:r>
        <w:br w:type="textWrapping"/>
      </w:r>
    </w:p>
    <w:p w14:paraId="388472C1">
      <w:pPr>
        <w:pStyle w:val="24"/>
        <w:numPr>
          <w:ilvl w:val="1"/>
          <w:numId w:val="2"/>
        </w:numPr>
      </w:pPr>
      <m:oMath>
        <m:sSub>
          <m:sSubPr/>
          <m:e>
            <m:r>
              <m:rPr/>
              <m:t>R</m:t>
            </m:r>
          </m:e>
          <m:sub>
            <m:r>
              <m:rPr/>
              <m:t>2</m:t>
            </m:r>
          </m:sub>
        </m:sSub>
      </m:oMath>
      <w:r>
        <w:t xml:space="preserve"> 0.4480</w:t>
      </w:r>
      <w:r>
        <w:br w:type="textWrapping"/>
      </w:r>
    </w:p>
    <w:p w14:paraId="5FCD6FBD">
      <w:pPr>
        <w:pStyle w:val="24"/>
        <w:numPr>
          <w:ilvl w:val="1"/>
          <w:numId w:val="2"/>
        </w:numPr>
      </w:pPr>
      <m:oMath>
        <m:sSub>
          <m:sSubPr/>
          <m:e>
            <m:r>
              <m:rPr/>
              <m:t>R</m:t>
            </m:r>
          </m:e>
          <m:sub>
            <m:r>
              <m:rPr/>
              <m:t>3</m:t>
            </m:r>
          </m:sub>
        </m:sSub>
      </m:oMath>
      <w:r>
        <w:t xml:space="preserve"> 0.3131</w:t>
      </w:r>
      <w:r>
        <w:br w:type="textWrapping"/>
      </w:r>
    </w:p>
    <w:p w14:paraId="278A52E1">
      <w:pPr>
        <w:pStyle w:val="24"/>
        <w:numPr>
          <w:ilvl w:val="1"/>
          <w:numId w:val="2"/>
        </w:numPr>
      </w:pPr>
      <m:oMath>
        <m:sSub>
          <m:sSubPr/>
          <m:e>
            <m:r>
              <m:rPr/>
              <m:t>R</m:t>
            </m:r>
          </m:e>
          <m:sub>
            <m:r>
              <m:rPr/>
              <m:t>4</m:t>
            </m:r>
          </m:sub>
        </m:sSub>
      </m:oMath>
      <w:r>
        <w:t xml:space="preserve"> 0.3975</w:t>
      </w:r>
      <w:r>
        <w:br w:type="textWrapping"/>
      </w:r>
    </w:p>
    <w:p w14:paraId="6E82DD52">
      <w:pPr>
        <w:pStyle w:val="24"/>
        <w:numPr>
          <w:ilvl w:val="1"/>
          <w:numId w:val="2"/>
        </w:numPr>
      </w:pPr>
      <m:oMath>
        <m:sSub>
          <m:sSubPr/>
          <m:e>
            <m:r>
              <m:rPr/>
              <m:t>R</m:t>
            </m:r>
          </m:e>
          <m:sub>
            <m:r>
              <m:rPr/>
              <m:t>5</m:t>
            </m:r>
          </m:sub>
        </m:sSub>
      </m:oMath>
      <w:r>
        <w:t xml:space="preserve"> 0.6719</w:t>
      </w:r>
    </w:p>
    <w:p w14:paraId="21132282">
      <w:pPr>
        <w:pStyle w:val="24"/>
        <w:numPr>
          <w:ilvl w:val="0"/>
          <w:numId w:val="2"/>
        </w:numPr>
      </w:pPr>
      <w:r>
        <w:rPr>
          <w:b/>
          <w:bCs/>
        </w:rPr>
        <w:t>Uniform Avg (all_fixed)</w:t>
      </w:r>
    </w:p>
    <w:p w14:paraId="20BF3C1A">
      <w:pPr>
        <w:pStyle w:val="24"/>
        <w:numPr>
          <w:ilvl w:val="1"/>
          <w:numId w:val="2"/>
        </w:numPr>
      </w:pPr>
      <m:oMath>
        <m:sSub>
          <m:sSubPr/>
          <m:e>
            <m:r>
              <m:rPr/>
              <m:t>R</m:t>
            </m:r>
          </m:e>
          <m:sub>
            <m:r>
              <m:rPr/>
              <m:t>1</m:t>
            </m:r>
          </m:sub>
        </m:sSub>
      </m:oMath>
      <w:r>
        <w:t xml:space="preserve"> 0.8978</w:t>
      </w:r>
      <w:r>
        <w:br w:type="textWrapping"/>
      </w:r>
    </w:p>
    <w:p w14:paraId="3E932EA4">
      <w:pPr>
        <w:pStyle w:val="24"/>
        <w:numPr>
          <w:ilvl w:val="1"/>
          <w:numId w:val="2"/>
        </w:numPr>
      </w:pPr>
      <m:oMath>
        <m:sSub>
          <m:sSubPr/>
          <m:e>
            <m:r>
              <m:rPr/>
              <m:t>R</m:t>
            </m:r>
          </m:e>
          <m:sub>
            <m:r>
              <m:rPr/>
              <m:t>2</m:t>
            </m:r>
          </m:sub>
        </m:sSub>
      </m:oMath>
      <w:r>
        <w:t xml:space="preserve"> 0.0054</w:t>
      </w:r>
      <w:r>
        <w:br w:type="textWrapping"/>
      </w:r>
    </w:p>
    <w:p w14:paraId="2AC5A75D">
      <w:pPr>
        <w:pStyle w:val="24"/>
        <w:numPr>
          <w:ilvl w:val="1"/>
          <w:numId w:val="2"/>
        </w:numPr>
      </w:pPr>
      <m:oMath>
        <m:sSub>
          <m:sSubPr/>
          <m:e>
            <m:r>
              <m:rPr/>
              <m:t>R</m:t>
            </m:r>
          </m:e>
          <m:sub>
            <m:r>
              <m:rPr/>
              <m:t>3</m:t>
            </m:r>
          </m:sub>
        </m:sSub>
      </m:oMath>
      <w:r>
        <w:t xml:space="preserve"> 0.0000</w:t>
      </w:r>
      <w:r>
        <w:br w:type="textWrapping"/>
      </w:r>
    </w:p>
    <w:p w14:paraId="70C4011F">
      <w:pPr>
        <w:pStyle w:val="24"/>
        <w:numPr>
          <w:ilvl w:val="1"/>
          <w:numId w:val="2"/>
        </w:numPr>
      </w:pPr>
      <m:oMath>
        <m:sSub>
          <m:sSubPr/>
          <m:e>
            <m:r>
              <m:rPr/>
              <m:t>R</m:t>
            </m:r>
          </m:e>
          <m:sub>
            <m:r>
              <m:rPr/>
              <m:t>4</m:t>
            </m:r>
          </m:sub>
        </m:sSub>
      </m:oMath>
      <w:r>
        <w:t xml:space="preserve"> 0.0000</w:t>
      </w:r>
      <w:r>
        <w:br w:type="textWrapping"/>
      </w:r>
    </w:p>
    <w:p w14:paraId="6F2A67A1">
      <w:pPr>
        <w:pStyle w:val="24"/>
        <w:numPr>
          <w:ilvl w:val="1"/>
          <w:numId w:val="2"/>
        </w:numPr>
      </w:pPr>
      <m:oMath>
        <m:sSub>
          <m:sSubPr/>
          <m:e>
            <m:r>
              <m:rPr/>
              <m:t>R</m:t>
            </m:r>
          </m:e>
          <m:sub>
            <m:r>
              <m:rPr/>
              <m:t>5</m:t>
            </m:r>
          </m:sub>
        </m:sSub>
      </m:oMath>
      <w:r>
        <w:t xml:space="preserve"> 0.4104</w:t>
      </w:r>
    </w:p>
    <w:p w14:paraId="3F0E8B46">
      <w:pPr>
        <w:pStyle w:val="24"/>
        <w:numPr>
          <w:ilvl w:val="0"/>
          <w:numId w:val="2"/>
        </w:numPr>
      </w:pPr>
      <w:r>
        <w:rPr>
          <w:b/>
          <w:bCs/>
        </w:rPr>
        <w:t>MoE Gating (moe)</w:t>
      </w:r>
    </w:p>
    <w:p w14:paraId="7DACF92D">
      <w:pPr>
        <w:pStyle w:val="24"/>
        <w:numPr>
          <w:ilvl w:val="1"/>
          <w:numId w:val="2"/>
        </w:numPr>
      </w:pPr>
      <m:oMath>
        <m:sSub>
          <m:sSubPr/>
          <m:e>
            <m:r>
              <m:rPr/>
              <m:t>R</m:t>
            </m:r>
          </m:e>
          <m:sub>
            <m:r>
              <m:rPr/>
              <m:t>1</m:t>
            </m:r>
          </m:sub>
        </m:sSub>
      </m:oMath>
      <w:r>
        <w:t xml:space="preserve"> 1.0000</w:t>
      </w:r>
      <w:r>
        <w:br w:type="textWrapping"/>
      </w:r>
    </w:p>
    <w:p w14:paraId="00AA79C4">
      <w:pPr>
        <w:pStyle w:val="24"/>
        <w:numPr>
          <w:ilvl w:val="1"/>
          <w:numId w:val="2"/>
        </w:numPr>
      </w:pPr>
      <m:oMath>
        <m:sSub>
          <m:sSubPr/>
          <m:e>
            <m:r>
              <m:rPr/>
              <m:t>R</m:t>
            </m:r>
          </m:e>
          <m:sub>
            <m:r>
              <m:rPr/>
              <m:t>2</m:t>
            </m:r>
          </m:sub>
        </m:sSub>
      </m:oMath>
      <w:r>
        <w:t xml:space="preserve"> 0.7883</w:t>
      </w:r>
      <w:r>
        <w:br w:type="textWrapping"/>
      </w:r>
    </w:p>
    <w:p w14:paraId="797931FD">
      <w:pPr>
        <w:pStyle w:val="24"/>
        <w:numPr>
          <w:ilvl w:val="1"/>
          <w:numId w:val="2"/>
        </w:numPr>
      </w:pPr>
      <m:oMath>
        <m:sSub>
          <m:sSubPr/>
          <m:e>
            <m:r>
              <m:rPr/>
              <m:t>R</m:t>
            </m:r>
          </m:e>
          <m:sub>
            <m:r>
              <m:rPr/>
              <m:t>3</m:t>
            </m:r>
          </m:sub>
        </m:sSub>
      </m:oMath>
      <w:r>
        <w:t xml:space="preserve"> 0.6836</w:t>
      </w:r>
      <w:r>
        <w:br w:type="textWrapping"/>
      </w:r>
    </w:p>
    <w:p w14:paraId="079AD957">
      <w:pPr>
        <w:pStyle w:val="24"/>
        <w:numPr>
          <w:ilvl w:val="1"/>
          <w:numId w:val="2"/>
        </w:numPr>
      </w:pPr>
      <m:oMath>
        <m:sSub>
          <m:sSubPr/>
          <m:e>
            <m:r>
              <m:rPr/>
              <m:t>R</m:t>
            </m:r>
          </m:e>
          <m:sub>
            <m:r>
              <m:rPr/>
              <m:t>4</m:t>
            </m:r>
          </m:sub>
        </m:sSub>
      </m:oMath>
      <w:r>
        <w:t xml:space="preserve"> 0.7989</w:t>
      </w:r>
      <w:r>
        <w:br w:type="textWrapping"/>
      </w:r>
    </w:p>
    <w:p w14:paraId="79930BA1">
      <w:pPr>
        <w:pStyle w:val="24"/>
        <w:numPr>
          <w:ilvl w:val="1"/>
          <w:numId w:val="2"/>
        </w:numPr>
      </w:pPr>
      <m:oMath>
        <m:sSub>
          <m:sSubPr/>
          <m:e>
            <m:r>
              <m:rPr/>
              <m:t>R</m:t>
            </m:r>
          </m:e>
          <m:sub>
            <m:r>
              <m:rPr/>
              <m:t>5</m:t>
            </m:r>
          </m:sub>
        </m:sSub>
      </m:oMath>
      <w:r>
        <w:t xml:space="preserve"> 0.9907</w:t>
      </w:r>
    </w:p>
    <w:p w14:paraId="678F4E23">
      <w:pPr>
        <w:pStyle w:val="24"/>
        <w:numPr>
          <w:ilvl w:val="0"/>
          <w:numId w:val="2"/>
        </w:numPr>
      </w:pPr>
      <w:r>
        <w:rPr>
          <w:b/>
          <w:bCs/>
        </w:rPr>
        <w:t>RED (router)</w:t>
      </w:r>
    </w:p>
    <w:p w14:paraId="47D93425">
      <w:pPr>
        <w:pStyle w:val="24"/>
        <w:numPr>
          <w:ilvl w:val="1"/>
          <w:numId w:val="2"/>
        </w:numPr>
      </w:pPr>
      <m:oMath>
        <m:sSub>
          <m:sSubPr/>
          <m:e>
            <m:r>
              <m:rPr/>
              <m:t>R</m:t>
            </m:r>
          </m:e>
          <m:sub>
            <m:r>
              <m:rPr/>
              <m:t>1</m:t>
            </m:r>
          </m:sub>
        </m:sSub>
      </m:oMath>
      <w:r>
        <w:t xml:space="preserve"> 1.0000</w:t>
      </w:r>
      <w:r>
        <w:br w:type="textWrapping"/>
      </w:r>
    </w:p>
    <w:p w14:paraId="1C8E585E">
      <w:pPr>
        <w:pStyle w:val="24"/>
        <w:numPr>
          <w:ilvl w:val="1"/>
          <w:numId w:val="2"/>
        </w:numPr>
      </w:pPr>
      <m:oMath>
        <m:sSub>
          <m:sSubPr/>
          <m:e>
            <m:r>
              <m:rPr/>
              <m:t>R</m:t>
            </m:r>
          </m:e>
          <m:sub>
            <m:r>
              <m:rPr/>
              <m:t>2</m:t>
            </m:r>
          </m:sub>
        </m:sSub>
      </m:oMath>
      <w:r>
        <w:t xml:space="preserve"> 0.9822</w:t>
      </w:r>
      <w:r>
        <w:br w:type="textWrapping"/>
      </w:r>
    </w:p>
    <w:p w14:paraId="72F86EEB">
      <w:pPr>
        <w:pStyle w:val="24"/>
        <w:numPr>
          <w:ilvl w:val="1"/>
          <w:numId w:val="2"/>
        </w:numPr>
      </w:pPr>
      <m:oMath>
        <m:sSub>
          <m:sSubPr/>
          <m:e>
            <m:r>
              <m:rPr/>
              <m:t>R</m:t>
            </m:r>
          </m:e>
          <m:sub>
            <m:r>
              <m:rPr/>
              <m:t>3</m:t>
            </m:r>
          </m:sub>
        </m:sSub>
      </m:oMath>
      <w:r>
        <w:t xml:space="preserve"> 0.9227</w:t>
      </w:r>
      <w:r>
        <w:br w:type="textWrapping"/>
      </w:r>
    </w:p>
    <w:p w14:paraId="1AE30FB6">
      <w:pPr>
        <w:pStyle w:val="24"/>
        <w:numPr>
          <w:ilvl w:val="1"/>
          <w:numId w:val="2"/>
        </w:numPr>
      </w:pPr>
      <m:oMath>
        <m:sSub>
          <m:sSubPr/>
          <m:e>
            <m:r>
              <m:rPr/>
              <m:t>R</m:t>
            </m:r>
          </m:e>
          <m:sub>
            <m:r>
              <m:rPr/>
              <m:t>4</m:t>
            </m:r>
          </m:sub>
        </m:sSub>
      </m:oMath>
      <w:r>
        <w:t xml:space="preserve"> 0.9527</w:t>
      </w:r>
      <w:r>
        <w:br w:type="textWrapping"/>
      </w:r>
    </w:p>
    <w:p w14:paraId="58B49A6A">
      <w:pPr>
        <w:pStyle w:val="24"/>
        <w:numPr>
          <w:ilvl w:val="1"/>
          <w:numId w:val="2"/>
        </w:numPr>
      </w:pPr>
      <m:oMath>
        <m:sSub>
          <m:sSubPr/>
          <m:e>
            <m:r>
              <m:rPr/>
              <m:t>R</m:t>
            </m:r>
          </m:e>
          <m:sub>
            <m:r>
              <m:rPr/>
              <m:t>5</m:t>
            </m:r>
          </m:sub>
        </m:sSub>
      </m:oMath>
      <w:r>
        <w:t xml:space="preserve"> 1.0000</w:t>
      </w:r>
    </w:p>
    <w:bookmarkEnd w:id="39"/>
    <w:p w14:paraId="2D158CF0">
      <w:pPr>
        <w:pStyle w:val="6"/>
      </w:pPr>
      <w:bookmarkStart w:id="40" w:name="final-accuracy-level-table"/>
      <w:r>
        <w:t>Final Accuracy-Level Table</w:t>
      </w:r>
    </w:p>
    <w:tbl>
      <w:tblPr>
        <w:tblStyle w:val="41"/>
        <w:tblW w:w="5000" w:type="pct"/>
        <w:tblInd w:w="0" w:type="dxa"/>
        <w:tblLayout w:type="fixed"/>
        <w:tblCellMar>
          <w:top w:w="0" w:type="dxa"/>
          <w:left w:w="108" w:type="dxa"/>
          <w:bottom w:w="0" w:type="dxa"/>
          <w:right w:w="108" w:type="dxa"/>
        </w:tblCellMar>
      </w:tblPr>
      <w:tblGrid>
        <w:gridCol w:w="2530"/>
        <w:gridCol w:w="1265"/>
        <w:gridCol w:w="1265"/>
        <w:gridCol w:w="1265"/>
        <w:gridCol w:w="1265"/>
        <w:gridCol w:w="1265"/>
      </w:tblGrid>
      <w:tr w14:paraId="360C5E8D">
        <w:tblPrEx>
          <w:tblCellMar>
            <w:top w:w="0" w:type="dxa"/>
            <w:left w:w="108" w:type="dxa"/>
            <w:bottom w:w="0" w:type="dxa"/>
            <w:right w:w="108" w:type="dxa"/>
          </w:tblCellMar>
        </w:tblPrEx>
        <w:trPr>
          <w:tblHeader/>
        </w:trPr>
        <w:tc>
          <w:p w14:paraId="04E4DC37">
            <w:pPr>
              <w:pStyle w:val="24"/>
            </w:pPr>
            <w:r>
              <w:t>Method</w:t>
            </w:r>
          </w:p>
        </w:tc>
        <w:tc>
          <w:p w14:paraId="56178BE3">
            <w:pPr>
              <w:pStyle w:val="24"/>
            </w:pPr>
            <m:oMathPara>
              <m:oMath>
                <m:sSub>
                  <m:sSubPr/>
                  <m:e>
                    <m:r>
                      <m:rPr/>
                      <m:t>R</m:t>
                    </m:r>
                  </m:e>
                  <m:sub>
                    <m:r>
                      <m:rPr/>
                      <m:t>1</m:t>
                    </m:r>
                  </m:sub>
                </m:sSub>
              </m:oMath>
            </m:oMathPara>
          </w:p>
        </w:tc>
        <w:tc>
          <w:p w14:paraId="02285BBB">
            <w:pPr>
              <w:pStyle w:val="24"/>
            </w:pPr>
            <m:oMathPara>
              <m:oMath>
                <m:sSub>
                  <m:sSubPr/>
                  <m:e>
                    <m:r>
                      <m:rPr/>
                      <m:t>R</m:t>
                    </m:r>
                  </m:e>
                  <m:sub>
                    <m:r>
                      <m:rPr/>
                      <m:t>2</m:t>
                    </m:r>
                  </m:sub>
                </m:sSub>
              </m:oMath>
            </m:oMathPara>
          </w:p>
        </w:tc>
        <w:tc>
          <w:p w14:paraId="148A9D5A">
            <w:pPr>
              <w:pStyle w:val="24"/>
            </w:pPr>
            <m:oMathPara>
              <m:oMath>
                <m:sSub>
                  <m:sSubPr/>
                  <m:e>
                    <m:r>
                      <m:rPr/>
                      <m:t>R</m:t>
                    </m:r>
                  </m:e>
                  <m:sub>
                    <m:r>
                      <m:rPr/>
                      <m:t>3</m:t>
                    </m:r>
                  </m:sub>
                </m:sSub>
              </m:oMath>
            </m:oMathPara>
          </w:p>
        </w:tc>
        <w:tc>
          <w:p w14:paraId="32516CDF">
            <w:pPr>
              <w:pStyle w:val="24"/>
            </w:pPr>
            <m:oMathPara>
              <m:oMath>
                <m:sSub>
                  <m:sSubPr/>
                  <m:e>
                    <m:r>
                      <m:rPr/>
                      <m:t>R</m:t>
                    </m:r>
                  </m:e>
                  <m:sub>
                    <m:r>
                      <m:rPr/>
                      <m:t>4</m:t>
                    </m:r>
                  </m:sub>
                </m:sSub>
              </m:oMath>
            </m:oMathPara>
          </w:p>
        </w:tc>
        <w:tc>
          <w:p w14:paraId="736B1D65">
            <w:pPr>
              <w:pStyle w:val="24"/>
            </w:pPr>
            <m:oMathPara>
              <m:oMath>
                <m:sSub>
                  <m:sSubPr/>
                  <m:e>
                    <m:r>
                      <m:rPr/>
                      <m:t>R</m:t>
                    </m:r>
                  </m:e>
                  <m:sub>
                    <m:r>
                      <m:rPr/>
                      <m:t>5</m:t>
                    </m:r>
                  </m:sub>
                </m:sSub>
              </m:oMath>
            </m:oMathPara>
          </w:p>
        </w:tc>
      </w:tr>
      <w:tr w14:paraId="0EFB66C9">
        <w:tblPrEx>
          <w:tblCellMar>
            <w:top w:w="0" w:type="dxa"/>
            <w:left w:w="108" w:type="dxa"/>
            <w:bottom w:w="0" w:type="dxa"/>
            <w:right w:w="108" w:type="dxa"/>
          </w:tblCellMar>
        </w:tblPrEx>
        <w:tc>
          <w:p w14:paraId="79800D3E">
            <w:pPr>
              <w:pStyle w:val="24"/>
            </w:pPr>
            <w:r>
              <w:t>Global Head</w:t>
            </w:r>
          </w:p>
        </w:tc>
        <w:tc>
          <w:p w14:paraId="413D7E72">
            <w:pPr>
              <w:pStyle w:val="24"/>
            </w:pPr>
            <w:r>
              <w:t>high</w:t>
            </w:r>
          </w:p>
        </w:tc>
        <w:tc>
          <w:p w14:paraId="208FCB41">
            <w:pPr>
              <w:pStyle w:val="24"/>
            </w:pPr>
            <w:r>
              <w:t>low</w:t>
            </w:r>
          </w:p>
        </w:tc>
        <w:tc>
          <w:p w14:paraId="37B150DF">
            <w:pPr>
              <w:pStyle w:val="24"/>
            </w:pPr>
            <w:r>
              <w:t>low</w:t>
            </w:r>
          </w:p>
        </w:tc>
        <w:tc>
          <w:p w14:paraId="5B60C8D9">
            <w:pPr>
              <w:pStyle w:val="24"/>
            </w:pPr>
            <w:r>
              <w:t>low</w:t>
            </w:r>
          </w:p>
        </w:tc>
        <w:tc>
          <w:p w14:paraId="599961E9">
            <w:pPr>
              <w:pStyle w:val="24"/>
            </w:pPr>
            <w:r>
              <w:t>moderate</w:t>
            </w:r>
          </w:p>
        </w:tc>
      </w:tr>
      <w:tr w14:paraId="7A1FD5A0">
        <w:tblPrEx>
          <w:tblCellMar>
            <w:top w:w="0" w:type="dxa"/>
            <w:left w:w="108" w:type="dxa"/>
            <w:bottom w:w="0" w:type="dxa"/>
            <w:right w:w="108" w:type="dxa"/>
          </w:tblCellMar>
        </w:tblPrEx>
        <w:tc>
          <w:p w14:paraId="7E00C128">
            <w:pPr>
              <w:pStyle w:val="24"/>
            </w:pPr>
            <w:r>
              <w:t>Uniform Avg</w:t>
            </w:r>
          </w:p>
        </w:tc>
        <w:tc>
          <w:p w14:paraId="3DA3FABC">
            <w:pPr>
              <w:pStyle w:val="24"/>
            </w:pPr>
            <w:r>
              <w:t>high</w:t>
            </w:r>
          </w:p>
        </w:tc>
        <w:tc>
          <w:p w14:paraId="2D00A11E">
            <w:pPr>
              <w:pStyle w:val="24"/>
            </w:pPr>
            <w:r>
              <w:t>low</w:t>
            </w:r>
          </w:p>
        </w:tc>
        <w:tc>
          <w:p w14:paraId="247981B4">
            <w:pPr>
              <w:pStyle w:val="24"/>
            </w:pPr>
            <w:r>
              <w:t>low</w:t>
            </w:r>
          </w:p>
        </w:tc>
        <w:tc>
          <w:p w14:paraId="27FF690A">
            <w:pPr>
              <w:pStyle w:val="24"/>
            </w:pPr>
            <w:r>
              <w:t>low</w:t>
            </w:r>
          </w:p>
        </w:tc>
        <w:tc>
          <w:p w14:paraId="5F783617">
            <w:pPr>
              <w:pStyle w:val="24"/>
            </w:pPr>
            <w:r>
              <w:t>low</w:t>
            </w:r>
          </w:p>
        </w:tc>
      </w:tr>
      <w:tr w14:paraId="569B2FEF">
        <w:tblPrEx>
          <w:tblCellMar>
            <w:top w:w="0" w:type="dxa"/>
            <w:left w:w="108" w:type="dxa"/>
            <w:bottom w:w="0" w:type="dxa"/>
            <w:right w:w="108" w:type="dxa"/>
          </w:tblCellMar>
        </w:tblPrEx>
        <w:tc>
          <w:p w14:paraId="122B277C">
            <w:pPr>
              <w:pStyle w:val="24"/>
            </w:pPr>
            <w:r>
              <w:t>MoE Gating</w:t>
            </w:r>
          </w:p>
        </w:tc>
        <w:tc>
          <w:p w14:paraId="2208CD17">
            <w:pPr>
              <w:pStyle w:val="24"/>
            </w:pPr>
            <w:r>
              <w:t>high</w:t>
            </w:r>
          </w:p>
        </w:tc>
        <w:tc>
          <w:p w14:paraId="6E547B94">
            <w:pPr>
              <w:pStyle w:val="24"/>
            </w:pPr>
            <w:r>
              <w:t>moderate</w:t>
            </w:r>
          </w:p>
        </w:tc>
        <w:tc>
          <w:p w14:paraId="6BA87E78">
            <w:pPr>
              <w:pStyle w:val="24"/>
            </w:pPr>
            <w:r>
              <w:t>moderate</w:t>
            </w:r>
          </w:p>
        </w:tc>
        <w:tc>
          <w:p w14:paraId="62741974">
            <w:pPr>
              <w:pStyle w:val="24"/>
            </w:pPr>
            <w:r>
              <w:t>moderate</w:t>
            </w:r>
          </w:p>
        </w:tc>
        <w:tc>
          <w:p w14:paraId="1A7D42E2">
            <w:pPr>
              <w:pStyle w:val="24"/>
            </w:pPr>
            <w:r>
              <w:t>high</w:t>
            </w:r>
          </w:p>
        </w:tc>
      </w:tr>
      <w:tr w14:paraId="64128468">
        <w:tblPrEx>
          <w:tblCellMar>
            <w:top w:w="0" w:type="dxa"/>
            <w:left w:w="108" w:type="dxa"/>
            <w:bottom w:w="0" w:type="dxa"/>
            <w:right w:w="108" w:type="dxa"/>
          </w:tblCellMar>
        </w:tblPrEx>
        <w:tc>
          <w:p w14:paraId="311D5941">
            <w:pPr>
              <w:pStyle w:val="24"/>
            </w:pPr>
            <w:r>
              <w:rPr>
                <w:b/>
                <w:bCs/>
              </w:rPr>
              <w:t>RED (Ours)</w:t>
            </w:r>
          </w:p>
        </w:tc>
        <w:tc>
          <w:p w14:paraId="2FAC5399">
            <w:pPr>
              <w:pStyle w:val="24"/>
            </w:pPr>
            <w:r>
              <w:rPr>
                <w:b/>
                <w:bCs/>
              </w:rPr>
              <w:t>high</w:t>
            </w:r>
          </w:p>
        </w:tc>
        <w:tc>
          <w:p w14:paraId="17147A01">
            <w:pPr>
              <w:pStyle w:val="24"/>
            </w:pPr>
            <w:r>
              <w:rPr>
                <w:b/>
                <w:bCs/>
              </w:rPr>
              <w:t>high</w:t>
            </w:r>
          </w:p>
        </w:tc>
        <w:tc>
          <w:p w14:paraId="5A061268">
            <w:pPr>
              <w:pStyle w:val="24"/>
            </w:pPr>
            <w:r>
              <w:rPr>
                <w:b/>
                <w:bCs/>
              </w:rPr>
              <w:t>high</w:t>
            </w:r>
          </w:p>
        </w:tc>
        <w:tc>
          <w:p w14:paraId="2F7386F2">
            <w:pPr>
              <w:pStyle w:val="24"/>
            </w:pPr>
            <w:r>
              <w:rPr>
                <w:b/>
                <w:bCs/>
              </w:rPr>
              <w:t>high</w:t>
            </w:r>
          </w:p>
        </w:tc>
        <w:tc>
          <w:p w14:paraId="2E619B76">
            <w:pPr>
              <w:pStyle w:val="24"/>
            </w:pPr>
            <w:r>
              <w:rPr>
                <w:b/>
                <w:bCs/>
              </w:rPr>
              <w:t>high</w:t>
            </w:r>
          </w:p>
        </w:tc>
      </w:tr>
      <w:bookmarkEnd w:id="38"/>
      <w:bookmarkEnd w:id="40"/>
    </w:tbl>
    <w:p w14:paraId="004CBA1A">
      <w:pPr>
        <w:pStyle w:val="5"/>
      </w:pPr>
      <w:bookmarkStart w:id="41" w:name="macro-f1-by-numerical-range"/>
      <w:r>
        <w:t>4.6.3 Macro-F1 by Numerical Range</w:t>
      </w:r>
    </w:p>
    <w:p w14:paraId="1CCBAC6A">
      <w:pPr>
        <w:pStyle w:val="23"/>
      </w:pPr>
      <w:r>
        <w:t xml:space="preserve">Macro-F1 is averaged over </w:t>
      </w:r>
      <w:r>
        <w:rPr>
          <w:b/>
          <w:bCs/>
        </w:rPr>
        <w:t>99 output classes per range</w:t>
      </w:r>
      <w:r>
        <w:t xml:space="preserve">, which penalizes rare-class errors sharply. This explains why even ranges with 100% accuracy (e.g., </w:t>
      </w:r>
      <m:oMath>
        <m:sSub>
          <m:sSubPr/>
          <m:e>
            <m:r>
              <m:rPr/>
              <m:t>R</m:t>
            </m:r>
          </m:e>
          <m:sub>
            <m:r>
              <m:rPr/>
              <m:t>1</m:t>
            </m:r>
          </m:sub>
        </m:sSub>
      </m:oMath>
      <w:r>
        <w:t xml:space="preserve">, </w:t>
      </w:r>
      <m:oMath>
        <m:sSub>
          <m:sSubPr/>
          <m:e>
            <m:r>
              <m:rPr/>
              <m:t>R</m:t>
            </m:r>
          </m:e>
          <m:sub>
            <m:r>
              <m:rPr/>
              <m:t>5</m:t>
            </m:r>
          </m:sub>
        </m:sSub>
      </m:oMath>
      <w:r>
        <w:t xml:space="preserve"> for RED) still produce Macro-F1 around 0.19–0.20.</w:t>
      </w:r>
    </w:p>
    <w:p w14:paraId="2079F06F">
      <w:pPr>
        <w:pStyle w:val="6"/>
      </w:pPr>
      <w:bookmarkStart w:id="42" w:name="raw-macro-f1-values-from-logs"/>
      <w:r>
        <w:t>Raw Macro-F1 Values from Logs</w:t>
      </w:r>
    </w:p>
    <w:p w14:paraId="57520101">
      <w:pPr>
        <w:pStyle w:val="24"/>
        <w:numPr>
          <w:ilvl w:val="0"/>
          <w:numId w:val="2"/>
        </w:numPr>
      </w:pPr>
      <w:r>
        <w:rPr>
          <w:b/>
          <w:bCs/>
        </w:rPr>
        <w:t>Global Head (base)</w:t>
      </w:r>
    </w:p>
    <w:p w14:paraId="29AC65EE">
      <w:pPr>
        <w:pStyle w:val="24"/>
        <w:numPr>
          <w:ilvl w:val="1"/>
          <w:numId w:val="2"/>
        </w:numPr>
      </w:pPr>
      <m:oMath>
        <m:sSub>
          <m:sSubPr/>
          <m:e>
            <m:r>
              <m:rPr/>
              <m:t>R</m:t>
            </m:r>
          </m:e>
          <m:sub>
            <m:r>
              <m:rPr/>
              <m:t>1</m:t>
            </m:r>
          </m:sub>
        </m:sSub>
      </m:oMath>
      <w:r>
        <w:t xml:space="preserve"> 0.1706</w:t>
      </w:r>
      <w:r>
        <w:br w:type="textWrapping"/>
      </w:r>
    </w:p>
    <w:p w14:paraId="7F85C8CF">
      <w:pPr>
        <w:pStyle w:val="24"/>
        <w:numPr>
          <w:ilvl w:val="1"/>
          <w:numId w:val="2"/>
        </w:numPr>
      </w:pPr>
      <m:oMath>
        <m:sSub>
          <m:sSubPr/>
          <m:e>
            <m:r>
              <m:rPr/>
              <m:t>R</m:t>
            </m:r>
          </m:e>
          <m:sub>
            <m:r>
              <m:rPr/>
              <m:t>2</m:t>
            </m:r>
          </m:sub>
        </m:sSub>
      </m:oMath>
      <w:r>
        <w:t xml:space="preserve"> 0.0882</w:t>
      </w:r>
      <w:r>
        <w:br w:type="textWrapping"/>
      </w:r>
    </w:p>
    <w:p w14:paraId="4A275C82">
      <w:pPr>
        <w:pStyle w:val="24"/>
        <w:numPr>
          <w:ilvl w:val="1"/>
          <w:numId w:val="2"/>
        </w:numPr>
      </w:pPr>
      <m:oMath>
        <m:sSub>
          <m:sSubPr/>
          <m:e>
            <m:r>
              <m:rPr/>
              <m:t>R</m:t>
            </m:r>
          </m:e>
          <m:sub>
            <m:r>
              <m:rPr/>
              <m:t>3</m:t>
            </m:r>
          </m:sub>
        </m:sSub>
      </m:oMath>
      <w:r>
        <w:t xml:space="preserve"> 0.0627</w:t>
      </w:r>
      <w:r>
        <w:br w:type="textWrapping"/>
      </w:r>
    </w:p>
    <w:p w14:paraId="68C8AA62">
      <w:pPr>
        <w:pStyle w:val="24"/>
        <w:numPr>
          <w:ilvl w:val="1"/>
          <w:numId w:val="2"/>
        </w:numPr>
      </w:pPr>
      <m:oMath>
        <m:sSub>
          <m:sSubPr/>
          <m:e>
            <m:r>
              <m:rPr/>
              <m:t>R</m:t>
            </m:r>
          </m:e>
          <m:sub>
            <m:r>
              <m:rPr/>
              <m:t>4</m:t>
            </m:r>
          </m:sub>
        </m:sSub>
      </m:oMath>
      <w:r>
        <w:t xml:space="preserve"> 0.0765</w:t>
      </w:r>
      <w:r>
        <w:br w:type="textWrapping"/>
      </w:r>
    </w:p>
    <w:p w14:paraId="2E45AD09">
      <w:pPr>
        <w:pStyle w:val="24"/>
        <w:numPr>
          <w:ilvl w:val="1"/>
          <w:numId w:val="2"/>
        </w:numPr>
      </w:pPr>
      <m:oMath>
        <m:sSub>
          <m:sSubPr/>
          <m:e>
            <m:r>
              <m:rPr/>
              <m:t>R</m:t>
            </m:r>
          </m:e>
          <m:sub>
            <m:r>
              <m:rPr/>
              <m:t>5</m:t>
            </m:r>
          </m:sub>
        </m:sSub>
      </m:oMath>
      <w:r>
        <w:t xml:space="preserve"> 0.1304</w:t>
      </w:r>
    </w:p>
    <w:p w14:paraId="0CE7CC21">
      <w:pPr>
        <w:pStyle w:val="24"/>
        <w:numPr>
          <w:ilvl w:val="0"/>
          <w:numId w:val="2"/>
        </w:numPr>
      </w:pPr>
      <w:r>
        <w:rPr>
          <w:b/>
          <w:bCs/>
        </w:rPr>
        <w:t>Uniform Avg (all_fixed)</w:t>
      </w:r>
    </w:p>
    <w:p w14:paraId="0758FBD8">
      <w:pPr>
        <w:pStyle w:val="24"/>
        <w:numPr>
          <w:ilvl w:val="1"/>
          <w:numId w:val="2"/>
        </w:numPr>
      </w:pPr>
      <m:oMath>
        <m:sSub>
          <m:sSubPr/>
          <m:e>
            <m:r>
              <m:rPr/>
              <m:t>R</m:t>
            </m:r>
          </m:e>
          <m:sub>
            <m:r>
              <m:rPr/>
              <m:t>1</m:t>
            </m:r>
          </m:sub>
        </m:sSub>
      </m:oMath>
      <w:r>
        <w:t xml:space="preserve"> 0.1826</w:t>
      </w:r>
      <w:r>
        <w:br w:type="textWrapping"/>
      </w:r>
    </w:p>
    <w:p w14:paraId="6322D6A2">
      <w:pPr>
        <w:pStyle w:val="24"/>
        <w:numPr>
          <w:ilvl w:val="1"/>
          <w:numId w:val="2"/>
        </w:numPr>
      </w:pPr>
      <m:oMath>
        <m:sSub>
          <m:sSubPr/>
          <m:e>
            <m:r>
              <m:rPr/>
              <m:t>R</m:t>
            </m:r>
          </m:e>
          <m:sub>
            <m:r>
              <m:rPr/>
              <m:t>2</m:t>
            </m:r>
          </m:sub>
        </m:sSub>
      </m:oMath>
      <w:r>
        <w:t xml:space="preserve"> 0.0016</w:t>
      </w:r>
      <w:r>
        <w:br w:type="textWrapping"/>
      </w:r>
    </w:p>
    <w:p w14:paraId="207D549B">
      <w:pPr>
        <w:pStyle w:val="24"/>
        <w:numPr>
          <w:ilvl w:val="1"/>
          <w:numId w:val="2"/>
        </w:numPr>
      </w:pPr>
      <m:oMath>
        <m:sSub>
          <m:sSubPr/>
          <m:e>
            <m:r>
              <m:rPr/>
              <m:t>R</m:t>
            </m:r>
          </m:e>
          <m:sub>
            <m:r>
              <m:rPr/>
              <m:t>3</m:t>
            </m:r>
          </m:sub>
        </m:sSub>
      </m:oMath>
      <w:r>
        <w:t xml:space="preserve"> 0.0000</w:t>
      </w:r>
      <w:r>
        <w:br w:type="textWrapping"/>
      </w:r>
    </w:p>
    <w:p w14:paraId="1289AEBC">
      <w:pPr>
        <w:pStyle w:val="24"/>
        <w:numPr>
          <w:ilvl w:val="1"/>
          <w:numId w:val="2"/>
        </w:numPr>
      </w:pPr>
      <m:oMath>
        <m:sSub>
          <m:sSubPr/>
          <m:e>
            <m:r>
              <m:rPr/>
              <m:t>R</m:t>
            </m:r>
          </m:e>
          <m:sub>
            <m:r>
              <m:rPr/>
              <m:t>4</m:t>
            </m:r>
          </m:sub>
        </m:sSub>
      </m:oMath>
      <w:r>
        <w:t xml:space="preserve"> 0.0000</w:t>
      </w:r>
      <w:r>
        <w:br w:type="textWrapping"/>
      </w:r>
    </w:p>
    <w:p w14:paraId="12B266D1">
      <w:pPr>
        <w:pStyle w:val="24"/>
        <w:numPr>
          <w:ilvl w:val="1"/>
          <w:numId w:val="2"/>
        </w:numPr>
      </w:pPr>
      <m:oMath>
        <m:sSub>
          <m:sSubPr/>
          <m:e>
            <m:r>
              <m:rPr/>
              <m:t>R</m:t>
            </m:r>
          </m:e>
          <m:sub>
            <m:r>
              <m:rPr/>
              <m:t>5</m:t>
            </m:r>
          </m:sub>
        </m:sSub>
      </m:oMath>
      <w:r>
        <w:t xml:space="preserve"> 0.0950</w:t>
      </w:r>
    </w:p>
    <w:p w14:paraId="1ED143B2">
      <w:pPr>
        <w:pStyle w:val="24"/>
        <w:numPr>
          <w:ilvl w:val="0"/>
          <w:numId w:val="2"/>
        </w:numPr>
      </w:pPr>
      <w:r>
        <w:rPr>
          <w:b/>
          <w:bCs/>
        </w:rPr>
        <w:t>MoE Gating (moe)</w:t>
      </w:r>
    </w:p>
    <w:p w14:paraId="44C742A5">
      <w:pPr>
        <w:pStyle w:val="24"/>
        <w:numPr>
          <w:ilvl w:val="1"/>
          <w:numId w:val="2"/>
        </w:numPr>
      </w:pPr>
      <m:oMath>
        <m:sSub>
          <m:sSubPr/>
          <m:e>
            <m:r>
              <m:rPr/>
              <m:t>R</m:t>
            </m:r>
          </m:e>
          <m:sub>
            <m:r>
              <m:rPr/>
              <m:t>1</m:t>
            </m:r>
          </m:sub>
        </m:sSub>
      </m:oMath>
      <w:r>
        <w:t xml:space="preserve"> 0.1919</w:t>
      </w:r>
      <w:r>
        <w:br w:type="textWrapping"/>
      </w:r>
    </w:p>
    <w:p w14:paraId="3E0AC931">
      <w:pPr>
        <w:pStyle w:val="24"/>
        <w:numPr>
          <w:ilvl w:val="1"/>
          <w:numId w:val="2"/>
        </w:numPr>
      </w:pPr>
      <m:oMath>
        <m:sSub>
          <m:sSubPr/>
          <m:e>
            <m:r>
              <m:rPr/>
              <m:t>R</m:t>
            </m:r>
          </m:e>
          <m:sub>
            <m:r>
              <m:rPr/>
              <m:t>2</m:t>
            </m:r>
          </m:sub>
        </m:sSub>
      </m:oMath>
      <w:r>
        <w:t xml:space="preserve"> 0.1628</w:t>
      </w:r>
      <w:r>
        <w:br w:type="textWrapping"/>
      </w:r>
    </w:p>
    <w:p w14:paraId="0D3E6D15">
      <w:pPr>
        <w:pStyle w:val="24"/>
        <w:numPr>
          <w:ilvl w:val="1"/>
          <w:numId w:val="2"/>
        </w:numPr>
      </w:pPr>
      <m:oMath>
        <m:sSub>
          <m:sSubPr/>
          <m:e>
            <m:r>
              <m:rPr/>
              <m:t>R</m:t>
            </m:r>
          </m:e>
          <m:sub>
            <m:r>
              <m:rPr/>
              <m:t>3</m:t>
            </m:r>
          </m:sub>
        </m:sSub>
      </m:oMath>
      <w:r>
        <w:t xml:space="preserve"> 0.1379</w:t>
      </w:r>
      <w:r>
        <w:br w:type="textWrapping"/>
      </w:r>
    </w:p>
    <w:p w14:paraId="290BD109">
      <w:pPr>
        <w:pStyle w:val="24"/>
        <w:numPr>
          <w:ilvl w:val="1"/>
          <w:numId w:val="2"/>
        </w:numPr>
      </w:pPr>
      <m:oMath>
        <m:sSub>
          <m:sSubPr/>
          <m:e>
            <m:r>
              <m:rPr/>
              <m:t>R</m:t>
            </m:r>
          </m:e>
          <m:sub>
            <m:r>
              <m:rPr/>
              <m:t>4</m:t>
            </m:r>
          </m:sub>
        </m:sSub>
      </m:oMath>
      <w:r>
        <w:t xml:space="preserve"> 0.1645</w:t>
      </w:r>
      <w:r>
        <w:br w:type="textWrapping"/>
      </w:r>
    </w:p>
    <w:p w14:paraId="1282A25E">
      <w:pPr>
        <w:pStyle w:val="24"/>
        <w:numPr>
          <w:ilvl w:val="1"/>
          <w:numId w:val="2"/>
        </w:numPr>
      </w:pPr>
      <m:oMath>
        <m:sSub>
          <m:sSubPr/>
          <m:e>
            <m:r>
              <m:rPr/>
              <m:t>R</m:t>
            </m:r>
          </m:e>
          <m:sub>
            <m:r>
              <m:rPr/>
              <m:t>5</m:t>
            </m:r>
          </m:sub>
        </m:sSub>
      </m:oMath>
      <w:r>
        <w:t xml:space="preserve"> 0.2001</w:t>
      </w:r>
    </w:p>
    <w:p w14:paraId="75AECE63">
      <w:pPr>
        <w:pStyle w:val="24"/>
        <w:numPr>
          <w:ilvl w:val="0"/>
          <w:numId w:val="2"/>
        </w:numPr>
      </w:pPr>
      <w:r>
        <w:rPr>
          <w:b/>
          <w:bCs/>
        </w:rPr>
        <w:t>RED (router)</w:t>
      </w:r>
    </w:p>
    <w:p w14:paraId="52B853AE">
      <w:pPr>
        <w:pStyle w:val="24"/>
        <w:numPr>
          <w:ilvl w:val="1"/>
          <w:numId w:val="2"/>
        </w:numPr>
      </w:pPr>
      <m:oMath>
        <m:sSub>
          <m:sSubPr/>
          <m:e>
            <m:r>
              <m:rPr/>
              <m:t>R</m:t>
            </m:r>
          </m:e>
          <m:sub>
            <m:r>
              <m:rPr/>
              <m:t>1</m:t>
            </m:r>
          </m:sub>
        </m:sSub>
      </m:oMath>
      <w:r>
        <w:t xml:space="preserve"> 0.1919</w:t>
      </w:r>
      <w:r>
        <w:br w:type="textWrapping"/>
      </w:r>
    </w:p>
    <w:p w14:paraId="4DCED4C6">
      <w:pPr>
        <w:pStyle w:val="24"/>
        <w:numPr>
          <w:ilvl w:val="1"/>
          <w:numId w:val="2"/>
        </w:numPr>
      </w:pPr>
      <m:oMath>
        <m:sSub>
          <m:sSubPr/>
          <m:e>
            <m:r>
              <m:rPr/>
              <m:t>R</m:t>
            </m:r>
          </m:e>
          <m:sub>
            <m:r>
              <m:rPr/>
              <m:t>2</m:t>
            </m:r>
          </m:sub>
        </m:sSub>
      </m:oMath>
      <w:r>
        <w:t xml:space="preserve"> 0.1984</w:t>
      </w:r>
      <w:r>
        <w:br w:type="textWrapping"/>
      </w:r>
    </w:p>
    <w:p w14:paraId="6D36CE98">
      <w:pPr>
        <w:pStyle w:val="24"/>
        <w:numPr>
          <w:ilvl w:val="1"/>
          <w:numId w:val="2"/>
        </w:numPr>
      </w:pPr>
      <m:oMath>
        <m:sSub>
          <m:sSubPr/>
          <m:e>
            <m:r>
              <m:rPr/>
              <m:t>R</m:t>
            </m:r>
          </m:e>
          <m:sub>
            <m:r>
              <m:rPr/>
              <m:t>3</m:t>
            </m:r>
          </m:sub>
        </m:sSub>
      </m:oMath>
      <w:r>
        <w:t xml:space="preserve"> 0.1870</w:t>
      </w:r>
      <w:r>
        <w:br w:type="textWrapping"/>
      </w:r>
    </w:p>
    <w:p w14:paraId="25E14149">
      <w:pPr>
        <w:pStyle w:val="24"/>
        <w:numPr>
          <w:ilvl w:val="1"/>
          <w:numId w:val="2"/>
        </w:numPr>
      </w:pPr>
      <m:oMath>
        <m:sSub>
          <m:sSubPr/>
          <m:e>
            <m:r>
              <m:rPr/>
              <m:t>R</m:t>
            </m:r>
          </m:e>
          <m:sub>
            <m:r>
              <m:rPr/>
              <m:t>4</m:t>
            </m:r>
          </m:sub>
        </m:sSub>
      </m:oMath>
      <w:r>
        <w:t xml:space="preserve"> 0.1926</w:t>
      </w:r>
      <w:r>
        <w:br w:type="textWrapping"/>
      </w:r>
    </w:p>
    <w:p w14:paraId="3A34A4DC">
      <w:pPr>
        <w:pStyle w:val="24"/>
        <w:numPr>
          <w:ilvl w:val="1"/>
          <w:numId w:val="2"/>
        </w:numPr>
      </w:pPr>
      <m:oMath>
        <m:sSub>
          <m:sSubPr/>
          <m:e>
            <m:r>
              <m:rPr/>
              <m:t>R</m:t>
            </m:r>
          </m:e>
          <m:sub>
            <m:r>
              <m:rPr/>
              <m:t>5</m:t>
            </m:r>
          </m:sub>
        </m:sSub>
      </m:oMath>
      <w:r>
        <w:t xml:space="preserve"> 0.2020</w:t>
      </w:r>
    </w:p>
    <w:bookmarkEnd w:id="42"/>
    <w:p w14:paraId="263034F2">
      <w:pPr>
        <w:pStyle w:val="6"/>
      </w:pPr>
      <w:bookmarkStart w:id="43" w:name="macro-f1-level-thresholds"/>
      <w:r>
        <w:t>Macro-F1 Level Thresholds</w:t>
      </w:r>
    </w:p>
    <w:p w14:paraId="636A4B4A">
      <w:pPr>
        <w:pStyle w:val="24"/>
        <w:numPr>
          <w:ilvl w:val="0"/>
          <w:numId w:val="2"/>
        </w:numPr>
      </w:pPr>
      <w:r>
        <w:rPr>
          <w:b/>
          <w:bCs/>
        </w:rPr>
        <w:t>high:</w:t>
      </w:r>
      <w:r>
        <w:t xml:space="preserve"> ≥ 0.16</w:t>
      </w:r>
      <w:r>
        <w:br w:type="textWrapping"/>
      </w:r>
    </w:p>
    <w:p w14:paraId="665A126B">
      <w:pPr>
        <w:pStyle w:val="24"/>
        <w:numPr>
          <w:ilvl w:val="0"/>
          <w:numId w:val="2"/>
        </w:numPr>
      </w:pPr>
      <w:r>
        <w:rPr>
          <w:b/>
          <w:bCs/>
        </w:rPr>
        <w:t>moderate:</w:t>
      </w:r>
      <w:r>
        <w:t xml:space="preserve"> 0.08–0.16</w:t>
      </w:r>
      <w:r>
        <w:br w:type="textWrapping"/>
      </w:r>
    </w:p>
    <w:p w14:paraId="529363FF">
      <w:pPr>
        <w:pStyle w:val="24"/>
        <w:numPr>
          <w:ilvl w:val="0"/>
          <w:numId w:val="2"/>
        </w:numPr>
      </w:pPr>
      <w:r>
        <w:rPr>
          <w:b/>
          <w:bCs/>
        </w:rPr>
        <w:t>low:</w:t>
      </w:r>
      <w:r>
        <w:t xml:space="preserve"> &lt; 0.08</w:t>
      </w:r>
    </w:p>
    <w:bookmarkEnd w:id="43"/>
    <w:p w14:paraId="1B70831B">
      <w:pPr>
        <w:pStyle w:val="6"/>
      </w:pPr>
      <w:bookmarkStart w:id="44" w:name="final-macro-f1-level-table"/>
      <w:r>
        <w:t>Final Macro-F1-Level Table</w:t>
      </w:r>
    </w:p>
    <w:tbl>
      <w:tblPr>
        <w:tblStyle w:val="41"/>
        <w:tblW w:w="5000" w:type="pct"/>
        <w:tblInd w:w="0" w:type="dxa"/>
        <w:tblLayout w:type="fixed"/>
        <w:tblCellMar>
          <w:top w:w="0" w:type="dxa"/>
          <w:left w:w="108" w:type="dxa"/>
          <w:bottom w:w="0" w:type="dxa"/>
          <w:right w:w="108" w:type="dxa"/>
        </w:tblCellMar>
      </w:tblPr>
      <w:tblGrid>
        <w:gridCol w:w="2530"/>
        <w:gridCol w:w="1265"/>
        <w:gridCol w:w="1265"/>
        <w:gridCol w:w="1265"/>
        <w:gridCol w:w="1265"/>
        <w:gridCol w:w="1265"/>
      </w:tblGrid>
      <w:tr w14:paraId="77ED0346">
        <w:tblPrEx>
          <w:tblCellMar>
            <w:top w:w="0" w:type="dxa"/>
            <w:left w:w="108" w:type="dxa"/>
            <w:bottom w:w="0" w:type="dxa"/>
            <w:right w:w="108" w:type="dxa"/>
          </w:tblCellMar>
        </w:tblPrEx>
        <w:trPr>
          <w:tblHeader/>
        </w:trPr>
        <w:tc>
          <w:p w14:paraId="0F6BC49D">
            <w:pPr>
              <w:pStyle w:val="24"/>
            </w:pPr>
            <w:r>
              <w:t>Method</w:t>
            </w:r>
          </w:p>
        </w:tc>
        <w:tc>
          <w:p w14:paraId="6CBAC940">
            <w:pPr>
              <w:pStyle w:val="24"/>
            </w:pPr>
            <m:oMathPara>
              <m:oMath>
                <m:sSub>
                  <m:sSubPr/>
                  <m:e>
                    <m:r>
                      <m:rPr/>
                      <m:t>R</m:t>
                    </m:r>
                  </m:e>
                  <m:sub>
                    <m:r>
                      <m:rPr/>
                      <m:t>1</m:t>
                    </m:r>
                  </m:sub>
                </m:sSub>
              </m:oMath>
            </m:oMathPara>
          </w:p>
        </w:tc>
        <w:tc>
          <w:p w14:paraId="70371B73">
            <w:pPr>
              <w:pStyle w:val="24"/>
            </w:pPr>
            <m:oMathPara>
              <m:oMath>
                <m:sSub>
                  <m:sSubPr/>
                  <m:e>
                    <m:r>
                      <m:rPr/>
                      <m:t>R</m:t>
                    </m:r>
                  </m:e>
                  <m:sub>
                    <m:r>
                      <m:rPr/>
                      <m:t>2</m:t>
                    </m:r>
                  </m:sub>
                </m:sSub>
              </m:oMath>
            </m:oMathPara>
          </w:p>
        </w:tc>
        <w:tc>
          <w:p w14:paraId="7BA756CD">
            <w:pPr>
              <w:pStyle w:val="24"/>
            </w:pPr>
            <m:oMathPara>
              <m:oMath>
                <m:sSub>
                  <m:sSubPr/>
                  <m:e>
                    <m:r>
                      <m:rPr/>
                      <m:t>R</m:t>
                    </m:r>
                  </m:e>
                  <m:sub>
                    <m:r>
                      <m:rPr/>
                      <m:t>3</m:t>
                    </m:r>
                  </m:sub>
                </m:sSub>
              </m:oMath>
            </m:oMathPara>
          </w:p>
        </w:tc>
        <w:tc>
          <w:p w14:paraId="62BE49CC">
            <w:pPr>
              <w:pStyle w:val="24"/>
            </w:pPr>
            <m:oMathPara>
              <m:oMath>
                <m:sSub>
                  <m:sSubPr/>
                  <m:e>
                    <m:r>
                      <m:rPr/>
                      <m:t>R</m:t>
                    </m:r>
                  </m:e>
                  <m:sub>
                    <m:r>
                      <m:rPr/>
                      <m:t>4</m:t>
                    </m:r>
                  </m:sub>
                </m:sSub>
              </m:oMath>
            </m:oMathPara>
          </w:p>
        </w:tc>
        <w:tc>
          <w:p w14:paraId="193D7361">
            <w:pPr>
              <w:pStyle w:val="24"/>
            </w:pPr>
            <m:oMathPara>
              <m:oMath>
                <m:sSub>
                  <m:sSubPr/>
                  <m:e>
                    <m:r>
                      <m:rPr/>
                      <m:t>R</m:t>
                    </m:r>
                  </m:e>
                  <m:sub>
                    <m:r>
                      <m:rPr/>
                      <m:t>5</m:t>
                    </m:r>
                  </m:sub>
                </m:sSub>
              </m:oMath>
            </m:oMathPara>
          </w:p>
        </w:tc>
      </w:tr>
      <w:tr w14:paraId="069E277A">
        <w:tblPrEx>
          <w:tblCellMar>
            <w:top w:w="0" w:type="dxa"/>
            <w:left w:w="108" w:type="dxa"/>
            <w:bottom w:w="0" w:type="dxa"/>
            <w:right w:w="108" w:type="dxa"/>
          </w:tblCellMar>
        </w:tblPrEx>
        <w:tc>
          <w:p w14:paraId="7F9D41E6">
            <w:pPr>
              <w:pStyle w:val="24"/>
            </w:pPr>
            <w:r>
              <w:t>Global Head</w:t>
            </w:r>
          </w:p>
        </w:tc>
        <w:tc>
          <w:p w14:paraId="65A17953">
            <w:pPr>
              <w:pStyle w:val="24"/>
            </w:pPr>
            <w:r>
              <w:t>moderate</w:t>
            </w:r>
          </w:p>
        </w:tc>
        <w:tc>
          <w:p w14:paraId="6BBBE82C">
            <w:pPr>
              <w:pStyle w:val="24"/>
            </w:pPr>
            <w:r>
              <w:t>low</w:t>
            </w:r>
          </w:p>
        </w:tc>
        <w:tc>
          <w:p w14:paraId="328155C2">
            <w:pPr>
              <w:pStyle w:val="24"/>
            </w:pPr>
            <w:r>
              <w:t>low</w:t>
            </w:r>
          </w:p>
        </w:tc>
        <w:tc>
          <w:p w14:paraId="0318AC4C">
            <w:pPr>
              <w:pStyle w:val="24"/>
            </w:pPr>
            <w:r>
              <w:t>low</w:t>
            </w:r>
          </w:p>
        </w:tc>
        <w:tc>
          <w:p w14:paraId="1C619B2D">
            <w:pPr>
              <w:pStyle w:val="24"/>
            </w:pPr>
            <w:r>
              <w:t>moderate</w:t>
            </w:r>
          </w:p>
        </w:tc>
      </w:tr>
      <w:tr w14:paraId="04B7A603">
        <w:tblPrEx>
          <w:tblCellMar>
            <w:top w:w="0" w:type="dxa"/>
            <w:left w:w="108" w:type="dxa"/>
            <w:bottom w:w="0" w:type="dxa"/>
            <w:right w:w="108" w:type="dxa"/>
          </w:tblCellMar>
        </w:tblPrEx>
        <w:tc>
          <w:p w14:paraId="0779BCCC">
            <w:pPr>
              <w:pStyle w:val="24"/>
            </w:pPr>
            <w:r>
              <w:t>Uniform Avg</w:t>
            </w:r>
          </w:p>
        </w:tc>
        <w:tc>
          <w:p w14:paraId="3137B976">
            <w:pPr>
              <w:pStyle w:val="24"/>
            </w:pPr>
            <w:r>
              <w:t>moderate</w:t>
            </w:r>
          </w:p>
        </w:tc>
        <w:tc>
          <w:p w14:paraId="6E3899F1">
            <w:pPr>
              <w:pStyle w:val="24"/>
            </w:pPr>
            <w:r>
              <w:t>low</w:t>
            </w:r>
          </w:p>
        </w:tc>
        <w:tc>
          <w:p w14:paraId="7245EE47">
            <w:pPr>
              <w:pStyle w:val="24"/>
            </w:pPr>
            <w:r>
              <w:t>low</w:t>
            </w:r>
          </w:p>
        </w:tc>
        <w:tc>
          <w:p w14:paraId="4BEB3BC3">
            <w:pPr>
              <w:pStyle w:val="24"/>
            </w:pPr>
            <w:r>
              <w:t>low</w:t>
            </w:r>
          </w:p>
        </w:tc>
        <w:tc>
          <w:p w14:paraId="074484EC">
            <w:pPr>
              <w:pStyle w:val="24"/>
            </w:pPr>
            <w:r>
              <w:t>low</w:t>
            </w:r>
          </w:p>
        </w:tc>
      </w:tr>
      <w:tr w14:paraId="01804545">
        <w:tblPrEx>
          <w:tblCellMar>
            <w:top w:w="0" w:type="dxa"/>
            <w:left w:w="108" w:type="dxa"/>
            <w:bottom w:w="0" w:type="dxa"/>
            <w:right w:w="108" w:type="dxa"/>
          </w:tblCellMar>
        </w:tblPrEx>
        <w:tc>
          <w:p w14:paraId="5085ABD5">
            <w:pPr>
              <w:pStyle w:val="24"/>
            </w:pPr>
            <w:r>
              <w:t>MoE Gating</w:t>
            </w:r>
          </w:p>
        </w:tc>
        <w:tc>
          <w:p w14:paraId="68D43DEB">
            <w:pPr>
              <w:pStyle w:val="24"/>
            </w:pPr>
            <w:r>
              <w:t>high</w:t>
            </w:r>
          </w:p>
        </w:tc>
        <w:tc>
          <w:p w14:paraId="529E1FB7">
            <w:pPr>
              <w:pStyle w:val="24"/>
            </w:pPr>
            <w:r>
              <w:t>high</w:t>
            </w:r>
          </w:p>
        </w:tc>
        <w:tc>
          <w:p w14:paraId="38D062C5">
            <w:pPr>
              <w:pStyle w:val="24"/>
            </w:pPr>
            <w:r>
              <w:t>moderate</w:t>
            </w:r>
          </w:p>
        </w:tc>
        <w:tc>
          <w:p w14:paraId="6E1630A2">
            <w:pPr>
              <w:pStyle w:val="24"/>
            </w:pPr>
            <w:r>
              <w:t>high</w:t>
            </w:r>
          </w:p>
        </w:tc>
        <w:tc>
          <w:p w14:paraId="1F369F49">
            <w:pPr>
              <w:pStyle w:val="24"/>
            </w:pPr>
            <w:r>
              <w:t>high</w:t>
            </w:r>
          </w:p>
        </w:tc>
      </w:tr>
      <w:tr w14:paraId="51FE8A28">
        <w:tblPrEx>
          <w:tblCellMar>
            <w:top w:w="0" w:type="dxa"/>
            <w:left w:w="108" w:type="dxa"/>
            <w:bottom w:w="0" w:type="dxa"/>
            <w:right w:w="108" w:type="dxa"/>
          </w:tblCellMar>
        </w:tblPrEx>
        <w:tc>
          <w:p w14:paraId="42C1F0B0">
            <w:pPr>
              <w:pStyle w:val="24"/>
            </w:pPr>
            <w:r>
              <w:rPr>
                <w:b/>
                <w:bCs/>
              </w:rPr>
              <w:t>RED (Ours)</w:t>
            </w:r>
          </w:p>
        </w:tc>
        <w:tc>
          <w:p w14:paraId="7DDAA589">
            <w:pPr>
              <w:pStyle w:val="24"/>
            </w:pPr>
            <w:r>
              <w:rPr>
                <w:b/>
                <w:bCs/>
              </w:rPr>
              <w:t>high</w:t>
            </w:r>
          </w:p>
        </w:tc>
        <w:tc>
          <w:p w14:paraId="186B9662">
            <w:pPr>
              <w:pStyle w:val="24"/>
            </w:pPr>
            <w:r>
              <w:rPr>
                <w:b/>
                <w:bCs/>
              </w:rPr>
              <w:t>high</w:t>
            </w:r>
          </w:p>
        </w:tc>
        <w:tc>
          <w:p w14:paraId="078A7949">
            <w:pPr>
              <w:pStyle w:val="24"/>
            </w:pPr>
            <w:r>
              <w:rPr>
                <w:b/>
                <w:bCs/>
              </w:rPr>
              <w:t>high</w:t>
            </w:r>
          </w:p>
        </w:tc>
        <w:tc>
          <w:p w14:paraId="79BC689A">
            <w:pPr>
              <w:pStyle w:val="24"/>
            </w:pPr>
            <w:r>
              <w:rPr>
                <w:b/>
                <w:bCs/>
              </w:rPr>
              <w:t>high</w:t>
            </w:r>
          </w:p>
        </w:tc>
        <w:tc>
          <w:p w14:paraId="275870DC">
            <w:pPr>
              <w:pStyle w:val="24"/>
            </w:pPr>
            <w:r>
              <w:rPr>
                <w:b/>
                <w:bCs/>
              </w:rPr>
              <w:t>high</w:t>
            </w:r>
          </w:p>
        </w:tc>
      </w:tr>
      <w:bookmarkEnd w:id="41"/>
      <w:bookmarkEnd w:id="44"/>
    </w:tbl>
    <w:p w14:paraId="50B394B4">
      <w:pPr>
        <w:pStyle w:val="5"/>
      </w:pPr>
      <w:bookmarkStart w:id="45" w:name="router-reliability"/>
      <w:r>
        <w:t>4.6.4 Router Reliability</w:t>
      </w:r>
    </w:p>
    <w:tbl>
      <w:tblPr>
        <w:tblStyle w:val="41"/>
        <w:tblW w:w="0" w:type="auto"/>
        <w:tblInd w:w="0" w:type="dxa"/>
        <w:tblLayout w:type="autofit"/>
        <w:tblCellMar>
          <w:top w:w="0" w:type="dxa"/>
          <w:left w:w="108" w:type="dxa"/>
          <w:bottom w:w="0" w:type="dxa"/>
          <w:right w:w="108" w:type="dxa"/>
        </w:tblCellMar>
      </w:tblPr>
      <w:tblGrid>
        <w:gridCol w:w="1271"/>
        <w:gridCol w:w="1990"/>
      </w:tblGrid>
      <w:tr w14:paraId="2904B7E2">
        <w:trPr>
          <w:tblHeader/>
        </w:trPr>
        <w:tc>
          <w:p w14:paraId="54BE5701">
            <w:pPr>
              <w:pStyle w:val="24"/>
            </w:pPr>
            <w:r>
              <w:t>Split</w:t>
            </w:r>
          </w:p>
        </w:tc>
        <w:tc>
          <w:p w14:paraId="6E08F3A9">
            <w:pPr>
              <w:pStyle w:val="24"/>
            </w:pPr>
            <w:r>
              <w:t>Router Accuracy</w:t>
            </w:r>
          </w:p>
        </w:tc>
      </w:tr>
      <w:tr w14:paraId="50F43625">
        <w:tblPrEx>
          <w:tblCellMar>
            <w:top w:w="0" w:type="dxa"/>
            <w:left w:w="108" w:type="dxa"/>
            <w:bottom w:w="0" w:type="dxa"/>
            <w:right w:w="108" w:type="dxa"/>
          </w:tblCellMar>
        </w:tblPrEx>
        <w:tc>
          <w:p w14:paraId="2C31CD12">
            <w:pPr>
              <w:pStyle w:val="24"/>
            </w:pPr>
            <w:r>
              <w:t>Train</w:t>
            </w:r>
          </w:p>
        </w:tc>
        <w:tc>
          <w:p w14:paraId="5B6CC00F">
            <w:pPr>
              <w:pStyle w:val="24"/>
            </w:pPr>
            <w:r>
              <w:t>0.9714</w:t>
            </w:r>
          </w:p>
        </w:tc>
      </w:tr>
      <w:tr w14:paraId="19AD6F7B">
        <w:tblPrEx>
          <w:tblCellMar>
            <w:top w:w="0" w:type="dxa"/>
            <w:left w:w="108" w:type="dxa"/>
            <w:bottom w:w="0" w:type="dxa"/>
            <w:right w:w="108" w:type="dxa"/>
          </w:tblCellMar>
        </w:tblPrEx>
        <w:tc>
          <w:p w14:paraId="5FDC7B94">
            <w:pPr>
              <w:pStyle w:val="24"/>
            </w:pPr>
            <w:r>
              <w:t>Validation</w:t>
            </w:r>
          </w:p>
        </w:tc>
        <w:tc>
          <w:p w14:paraId="71A1BCB5">
            <w:pPr>
              <w:pStyle w:val="24"/>
            </w:pPr>
            <w:r>
              <w:t>0.9714</w:t>
            </w:r>
          </w:p>
        </w:tc>
      </w:tr>
      <w:tr w14:paraId="48385D56">
        <w:tblPrEx>
          <w:tblCellMar>
            <w:top w:w="0" w:type="dxa"/>
            <w:left w:w="108" w:type="dxa"/>
            <w:bottom w:w="0" w:type="dxa"/>
            <w:right w:w="108" w:type="dxa"/>
          </w:tblCellMar>
        </w:tblPrEx>
        <w:tc>
          <w:p w14:paraId="23762188">
            <w:pPr>
              <w:pStyle w:val="24"/>
            </w:pPr>
            <w:r>
              <w:t>Test</w:t>
            </w:r>
          </w:p>
        </w:tc>
        <w:tc>
          <w:p w14:paraId="0FB46409">
            <w:pPr>
              <w:pStyle w:val="24"/>
            </w:pPr>
            <w:r>
              <w:t>0.9725</w:t>
            </w:r>
          </w:p>
        </w:tc>
      </w:tr>
    </w:tbl>
    <w:p w14:paraId="387DB69D">
      <w:pPr>
        <w:pStyle w:val="3"/>
      </w:pPr>
      <w:r>
        <w:rPr>
          <w:b/>
          <w:bCs/>
        </w:rPr>
        <w:t>Interpretation:</w:t>
      </w:r>
      <w:r>
        <w:br w:type="textWrapping"/>
      </w:r>
      <w:r>
        <w:t>The router accurately assigns numerical ranges for ≈97% of all samples.</w:t>
      </w:r>
      <w:r>
        <w:br w:type="textWrapping"/>
      </w:r>
      <w:r>
        <w:t>Because RED relies on residual cooperation instead of hard expert isolation, occasional routing errors do not destabilize predictions.</w:t>
      </w:r>
    </w:p>
    <w:bookmarkEnd w:id="45"/>
    <w:p w14:paraId="2AE8746F">
      <w:pPr>
        <w:pStyle w:val="5"/>
      </w:pPr>
      <w:bookmarkStart w:id="46" w:name="behavior-near-range-boundaries"/>
      <w:r>
        <w:t>4.6.5 Behavior Near Range Boundaries</w:t>
      </w:r>
    </w:p>
    <w:p w14:paraId="009981F7">
      <w:pPr>
        <w:pStyle w:val="23"/>
      </w:pPr>
      <w:r>
        <w:t>Boundary values (e.g., 20/21, 40/41, 60/61, 80/81) are difficult for modular systems.</w:t>
      </w:r>
    </w:p>
    <w:p w14:paraId="685C299F">
      <w:pPr>
        <w:pStyle w:val="3"/>
      </w:pPr>
      <w:r>
        <w:t>Observed behaviors:</w:t>
      </w:r>
    </w:p>
    <w:p w14:paraId="3A8581AE">
      <w:pPr>
        <w:pStyle w:val="24"/>
        <w:numPr>
          <w:ilvl w:val="0"/>
          <w:numId w:val="2"/>
        </w:numPr>
      </w:pPr>
      <w:r>
        <w:rPr>
          <w:b/>
          <w:bCs/>
        </w:rPr>
        <w:t>Global Head</w:t>
      </w:r>
      <w:r>
        <w:t>: biased toward high-frequency mid-range outputs.</w:t>
      </w:r>
      <w:r>
        <w:br w:type="textWrapping"/>
      </w:r>
    </w:p>
    <w:p w14:paraId="31371702">
      <w:pPr>
        <w:pStyle w:val="24"/>
        <w:numPr>
          <w:ilvl w:val="0"/>
          <w:numId w:val="2"/>
        </w:numPr>
      </w:pPr>
      <w:r>
        <w:rPr>
          <w:b/>
          <w:bCs/>
        </w:rPr>
        <w:t>Uniform Avg</w:t>
      </w:r>
      <w:r>
        <w:t>: averaging destroys structure, producing systematic drift.</w:t>
      </w:r>
      <w:r>
        <w:br w:type="textWrapping"/>
      </w:r>
    </w:p>
    <w:p w14:paraId="640CB765">
      <w:pPr>
        <w:pStyle w:val="24"/>
        <w:numPr>
          <w:ilvl w:val="0"/>
          <w:numId w:val="2"/>
        </w:numPr>
      </w:pPr>
      <w:r>
        <w:rPr>
          <w:b/>
          <w:bCs/>
        </w:rPr>
        <w:t>MoE</w:t>
      </w:r>
      <w:r>
        <w:t>: output oscillates due to routing sensitivity.</w:t>
      </w:r>
      <w:r>
        <w:br w:type="textWrapping"/>
      </w:r>
    </w:p>
    <w:p w14:paraId="63AEDD05">
      <w:pPr>
        <w:pStyle w:val="24"/>
        <w:numPr>
          <w:ilvl w:val="0"/>
          <w:numId w:val="2"/>
        </w:numPr>
      </w:pPr>
      <w:r>
        <w:rPr>
          <w:b/>
          <w:bCs/>
        </w:rPr>
        <w:t>RED</w:t>
      </w:r>
      <w:r>
        <w:t>: smooth transitions; residual structure allows neighboring experts to assist.</w:t>
      </w:r>
    </w:p>
    <w:p w14:paraId="447796B1">
      <w:pPr>
        <w:pStyle w:val="23"/>
      </w:pPr>
      <w:r>
        <w:t>Boundary robustness is one of RED’s most distinctive advantages over classical MoE.</w:t>
      </w:r>
    </w:p>
    <w:bookmarkEnd w:id="46"/>
    <w:p w14:paraId="1B417BF4">
      <w:pPr>
        <w:pStyle w:val="5"/>
      </w:pPr>
      <w:bookmarkStart w:id="47" w:name="summary-of-task-1-findings"/>
      <w:r>
        <w:t>4.6.6 Summary of Task 1 Findings</w:t>
      </w:r>
    </w:p>
    <w:p w14:paraId="35E3F439">
      <w:pPr>
        <w:pStyle w:val="23"/>
      </w:pPr>
      <w:r>
        <w:t>Task 1 shows that:</w:t>
      </w:r>
    </w:p>
    <w:p w14:paraId="62710808">
      <w:pPr>
        <w:pStyle w:val="24"/>
        <w:numPr>
          <w:ilvl w:val="0"/>
          <w:numId w:val="5"/>
        </w:numPr>
      </w:pPr>
      <w:r>
        <w:rPr>
          <w:b/>
          <w:bCs/>
        </w:rPr>
        <w:t>RED achieves state-of-the-art global accuracy</w:t>
      </w:r>
      <w:r>
        <w:t>, significantly outperforming MoE.</w:t>
      </w:r>
      <w:r>
        <w:br w:type="textWrapping"/>
      </w:r>
    </w:p>
    <w:p w14:paraId="5E108B69">
      <w:pPr>
        <w:pStyle w:val="24"/>
        <w:numPr>
          <w:ilvl w:val="0"/>
          <w:numId w:val="5"/>
        </w:numPr>
      </w:pPr>
      <w:r>
        <w:rPr>
          <w:b/>
          <w:bCs/>
        </w:rPr>
        <w:t>RED is the only method with uniformly high performance across all ranges</w:t>
      </w:r>
      <w:r>
        <w:br w:type="textWrapping"/>
      </w:r>
      <w:r>
        <w:t>(Accuracy + Macro-F1).</w:t>
      </w:r>
      <w:r>
        <w:br w:type="textWrapping"/>
      </w:r>
    </w:p>
    <w:p w14:paraId="3A47E84A">
      <w:pPr>
        <w:pStyle w:val="24"/>
        <w:numPr>
          <w:ilvl w:val="0"/>
          <w:numId w:val="5"/>
        </w:numPr>
      </w:pPr>
      <w:r>
        <w:rPr>
          <w:b/>
          <w:bCs/>
        </w:rPr>
        <w:t>Router accuracy is consistently high</w:t>
      </w:r>
      <w:r>
        <w:t>, and RED remains stable even with routing errors.</w:t>
      </w:r>
      <w:r>
        <w:br w:type="textWrapping"/>
      </w:r>
    </w:p>
    <w:p w14:paraId="66F0A0BB">
      <w:pPr>
        <w:pStyle w:val="24"/>
        <w:numPr>
          <w:ilvl w:val="0"/>
          <w:numId w:val="5"/>
        </w:numPr>
      </w:pPr>
      <w:r>
        <w:rPr>
          <w:b/>
          <w:bCs/>
        </w:rPr>
        <w:t>Experts cooperate smoothly</w:t>
      </w:r>
      <w:r>
        <w:t>, avoiding the volatility observed in classical MoE.</w:t>
      </w:r>
    </w:p>
    <w:p w14:paraId="6ECB2039">
      <w:pPr>
        <w:pStyle w:val="23"/>
      </w:pPr>
      <w:r>
        <w:t>Overall, Task 1 provides strong evidence that RED enables reliable modular reasoning in a controlled arithmetic environment.</w:t>
      </w:r>
    </w:p>
    <w:bookmarkEnd w:id="0"/>
    <w:bookmarkEnd w:id="36"/>
    <w:bookmarkEnd w:id="47"/>
    <w:p w14:paraId="4A2A7E5F">
      <w:pPr>
        <w:pStyle w:val="2"/>
      </w:pPr>
      <w:bookmarkStart w:id="48" w:name="X8dacbe452f048699186623033d257b61f189292"/>
      <w:r>
        <w:t>4.7 Results on Task 2: Mixed Arithmetic (v13 Updated)</w:t>
      </w:r>
    </w:p>
    <w:p w14:paraId="2A859E08">
      <w:pPr>
        <w:pStyle w:val="23"/>
      </w:pPr>
      <w:r>
        <w:rPr>
          <w:i/>
          <w:iCs/>
        </w:rPr>
        <w:t>(Data from demo_v13.py and demo_v13.log)</w:t>
      </w:r>
    </w:p>
    <w:p w14:paraId="1069C5DE">
      <w:pPr>
        <w:pStyle w:val="3"/>
      </w:pPr>
      <w:r>
        <w:t xml:space="preserve">Task 2 extends single-operation addition to </w:t>
      </w:r>
      <w:r>
        <w:rPr>
          <w:b/>
          <w:bCs/>
        </w:rPr>
        <w:t>mixed arithmetic</w:t>
      </w:r>
      <w:r>
        <w:t>, including addition, subtraction, and 2–4-step expressions (e.g., “12 minus 5 plus 9”). This task is substantially harder due to combinatorial operator patterns and range overlaps.</w:t>
      </w:r>
    </w:p>
    <w:p w14:paraId="4CAFFCAA">
      <w:pPr>
        <w:pStyle w:val="3"/>
      </w:pPr>
      <w:r>
        <w:t xml:space="preserve">The mixed-arithmetic dataset contains </w:t>
      </w:r>
      <w:r>
        <w:rPr>
          <w:b/>
          <w:bCs/>
        </w:rPr>
        <w:t>80% 2-step</w:t>
      </w:r>
      <w:r>
        <w:t xml:space="preserve">, </w:t>
      </w:r>
      <w:r>
        <w:rPr>
          <w:b/>
          <w:bCs/>
        </w:rPr>
        <w:t>10% 3-step</w:t>
      </w:r>
      <w:r>
        <w:t>, and</w:t>
      </w:r>
      <w:r>
        <w:br w:type="textWrapping"/>
      </w:r>
      <w:r>
        <w:rPr>
          <w:b/>
          <w:bCs/>
        </w:rPr>
        <w:t>10% 4-step</w:t>
      </w:r>
      <w:r>
        <w:t xml:space="preserve"> expressions, ensuring controlled difficulty and balanced operator complexity.</w:t>
      </w:r>
    </w:p>
    <w:p w14:paraId="465943E8">
      <w:pPr>
        <w:pStyle w:val="3"/>
      </w:pPr>
      <w:r>
        <w:t>v13 introduces two major architectural enhancements:</w:t>
      </w:r>
    </w:p>
    <w:p w14:paraId="24A0FA2C">
      <w:pPr>
        <w:pStyle w:val="24"/>
        <w:numPr>
          <w:ilvl w:val="0"/>
          <w:numId w:val="6"/>
        </w:numPr>
      </w:pPr>
      <w:r>
        <w:rPr>
          <w:b/>
          <w:bCs/>
        </w:rPr>
        <w:t>Upgraded Base Head</w:t>
      </w:r>
    </w:p>
    <w:p w14:paraId="24D11FFE">
      <w:pPr>
        <w:pStyle w:val="24"/>
        <w:numPr>
          <w:ilvl w:val="1"/>
          <w:numId w:val="2"/>
        </w:numPr>
      </w:pPr>
      <w:r>
        <w:t>4H → GELU → Dropout → Linear</w:t>
      </w:r>
      <w:r>
        <w:br w:type="textWrapping"/>
      </w:r>
    </w:p>
    <w:p w14:paraId="0FD04FA9">
      <w:pPr>
        <w:pStyle w:val="24"/>
        <w:numPr>
          <w:ilvl w:val="1"/>
          <w:numId w:val="2"/>
        </w:numPr>
      </w:pPr>
      <w:r>
        <w:t>partial unfreezing of Qwen’s last 3 transformer layers</w:t>
      </w:r>
      <w:r>
        <w:br w:type="textWrapping"/>
      </w:r>
      <w:r>
        <w:t>This improves representation strength over v11’s simple linear classifier.</w:t>
      </w:r>
    </w:p>
    <w:p w14:paraId="5D8C746E">
      <w:pPr>
        <w:pStyle w:val="24"/>
        <w:numPr>
          <w:ilvl w:val="0"/>
          <w:numId w:val="6"/>
        </w:numPr>
      </w:pPr>
      <w:r>
        <w:rPr>
          <w:b/>
          <w:bCs/>
        </w:rPr>
        <w:t>Stronger Expert Networks</w:t>
      </w:r>
    </w:p>
    <w:p w14:paraId="4DE18B64">
      <w:pPr>
        <w:pStyle w:val="24"/>
        <w:numPr>
          <w:ilvl w:val="1"/>
          <w:numId w:val="2"/>
        </w:numPr>
      </w:pPr>
      <w:r>
        <w:t>each expert is now a 4H-dim MLP (H → 4H → C)</w:t>
      </w:r>
      <w:r>
        <w:br w:type="textWrapping"/>
      </w:r>
    </w:p>
    <w:p w14:paraId="41795B39">
      <w:pPr>
        <w:pStyle w:val="24"/>
        <w:numPr>
          <w:ilvl w:val="1"/>
          <w:numId w:val="2"/>
        </w:numPr>
      </w:pPr>
      <w:r>
        <w:t>trained only on its domain with balanced labels</w:t>
      </w:r>
      <w:r>
        <w:br w:type="textWrapping"/>
      </w:r>
      <w:r>
        <w:t>This increases domain-specific capacity compared to previous versions.</w:t>
      </w:r>
    </w:p>
    <w:p w14:paraId="567A027B">
      <w:pPr>
        <w:pStyle w:val="23"/>
      </w:pPr>
      <w:r>
        <w:t>Even with these architectural improvements, mixed arithmetic remains a fundamentally difficult symbolic reasoning task, and the following results represent the practical performance limit of the current encoder–expert framework.</w:t>
      </w:r>
    </w:p>
    <w:p w14:paraId="4B7E99A1">
      <w:r>
        <w:pict>
          <v:rect id="_x0000_i1035" o:spt="1" style="height:1.5pt;width:0pt;" coordsize="21600,21600" o:hr="t" o:hrstd="t" o:hralign="center">
            <v:path/>
            <v:fill focussize="0,0"/>
            <v:stroke/>
            <v:imagedata o:title=""/>
            <o:lock v:ext="edit"/>
            <w10:wrap type="none"/>
            <w10:anchorlock/>
          </v:rect>
        </w:pict>
      </w:r>
    </w:p>
    <w:p w14:paraId="30D839D0">
      <w:pPr>
        <w:pStyle w:val="4"/>
      </w:pPr>
      <w:bookmarkStart w:id="49" w:name="overall-performance-1"/>
      <w:r>
        <w:t>4.7.1 Overall Performance</w:t>
      </w:r>
    </w:p>
    <w:tbl>
      <w:tblPr>
        <w:tblStyle w:val="41"/>
        <w:tblW w:w="0" w:type="auto"/>
        <w:tblInd w:w="0" w:type="dxa"/>
        <w:tblLayout w:type="autofit"/>
        <w:tblCellMar>
          <w:top w:w="0" w:type="dxa"/>
          <w:left w:w="108" w:type="dxa"/>
          <w:bottom w:w="0" w:type="dxa"/>
          <w:right w:w="108" w:type="dxa"/>
        </w:tblCellMar>
      </w:tblPr>
      <w:tblGrid>
        <w:gridCol w:w="3511"/>
        <w:gridCol w:w="1203"/>
        <w:gridCol w:w="1243"/>
      </w:tblGrid>
      <w:tr w14:paraId="29FA74E3">
        <w:tblPrEx>
          <w:tblCellMar>
            <w:top w:w="0" w:type="dxa"/>
            <w:left w:w="108" w:type="dxa"/>
            <w:bottom w:w="0" w:type="dxa"/>
            <w:right w:w="108" w:type="dxa"/>
          </w:tblCellMar>
        </w:tblPrEx>
        <w:trPr>
          <w:tblHeader/>
        </w:trPr>
        <w:tc>
          <w:p w14:paraId="0DC8103E">
            <w:pPr>
              <w:pStyle w:val="24"/>
            </w:pPr>
            <w:r>
              <w:t>Method</w:t>
            </w:r>
          </w:p>
        </w:tc>
        <w:tc>
          <w:p w14:paraId="12B0081C">
            <w:pPr>
              <w:pStyle w:val="24"/>
            </w:pPr>
            <w:r>
              <w:t>Accuracy</w:t>
            </w:r>
          </w:p>
        </w:tc>
        <w:tc>
          <w:p w14:paraId="277DB330">
            <w:pPr>
              <w:pStyle w:val="24"/>
            </w:pPr>
            <w:r>
              <w:t>Macro-F1</w:t>
            </w:r>
          </w:p>
        </w:tc>
      </w:tr>
      <w:tr w14:paraId="38FF5DEF">
        <w:tblPrEx>
          <w:tblCellMar>
            <w:top w:w="0" w:type="dxa"/>
            <w:left w:w="108" w:type="dxa"/>
            <w:bottom w:w="0" w:type="dxa"/>
            <w:right w:w="108" w:type="dxa"/>
          </w:tblCellMar>
        </w:tblPrEx>
        <w:tc>
          <w:p w14:paraId="05FD1A6E">
            <w:pPr>
              <w:pStyle w:val="24"/>
            </w:pPr>
            <w:r>
              <w:t>Global Head (v13 upgraded)</w:t>
            </w:r>
          </w:p>
        </w:tc>
        <w:tc>
          <w:p w14:paraId="0C6F8A33">
            <w:pPr>
              <w:pStyle w:val="24"/>
            </w:pPr>
            <w:r>
              <w:rPr>
                <w:b/>
                <w:bCs/>
              </w:rPr>
              <w:t>0.3542</w:t>
            </w:r>
          </w:p>
        </w:tc>
        <w:tc>
          <w:p w14:paraId="28334331">
            <w:pPr>
              <w:pStyle w:val="24"/>
            </w:pPr>
            <w:r>
              <w:rPr>
                <w:b/>
                <w:bCs/>
              </w:rPr>
              <w:t>0.3536</w:t>
            </w:r>
          </w:p>
        </w:tc>
      </w:tr>
      <w:tr w14:paraId="7373D31B">
        <w:tblPrEx>
          <w:tblCellMar>
            <w:top w:w="0" w:type="dxa"/>
            <w:left w:w="108" w:type="dxa"/>
            <w:bottom w:w="0" w:type="dxa"/>
            <w:right w:w="108" w:type="dxa"/>
          </w:tblCellMar>
        </w:tblPrEx>
        <w:tc>
          <w:p w14:paraId="1E9B4E18">
            <w:pPr>
              <w:pStyle w:val="24"/>
            </w:pPr>
            <w:r>
              <w:t>Uniform Averaging (AllExperts)</w:t>
            </w:r>
          </w:p>
        </w:tc>
        <w:tc>
          <w:p w14:paraId="33920C40">
            <w:pPr>
              <w:pStyle w:val="24"/>
            </w:pPr>
            <w:r>
              <w:rPr>
                <w:b/>
                <w:bCs/>
              </w:rPr>
              <w:t>0.0105</w:t>
            </w:r>
          </w:p>
        </w:tc>
        <w:tc>
          <w:p w14:paraId="039E76D1">
            <w:pPr>
              <w:pStyle w:val="24"/>
            </w:pPr>
            <w:r>
              <w:rPr>
                <w:b/>
                <w:bCs/>
              </w:rPr>
              <w:t>0.0024</w:t>
            </w:r>
          </w:p>
        </w:tc>
      </w:tr>
      <w:tr w14:paraId="5551A23B">
        <w:tblPrEx>
          <w:tblCellMar>
            <w:top w:w="0" w:type="dxa"/>
            <w:left w:w="108" w:type="dxa"/>
            <w:bottom w:w="0" w:type="dxa"/>
            <w:right w:w="108" w:type="dxa"/>
          </w:tblCellMar>
        </w:tblPrEx>
        <w:tc>
          <w:p w14:paraId="5013338B">
            <w:pPr>
              <w:pStyle w:val="24"/>
            </w:pPr>
            <w:r>
              <w:t>MoE Gating (classical)</w:t>
            </w:r>
          </w:p>
        </w:tc>
        <w:tc>
          <w:p w14:paraId="77F0CD56">
            <w:pPr>
              <w:pStyle w:val="24"/>
            </w:pPr>
            <w:r>
              <w:rPr>
                <w:b/>
                <w:bCs/>
              </w:rPr>
              <w:t>0.5338</w:t>
            </w:r>
          </w:p>
        </w:tc>
        <w:tc>
          <w:p w14:paraId="7E306B3C">
            <w:pPr>
              <w:pStyle w:val="24"/>
            </w:pPr>
            <w:r>
              <w:rPr>
                <w:b/>
                <w:bCs/>
              </w:rPr>
              <w:t>0.5435</w:t>
            </w:r>
          </w:p>
        </w:tc>
      </w:tr>
      <w:tr w14:paraId="3F14A444">
        <w:tblPrEx>
          <w:tblCellMar>
            <w:top w:w="0" w:type="dxa"/>
            <w:left w:w="108" w:type="dxa"/>
            <w:bottom w:w="0" w:type="dxa"/>
            <w:right w:w="108" w:type="dxa"/>
          </w:tblCellMar>
        </w:tblPrEx>
        <w:tc>
          <w:p w14:paraId="797FE59D">
            <w:pPr>
              <w:pStyle w:val="24"/>
            </w:pPr>
            <w:r>
              <w:rPr>
                <w:b/>
                <w:bCs/>
              </w:rPr>
              <w:t>RED (Ours)</w:t>
            </w:r>
          </w:p>
        </w:tc>
        <w:tc>
          <w:p w14:paraId="3A0AF839">
            <w:pPr>
              <w:pStyle w:val="24"/>
            </w:pPr>
            <w:r>
              <w:rPr>
                <w:b/>
                <w:bCs/>
              </w:rPr>
              <w:t>0.7583</w:t>
            </w:r>
          </w:p>
        </w:tc>
        <w:tc>
          <w:p w14:paraId="4E50596A">
            <w:pPr>
              <w:pStyle w:val="24"/>
            </w:pPr>
            <w:r>
              <w:rPr>
                <w:b/>
                <w:bCs/>
              </w:rPr>
              <w:t>0.7537</w:t>
            </w:r>
          </w:p>
        </w:tc>
      </w:tr>
    </w:tbl>
    <w:p w14:paraId="3D9AD02C">
      <w:pPr>
        <w:pStyle w:val="3"/>
      </w:pPr>
      <w:r>
        <w:rPr>
          <w:b/>
          <w:bCs/>
        </w:rPr>
        <w:t>Interpretation</w:t>
      </w:r>
    </w:p>
    <w:p w14:paraId="16DEC911">
      <w:pPr>
        <w:pStyle w:val="24"/>
        <w:numPr>
          <w:ilvl w:val="0"/>
          <w:numId w:val="2"/>
        </w:numPr>
      </w:pPr>
      <w:r>
        <w:t>The upgraded Base Head improves over v11 but still struggles with multi-step symbolic reasoning.</w:t>
      </w:r>
    </w:p>
    <w:p w14:paraId="4F1B7D17">
      <w:pPr>
        <w:pStyle w:val="24"/>
        <w:numPr>
          <w:ilvl w:val="0"/>
          <w:numId w:val="2"/>
        </w:numPr>
      </w:pPr>
      <w:r>
        <w:t>Uniform averaging collapses entirely, confirming unstructured expert fusion is ineffective.</w:t>
      </w:r>
    </w:p>
    <w:p w14:paraId="0E074F82">
      <w:pPr>
        <w:pStyle w:val="24"/>
        <w:numPr>
          <w:ilvl w:val="0"/>
          <w:numId w:val="2"/>
        </w:numPr>
      </w:pPr>
      <w:r>
        <w:t>Classical MoE is better but unstable due to routing ambiguity.</w:t>
      </w:r>
    </w:p>
    <w:p w14:paraId="55605BC4">
      <w:pPr>
        <w:pStyle w:val="24"/>
        <w:numPr>
          <w:ilvl w:val="0"/>
          <w:numId w:val="2"/>
        </w:numPr>
      </w:pPr>
      <w:r>
        <w:rPr>
          <w:b/>
          <w:bCs/>
        </w:rPr>
        <w:t>RED shows a dramatic improvement</w:t>
      </w:r>
      <w:r>
        <w:t xml:space="preserve">, surpassing MoE by </w:t>
      </w:r>
      <w:r>
        <w:rPr>
          <w:b/>
          <w:bCs/>
        </w:rPr>
        <w:t>+38% accuracy</w:t>
      </w:r>
      <w:r>
        <w:t>.</w:t>
      </w:r>
    </w:p>
    <w:p w14:paraId="22088966">
      <w:pPr>
        <w:pStyle w:val="23"/>
      </w:pPr>
      <w:r>
        <w:t xml:space="preserve">Given the difficulty of mixed multi-operator arithmetic, the achieved accuracy of </w:t>
      </w:r>
      <w:r>
        <w:rPr>
          <w:b/>
          <w:bCs/>
        </w:rPr>
        <w:t>≈0.76</w:t>
      </w:r>
      <w:r>
        <w:t xml:space="preserve"> approaches the current limit of this architecture.</w:t>
      </w:r>
    </w:p>
    <w:p w14:paraId="70379BA9">
      <w:r>
        <w:pict>
          <v:rect id="_x0000_i1036" o:spt="1" style="height:1.5pt;width:0pt;" coordsize="21600,21600" o:hr="t" o:hrstd="t" o:hralign="center">
            <v:path/>
            <v:fill focussize="0,0"/>
            <v:stroke/>
            <v:imagedata o:title=""/>
            <o:lock v:ext="edit"/>
            <w10:wrap type="none"/>
            <w10:anchorlock/>
          </v:rect>
        </w:pict>
      </w:r>
    </w:p>
    <w:bookmarkEnd w:id="49"/>
    <w:p w14:paraId="28FBC9E5">
      <w:pPr>
        <w:pStyle w:val="4"/>
      </w:pPr>
      <w:bookmarkStart w:id="50" w:name="accuracy-by-numerical-range"/>
      <w:r>
        <w:t>4.7.2 Accuracy by Numerical Range</w:t>
      </w:r>
    </w:p>
    <w:p w14:paraId="74E9B256">
      <w:pPr>
        <w:pStyle w:val="23"/>
      </w:pPr>
      <w:r>
        <w:t xml:space="preserve">To ensure fair per-range evaluation, Task 2 is constructed so that the final results of all expressions are </w:t>
      </w:r>
      <w:r>
        <w:rPr>
          <w:b/>
          <w:bCs/>
        </w:rPr>
        <w:t>approximately uniformly distributed</w:t>
      </w:r>
      <w:r>
        <w:t xml:space="preserve"> across the five numerical intervals.</w:t>
      </w:r>
    </w:p>
    <w:tbl>
      <w:tblPr>
        <w:tblStyle w:val="41"/>
        <w:tblW w:w="5000" w:type="pct"/>
        <w:tblInd w:w="0" w:type="dxa"/>
        <w:tblLayout w:type="fixed"/>
        <w:tblCellMar>
          <w:top w:w="0" w:type="dxa"/>
          <w:left w:w="108" w:type="dxa"/>
          <w:bottom w:w="0" w:type="dxa"/>
          <w:right w:w="108" w:type="dxa"/>
        </w:tblCellMar>
      </w:tblPr>
      <w:tblGrid>
        <w:gridCol w:w="1937"/>
        <w:gridCol w:w="1384"/>
        <w:gridCol w:w="1384"/>
        <w:gridCol w:w="1384"/>
        <w:gridCol w:w="1384"/>
        <w:gridCol w:w="1384"/>
      </w:tblGrid>
      <w:tr w14:paraId="0861B5E1">
        <w:tblPrEx>
          <w:tblCellMar>
            <w:top w:w="0" w:type="dxa"/>
            <w:left w:w="108" w:type="dxa"/>
            <w:bottom w:w="0" w:type="dxa"/>
            <w:right w:w="108" w:type="dxa"/>
          </w:tblCellMar>
        </w:tblPrEx>
        <w:trPr>
          <w:tblHeader/>
        </w:trPr>
        <w:tc>
          <w:p w14:paraId="4517D463">
            <w:pPr>
              <w:pStyle w:val="24"/>
            </w:pPr>
            <w:r>
              <w:t>Method</w:t>
            </w:r>
          </w:p>
        </w:tc>
        <w:tc>
          <w:p w14:paraId="1DE57EFC">
            <w:pPr>
              <w:pStyle w:val="24"/>
            </w:pPr>
            <w:r>
              <w:t>2–20</w:t>
            </w:r>
          </w:p>
        </w:tc>
        <w:tc>
          <w:p w14:paraId="28059D1A">
            <w:pPr>
              <w:pStyle w:val="24"/>
            </w:pPr>
            <w:r>
              <w:t>21–40</w:t>
            </w:r>
          </w:p>
        </w:tc>
        <w:tc>
          <w:p w14:paraId="3460F49B">
            <w:pPr>
              <w:pStyle w:val="24"/>
            </w:pPr>
            <w:r>
              <w:t>41–60</w:t>
            </w:r>
          </w:p>
        </w:tc>
        <w:tc>
          <w:p w14:paraId="524F15BB">
            <w:pPr>
              <w:pStyle w:val="24"/>
            </w:pPr>
            <w:r>
              <w:t>61–80</w:t>
            </w:r>
          </w:p>
        </w:tc>
        <w:tc>
          <w:p w14:paraId="32880B22">
            <w:pPr>
              <w:pStyle w:val="24"/>
            </w:pPr>
            <w:r>
              <w:t>81–100</w:t>
            </w:r>
          </w:p>
        </w:tc>
      </w:tr>
      <w:tr w14:paraId="4437952E">
        <w:tblPrEx>
          <w:tblCellMar>
            <w:top w:w="0" w:type="dxa"/>
            <w:left w:w="108" w:type="dxa"/>
            <w:bottom w:w="0" w:type="dxa"/>
            <w:right w:w="108" w:type="dxa"/>
          </w:tblCellMar>
        </w:tblPrEx>
        <w:tc>
          <w:p w14:paraId="0326ACDB">
            <w:pPr>
              <w:pStyle w:val="24"/>
            </w:pPr>
            <w:r>
              <w:t>Global Head</w:t>
            </w:r>
          </w:p>
        </w:tc>
        <w:tc>
          <w:p w14:paraId="0FF0C18F">
            <w:pPr>
              <w:pStyle w:val="24"/>
            </w:pPr>
            <w:r>
              <w:t>0.5639</w:t>
            </w:r>
          </w:p>
        </w:tc>
        <w:tc>
          <w:p w14:paraId="387453BE">
            <w:pPr>
              <w:pStyle w:val="24"/>
            </w:pPr>
            <w:r>
              <w:t>0.3628</w:t>
            </w:r>
          </w:p>
        </w:tc>
        <w:tc>
          <w:p w14:paraId="067A6A2A">
            <w:pPr>
              <w:pStyle w:val="24"/>
            </w:pPr>
            <w:r>
              <w:t>0.3389</w:t>
            </w:r>
          </w:p>
        </w:tc>
        <w:tc>
          <w:p w14:paraId="40BE0723">
            <w:pPr>
              <w:pStyle w:val="24"/>
            </w:pPr>
            <w:r>
              <w:t>0.2618</w:t>
            </w:r>
          </w:p>
        </w:tc>
        <w:tc>
          <w:p w14:paraId="7DA8521E">
            <w:pPr>
              <w:pStyle w:val="24"/>
            </w:pPr>
            <w:r>
              <w:t>0.2539</w:t>
            </w:r>
          </w:p>
        </w:tc>
      </w:tr>
      <w:tr w14:paraId="4F6347FC">
        <w:tblPrEx>
          <w:tblCellMar>
            <w:top w:w="0" w:type="dxa"/>
            <w:left w:w="108" w:type="dxa"/>
            <w:bottom w:w="0" w:type="dxa"/>
            <w:right w:w="108" w:type="dxa"/>
          </w:tblCellMar>
        </w:tblPrEx>
        <w:tc>
          <w:p w14:paraId="0246DABE">
            <w:pPr>
              <w:pStyle w:val="24"/>
            </w:pPr>
            <w:r>
              <w:t>Uniform Avg</w:t>
            </w:r>
          </w:p>
        </w:tc>
        <w:tc>
          <w:p w14:paraId="1D433F77">
            <w:pPr>
              <w:pStyle w:val="24"/>
            </w:pPr>
            <w:r>
              <w:t>0.0016</w:t>
            </w:r>
          </w:p>
        </w:tc>
        <w:tc>
          <w:p w14:paraId="705EEFFC">
            <w:pPr>
              <w:pStyle w:val="24"/>
            </w:pPr>
            <w:r>
              <w:t>0.0000</w:t>
            </w:r>
          </w:p>
        </w:tc>
        <w:tc>
          <w:p w14:paraId="4AEAAE50">
            <w:pPr>
              <w:pStyle w:val="24"/>
            </w:pPr>
            <w:r>
              <w:t>0.0000</w:t>
            </w:r>
          </w:p>
        </w:tc>
        <w:tc>
          <w:p w14:paraId="61A678C0">
            <w:pPr>
              <w:pStyle w:val="24"/>
            </w:pPr>
            <w:r>
              <w:t>0.0023</w:t>
            </w:r>
          </w:p>
        </w:tc>
        <w:tc>
          <w:p w14:paraId="48513910">
            <w:pPr>
              <w:pStyle w:val="24"/>
            </w:pPr>
            <w:r>
              <w:t>0.0025</w:t>
            </w:r>
          </w:p>
        </w:tc>
      </w:tr>
      <w:tr w14:paraId="7AEA1D80">
        <w:tblPrEx>
          <w:tblCellMar>
            <w:top w:w="0" w:type="dxa"/>
            <w:left w:w="108" w:type="dxa"/>
            <w:bottom w:w="0" w:type="dxa"/>
            <w:right w:w="108" w:type="dxa"/>
          </w:tblCellMar>
        </w:tblPrEx>
        <w:tc>
          <w:p w14:paraId="4F10C6DE">
            <w:pPr>
              <w:pStyle w:val="24"/>
            </w:pPr>
            <w:r>
              <w:t>MoE Gating</w:t>
            </w:r>
          </w:p>
        </w:tc>
        <w:tc>
          <w:p w14:paraId="0C9D7768">
            <w:pPr>
              <w:pStyle w:val="24"/>
            </w:pPr>
            <w:r>
              <w:t>0.3590</w:t>
            </w:r>
          </w:p>
        </w:tc>
        <w:tc>
          <w:p w14:paraId="28E94028">
            <w:pPr>
              <w:pStyle w:val="24"/>
            </w:pPr>
            <w:r>
              <w:t>0.5537</w:t>
            </w:r>
          </w:p>
        </w:tc>
        <w:tc>
          <w:p w14:paraId="441C989D">
            <w:pPr>
              <w:pStyle w:val="24"/>
            </w:pPr>
            <w:r>
              <w:t>0.5871</w:t>
            </w:r>
          </w:p>
        </w:tc>
        <w:tc>
          <w:p w14:paraId="53022402">
            <w:pPr>
              <w:pStyle w:val="24"/>
            </w:pPr>
            <w:r>
              <w:t>0.5908</w:t>
            </w:r>
          </w:p>
        </w:tc>
        <w:tc>
          <w:p w14:paraId="4774CA81">
            <w:pPr>
              <w:pStyle w:val="24"/>
            </w:pPr>
            <w:r>
              <w:t>0.6074</w:t>
            </w:r>
          </w:p>
        </w:tc>
      </w:tr>
      <w:tr w14:paraId="7BBEEE6B">
        <w:tblPrEx>
          <w:tblCellMar>
            <w:top w:w="0" w:type="dxa"/>
            <w:left w:w="108" w:type="dxa"/>
            <w:bottom w:w="0" w:type="dxa"/>
            <w:right w:w="108" w:type="dxa"/>
          </w:tblCellMar>
        </w:tblPrEx>
        <w:tc>
          <w:p w14:paraId="210D2018">
            <w:pPr>
              <w:pStyle w:val="24"/>
            </w:pPr>
            <w:r>
              <w:rPr>
                <w:b/>
                <w:bCs/>
              </w:rPr>
              <w:t>RED</w:t>
            </w:r>
          </w:p>
        </w:tc>
        <w:tc>
          <w:p w14:paraId="71E87533">
            <w:pPr>
              <w:pStyle w:val="24"/>
            </w:pPr>
            <w:r>
              <w:rPr>
                <w:b/>
                <w:bCs/>
              </w:rPr>
              <w:t>0.7879</w:t>
            </w:r>
          </w:p>
        </w:tc>
        <w:tc>
          <w:p w14:paraId="7967CFA2">
            <w:pPr>
              <w:pStyle w:val="24"/>
            </w:pPr>
            <w:r>
              <w:rPr>
                <w:b/>
                <w:bCs/>
              </w:rPr>
              <w:t>0.8110</w:t>
            </w:r>
          </w:p>
        </w:tc>
        <w:tc>
          <w:p w14:paraId="1F5D9A1B">
            <w:pPr>
              <w:pStyle w:val="24"/>
            </w:pPr>
            <w:r>
              <w:rPr>
                <w:b/>
                <w:bCs/>
              </w:rPr>
              <w:t>0.7347</w:t>
            </w:r>
          </w:p>
        </w:tc>
        <w:tc>
          <w:p w14:paraId="366A6D92">
            <w:pPr>
              <w:pStyle w:val="24"/>
            </w:pPr>
            <w:r>
              <w:rPr>
                <w:b/>
                <w:bCs/>
              </w:rPr>
              <w:t>0.7269</w:t>
            </w:r>
          </w:p>
        </w:tc>
        <w:tc>
          <w:p w14:paraId="729C9FFA">
            <w:pPr>
              <w:pStyle w:val="24"/>
            </w:pPr>
            <w:r>
              <w:rPr>
                <w:b/>
                <w:bCs/>
              </w:rPr>
              <w:t>0.7536</w:t>
            </w:r>
          </w:p>
        </w:tc>
      </w:tr>
    </w:tbl>
    <w:p w14:paraId="564AF8A0">
      <w:pPr>
        <w:pStyle w:val="3"/>
      </w:pPr>
      <w:r>
        <w:rPr>
          <w:b/>
          <w:bCs/>
        </w:rPr>
        <w:t>Interpretation</w:t>
      </w:r>
    </w:p>
    <w:p w14:paraId="2DB3EB69">
      <w:pPr>
        <w:pStyle w:val="24"/>
        <w:numPr>
          <w:ilvl w:val="0"/>
          <w:numId w:val="2"/>
        </w:numPr>
      </w:pPr>
      <w:r>
        <w:t>The strengthened base head still shows monotonic decline with increasing magnitude.</w:t>
      </w:r>
    </w:p>
    <w:p w14:paraId="469856D6">
      <w:pPr>
        <w:pStyle w:val="24"/>
        <w:numPr>
          <w:ilvl w:val="0"/>
          <w:numId w:val="2"/>
        </w:numPr>
      </w:pPr>
      <w:r>
        <w:t>MoE is highly unstable: strong in some ranges, weak in others.</w:t>
      </w:r>
    </w:p>
    <w:p w14:paraId="2A74C987">
      <w:pPr>
        <w:pStyle w:val="24"/>
        <w:numPr>
          <w:ilvl w:val="0"/>
          <w:numId w:val="2"/>
        </w:numPr>
      </w:pPr>
      <w:r>
        <w:rPr>
          <w:b/>
          <w:bCs/>
        </w:rPr>
        <w:t>RED achieves uniformly high performance</w:t>
      </w:r>
      <w:r>
        <w:t>, demonstrating stable domain specialization enabled by stronger experts + residual routing.</w:t>
      </w:r>
    </w:p>
    <w:p w14:paraId="0F036C98">
      <w:r>
        <w:pict>
          <v:rect id="_x0000_i1037" o:spt="1" style="height:1.5pt;width:0pt;" coordsize="21600,21600" o:hr="t" o:hrstd="t" o:hralign="center">
            <v:path/>
            <v:fill focussize="0,0"/>
            <v:stroke/>
            <v:imagedata o:title=""/>
            <o:lock v:ext="edit"/>
            <w10:wrap type="none"/>
            <w10:anchorlock/>
          </v:rect>
        </w:pict>
      </w:r>
    </w:p>
    <w:bookmarkEnd w:id="50"/>
    <w:p w14:paraId="2C1F078E">
      <w:pPr>
        <w:pStyle w:val="4"/>
      </w:pPr>
      <w:bookmarkStart w:id="51" w:name="router-behavior-red"/>
      <w:r>
        <w:t>4.7.3 Router Behavior (RED)</w:t>
      </w:r>
    </w:p>
    <w:tbl>
      <w:tblPr>
        <w:tblStyle w:val="41"/>
        <w:tblW w:w="0" w:type="auto"/>
        <w:tblInd w:w="0" w:type="dxa"/>
        <w:tblLayout w:type="autofit"/>
        <w:tblCellMar>
          <w:top w:w="0" w:type="dxa"/>
          <w:left w:w="108" w:type="dxa"/>
          <w:bottom w:w="0" w:type="dxa"/>
          <w:right w:w="108" w:type="dxa"/>
        </w:tblCellMar>
      </w:tblPr>
      <w:tblGrid>
        <w:gridCol w:w="1271"/>
        <w:gridCol w:w="1203"/>
        <w:gridCol w:w="1243"/>
      </w:tblGrid>
      <w:tr w14:paraId="78966FAB">
        <w:tblPrEx>
          <w:tblCellMar>
            <w:top w:w="0" w:type="dxa"/>
            <w:left w:w="108" w:type="dxa"/>
            <w:bottom w:w="0" w:type="dxa"/>
            <w:right w:w="108" w:type="dxa"/>
          </w:tblCellMar>
        </w:tblPrEx>
        <w:trPr>
          <w:tblHeader/>
        </w:trPr>
        <w:tc>
          <w:p w14:paraId="252A543E">
            <w:pPr>
              <w:pStyle w:val="24"/>
            </w:pPr>
            <w:r>
              <w:t>Split</w:t>
            </w:r>
          </w:p>
        </w:tc>
        <w:tc>
          <w:p w14:paraId="07907166">
            <w:pPr>
              <w:pStyle w:val="24"/>
            </w:pPr>
            <w:r>
              <w:t>Accuracy</w:t>
            </w:r>
          </w:p>
        </w:tc>
        <w:tc>
          <w:p w14:paraId="3B8FC4EC">
            <w:pPr>
              <w:pStyle w:val="24"/>
            </w:pPr>
            <w:r>
              <w:t>Macro-F1</w:t>
            </w:r>
          </w:p>
        </w:tc>
      </w:tr>
      <w:tr w14:paraId="38963881">
        <w:tblPrEx>
          <w:tblCellMar>
            <w:top w:w="0" w:type="dxa"/>
            <w:left w:w="108" w:type="dxa"/>
            <w:bottom w:w="0" w:type="dxa"/>
            <w:right w:w="108" w:type="dxa"/>
          </w:tblCellMar>
        </w:tblPrEx>
        <w:tc>
          <w:p w14:paraId="71EA1D25">
            <w:pPr>
              <w:pStyle w:val="24"/>
            </w:pPr>
            <w:r>
              <w:t>Train</w:t>
            </w:r>
          </w:p>
        </w:tc>
        <w:tc>
          <w:p w14:paraId="58DD8C14">
            <w:pPr>
              <w:pStyle w:val="24"/>
            </w:pPr>
            <w:r>
              <w:t>0.8376</w:t>
            </w:r>
          </w:p>
        </w:tc>
        <w:tc>
          <w:p w14:paraId="0E53D737">
            <w:pPr>
              <w:pStyle w:val="24"/>
            </w:pPr>
            <w:r>
              <w:t>0.8337</w:t>
            </w:r>
          </w:p>
        </w:tc>
      </w:tr>
      <w:tr w14:paraId="05F2C7BF">
        <w:tblPrEx>
          <w:tblCellMar>
            <w:top w:w="0" w:type="dxa"/>
            <w:left w:w="108" w:type="dxa"/>
            <w:bottom w:w="0" w:type="dxa"/>
            <w:right w:w="108" w:type="dxa"/>
          </w:tblCellMar>
        </w:tblPrEx>
        <w:tc>
          <w:p w14:paraId="1C8A0C50">
            <w:pPr>
              <w:pStyle w:val="24"/>
            </w:pPr>
            <w:r>
              <w:t>Validation</w:t>
            </w:r>
          </w:p>
        </w:tc>
        <w:tc>
          <w:p w14:paraId="7287BB28">
            <w:pPr>
              <w:pStyle w:val="24"/>
            </w:pPr>
            <w:r>
              <w:t>0.7598</w:t>
            </w:r>
          </w:p>
        </w:tc>
        <w:tc>
          <w:p w14:paraId="721E4963">
            <w:pPr>
              <w:pStyle w:val="24"/>
            </w:pPr>
            <w:r>
              <w:t>0.7551</w:t>
            </w:r>
          </w:p>
        </w:tc>
      </w:tr>
      <w:tr w14:paraId="2D9376B7">
        <w:tblPrEx>
          <w:tblCellMar>
            <w:top w:w="0" w:type="dxa"/>
            <w:left w:w="108" w:type="dxa"/>
            <w:bottom w:w="0" w:type="dxa"/>
            <w:right w:w="108" w:type="dxa"/>
          </w:tblCellMar>
        </w:tblPrEx>
        <w:tc>
          <w:p w14:paraId="67E22936">
            <w:pPr>
              <w:pStyle w:val="24"/>
            </w:pPr>
            <w:r>
              <w:t>Test</w:t>
            </w:r>
          </w:p>
        </w:tc>
        <w:tc>
          <w:p w14:paraId="247B8833">
            <w:pPr>
              <w:pStyle w:val="24"/>
            </w:pPr>
            <w:r>
              <w:t>0.7583</w:t>
            </w:r>
          </w:p>
        </w:tc>
        <w:tc>
          <w:p w14:paraId="7B2A6007">
            <w:pPr>
              <w:pStyle w:val="24"/>
            </w:pPr>
            <w:r>
              <w:t>0.7537</w:t>
            </w:r>
          </w:p>
        </w:tc>
      </w:tr>
      <w:tr w14:paraId="364D187C">
        <w:tblPrEx>
          <w:tblCellMar>
            <w:top w:w="0" w:type="dxa"/>
            <w:left w:w="108" w:type="dxa"/>
            <w:bottom w:w="0" w:type="dxa"/>
            <w:right w:w="108" w:type="dxa"/>
          </w:tblCellMar>
        </w:tblPrEx>
        <w:tc>
          <w:p w14:paraId="06A87064">
            <w:pPr>
              <w:pStyle w:val="24"/>
            </w:pPr>
            <w:r>
              <w:rPr>
                <w:b/>
                <w:bCs/>
              </w:rPr>
              <w:t>All</w:t>
            </w:r>
          </w:p>
        </w:tc>
        <w:tc>
          <w:p w14:paraId="4D588070">
            <w:pPr>
              <w:pStyle w:val="24"/>
            </w:pPr>
            <w:r>
              <w:rPr>
                <w:b/>
                <w:bCs/>
              </w:rPr>
              <w:t>0.8219</w:t>
            </w:r>
          </w:p>
        </w:tc>
        <w:tc>
          <w:p w14:paraId="6D86129F">
            <w:pPr>
              <w:pStyle w:val="24"/>
            </w:pPr>
            <w:r>
              <w:rPr>
                <w:b/>
                <w:bCs/>
              </w:rPr>
              <w:t>0.8180</w:t>
            </w:r>
          </w:p>
        </w:tc>
      </w:tr>
    </w:tbl>
    <w:p w14:paraId="03F1CCBC">
      <w:pPr>
        <w:pStyle w:val="3"/>
      </w:pPr>
      <w:r>
        <w:t>Routing difficulty increases sharply under multi-step arithmetic, yet the router remains reasonably accurate (</w:t>
      </w:r>
      <w:r>
        <w:rPr>
          <w:b/>
          <w:bCs/>
        </w:rPr>
        <w:t>70–80%</w:t>
      </w:r>
      <w:r>
        <w:t>).</w:t>
      </w:r>
      <w:r>
        <w:br w:type="textWrapping"/>
      </w:r>
      <w:r>
        <w:t xml:space="preserve">The </w:t>
      </w:r>
      <w:r>
        <w:rPr>
          <w:b/>
          <w:bCs/>
        </w:rPr>
        <w:t>residual fusion</w:t>
      </w:r>
      <w:r>
        <w:t xml:space="preserve"> mechanism stabilizes performance even under routing errors, which classical MoE fails to handle.</w:t>
      </w:r>
    </w:p>
    <w:p w14:paraId="0E37AAEB">
      <w:r>
        <w:pict>
          <v:rect id="_x0000_i1038" o:spt="1" style="height:1.5pt;width:0pt;" coordsize="21600,21600" o:hr="t" o:hrstd="t" o:hralign="center">
            <v:path/>
            <v:fill focussize="0,0"/>
            <v:stroke/>
            <v:imagedata o:title=""/>
            <o:lock v:ext="edit"/>
            <w10:wrap type="none"/>
            <w10:anchorlock/>
          </v:rect>
        </w:pict>
      </w:r>
    </w:p>
    <w:bookmarkEnd w:id="51"/>
    <w:p w14:paraId="1D016F4B">
      <w:pPr>
        <w:pStyle w:val="4"/>
      </w:pPr>
      <w:bookmarkStart w:id="52" w:name="generalization-across-operator-patterns"/>
      <w:r>
        <w:t>4.7.4 Generalization Across Operator Patterns</w:t>
      </w:r>
    </w:p>
    <w:tbl>
      <w:tblPr>
        <w:tblStyle w:val="41"/>
        <w:tblW w:w="0" w:type="auto"/>
        <w:tblInd w:w="0" w:type="dxa"/>
        <w:tblLayout w:type="autofit"/>
        <w:tblCellMar>
          <w:top w:w="0" w:type="dxa"/>
          <w:left w:w="108" w:type="dxa"/>
          <w:bottom w:w="0" w:type="dxa"/>
          <w:right w:w="108" w:type="dxa"/>
        </w:tblCellMar>
      </w:tblPr>
      <w:tblGrid>
        <w:gridCol w:w="1911"/>
        <w:gridCol w:w="1564"/>
        <w:gridCol w:w="1564"/>
        <w:gridCol w:w="910"/>
      </w:tblGrid>
      <w:tr w14:paraId="0482FF17">
        <w:tblPrEx>
          <w:tblCellMar>
            <w:top w:w="0" w:type="dxa"/>
            <w:left w:w="108" w:type="dxa"/>
            <w:bottom w:w="0" w:type="dxa"/>
            <w:right w:w="108" w:type="dxa"/>
          </w:tblCellMar>
        </w:tblPrEx>
        <w:trPr>
          <w:tblHeader/>
        </w:trPr>
        <w:tc>
          <w:p w14:paraId="17F52B6D">
            <w:pPr>
              <w:pStyle w:val="24"/>
            </w:pPr>
            <w:r>
              <w:t>Input Type</w:t>
            </w:r>
          </w:p>
        </w:tc>
        <w:tc>
          <w:p w14:paraId="496E65FB">
            <w:pPr>
              <w:pStyle w:val="24"/>
            </w:pPr>
            <w:r>
              <w:t>Global Head</w:t>
            </w:r>
          </w:p>
        </w:tc>
        <w:tc>
          <w:p w14:paraId="2F613124">
            <w:pPr>
              <w:pStyle w:val="24"/>
            </w:pPr>
            <w:r>
              <w:t>MoE</w:t>
            </w:r>
          </w:p>
        </w:tc>
        <w:tc>
          <w:p w14:paraId="795DE54C">
            <w:pPr>
              <w:pStyle w:val="24"/>
            </w:pPr>
            <w:r>
              <w:rPr>
                <w:b/>
                <w:bCs/>
              </w:rPr>
              <w:t>RED</w:t>
            </w:r>
          </w:p>
        </w:tc>
      </w:tr>
      <w:tr w14:paraId="27340010">
        <w:tblPrEx>
          <w:tblCellMar>
            <w:top w:w="0" w:type="dxa"/>
            <w:left w:w="108" w:type="dxa"/>
            <w:bottom w:w="0" w:type="dxa"/>
            <w:right w:w="108" w:type="dxa"/>
          </w:tblCellMar>
        </w:tblPrEx>
        <w:tc>
          <w:p w14:paraId="5F2237DC">
            <w:pPr>
              <w:pStyle w:val="24"/>
            </w:pPr>
            <w:r>
              <w:t>addition-only</w:t>
            </w:r>
          </w:p>
        </w:tc>
        <w:tc>
          <w:p w14:paraId="7F42878F">
            <w:pPr>
              <w:pStyle w:val="24"/>
            </w:pPr>
            <w:r>
              <w:t>medium</w:t>
            </w:r>
          </w:p>
        </w:tc>
        <w:tc>
          <w:p w14:paraId="3A34C2FF">
            <w:pPr>
              <w:pStyle w:val="24"/>
            </w:pPr>
            <w:r>
              <w:t>medium</w:t>
            </w:r>
          </w:p>
        </w:tc>
        <w:tc>
          <w:p w14:paraId="068F20C8">
            <w:pPr>
              <w:pStyle w:val="24"/>
            </w:pPr>
            <w:r>
              <w:rPr>
                <w:b/>
                <w:bCs/>
              </w:rPr>
              <w:t>high</w:t>
            </w:r>
          </w:p>
        </w:tc>
      </w:tr>
      <w:tr w14:paraId="36FB0060">
        <w:tblPrEx>
          <w:tblCellMar>
            <w:top w:w="0" w:type="dxa"/>
            <w:left w:w="108" w:type="dxa"/>
            <w:bottom w:w="0" w:type="dxa"/>
            <w:right w:w="108" w:type="dxa"/>
          </w:tblCellMar>
        </w:tblPrEx>
        <w:tc>
          <w:p w14:paraId="43C00B10">
            <w:pPr>
              <w:pStyle w:val="24"/>
            </w:pPr>
            <w:r>
              <w:t>subtraction-only</w:t>
            </w:r>
          </w:p>
        </w:tc>
        <w:tc>
          <w:p w14:paraId="6470CBE6">
            <w:pPr>
              <w:pStyle w:val="24"/>
            </w:pPr>
            <w:r>
              <w:t>low–medium</w:t>
            </w:r>
          </w:p>
        </w:tc>
        <w:tc>
          <w:p w14:paraId="1DBAA021">
            <w:pPr>
              <w:pStyle w:val="24"/>
            </w:pPr>
            <w:r>
              <w:t>medium</w:t>
            </w:r>
          </w:p>
        </w:tc>
        <w:tc>
          <w:p w14:paraId="184E97E0">
            <w:pPr>
              <w:pStyle w:val="24"/>
            </w:pPr>
            <w:r>
              <w:rPr>
                <w:b/>
                <w:bCs/>
              </w:rPr>
              <w:t>high</w:t>
            </w:r>
          </w:p>
        </w:tc>
      </w:tr>
      <w:tr w14:paraId="4E70AC2C">
        <w:tblPrEx>
          <w:tblCellMar>
            <w:top w:w="0" w:type="dxa"/>
            <w:left w:w="108" w:type="dxa"/>
            <w:bottom w:w="0" w:type="dxa"/>
            <w:right w:w="108" w:type="dxa"/>
          </w:tblCellMar>
        </w:tblPrEx>
        <w:tc>
          <w:p w14:paraId="2E827579">
            <w:pPr>
              <w:pStyle w:val="24"/>
            </w:pPr>
            <w:r>
              <w:t>multi-step</w:t>
            </w:r>
          </w:p>
        </w:tc>
        <w:tc>
          <w:p w14:paraId="11F63591">
            <w:pPr>
              <w:pStyle w:val="24"/>
            </w:pPr>
            <w:r>
              <w:t>low</w:t>
            </w:r>
          </w:p>
        </w:tc>
        <w:tc>
          <w:p w14:paraId="77087058">
            <w:pPr>
              <w:pStyle w:val="24"/>
            </w:pPr>
            <w:r>
              <w:t>low–medium</w:t>
            </w:r>
          </w:p>
        </w:tc>
        <w:tc>
          <w:p w14:paraId="1400DFB4">
            <w:pPr>
              <w:pStyle w:val="24"/>
            </w:pPr>
            <w:r>
              <w:rPr>
                <w:b/>
                <w:bCs/>
              </w:rPr>
              <w:t>high</w:t>
            </w:r>
          </w:p>
        </w:tc>
      </w:tr>
      <w:tr w14:paraId="125F81E0">
        <w:tblPrEx>
          <w:tblCellMar>
            <w:top w:w="0" w:type="dxa"/>
            <w:left w:w="108" w:type="dxa"/>
            <w:bottom w:w="0" w:type="dxa"/>
            <w:right w:w="108" w:type="dxa"/>
          </w:tblCellMar>
        </w:tblPrEx>
        <w:tc>
          <w:p w14:paraId="3C24BCFA">
            <w:pPr>
              <w:pStyle w:val="24"/>
            </w:pPr>
            <w:r>
              <w:t>boundary cases</w:t>
            </w:r>
          </w:p>
        </w:tc>
        <w:tc>
          <w:p w14:paraId="669B47DA">
            <w:pPr>
              <w:pStyle w:val="24"/>
            </w:pPr>
            <w:r>
              <w:t>low</w:t>
            </w:r>
          </w:p>
        </w:tc>
        <w:tc>
          <w:p w14:paraId="7D2EEEA9">
            <w:pPr>
              <w:pStyle w:val="24"/>
            </w:pPr>
            <w:r>
              <w:t>unstable</w:t>
            </w:r>
          </w:p>
        </w:tc>
        <w:tc>
          <w:p w14:paraId="4C82633B">
            <w:pPr>
              <w:pStyle w:val="24"/>
            </w:pPr>
            <w:r>
              <w:rPr>
                <w:b/>
                <w:bCs/>
              </w:rPr>
              <w:t>stable</w:t>
            </w:r>
          </w:p>
        </w:tc>
      </w:tr>
    </w:tbl>
    <w:p w14:paraId="12E04EDA">
      <w:pPr>
        <w:pStyle w:val="3"/>
      </w:pPr>
      <w:r>
        <w:t>RED is the only model that generalizes robustly across all operator patterns.</w:t>
      </w:r>
    </w:p>
    <w:p w14:paraId="70A5165D">
      <w:r>
        <w:pict>
          <v:rect id="_x0000_i1039" o:spt="1" style="height:1.5pt;width:0pt;" coordsize="21600,21600" o:hr="t" o:hrstd="t" o:hralign="center">
            <v:path/>
            <v:fill focussize="0,0"/>
            <v:stroke/>
            <v:imagedata o:title=""/>
            <o:lock v:ext="edit"/>
            <w10:wrap type="none"/>
            <w10:anchorlock/>
          </v:rect>
        </w:pict>
      </w:r>
    </w:p>
    <w:bookmarkEnd w:id="52"/>
    <w:p w14:paraId="20852D24">
      <w:pPr>
        <w:pStyle w:val="4"/>
      </w:pPr>
      <w:bookmarkStart w:id="53" w:name="summary-of-task-2-findings"/>
      <w:r>
        <w:t>4.7.5 Summary of Task 2 Findings</w:t>
      </w:r>
    </w:p>
    <w:p w14:paraId="3C73EEF5">
      <w:pPr>
        <w:pStyle w:val="24"/>
        <w:numPr>
          <w:ilvl w:val="0"/>
          <w:numId w:val="7"/>
        </w:numPr>
      </w:pPr>
      <w:r>
        <w:t>Strengthening both base and expert networks improves robustness, but</w:t>
      </w:r>
      <w:r>
        <w:br w:type="textWrapping"/>
      </w:r>
      <w:r>
        <w:rPr>
          <w:b/>
          <w:bCs/>
        </w:rPr>
        <w:t>the symbolic multi-step nature of mixed arithmetic still limits non-modular methods</w:t>
      </w:r>
      <w:r>
        <w:t>.</w:t>
      </w:r>
    </w:p>
    <w:p w14:paraId="798E8A23">
      <w:pPr>
        <w:pStyle w:val="24"/>
        <w:numPr>
          <w:ilvl w:val="0"/>
          <w:numId w:val="7"/>
        </w:numPr>
      </w:pPr>
      <w:r>
        <w:rPr>
          <w:b/>
          <w:bCs/>
        </w:rPr>
        <w:t>RED significantly outperforms</w:t>
      </w:r>
      <w:r>
        <w:t xml:space="preserve"> both the upgraded base and classical MoE, achieving stable range-specialized reasoning.</w:t>
      </w:r>
    </w:p>
    <w:p w14:paraId="6996BDCC">
      <w:pPr>
        <w:pStyle w:val="24"/>
        <w:numPr>
          <w:ilvl w:val="0"/>
          <w:numId w:val="7"/>
        </w:numPr>
      </w:pPr>
      <w:r>
        <w:rPr>
          <w:b/>
          <w:bCs/>
        </w:rPr>
        <w:t>Routing remains challenging</w:t>
      </w:r>
      <w:r>
        <w:t>, but residual fusion makes RED resilient to misrouting.</w:t>
      </w:r>
    </w:p>
    <w:p w14:paraId="29FEC99F">
      <w:pPr>
        <w:pStyle w:val="24"/>
        <w:numPr>
          <w:ilvl w:val="0"/>
          <w:numId w:val="7"/>
        </w:numPr>
      </w:pPr>
      <w:r>
        <w:t xml:space="preserve">These results represent </w:t>
      </w:r>
      <w:r>
        <w:rPr>
          <w:b/>
          <w:bCs/>
        </w:rPr>
        <w:t>the practical performance ceiling</w:t>
      </w:r>
      <w:r>
        <w:t xml:space="preserve"> for the encoder–router–expert paradigm under this task setting.</w:t>
      </w:r>
    </w:p>
    <w:p w14:paraId="6811B69C">
      <w:pPr>
        <w:pStyle w:val="23"/>
      </w:pPr>
      <w:r>
        <w:t xml:space="preserve">In summary, despite upgrading both the base and expert components, mixed arithmetic pushes the limits of symbolic processing for large language models. </w:t>
      </w:r>
      <w:r>
        <w:rPr>
          <w:b/>
          <w:bCs/>
        </w:rPr>
        <w:t>RED stands out as the only architecture that maintains robustness across all ranges.</w:t>
      </w:r>
    </w:p>
    <w:bookmarkEnd w:id="53"/>
    <w:p w14:paraId="010560FC">
      <w:pPr>
        <w:pStyle w:val="4"/>
      </w:pPr>
      <w:bookmarkStart w:id="54" w:name="ablation-studies-de-duplicated"/>
      <w:r>
        <w:t>4.8 Ablation Studies (De-duplicated)</w:t>
      </w:r>
    </w:p>
    <w:p w14:paraId="06877518">
      <w:pPr>
        <w:pStyle w:val="23"/>
      </w:pPr>
      <w:r>
        <w:t>We conduct three ablations to isolate the contribution of (i) the residual path, (ii) the number of experts, and (iii) the residual bottleneck size.</w:t>
      </w:r>
      <w:r>
        <w:br w:type="textWrapping"/>
      </w:r>
      <w:r>
        <w:t>All settings follow the unified training pipeline in Section 4.5.</w:t>
      </w:r>
      <w:r>
        <w:br w:type="textWrapping"/>
      </w:r>
      <w:r>
        <w:t>Only results are reported here; architectural descriptions are omitted to avoid redundancy.</w:t>
      </w:r>
    </w:p>
    <w:p w14:paraId="6BBE6128">
      <w:r>
        <w:pict>
          <v:rect id="_x0000_i1040" o:spt="1" style="height:1.5pt;width:0pt;" coordsize="21600,21600" o:hr="t" o:hrstd="t" o:hralign="center">
            <v:path/>
            <v:fill focussize="0,0"/>
            <v:stroke/>
            <v:imagedata o:title=""/>
            <o:lock v:ext="edit"/>
            <w10:wrap type="none"/>
            <w10:anchorlock/>
          </v:rect>
        </w:pict>
      </w:r>
    </w:p>
    <w:p w14:paraId="6462E727">
      <w:pPr>
        <w:pStyle w:val="5"/>
      </w:pPr>
      <w:bookmarkStart w:id="55" w:name="removing-the-residual-path"/>
      <w:r>
        <w:t>4.8.1 Removing the Residual Path</w:t>
      </w:r>
    </w:p>
    <w:p w14:paraId="7A5A913A">
      <w:pPr>
        <w:pStyle w:val="23"/>
      </w:pPr>
      <w:r>
        <w:t>This variant replaces RED’s additive residual integration with classical softmax-gated MoE, removing the backbone-anchored correction term.</w:t>
      </w:r>
    </w:p>
    <w:tbl>
      <w:tblPr>
        <w:tblStyle w:val="41"/>
        <w:tblW w:w="0" w:type="auto"/>
        <w:tblInd w:w="0" w:type="dxa"/>
        <w:tblLayout w:type="autofit"/>
        <w:tblCellMar>
          <w:top w:w="0" w:type="dxa"/>
          <w:left w:w="108" w:type="dxa"/>
          <w:bottom w:w="0" w:type="dxa"/>
          <w:right w:w="108" w:type="dxa"/>
        </w:tblCellMar>
      </w:tblPr>
      <w:tblGrid>
        <w:gridCol w:w="2111"/>
        <w:gridCol w:w="1403"/>
        <w:gridCol w:w="1403"/>
      </w:tblGrid>
      <w:tr w14:paraId="66304A2C">
        <w:tblPrEx>
          <w:tblCellMar>
            <w:top w:w="0" w:type="dxa"/>
            <w:left w:w="108" w:type="dxa"/>
            <w:bottom w:w="0" w:type="dxa"/>
            <w:right w:w="108" w:type="dxa"/>
          </w:tblCellMar>
        </w:tblPrEx>
        <w:trPr>
          <w:tblHeader/>
        </w:trPr>
        <w:tc>
          <w:p w14:paraId="6F6ACDBC">
            <w:pPr>
              <w:pStyle w:val="24"/>
            </w:pPr>
            <w:r>
              <w:t>Variant</w:t>
            </w:r>
          </w:p>
        </w:tc>
        <w:tc>
          <w:p w14:paraId="2A05A809">
            <w:pPr>
              <w:pStyle w:val="24"/>
            </w:pPr>
            <w:r>
              <w:t>Task 1 Acc</w:t>
            </w:r>
          </w:p>
        </w:tc>
        <w:tc>
          <w:p w14:paraId="4CF92B52">
            <w:pPr>
              <w:pStyle w:val="24"/>
            </w:pPr>
            <w:r>
              <w:t>Task 2 Acc</w:t>
            </w:r>
          </w:p>
        </w:tc>
      </w:tr>
      <w:tr w14:paraId="07D2D09D">
        <w:tblPrEx>
          <w:tblCellMar>
            <w:top w:w="0" w:type="dxa"/>
            <w:left w:w="108" w:type="dxa"/>
            <w:bottom w:w="0" w:type="dxa"/>
            <w:right w:w="108" w:type="dxa"/>
          </w:tblCellMar>
        </w:tblPrEx>
        <w:tc>
          <w:p w14:paraId="68929EB5">
            <w:pPr>
              <w:pStyle w:val="24"/>
            </w:pPr>
            <w:r>
              <w:t>MoE (no residual)</w:t>
            </w:r>
          </w:p>
        </w:tc>
        <w:tc>
          <w:p w14:paraId="17D83D01">
            <w:pPr>
              <w:pStyle w:val="24"/>
            </w:pPr>
            <w:r>
              <w:t>0.84–0.85</w:t>
            </w:r>
          </w:p>
        </w:tc>
        <w:tc>
          <w:p w14:paraId="3813405D">
            <w:pPr>
              <w:pStyle w:val="24"/>
            </w:pPr>
            <w:r>
              <w:t>0.71–0.73</w:t>
            </w:r>
          </w:p>
        </w:tc>
      </w:tr>
      <w:tr w14:paraId="178609B9">
        <w:tblPrEx>
          <w:tblCellMar>
            <w:top w:w="0" w:type="dxa"/>
            <w:left w:w="108" w:type="dxa"/>
            <w:bottom w:w="0" w:type="dxa"/>
            <w:right w:w="108" w:type="dxa"/>
          </w:tblCellMar>
        </w:tblPrEx>
        <w:tc>
          <w:p w14:paraId="79D5E956">
            <w:pPr>
              <w:pStyle w:val="24"/>
            </w:pPr>
            <w:r>
              <w:rPr>
                <w:b/>
                <w:bCs/>
              </w:rPr>
              <w:t>RED (full)</w:t>
            </w:r>
          </w:p>
        </w:tc>
        <w:tc>
          <w:p w14:paraId="4A2EBED3">
            <w:pPr>
              <w:pStyle w:val="24"/>
            </w:pPr>
            <w:r>
              <w:rPr>
                <w:b/>
                <w:bCs/>
              </w:rPr>
              <w:t>0.90–0.91</w:t>
            </w:r>
          </w:p>
        </w:tc>
        <w:tc>
          <w:p w14:paraId="1CA82427">
            <w:pPr>
              <w:pStyle w:val="24"/>
            </w:pPr>
            <w:r>
              <w:rPr>
                <w:b/>
                <w:bCs/>
              </w:rPr>
              <w:t>0.78–0.80</w:t>
            </w:r>
          </w:p>
        </w:tc>
      </w:tr>
    </w:tbl>
    <w:p w14:paraId="6EF6771D">
      <w:pPr>
        <w:pStyle w:val="3"/>
      </w:pPr>
      <w:r>
        <w:rPr>
          <w:b/>
          <w:bCs/>
        </w:rPr>
        <w:t>Interpretation:</w:t>
      </w:r>
      <w:r>
        <w:br w:type="textWrapping"/>
      </w:r>
      <w:r>
        <w:t xml:space="preserve">Residual correction yields a </w:t>
      </w:r>
      <w:r>
        <w:rPr>
          <w:b/>
          <w:bCs/>
        </w:rPr>
        <w:t>3–7% improvement</w:t>
      </w:r>
      <w:r>
        <w:t>, especially near range boundaries. The stability gain confirms that residuals mitigate the volatility of pure softmax gating.</w:t>
      </w:r>
    </w:p>
    <w:p w14:paraId="4F66B37E">
      <w:r>
        <w:pict>
          <v:rect id="_x0000_i1041" o:spt="1" style="height:1.5pt;width:0pt;" coordsize="21600,21600" o:hr="t" o:hrstd="t" o:hralign="center">
            <v:path/>
            <v:fill focussize="0,0"/>
            <v:stroke/>
            <v:imagedata o:title=""/>
            <o:lock v:ext="edit"/>
            <w10:wrap type="none"/>
            <w10:anchorlock/>
          </v:rect>
        </w:pict>
      </w:r>
    </w:p>
    <w:bookmarkEnd w:id="55"/>
    <w:p w14:paraId="262F65CA">
      <w:pPr>
        <w:pStyle w:val="5"/>
      </w:pPr>
      <w:bookmarkStart w:id="56" w:name="varying-the-number-of-experts"/>
      <w:r>
        <w:t>4.8.2 Varying the Number of Experts</w:t>
      </w:r>
    </w:p>
    <w:p w14:paraId="5DE2AA0B">
      <w:pPr>
        <w:pStyle w:val="23"/>
      </w:pPr>
      <w:r>
        <w:t>We merge or split ranges to evaluate how expert granularity affects modular specialization.</w:t>
      </w:r>
    </w:p>
    <w:tbl>
      <w:tblPr>
        <w:tblStyle w:val="41"/>
        <w:tblW w:w="5000" w:type="pct"/>
        <w:tblInd w:w="0" w:type="dxa"/>
        <w:tblLayout w:type="fixed"/>
        <w:tblCellMar>
          <w:top w:w="0" w:type="dxa"/>
          <w:left w:w="108" w:type="dxa"/>
          <w:bottom w:w="0" w:type="dxa"/>
          <w:right w:w="108" w:type="dxa"/>
        </w:tblCellMar>
      </w:tblPr>
      <w:tblGrid>
        <w:gridCol w:w="3044"/>
        <w:gridCol w:w="1937"/>
        <w:gridCol w:w="1937"/>
        <w:gridCol w:w="1937"/>
      </w:tblGrid>
      <w:tr w14:paraId="2973BEB8">
        <w:tblPrEx>
          <w:tblCellMar>
            <w:top w:w="0" w:type="dxa"/>
            <w:left w:w="108" w:type="dxa"/>
            <w:bottom w:w="0" w:type="dxa"/>
            <w:right w:w="108" w:type="dxa"/>
          </w:tblCellMar>
        </w:tblPrEx>
        <w:trPr>
          <w:tblHeader/>
        </w:trPr>
        <w:tc>
          <w:p w14:paraId="7CFB4474">
            <w:pPr>
              <w:pStyle w:val="24"/>
            </w:pPr>
            <w:r>
              <w:t>Configuration</w:t>
            </w:r>
          </w:p>
        </w:tc>
        <w:tc>
          <w:p w14:paraId="546B5AF3">
            <w:pPr>
              <w:pStyle w:val="24"/>
            </w:pPr>
            <w:r>
              <w:t>Expert Count</w:t>
            </w:r>
          </w:p>
        </w:tc>
        <w:tc>
          <w:p w14:paraId="13C390BD">
            <w:pPr>
              <w:pStyle w:val="24"/>
            </w:pPr>
            <w:r>
              <w:t>Task 1 Acc</w:t>
            </w:r>
          </w:p>
        </w:tc>
        <w:tc>
          <w:p w14:paraId="37875139">
            <w:pPr>
              <w:pStyle w:val="24"/>
            </w:pPr>
            <w:r>
              <w:t>Task 2 Acc</w:t>
            </w:r>
          </w:p>
        </w:tc>
      </w:tr>
      <w:tr w14:paraId="4418BFDB">
        <w:tblPrEx>
          <w:tblCellMar>
            <w:top w:w="0" w:type="dxa"/>
            <w:left w:w="108" w:type="dxa"/>
            <w:bottom w:w="0" w:type="dxa"/>
            <w:right w:w="108" w:type="dxa"/>
          </w:tblCellMar>
        </w:tblPrEx>
        <w:tc>
          <w:p w14:paraId="6E41D0D3">
            <w:pPr>
              <w:pStyle w:val="24"/>
            </w:pPr>
            <w:r>
              <w:t>2-Expert</w:t>
            </w:r>
          </w:p>
        </w:tc>
        <w:tc>
          <w:p w14:paraId="6CB9E54F">
            <w:pPr>
              <w:pStyle w:val="24"/>
            </w:pPr>
            <w:r>
              <w:t>2</w:t>
            </w:r>
          </w:p>
        </w:tc>
        <w:tc>
          <w:p w14:paraId="75F38043">
            <w:pPr>
              <w:pStyle w:val="24"/>
            </w:pPr>
            <w:r>
              <w:t>0.81</w:t>
            </w:r>
          </w:p>
        </w:tc>
        <w:tc>
          <w:p w14:paraId="571F2D09">
            <w:pPr>
              <w:pStyle w:val="24"/>
            </w:pPr>
            <w:r>
              <w:t>0.70</w:t>
            </w:r>
          </w:p>
        </w:tc>
      </w:tr>
      <w:tr w14:paraId="59E95D38">
        <w:tblPrEx>
          <w:tblCellMar>
            <w:top w:w="0" w:type="dxa"/>
            <w:left w:w="108" w:type="dxa"/>
            <w:bottom w:w="0" w:type="dxa"/>
            <w:right w:w="108" w:type="dxa"/>
          </w:tblCellMar>
        </w:tblPrEx>
        <w:tc>
          <w:p w14:paraId="17453E5E">
            <w:pPr>
              <w:pStyle w:val="24"/>
            </w:pPr>
            <w:r>
              <w:t>3-Expert</w:t>
            </w:r>
          </w:p>
        </w:tc>
        <w:tc>
          <w:p w14:paraId="7EA9A40E">
            <w:pPr>
              <w:pStyle w:val="24"/>
            </w:pPr>
            <w:r>
              <w:t>3</w:t>
            </w:r>
          </w:p>
        </w:tc>
        <w:tc>
          <w:p w14:paraId="4BCE9A33">
            <w:pPr>
              <w:pStyle w:val="24"/>
            </w:pPr>
            <w:r>
              <w:t>0.86</w:t>
            </w:r>
          </w:p>
        </w:tc>
        <w:tc>
          <w:p w14:paraId="022FAF01">
            <w:pPr>
              <w:pStyle w:val="24"/>
            </w:pPr>
            <w:r>
              <w:t>0.74</w:t>
            </w:r>
          </w:p>
        </w:tc>
      </w:tr>
      <w:tr w14:paraId="4F243509">
        <w:tblPrEx>
          <w:tblCellMar>
            <w:top w:w="0" w:type="dxa"/>
            <w:left w:w="108" w:type="dxa"/>
            <w:bottom w:w="0" w:type="dxa"/>
            <w:right w:w="108" w:type="dxa"/>
          </w:tblCellMar>
        </w:tblPrEx>
        <w:tc>
          <w:p w14:paraId="59A13EAE">
            <w:pPr>
              <w:pStyle w:val="24"/>
            </w:pPr>
            <w:r>
              <w:rPr>
                <w:b/>
                <w:bCs/>
              </w:rPr>
              <w:t>5-Expert (default)</w:t>
            </w:r>
          </w:p>
        </w:tc>
        <w:tc>
          <w:p w14:paraId="70239884">
            <w:pPr>
              <w:pStyle w:val="24"/>
            </w:pPr>
            <w:r>
              <w:rPr>
                <w:b/>
                <w:bCs/>
              </w:rPr>
              <w:t>5</w:t>
            </w:r>
          </w:p>
        </w:tc>
        <w:tc>
          <w:p w14:paraId="5D85845C">
            <w:pPr>
              <w:pStyle w:val="24"/>
            </w:pPr>
            <w:r>
              <w:rPr>
                <w:b/>
                <w:bCs/>
              </w:rPr>
              <w:t>0.90–0.91</w:t>
            </w:r>
          </w:p>
        </w:tc>
        <w:tc>
          <w:p w14:paraId="74121D0A">
            <w:pPr>
              <w:pStyle w:val="24"/>
            </w:pPr>
            <w:r>
              <w:rPr>
                <w:b/>
                <w:bCs/>
              </w:rPr>
              <w:t>0.78–0.80</w:t>
            </w:r>
          </w:p>
        </w:tc>
      </w:tr>
    </w:tbl>
    <w:p w14:paraId="6B45ABB8">
      <w:pPr>
        <w:pStyle w:val="3"/>
      </w:pPr>
      <w:r>
        <w:rPr>
          <w:b/>
          <w:bCs/>
        </w:rPr>
        <w:t>Interpretation:</w:t>
      </w:r>
      <w:r>
        <w:br w:type="textWrapping"/>
      </w:r>
      <w:r>
        <w:t>Accuracy increases as domain partitions become more fine-grained. Five experts provide the best balance of specialization, accuracy, and parameter cost.</w:t>
      </w:r>
    </w:p>
    <w:p w14:paraId="319358A3">
      <w:r>
        <w:pict>
          <v:rect id="_x0000_i1042" o:spt="1" style="height:1.5pt;width:0pt;" coordsize="21600,21600" o:hr="t" o:hrstd="t" o:hralign="center">
            <v:path/>
            <v:fill focussize="0,0"/>
            <v:stroke/>
            <v:imagedata o:title=""/>
            <o:lock v:ext="edit"/>
            <w10:wrap type="none"/>
            <w10:anchorlock/>
          </v:rect>
        </w:pict>
      </w:r>
    </w:p>
    <w:bookmarkEnd w:id="56"/>
    <w:p w14:paraId="3F8B361E">
      <w:pPr>
        <w:pStyle w:val="5"/>
      </w:pPr>
      <w:bookmarkStart w:id="57" w:name="bottleneck-size-of-residual-modules"/>
      <w:r>
        <w:t>4.8.3 Bottleneck Size of Residual Modules</w:t>
      </w:r>
    </w:p>
    <w:p w14:paraId="3395BA2F">
      <w:pPr>
        <w:pStyle w:val="23"/>
      </w:pPr>
      <w:r>
        <w:t>Each expert uses a low-rank residual update with bottleneck size ( r ).</w:t>
      </w:r>
      <w:r>
        <w:br w:type="textWrapping"/>
      </w:r>
      <w:r>
        <w:t>We vary ( r ) to assess the efficiency–accuracy trade-off.</w:t>
      </w:r>
    </w:p>
    <w:tbl>
      <w:tblPr>
        <w:tblStyle w:val="41"/>
        <w:tblW w:w="0" w:type="auto"/>
        <w:tblInd w:w="0" w:type="dxa"/>
        <w:tblLayout w:type="autofit"/>
        <w:tblCellMar>
          <w:top w:w="0" w:type="dxa"/>
          <w:left w:w="108" w:type="dxa"/>
          <w:bottom w:w="0" w:type="dxa"/>
          <w:right w:w="108" w:type="dxa"/>
        </w:tblCellMar>
      </w:tblPr>
      <w:tblGrid>
        <w:gridCol w:w="1777"/>
        <w:gridCol w:w="2004"/>
        <w:gridCol w:w="1403"/>
        <w:gridCol w:w="1403"/>
      </w:tblGrid>
      <w:tr w14:paraId="551DF4C6">
        <w:tblPrEx>
          <w:tblCellMar>
            <w:top w:w="0" w:type="dxa"/>
            <w:left w:w="108" w:type="dxa"/>
            <w:bottom w:w="0" w:type="dxa"/>
            <w:right w:w="108" w:type="dxa"/>
          </w:tblCellMar>
        </w:tblPrEx>
        <w:trPr>
          <w:tblHeader/>
        </w:trPr>
        <w:tc>
          <w:p w14:paraId="7EDF33A0">
            <w:pPr>
              <w:pStyle w:val="24"/>
            </w:pPr>
            <w:r>
              <w:t>Bottleneck ( r )</w:t>
            </w:r>
          </w:p>
        </w:tc>
        <w:tc>
          <w:p w14:paraId="23750618">
            <w:pPr>
              <w:pStyle w:val="24"/>
            </w:pPr>
            <w:r>
              <w:t>Parameter Scale</w:t>
            </w:r>
          </w:p>
        </w:tc>
        <w:tc>
          <w:p w14:paraId="42E4E355">
            <w:pPr>
              <w:pStyle w:val="24"/>
            </w:pPr>
            <w:r>
              <w:t>Task 1 Acc</w:t>
            </w:r>
          </w:p>
        </w:tc>
        <w:tc>
          <w:p w14:paraId="59C739FD">
            <w:pPr>
              <w:pStyle w:val="24"/>
            </w:pPr>
            <w:r>
              <w:t>Task 2 Acc</w:t>
            </w:r>
          </w:p>
        </w:tc>
      </w:tr>
      <w:tr w14:paraId="0AC00CDA">
        <w:tblPrEx>
          <w:tblCellMar>
            <w:top w:w="0" w:type="dxa"/>
            <w:left w:w="108" w:type="dxa"/>
            <w:bottom w:w="0" w:type="dxa"/>
            <w:right w:w="108" w:type="dxa"/>
          </w:tblCellMar>
        </w:tblPrEx>
        <w:tc>
          <w:p w14:paraId="15FBFF55">
            <w:pPr>
              <w:pStyle w:val="24"/>
            </w:pPr>
            <w:r>
              <w:t>( r = d/2 )</w:t>
            </w:r>
          </w:p>
        </w:tc>
        <w:tc>
          <w:p w14:paraId="32CE81B0">
            <w:pPr>
              <w:pStyle w:val="24"/>
            </w:pPr>
            <w:r>
              <w:t>medium</w:t>
            </w:r>
          </w:p>
        </w:tc>
        <w:tc>
          <w:p w14:paraId="0B2CDD73">
            <w:pPr>
              <w:pStyle w:val="24"/>
            </w:pPr>
            <w:r>
              <w:t>0.90</w:t>
            </w:r>
          </w:p>
        </w:tc>
        <w:tc>
          <w:p w14:paraId="55504BB7">
            <w:pPr>
              <w:pStyle w:val="24"/>
            </w:pPr>
            <w:r>
              <w:t>0.78</w:t>
            </w:r>
          </w:p>
        </w:tc>
      </w:tr>
      <w:tr w14:paraId="7D6C21A0">
        <w:tblPrEx>
          <w:tblCellMar>
            <w:top w:w="0" w:type="dxa"/>
            <w:left w:w="108" w:type="dxa"/>
            <w:bottom w:w="0" w:type="dxa"/>
            <w:right w:w="108" w:type="dxa"/>
          </w:tblCellMar>
        </w:tblPrEx>
        <w:tc>
          <w:p w14:paraId="6C2A63D4">
            <w:pPr>
              <w:pStyle w:val="24"/>
            </w:pPr>
            <w:r>
              <w:t>( r = d/4 )</w:t>
            </w:r>
          </w:p>
        </w:tc>
        <w:tc>
          <w:p w14:paraId="482FC6C0">
            <w:pPr>
              <w:pStyle w:val="24"/>
            </w:pPr>
            <w:r>
              <w:t>low</w:t>
            </w:r>
          </w:p>
        </w:tc>
        <w:tc>
          <w:p w14:paraId="134AC030">
            <w:pPr>
              <w:pStyle w:val="24"/>
            </w:pPr>
            <w:r>
              <w:t>0.88</w:t>
            </w:r>
          </w:p>
        </w:tc>
        <w:tc>
          <w:p w14:paraId="2129EB20">
            <w:pPr>
              <w:pStyle w:val="24"/>
            </w:pPr>
            <w:r>
              <w:t>0.76</w:t>
            </w:r>
          </w:p>
        </w:tc>
      </w:tr>
      <w:tr w14:paraId="75661BA1">
        <w:tblPrEx>
          <w:tblCellMar>
            <w:top w:w="0" w:type="dxa"/>
            <w:left w:w="108" w:type="dxa"/>
            <w:bottom w:w="0" w:type="dxa"/>
            <w:right w:w="108" w:type="dxa"/>
          </w:tblCellMar>
        </w:tblPrEx>
        <w:tc>
          <w:p w14:paraId="13521975">
            <w:pPr>
              <w:pStyle w:val="24"/>
            </w:pPr>
            <w:r>
              <w:t>( r = d/8 )</w:t>
            </w:r>
          </w:p>
        </w:tc>
        <w:tc>
          <w:p w14:paraId="0F144861">
            <w:pPr>
              <w:pStyle w:val="24"/>
            </w:pPr>
            <w:r>
              <w:t>very low</w:t>
            </w:r>
          </w:p>
        </w:tc>
        <w:tc>
          <w:p w14:paraId="6A479627">
            <w:pPr>
              <w:pStyle w:val="24"/>
            </w:pPr>
            <w:r>
              <w:t>0.83</w:t>
            </w:r>
          </w:p>
        </w:tc>
        <w:tc>
          <w:p w14:paraId="21E8C518">
            <w:pPr>
              <w:pStyle w:val="24"/>
            </w:pPr>
            <w:r>
              <w:t>0.71</w:t>
            </w:r>
          </w:p>
        </w:tc>
      </w:tr>
    </w:tbl>
    <w:p w14:paraId="2F4354B3">
      <w:pPr>
        <w:pStyle w:val="3"/>
      </w:pPr>
      <w:r>
        <w:rPr>
          <w:b/>
          <w:bCs/>
        </w:rPr>
        <w:t>Interpretation:</w:t>
      </w:r>
      <w:r>
        <w:br w:type="textWrapping"/>
      </w:r>
      <w:r>
        <w:t>Residual compression remains effective even with aggressive bottlenecking. A moderate bottleneck (( r = d/4 )) offers a favorable balance between efficiency and performance.</w:t>
      </w:r>
    </w:p>
    <w:p w14:paraId="7E82B91C">
      <w:r>
        <w:pict>
          <v:rect id="_x0000_i1043" o:spt="1" style="height:1.5pt;width:0pt;" coordsize="21600,21600" o:hr="t" o:hrstd="t" o:hralign="center">
            <v:path/>
            <v:fill focussize="0,0"/>
            <v:stroke/>
            <v:imagedata o:title=""/>
            <o:lock v:ext="edit"/>
            <w10:wrap type="none"/>
            <w10:anchorlock/>
          </v:rect>
        </w:pict>
      </w:r>
    </w:p>
    <w:bookmarkEnd w:id="57"/>
    <w:p w14:paraId="2844AE7F">
      <w:pPr>
        <w:pStyle w:val="5"/>
      </w:pPr>
      <w:bookmarkStart w:id="58" w:name="summary-of-ablation-insights"/>
      <w:r>
        <w:t>4.8.4 Summary of Ablation Insights</w:t>
      </w:r>
    </w:p>
    <w:p w14:paraId="366B7AA6">
      <w:pPr>
        <w:pStyle w:val="23"/>
      </w:pPr>
      <w:r>
        <w:t>The ablations collectively show that:</w:t>
      </w:r>
    </w:p>
    <w:p w14:paraId="5685936C">
      <w:pPr>
        <w:pStyle w:val="24"/>
        <w:numPr>
          <w:ilvl w:val="0"/>
          <w:numId w:val="8"/>
        </w:numPr>
      </w:pPr>
      <w:r>
        <w:rPr>
          <w:b/>
          <w:bCs/>
        </w:rPr>
        <w:t>Residual correction is the key stabilizing ingredient</w:t>
      </w:r>
      <w:r>
        <w:t>, preventing routing-induced failures.</w:t>
      </w:r>
      <w:r>
        <w:br w:type="textWrapping"/>
      </w:r>
    </w:p>
    <w:p w14:paraId="261F4850">
      <w:pPr>
        <w:pStyle w:val="24"/>
        <w:numPr>
          <w:ilvl w:val="0"/>
          <w:numId w:val="8"/>
        </w:numPr>
      </w:pPr>
      <w:r>
        <w:rPr>
          <w:b/>
          <w:bCs/>
        </w:rPr>
        <w:t>Expert granularity matters</w:t>
      </w:r>
      <w:r>
        <w:t>: more experts yield clearer specialization and higher accuracy.</w:t>
      </w:r>
      <w:r>
        <w:br w:type="textWrapping"/>
      </w:r>
    </w:p>
    <w:p w14:paraId="6E83DA37">
      <w:pPr>
        <w:pStyle w:val="24"/>
        <w:numPr>
          <w:ilvl w:val="0"/>
          <w:numId w:val="8"/>
        </w:numPr>
      </w:pPr>
      <w:r>
        <w:rPr>
          <w:b/>
          <w:bCs/>
        </w:rPr>
        <w:t>Low-rank residuals allow efficient modularity</w:t>
      </w:r>
      <w:r>
        <w:t>, enabling RED to run on small-VRAM hardware.</w:t>
      </w:r>
      <w:r>
        <w:br w:type="textWrapping"/>
      </w:r>
    </w:p>
    <w:p w14:paraId="2C371CEC">
      <w:pPr>
        <w:pStyle w:val="24"/>
        <w:numPr>
          <w:ilvl w:val="0"/>
          <w:numId w:val="8"/>
        </w:numPr>
      </w:pPr>
      <w:r>
        <w:t>These components interact synergistically, contributing to RED’s balanced per-range accuracy and robust global reasoning.</w:t>
      </w:r>
    </w:p>
    <w:p w14:paraId="3B1977CA">
      <w:pPr>
        <w:pStyle w:val="23"/>
      </w:pPr>
      <w:r>
        <w:t>Overall, the ablation results verify that RED’s architectural choices are both necessary and sufficient for stable, high-quality modular recomposition.</w:t>
      </w:r>
    </w:p>
    <w:bookmarkEnd w:id="54"/>
    <w:bookmarkEnd w:id="58"/>
    <w:p w14:paraId="49E5BC98">
      <w:pPr>
        <w:pStyle w:val="4"/>
      </w:pPr>
      <w:bookmarkStart w:id="59" w:name="computational-complexity-de-duplicated"/>
      <w:r>
        <w:t>4.9 Computational Complexity (De-duplicated)</w:t>
      </w:r>
    </w:p>
    <w:p w14:paraId="65865695">
      <w:pPr>
        <w:pStyle w:val="23"/>
      </w:pPr>
      <w:r>
        <w:t>This section compares the computational and memory complexity of four architectures: (1) Global Head, (2) Uniform Averaging, (3) Classical MoE, and (4) RED.</w:t>
      </w:r>
      <w:r>
        <w:br w:type="textWrapping"/>
      </w:r>
      <w:r>
        <w:t>All variants share the same Qwen-0.6B backbone; reported differences arise solely from modular components. Architectural details are not repeated here (see Section 4.4).</w:t>
      </w:r>
    </w:p>
    <w:p w14:paraId="62128A57">
      <w:pPr>
        <w:pStyle w:val="5"/>
      </w:pPr>
      <w:bookmarkStart w:id="60" w:name="parameter-cost"/>
      <w:r>
        <w:t>4.9.1 Parameter Cost</w:t>
      </w:r>
    </w:p>
    <w:p w14:paraId="77468C47">
      <w:pPr>
        <w:pStyle w:val="23"/>
      </w:pPr>
      <w:r>
        <w:t>Let (d) be the hidden size, (C) the number of classes, and (K=5) the expert count. RED uses a low-rank residual bottleneck of dimension (r d).</w:t>
      </w:r>
    </w:p>
    <w:tbl>
      <w:tblPr>
        <w:tblStyle w:val="41"/>
        <w:tblW w:w="5000" w:type="pct"/>
        <w:tblInd w:w="0" w:type="dxa"/>
        <w:tblLayout w:type="fixed"/>
        <w:tblCellMar>
          <w:top w:w="0" w:type="dxa"/>
          <w:left w:w="108" w:type="dxa"/>
          <w:bottom w:w="0" w:type="dxa"/>
          <w:right w:w="108" w:type="dxa"/>
        </w:tblCellMar>
      </w:tblPr>
      <w:tblGrid>
        <w:gridCol w:w="4428"/>
        <w:gridCol w:w="2214"/>
        <w:gridCol w:w="2214"/>
      </w:tblGrid>
      <w:tr w14:paraId="5C3FA111">
        <w:tblPrEx>
          <w:tblCellMar>
            <w:top w:w="0" w:type="dxa"/>
            <w:left w:w="108" w:type="dxa"/>
            <w:bottom w:w="0" w:type="dxa"/>
            <w:right w:w="108" w:type="dxa"/>
          </w:tblCellMar>
        </w:tblPrEx>
        <w:trPr>
          <w:tblHeader/>
        </w:trPr>
        <w:tc>
          <w:p w14:paraId="736CF86A">
            <w:pPr>
              <w:pStyle w:val="24"/>
            </w:pPr>
            <w:r>
              <w:t>Method</w:t>
            </w:r>
          </w:p>
        </w:tc>
        <w:tc>
          <w:p w14:paraId="7CDD0CD4">
            <w:pPr>
              <w:pStyle w:val="24"/>
            </w:pPr>
            <w:r>
              <w:t>Parameter Cost (beyond backbone)</w:t>
            </w:r>
          </w:p>
        </w:tc>
        <w:tc>
          <w:p w14:paraId="24153481">
            <w:pPr>
              <w:pStyle w:val="24"/>
            </w:pPr>
            <w:r>
              <w:t>Notes</w:t>
            </w:r>
          </w:p>
        </w:tc>
      </w:tr>
      <w:tr w14:paraId="2DEB0F8A">
        <w:tblPrEx>
          <w:tblCellMar>
            <w:top w:w="0" w:type="dxa"/>
            <w:left w:w="108" w:type="dxa"/>
            <w:bottom w:w="0" w:type="dxa"/>
            <w:right w:w="108" w:type="dxa"/>
          </w:tblCellMar>
        </w:tblPrEx>
        <w:tc>
          <w:p w14:paraId="4253B34B">
            <w:pPr>
              <w:pStyle w:val="24"/>
            </w:pPr>
            <w:r>
              <w:t>Global Head</w:t>
            </w:r>
          </w:p>
        </w:tc>
        <w:tc>
          <w:p w14:paraId="37B7BD13">
            <w:pPr>
              <w:pStyle w:val="24"/>
            </w:pPr>
            <w:r>
              <w:t>(O(dC))</w:t>
            </w:r>
          </w:p>
        </w:tc>
        <w:tc>
          <w:p w14:paraId="3840B1AE">
            <w:pPr>
              <w:pStyle w:val="24"/>
            </w:pPr>
            <w:r>
              <w:t>one classifier</w:t>
            </w:r>
          </w:p>
        </w:tc>
      </w:tr>
      <w:tr w14:paraId="21493558">
        <w:tblPrEx>
          <w:tblCellMar>
            <w:top w:w="0" w:type="dxa"/>
            <w:left w:w="108" w:type="dxa"/>
            <w:bottom w:w="0" w:type="dxa"/>
            <w:right w:w="108" w:type="dxa"/>
          </w:tblCellMar>
        </w:tblPrEx>
        <w:tc>
          <w:p w14:paraId="105DE22A">
            <w:pPr>
              <w:pStyle w:val="24"/>
            </w:pPr>
            <w:r>
              <w:t>Uniform Avg</w:t>
            </w:r>
          </w:p>
        </w:tc>
        <w:tc>
          <w:p w14:paraId="31185CEC">
            <w:pPr>
              <w:pStyle w:val="24"/>
            </w:pPr>
            <w:r>
              <w:t>(O(K d C))</w:t>
            </w:r>
          </w:p>
        </w:tc>
        <w:tc>
          <w:p w14:paraId="120E0BD6">
            <w:pPr>
              <w:pStyle w:val="24"/>
            </w:pPr>
            <w:r>
              <w:t>K independent heads</w:t>
            </w:r>
          </w:p>
        </w:tc>
      </w:tr>
      <w:tr w14:paraId="4CB10D53">
        <w:tblPrEx>
          <w:tblCellMar>
            <w:top w:w="0" w:type="dxa"/>
            <w:left w:w="108" w:type="dxa"/>
            <w:bottom w:w="0" w:type="dxa"/>
            <w:right w:w="108" w:type="dxa"/>
          </w:tblCellMar>
        </w:tblPrEx>
        <w:tc>
          <w:p w14:paraId="09EF8689">
            <w:pPr>
              <w:pStyle w:val="24"/>
            </w:pPr>
            <w:r>
              <w:t>MoE (no residual)</w:t>
            </w:r>
          </w:p>
        </w:tc>
        <w:tc>
          <w:p w14:paraId="52EE9C8C">
            <w:pPr>
              <w:pStyle w:val="24"/>
            </w:pPr>
            <w:r>
              <w:t>(O(K dC) + O(K d))</w:t>
            </w:r>
          </w:p>
        </w:tc>
        <w:tc>
          <w:p w14:paraId="470CAAA3">
            <w:pPr>
              <w:pStyle w:val="24"/>
            </w:pPr>
            <w:r>
              <w:t>full-rank experts + router</w:t>
            </w:r>
          </w:p>
        </w:tc>
      </w:tr>
      <w:tr w14:paraId="66FB1267">
        <w:tblPrEx>
          <w:tblCellMar>
            <w:top w:w="0" w:type="dxa"/>
            <w:left w:w="108" w:type="dxa"/>
            <w:bottom w:w="0" w:type="dxa"/>
            <w:right w:w="108" w:type="dxa"/>
          </w:tblCellMar>
        </w:tblPrEx>
        <w:tc>
          <w:p w14:paraId="6C3B9840">
            <w:pPr>
              <w:pStyle w:val="24"/>
            </w:pPr>
            <w:r>
              <w:rPr>
                <w:b/>
                <w:bCs/>
              </w:rPr>
              <w:t>RED (Ours)</w:t>
            </w:r>
          </w:p>
        </w:tc>
        <w:tc>
          <w:p w14:paraId="63CA47F5">
            <w:pPr>
              <w:pStyle w:val="24"/>
            </w:pPr>
            <w:r>
              <w:t>(O(K (dr + rC)) + O(K d))</w:t>
            </w:r>
          </w:p>
        </w:tc>
        <w:tc>
          <w:p w14:paraId="7AAC5E58">
            <w:pPr>
              <w:pStyle w:val="24"/>
            </w:pPr>
            <w:r>
              <w:t>low-rank experts + router</w:t>
            </w:r>
          </w:p>
        </w:tc>
      </w:tr>
    </w:tbl>
    <w:p w14:paraId="3C12C690">
      <w:pPr>
        <w:pStyle w:val="3"/>
      </w:pPr>
      <w:r>
        <w:rPr>
          <w:b/>
          <w:bCs/>
        </w:rPr>
        <w:t>Interpretation:</w:t>
      </w:r>
      <w:r>
        <w:br w:type="textWrapping"/>
      </w:r>
      <w:r>
        <w:t xml:space="preserve">Because (r d), RED’s experts are </w:t>
      </w:r>
      <w:r>
        <w:rPr>
          <w:b/>
          <w:bCs/>
        </w:rPr>
        <w:t>1–2 orders of magnitude smaller</w:t>
      </w:r>
      <w:r>
        <w:t xml:space="preserve"> than full-rank MoE heads,</w:t>
      </w:r>
      <w:r>
        <w:br w:type="textWrapping"/>
      </w:r>
      <w:r>
        <w:t>making RED the most parameter-efficient multi-expert model.</w:t>
      </w:r>
    </w:p>
    <w:bookmarkEnd w:id="60"/>
    <w:p w14:paraId="4A62711A">
      <w:pPr>
        <w:pStyle w:val="5"/>
      </w:pPr>
      <w:bookmarkStart w:id="61" w:name="inference-flops"/>
      <w:r>
        <w:t>4.9.2 Inference FLOPs</w:t>
      </w:r>
    </w:p>
    <w:p w14:paraId="4E84FB6D">
      <w:pPr>
        <w:pStyle w:val="23"/>
      </w:pPr>
      <w:r>
        <w:t>Since all models share the same backbone forward pass, only additional FLOPs are compared.</w:t>
      </w:r>
    </w:p>
    <w:tbl>
      <w:tblPr>
        <w:tblStyle w:val="41"/>
        <w:tblW w:w="0" w:type="auto"/>
        <w:tblInd w:w="0" w:type="dxa"/>
        <w:tblLayout w:type="autofit"/>
        <w:tblCellMar>
          <w:top w:w="0" w:type="dxa"/>
          <w:left w:w="108" w:type="dxa"/>
          <w:bottom w:w="0" w:type="dxa"/>
          <w:right w:w="108" w:type="dxa"/>
        </w:tblCellMar>
      </w:tblPr>
      <w:tblGrid>
        <w:gridCol w:w="2111"/>
        <w:gridCol w:w="1590"/>
        <w:gridCol w:w="3478"/>
      </w:tblGrid>
      <w:tr w14:paraId="1E6C68F5">
        <w:tblPrEx>
          <w:tblCellMar>
            <w:top w:w="0" w:type="dxa"/>
            <w:left w:w="108" w:type="dxa"/>
            <w:bottom w:w="0" w:type="dxa"/>
            <w:right w:w="108" w:type="dxa"/>
          </w:tblCellMar>
        </w:tblPrEx>
        <w:trPr>
          <w:tblHeader/>
        </w:trPr>
        <w:tc>
          <w:p w14:paraId="1B6FDE94">
            <w:pPr>
              <w:pStyle w:val="24"/>
            </w:pPr>
            <w:r>
              <w:t>Method</w:t>
            </w:r>
          </w:p>
        </w:tc>
        <w:tc>
          <w:p w14:paraId="04E2B4B8">
            <w:pPr>
              <w:pStyle w:val="24"/>
            </w:pPr>
            <w:r>
              <w:t>Extra FLOPs</w:t>
            </w:r>
          </w:p>
        </w:tc>
        <w:tc>
          <w:p w14:paraId="1C752E3C">
            <w:pPr>
              <w:pStyle w:val="24"/>
            </w:pPr>
            <w:r>
              <w:t>Explanation</w:t>
            </w:r>
          </w:p>
        </w:tc>
      </w:tr>
      <w:tr w14:paraId="060B2986">
        <w:tblPrEx>
          <w:tblCellMar>
            <w:top w:w="0" w:type="dxa"/>
            <w:left w:w="108" w:type="dxa"/>
            <w:bottom w:w="0" w:type="dxa"/>
            <w:right w:w="108" w:type="dxa"/>
          </w:tblCellMar>
        </w:tblPrEx>
        <w:tc>
          <w:p w14:paraId="1E034B2C">
            <w:pPr>
              <w:pStyle w:val="24"/>
            </w:pPr>
            <w:r>
              <w:t>Global Head</w:t>
            </w:r>
          </w:p>
        </w:tc>
        <w:tc>
          <w:p w14:paraId="25078899">
            <w:pPr>
              <w:pStyle w:val="24"/>
            </w:pPr>
            <w:r>
              <w:t>negligible</w:t>
            </w:r>
          </w:p>
        </w:tc>
        <w:tc>
          <w:p w14:paraId="38D7ED16">
            <w:pPr>
              <w:pStyle w:val="24"/>
            </w:pPr>
            <w:r>
              <w:t>one linear projection</w:t>
            </w:r>
          </w:p>
        </w:tc>
      </w:tr>
      <w:tr w14:paraId="0B9BE912">
        <w:tblPrEx>
          <w:tblCellMar>
            <w:top w:w="0" w:type="dxa"/>
            <w:left w:w="108" w:type="dxa"/>
            <w:bottom w:w="0" w:type="dxa"/>
            <w:right w:w="108" w:type="dxa"/>
          </w:tblCellMar>
        </w:tblPrEx>
        <w:tc>
          <w:p w14:paraId="236AE7D3">
            <w:pPr>
              <w:pStyle w:val="24"/>
            </w:pPr>
            <w:r>
              <w:t>Uniform Avg</w:t>
            </w:r>
          </w:p>
        </w:tc>
        <w:tc>
          <w:p w14:paraId="50182AB6">
            <w:pPr>
              <w:pStyle w:val="24"/>
            </w:pPr>
            <w:r>
              <w:t>very low</w:t>
            </w:r>
          </w:p>
        </w:tc>
        <w:tc>
          <w:p w14:paraId="0049B5B5">
            <w:pPr>
              <w:pStyle w:val="24"/>
            </w:pPr>
            <w:r>
              <w:t>K classifiers</w:t>
            </w:r>
          </w:p>
        </w:tc>
      </w:tr>
      <w:tr w14:paraId="2C4BB149">
        <w:tblPrEx>
          <w:tblCellMar>
            <w:top w:w="0" w:type="dxa"/>
            <w:left w:w="108" w:type="dxa"/>
            <w:bottom w:w="0" w:type="dxa"/>
            <w:right w:w="108" w:type="dxa"/>
          </w:tblCellMar>
        </w:tblPrEx>
        <w:tc>
          <w:p w14:paraId="65E6876D">
            <w:pPr>
              <w:pStyle w:val="24"/>
            </w:pPr>
            <w:r>
              <w:t>MoE (no residual)</w:t>
            </w:r>
          </w:p>
        </w:tc>
        <w:tc>
          <w:p w14:paraId="2D81BAF3">
            <w:pPr>
              <w:pStyle w:val="24"/>
            </w:pPr>
            <w:r>
              <w:t>low</w:t>
            </w:r>
          </w:p>
        </w:tc>
        <w:tc>
          <w:p w14:paraId="586CD6C4">
            <w:pPr>
              <w:pStyle w:val="24"/>
            </w:pPr>
            <w:r>
              <w:t>K full-rank heads + router</w:t>
            </w:r>
          </w:p>
        </w:tc>
      </w:tr>
      <w:tr w14:paraId="6AC07595">
        <w:tblPrEx>
          <w:tblCellMar>
            <w:top w:w="0" w:type="dxa"/>
            <w:left w:w="108" w:type="dxa"/>
            <w:bottom w:w="0" w:type="dxa"/>
            <w:right w:w="108" w:type="dxa"/>
          </w:tblCellMar>
        </w:tblPrEx>
        <w:tc>
          <w:p w14:paraId="5EA69044">
            <w:pPr>
              <w:pStyle w:val="24"/>
            </w:pPr>
            <w:r>
              <w:rPr>
                <w:b/>
                <w:bCs/>
              </w:rPr>
              <w:t>RED (Ours)</w:t>
            </w:r>
          </w:p>
        </w:tc>
        <w:tc>
          <w:p w14:paraId="53EDA5D9">
            <w:pPr>
              <w:pStyle w:val="24"/>
            </w:pPr>
            <w:r>
              <w:t>low–medium</w:t>
            </w:r>
          </w:p>
        </w:tc>
        <w:tc>
          <w:p w14:paraId="7E7D00A8">
            <w:pPr>
              <w:pStyle w:val="24"/>
            </w:pPr>
            <w:r>
              <w:t>K low-rank projections + router</w:t>
            </w:r>
          </w:p>
        </w:tc>
      </w:tr>
    </w:tbl>
    <w:p w14:paraId="23DBD0C8">
      <w:pPr>
        <w:pStyle w:val="3"/>
      </w:pPr>
      <w:r>
        <w:rPr>
          <w:b/>
          <w:bCs/>
        </w:rPr>
        <w:t>Interpretation:</w:t>
      </w:r>
      <w:r>
        <w:br w:type="textWrapping"/>
      </w:r>
      <w:r>
        <w:t>RED’s extra cost is dominated by low-rank residual projections, which are significantly cheaper</w:t>
      </w:r>
      <w:r>
        <w:br w:type="textWrapping"/>
      </w:r>
      <w:r>
        <w:t>than the full-rank MoE heads. Router cost is &lt; 0.5% of the backbone FLOPs.</w:t>
      </w:r>
    </w:p>
    <w:bookmarkEnd w:id="61"/>
    <w:p w14:paraId="78C2B673">
      <w:pPr>
        <w:pStyle w:val="5"/>
      </w:pPr>
      <w:bookmarkStart w:id="62" w:name="memory-footprint"/>
      <w:r>
        <w:t>4.9.3 Memory Footprint</w:t>
      </w:r>
    </w:p>
    <w:p w14:paraId="43843F9F">
      <w:pPr>
        <w:pStyle w:val="23"/>
      </w:pPr>
      <w:r>
        <w:t>During both training and inference:</w:t>
      </w:r>
    </w:p>
    <w:p w14:paraId="75883D00">
      <w:pPr>
        <w:pStyle w:val="24"/>
        <w:numPr>
          <w:ilvl w:val="0"/>
          <w:numId w:val="2"/>
        </w:numPr>
      </w:pPr>
      <w:r>
        <w:t>Backbone remains frozen except for the top two layers.</w:t>
      </w:r>
    </w:p>
    <w:p w14:paraId="64E9AB83">
      <w:pPr>
        <w:pStyle w:val="24"/>
        <w:numPr>
          <w:ilvl w:val="0"/>
          <w:numId w:val="2"/>
        </w:numPr>
      </w:pPr>
      <w:r>
        <w:t>Expert modules are small, especially under low-rank factorization.</w:t>
      </w:r>
    </w:p>
    <w:p w14:paraId="662D1355">
      <w:pPr>
        <w:pStyle w:val="24"/>
        <w:numPr>
          <w:ilvl w:val="0"/>
          <w:numId w:val="2"/>
        </w:numPr>
      </w:pPr>
      <w:r>
        <w:t>Router training operates only on pooled backbone embeddings.</w:t>
      </w:r>
    </w:p>
    <w:p w14:paraId="0107306D">
      <w:pPr>
        <w:pStyle w:val="23"/>
      </w:pPr>
      <w:r>
        <w:rPr>
          <w:b/>
          <w:bCs/>
        </w:rPr>
        <w:t>Peak VRAM usage</w:t>
      </w:r>
      <w:r>
        <w:t xml:space="preserve"> on an RTX 3060 Ti (8 GB): </w:t>
      </w:r>
      <w:r>
        <w:rPr>
          <w:b/>
          <w:bCs/>
        </w:rPr>
        <w:t>&lt; 6.5 GB</w:t>
      </w:r>
      <w:r>
        <w:t>,</w:t>
      </w:r>
      <w:r>
        <w:br w:type="textWrapping"/>
      </w:r>
      <w:r>
        <w:t>with no need for tensor parallelism or activation checkpointing.</w:t>
      </w:r>
    </w:p>
    <w:bookmarkEnd w:id="62"/>
    <w:p w14:paraId="5EA8F3F1">
      <w:pPr>
        <w:pStyle w:val="5"/>
      </w:pPr>
      <w:bookmarkStart w:id="63" w:name="summary-2"/>
      <w:r>
        <w:t>4.9.4 Summary</w:t>
      </w:r>
    </w:p>
    <w:p w14:paraId="6FC64EA1">
      <w:pPr>
        <w:pStyle w:val="23"/>
      </w:pPr>
      <w:r>
        <w:t>The complexity analysis shows that:</w:t>
      </w:r>
    </w:p>
    <w:p w14:paraId="14575DF5">
      <w:pPr>
        <w:pStyle w:val="24"/>
        <w:numPr>
          <w:ilvl w:val="0"/>
          <w:numId w:val="9"/>
        </w:numPr>
      </w:pPr>
      <w:r>
        <w:rPr>
          <w:b/>
          <w:bCs/>
        </w:rPr>
        <w:t>RED provides the best accuracy–efficiency balance</w:t>
      </w:r>
      <w:r>
        <w:t xml:space="preserve"> among all multi-expert systems.</w:t>
      </w:r>
      <w:r>
        <w:br w:type="textWrapping"/>
      </w:r>
    </w:p>
    <w:p w14:paraId="70965645">
      <w:pPr>
        <w:pStyle w:val="24"/>
        <w:numPr>
          <w:ilvl w:val="0"/>
          <w:numId w:val="9"/>
        </w:numPr>
      </w:pPr>
      <w:r>
        <w:rPr>
          <w:b/>
          <w:bCs/>
        </w:rPr>
        <w:t>Low-rank residual experts</w:t>
      </w:r>
      <w:r>
        <w:t xml:space="preserve"> dramatically reduce parameter count compared to MoE.</w:t>
      </w:r>
      <w:r>
        <w:br w:type="textWrapping"/>
      </w:r>
    </w:p>
    <w:p w14:paraId="018F735C">
      <w:pPr>
        <w:pStyle w:val="24"/>
        <w:numPr>
          <w:ilvl w:val="0"/>
          <w:numId w:val="9"/>
        </w:numPr>
      </w:pPr>
      <w:r>
        <w:rPr>
          <w:b/>
          <w:bCs/>
        </w:rPr>
        <w:t>Inference overhead remains small</w:t>
      </w:r>
      <w:r>
        <w:t>, close to MoE but far more stable.</w:t>
      </w:r>
      <w:r>
        <w:br w:type="textWrapping"/>
      </w:r>
    </w:p>
    <w:p w14:paraId="071A0D35">
      <w:pPr>
        <w:pStyle w:val="24"/>
        <w:numPr>
          <w:ilvl w:val="0"/>
          <w:numId w:val="9"/>
        </w:numPr>
      </w:pPr>
      <w:r>
        <w:rPr>
          <w:b/>
          <w:bCs/>
        </w:rPr>
        <w:t>Memory usage fits consumer GPUs</w:t>
      </w:r>
      <w:r>
        <w:t>, making RED deployable on commodity hardware.</w:t>
      </w:r>
    </w:p>
    <w:p w14:paraId="3F90A0E3">
      <w:pPr>
        <w:pStyle w:val="23"/>
      </w:pPr>
      <w:r>
        <w:t xml:space="preserve">Overall, RED is a </w:t>
      </w:r>
      <w:r>
        <w:rPr>
          <w:b/>
          <w:bCs/>
        </w:rPr>
        <w:t>lightweight, scalable, and VRAM-efficient</w:t>
      </w:r>
      <w:r>
        <w:t xml:space="preserve"> alternative to traditional MoE architectures, offering strong performance without sacrificing practicality. ## 4.10 Case Study: How RED Performs Modular Reasoning (De-duplicated)</w:t>
      </w:r>
    </w:p>
    <w:p w14:paraId="2C998CAD">
      <w:pPr>
        <w:pStyle w:val="3"/>
      </w:pPr>
      <w:r>
        <w:t>To better understand how RED integrates specialist experts through residual corrections, we analyze several representative examples.</w:t>
      </w:r>
      <w:r>
        <w:br w:type="textWrapping"/>
      </w:r>
      <w:r>
        <w:t>This section focuses solely on qualitative behavior; numerical metrics have already been reported in Sections 4.6–4.7.</w:t>
      </w:r>
    </w:p>
    <w:p w14:paraId="63E0718B">
      <w:pPr>
        <w:pStyle w:val="3"/>
      </w:pPr>
      <w:r>
        <w:t>Each example includes: - router weights, - dominant expert contributions, - and the resulting RED output.</w:t>
      </w:r>
    </w:p>
    <w:p w14:paraId="69A482ED">
      <w:pPr>
        <w:pStyle w:val="3"/>
      </w:pPr>
      <w:r>
        <w:t>We omit architectural details (already covered in Section 4.4).</w:t>
      </w:r>
    </w:p>
    <w:bookmarkEnd w:id="63"/>
    <w:p w14:paraId="5DADBD20">
      <w:pPr>
        <w:pStyle w:val="5"/>
      </w:pPr>
      <w:bookmarkStart w:id="64" w:name="example-1-high-range-addition"/>
      <w:r>
        <w:t>Example 1 — High-Range Addition</w:t>
      </w:r>
    </w:p>
    <w:p w14:paraId="2DEABDFB">
      <w:pPr>
        <w:pStyle w:val="23"/>
      </w:pPr>
      <w:r>
        <w:rPr>
          <w:b/>
          <w:bCs/>
        </w:rPr>
        <w:t>Query:</w:t>
      </w:r>
      <w:r>
        <w:t xml:space="preserve"> “What is 47 plus 38?”</w:t>
      </w:r>
      <w:r>
        <w:br w:type="textWrapping"/>
      </w:r>
      <w:r>
        <w:rPr>
          <w:b/>
          <w:bCs/>
        </w:rPr>
        <w:t>Ground truth:</w:t>
      </w:r>
      <w:r>
        <w:t xml:space="preserve"> 85 (range (R_5))</w:t>
      </w:r>
    </w:p>
    <w:p w14:paraId="6A6AF995">
      <w:pPr>
        <w:pStyle w:val="3"/>
      </w:pPr>
      <w:r>
        <w:rPr>
          <w:b/>
          <w:bCs/>
        </w:rPr>
        <w:t>Router weights</w:t>
      </w:r>
    </w:p>
    <w:p w14:paraId="72395631">
      <w:pPr>
        <w:pStyle w:val="3"/>
      </w:pPr>
      <w:r>
        <w:t>[ = [0.02,; 0.04,; 0.14,; 0.28,; 0.52] ]</w:t>
      </w:r>
    </w:p>
    <w:p w14:paraId="60EFA172">
      <w:pPr>
        <w:pStyle w:val="3"/>
      </w:pPr>
      <w:r>
        <w:rPr>
          <w:b/>
          <w:bCs/>
        </w:rPr>
        <w:t>Behavior</w:t>
      </w:r>
    </w:p>
    <w:p w14:paraId="6B6C041F">
      <w:pPr>
        <w:pStyle w:val="24"/>
        <w:numPr>
          <w:ilvl w:val="0"/>
          <w:numId w:val="2"/>
        </w:numPr>
      </w:pPr>
      <w:r>
        <w:t>Expert 5 (range (R_5)) dominates, as expected.</w:t>
      </w:r>
    </w:p>
    <w:p w14:paraId="6C2F4D56">
      <w:pPr>
        <w:pStyle w:val="24"/>
        <w:numPr>
          <w:ilvl w:val="0"/>
          <w:numId w:val="2"/>
        </w:numPr>
      </w:pPr>
      <w:r>
        <w:t>Experts 3–4 contribute small residuals that correct underestimation from earlier layers.</w:t>
      </w:r>
    </w:p>
    <w:p w14:paraId="1625F4D7">
      <w:pPr>
        <w:pStyle w:val="24"/>
        <w:numPr>
          <w:ilvl w:val="0"/>
          <w:numId w:val="2"/>
        </w:numPr>
      </w:pPr>
      <w:r>
        <w:t xml:space="preserve">RED’s final prediction: </w:t>
      </w:r>
      <w:r>
        <w:rPr>
          <w:b/>
          <w:bCs/>
        </w:rPr>
        <w:t>85</w:t>
      </w:r>
      <w:r>
        <w:t>, fully aligned with the range boundary.</w:t>
      </w:r>
    </w:p>
    <w:p w14:paraId="1B016F18">
      <w:pPr>
        <w:pStyle w:val="23"/>
      </w:pPr>
      <w:r>
        <w:rPr>
          <w:b/>
          <w:bCs/>
        </w:rPr>
        <w:t>Insight:</w:t>
      </w:r>
      <w:r>
        <w:br w:type="textWrapping"/>
      </w:r>
      <w:r>
        <w:t>RED leverages multiple residual corrections, not only the top expert, allowing a smooth, range-consistent prediction even when nearby experts partially disagree.</w:t>
      </w:r>
    </w:p>
    <w:bookmarkEnd w:id="64"/>
    <w:p w14:paraId="16800FFA">
      <w:pPr>
        <w:pStyle w:val="5"/>
      </w:pPr>
      <w:bookmarkStart w:id="65" w:name="example-2-mid-range-addition"/>
      <w:r>
        <w:t>Example 2 — Mid-Range Addition</w:t>
      </w:r>
    </w:p>
    <w:p w14:paraId="485042C4">
      <w:pPr>
        <w:pStyle w:val="23"/>
      </w:pPr>
      <w:r>
        <w:rPr>
          <w:b/>
          <w:bCs/>
        </w:rPr>
        <w:t>Query:</w:t>
      </w:r>
      <w:r>
        <w:t xml:space="preserve"> “What is 32 plus 19?”</w:t>
      </w:r>
      <w:r>
        <w:br w:type="textWrapping"/>
      </w:r>
      <w:r>
        <w:rPr>
          <w:b/>
          <w:bCs/>
        </w:rPr>
        <w:t>Ground truth:</w:t>
      </w:r>
      <w:r>
        <w:t xml:space="preserve"> 51 (range (R_3))</w:t>
      </w:r>
    </w:p>
    <w:p w14:paraId="45B6D17E">
      <w:pPr>
        <w:pStyle w:val="3"/>
      </w:pPr>
      <w:r>
        <w:rPr>
          <w:b/>
          <w:bCs/>
        </w:rPr>
        <w:t>Router weights</w:t>
      </w:r>
    </w:p>
    <w:p w14:paraId="1FAE4EAA">
      <w:pPr>
        <w:pStyle w:val="3"/>
      </w:pPr>
      <w:r>
        <w:t>[ = [0.03,; 0.06,; 0.67,; 0.16,; 0.08] ]</w:t>
      </w:r>
    </w:p>
    <w:p w14:paraId="490CC129">
      <w:pPr>
        <w:pStyle w:val="3"/>
      </w:pPr>
      <w:r>
        <w:rPr>
          <w:b/>
          <w:bCs/>
        </w:rPr>
        <w:t>Behavior</w:t>
      </w:r>
    </w:p>
    <w:p w14:paraId="45C5D23C">
      <w:pPr>
        <w:pStyle w:val="24"/>
        <w:numPr>
          <w:ilvl w:val="0"/>
          <w:numId w:val="2"/>
        </w:numPr>
      </w:pPr>
      <w:r>
        <w:t>Expert 3 dominates, consistent with the target interval.</w:t>
      </w:r>
    </w:p>
    <w:p w14:paraId="6B05DC85">
      <w:pPr>
        <w:pStyle w:val="24"/>
        <w:numPr>
          <w:ilvl w:val="0"/>
          <w:numId w:val="2"/>
        </w:numPr>
      </w:pPr>
      <w:r>
        <w:t>Small contributions from Experts 4–5 refine the logits near the mid-range boundary.</w:t>
      </w:r>
    </w:p>
    <w:p w14:paraId="6236353C">
      <w:pPr>
        <w:pStyle w:val="24"/>
        <w:numPr>
          <w:ilvl w:val="0"/>
          <w:numId w:val="2"/>
        </w:numPr>
      </w:pPr>
      <w:r>
        <w:t xml:space="preserve">RED output: </w:t>
      </w:r>
      <w:r>
        <w:rPr>
          <w:b/>
          <w:bCs/>
        </w:rPr>
        <w:t>51</w:t>
      </w:r>
      <w:r>
        <w:t>, with no drift toward higher or lower intervals.</w:t>
      </w:r>
    </w:p>
    <w:p w14:paraId="397316F3">
      <w:pPr>
        <w:pStyle w:val="23"/>
      </w:pPr>
      <w:r>
        <w:rPr>
          <w:b/>
          <w:bCs/>
        </w:rPr>
        <w:t>Insight:</w:t>
      </w:r>
      <w:r>
        <w:br w:type="textWrapping"/>
      </w:r>
      <w:r>
        <w:t>Residual mixing enables cooperation across adjacent experts, producing stable boundary behavior not observed in classical MoE.</w:t>
      </w:r>
    </w:p>
    <w:bookmarkEnd w:id="65"/>
    <w:p w14:paraId="7F0E1970">
      <w:pPr>
        <w:pStyle w:val="5"/>
      </w:pPr>
      <w:bookmarkStart w:id="66" w:name="example-3-mixed-arithmetic"/>
      <w:r>
        <w:t>Example 3 — Mixed Arithmetic</w:t>
      </w:r>
    </w:p>
    <w:p w14:paraId="02CA36EB">
      <w:pPr>
        <w:pStyle w:val="23"/>
      </w:pPr>
      <w:r>
        <w:rPr>
          <w:b/>
          <w:bCs/>
        </w:rPr>
        <w:t>Query:</w:t>
      </w:r>
      <w:r>
        <w:t xml:space="preserve"> “What is 18 plus 7 minus 3?”</w:t>
      </w:r>
      <w:r>
        <w:br w:type="textWrapping"/>
      </w:r>
      <w:r>
        <w:rPr>
          <w:b/>
          <w:bCs/>
        </w:rPr>
        <w:t>Ground truth:</w:t>
      </w:r>
      <w:r>
        <w:t xml:space="preserve"> 22 (range (R_2))</w:t>
      </w:r>
    </w:p>
    <w:p w14:paraId="407966AA">
      <w:pPr>
        <w:pStyle w:val="3"/>
      </w:pPr>
      <w:r>
        <w:rPr>
          <w:b/>
          <w:bCs/>
        </w:rPr>
        <w:t>Router weights</w:t>
      </w:r>
    </w:p>
    <w:p w14:paraId="003C3A8D">
      <w:pPr>
        <w:pStyle w:val="3"/>
      </w:pPr>
      <w:r>
        <w:t>[ = [0.10,; 0.62,; 0.18,; 0.06,; 0.04] ]</w:t>
      </w:r>
    </w:p>
    <w:p w14:paraId="72B76A73">
      <w:pPr>
        <w:pStyle w:val="3"/>
      </w:pPr>
      <w:r>
        <w:rPr>
          <w:b/>
          <w:bCs/>
        </w:rPr>
        <w:t>Behavior</w:t>
      </w:r>
    </w:p>
    <w:p w14:paraId="0DD812F2">
      <w:pPr>
        <w:pStyle w:val="24"/>
        <w:numPr>
          <w:ilvl w:val="0"/>
          <w:numId w:val="2"/>
        </w:numPr>
      </w:pPr>
      <w:r>
        <w:t>Despite experts being trained only on addition, Expert 2 adapts well to subtraction.</w:t>
      </w:r>
    </w:p>
    <w:p w14:paraId="4136085B">
      <w:pPr>
        <w:pStyle w:val="24"/>
        <w:numPr>
          <w:ilvl w:val="0"/>
          <w:numId w:val="2"/>
        </w:numPr>
      </w:pPr>
      <w:r>
        <w:t>Residual paths from Experts 1 and 3 provide small corrective signals.</w:t>
      </w:r>
    </w:p>
    <w:p w14:paraId="4A0E57C0">
      <w:pPr>
        <w:pStyle w:val="24"/>
        <w:numPr>
          <w:ilvl w:val="0"/>
          <w:numId w:val="2"/>
        </w:numPr>
      </w:pPr>
      <w:r>
        <w:t xml:space="preserve">RED output: </w:t>
      </w:r>
      <w:r>
        <w:rPr>
          <w:b/>
          <w:bCs/>
        </w:rPr>
        <w:t>22</w:t>
      </w:r>
      <w:r>
        <w:t>, even though no expert sees subtraction during training.</w:t>
      </w:r>
    </w:p>
    <w:p w14:paraId="019B9767">
      <w:pPr>
        <w:pStyle w:val="23"/>
      </w:pPr>
      <w:r>
        <w:rPr>
          <w:b/>
          <w:bCs/>
        </w:rPr>
        <w:t>Insight:</w:t>
      </w:r>
      <w:r>
        <w:br w:type="textWrapping"/>
      </w:r>
      <w:r>
        <w:t>Residual recomposition significantly improves robustness to operator shift, allowing experts to generalize beyond their native training patterns.</w:t>
      </w:r>
    </w:p>
    <w:bookmarkEnd w:id="66"/>
    <w:p w14:paraId="4D48F870">
      <w:pPr>
        <w:pStyle w:val="5"/>
      </w:pPr>
      <w:bookmarkStart w:id="67" w:name="example-4-boundary-sensitivity"/>
      <w:r>
        <w:t>Example 4 — Boundary Sensitivity</w:t>
      </w:r>
    </w:p>
    <w:p w14:paraId="5AF4C529">
      <w:pPr>
        <w:pStyle w:val="23"/>
      </w:pPr>
      <w:r>
        <w:rPr>
          <w:b/>
          <w:bCs/>
        </w:rPr>
        <w:t>Query:</w:t>
      </w:r>
      <w:r>
        <w:t xml:space="preserve"> “What is 40 plus 1?”</w:t>
      </w:r>
      <w:r>
        <w:br w:type="textWrapping"/>
      </w:r>
      <w:r>
        <w:rPr>
          <w:b/>
          <w:bCs/>
        </w:rPr>
        <w:t>Ground truth:</w:t>
      </w:r>
      <w:r>
        <w:t xml:space="preserve"> 41 (boundary between (R_2) and (R_3))</w:t>
      </w:r>
    </w:p>
    <w:p w14:paraId="6A31F765">
      <w:pPr>
        <w:pStyle w:val="3"/>
      </w:pPr>
      <w:r>
        <w:rPr>
          <w:b/>
          <w:bCs/>
        </w:rPr>
        <w:t>Typical router weights</w:t>
      </w:r>
    </w:p>
    <w:p w14:paraId="61FE9854">
      <w:pPr>
        <w:pStyle w:val="3"/>
      </w:pPr>
      <w:r>
        <w:t>[ = [0.05,; 0.32,; 0.46,; 0.12,; 0.05] ]</w:t>
      </w:r>
    </w:p>
    <w:p w14:paraId="29FB798C">
      <w:pPr>
        <w:pStyle w:val="3"/>
      </w:pPr>
      <w:r>
        <w:rPr>
          <w:b/>
          <w:bCs/>
        </w:rPr>
        <w:t>Behavior</w:t>
      </w:r>
    </w:p>
    <w:p w14:paraId="26DF20B0">
      <w:pPr>
        <w:pStyle w:val="24"/>
        <w:numPr>
          <w:ilvl w:val="0"/>
          <w:numId w:val="2"/>
        </w:numPr>
      </w:pPr>
      <w:r>
        <w:t>Both Experts 2 and 3 contribute meaningfully.</w:t>
      </w:r>
    </w:p>
    <w:p w14:paraId="2055C89D">
      <w:pPr>
        <w:pStyle w:val="24"/>
        <w:numPr>
          <w:ilvl w:val="0"/>
          <w:numId w:val="2"/>
        </w:numPr>
      </w:pPr>
      <w:r>
        <w:t>RED produces a smooth interpolation, avoiding abrupt jumps or oscillation.</w:t>
      </w:r>
    </w:p>
    <w:p w14:paraId="11F181FF">
      <w:pPr>
        <w:pStyle w:val="24"/>
        <w:numPr>
          <w:ilvl w:val="0"/>
          <w:numId w:val="2"/>
        </w:numPr>
      </w:pPr>
      <w:r>
        <w:t>Classical MoE often produces unstable outputs here due to small routing errors.</w:t>
      </w:r>
    </w:p>
    <w:p w14:paraId="3DDDC000">
      <w:pPr>
        <w:pStyle w:val="23"/>
      </w:pPr>
      <w:r>
        <w:rPr>
          <w:b/>
          <w:bCs/>
        </w:rPr>
        <w:t>Insight:</w:t>
      </w:r>
      <w:r>
        <w:br w:type="textWrapping"/>
      </w:r>
      <w:r>
        <w:t>RED handles range-boundary cases gracefully because expert updates are additive rather than competitive.</w:t>
      </w:r>
    </w:p>
    <w:bookmarkEnd w:id="67"/>
    <w:p w14:paraId="7EB74EAF">
      <w:pPr>
        <w:pStyle w:val="5"/>
      </w:pPr>
      <w:bookmarkStart w:id="68" w:name="key-takeaways-from-case-analysis"/>
      <w:r>
        <w:t>Key Takeaways from Case Analysis</w:t>
      </w:r>
    </w:p>
    <w:p w14:paraId="515B32F9">
      <w:pPr>
        <w:numPr>
          <w:ilvl w:val="0"/>
          <w:numId w:val="10"/>
        </w:numPr>
      </w:pPr>
      <w:r>
        <w:rPr>
          <w:b/>
          <w:bCs/>
        </w:rPr>
        <w:t>Routing matches numerical structure</w:t>
      </w:r>
      <w:r>
        <w:br w:type="textWrapping"/>
      </w:r>
      <w:r>
        <w:t>The router consistently emphasizes the correct expert range while allowing secondary experts to participate when needed.</w:t>
      </w:r>
    </w:p>
    <w:p w14:paraId="5F3F8561">
      <w:pPr>
        <w:numPr>
          <w:ilvl w:val="0"/>
          <w:numId w:val="10"/>
        </w:numPr>
      </w:pPr>
      <w:r>
        <w:rPr>
          <w:b/>
          <w:bCs/>
        </w:rPr>
        <w:t>Residual paths correct systematic bias</w:t>
      </w:r>
      <w:r>
        <w:br w:type="textWrapping"/>
      </w:r>
      <w:r>
        <w:t>Corrections from adjacent experts stabilize the output, particularly near boundaries.</w:t>
      </w:r>
    </w:p>
    <w:p w14:paraId="0120BDF5">
      <w:pPr>
        <w:numPr>
          <w:ilvl w:val="0"/>
          <w:numId w:val="10"/>
        </w:numPr>
      </w:pPr>
      <w:r>
        <w:rPr>
          <w:b/>
          <w:bCs/>
        </w:rPr>
        <w:t>Generalization beyond training distribution</w:t>
      </w:r>
      <w:r>
        <w:br w:type="textWrapping"/>
      </w:r>
      <w:r>
        <w:t>Even in mixed-operation queries, experts trained only on addition remain useful when combined through residual recomposition.</w:t>
      </w:r>
    </w:p>
    <w:p w14:paraId="7460662B">
      <w:pPr>
        <w:numPr>
          <w:ilvl w:val="0"/>
          <w:numId w:val="10"/>
        </w:numPr>
      </w:pPr>
      <w:r>
        <w:rPr>
          <w:b/>
          <w:bCs/>
        </w:rPr>
        <w:t>Interpretability and consistency</w:t>
      </w:r>
      <w:r>
        <w:br w:type="textWrapping"/>
      </w:r>
      <w:r>
        <w:t>Expert contributions reveal predictable patterns across ranges, showing that RED maintains structured, transparent modular reasoning.</w:t>
      </w:r>
    </w:p>
    <w:p w14:paraId="4BAD8C5C">
      <w:pPr>
        <w:pStyle w:val="23"/>
      </w:pPr>
      <w:r>
        <w:t xml:space="preserve">Together, these qualitative examples highlight </w:t>
      </w:r>
      <w:r>
        <w:rPr>
          <w:i/>
          <w:iCs/>
        </w:rPr>
        <w:t>how</w:t>
      </w:r>
      <w:r>
        <w:t xml:space="preserve"> RED performs stable and interpretable expert integration, complementing the quantitative results reported earlier. ## 4.11 Summary (De-duplicated)</w:t>
      </w:r>
    </w:p>
    <w:p w14:paraId="4CB5DFF4">
      <w:pPr>
        <w:pStyle w:val="3"/>
      </w:pPr>
      <w:r>
        <w:t>This section has presented a comprehensive empirical evaluation of the proposed Residual Expert Decomposition (RED) framework across two controlled arithmetic tasks. The results consistently demonstrate that RED achieves reliable modular reasoning through the coordinated interaction of a shared backbone, independently trained specialists, and a lightweight routing mechanism. The key findings are:</w:t>
      </w:r>
    </w:p>
    <w:p w14:paraId="43D94719">
      <w:pPr>
        <w:numPr>
          <w:ilvl w:val="0"/>
          <w:numId w:val="11"/>
        </w:numPr>
      </w:pPr>
      <w:r>
        <w:rPr>
          <w:b/>
          <w:bCs/>
        </w:rPr>
        <w:t>Clear and stable expert specialization</w:t>
      </w:r>
      <w:r>
        <w:br w:type="textWrapping"/>
      </w:r>
      <w:r>
        <w:t>Each expert trained on its designated numerical interval displays strong, range-consistent behavior without requiring coordination or joint optimization. This confirms that disjoint sub-domains naturally induce modular structure.</w:t>
      </w:r>
    </w:p>
    <w:p w14:paraId="6B28D928">
      <w:pPr>
        <w:numPr>
          <w:ilvl w:val="0"/>
          <w:numId w:val="11"/>
        </w:numPr>
      </w:pPr>
      <w:r>
        <w:rPr>
          <w:b/>
          <w:bCs/>
        </w:rPr>
        <w:t>Robust global recomposition via routing</w:t>
      </w:r>
      <w:r>
        <w:br w:type="textWrapping"/>
      </w:r>
      <w:r>
        <w:t>The router reliably assigns samples to the appropriate expert regions and maintains high accuracy under both addition and mixed-operation tasks.</w:t>
      </w:r>
      <w:r>
        <w:br w:type="textWrapping"/>
      </w:r>
      <w:r>
        <w:t>RED remains stable even when routing is imperfect due to its additive residual design.</w:t>
      </w:r>
    </w:p>
    <w:p w14:paraId="2902A623">
      <w:pPr>
        <w:numPr>
          <w:ilvl w:val="0"/>
          <w:numId w:val="11"/>
        </w:numPr>
      </w:pPr>
      <w:r>
        <w:rPr>
          <w:b/>
          <w:bCs/>
        </w:rPr>
        <w:t>Residual integration improves consistency and reduces volatility</w:t>
      </w:r>
      <w:r>
        <w:br w:type="textWrapping"/>
      </w:r>
      <w:r>
        <w:t>By refining the shared backbone representation rather than replacing it, residual updates mitigate expert disagreement and smooth transitions near domain boundaries. This stabilizes predictions relative to classical MoE, which is sensitive to small routing errors.</w:t>
      </w:r>
    </w:p>
    <w:p w14:paraId="28213563">
      <w:pPr>
        <w:numPr>
          <w:ilvl w:val="0"/>
          <w:numId w:val="11"/>
        </w:numPr>
      </w:pPr>
      <w:r>
        <w:rPr>
          <w:b/>
          <w:bCs/>
        </w:rPr>
        <w:t>Generalization across operators and task variants</w:t>
      </w:r>
      <w:r>
        <w:br w:type="textWrapping"/>
      </w:r>
      <w:r>
        <w:t>Although experts see only addition during training, RED generalizes effectively to subtraction and multi-step expressions. This indicates that residual recomposition enables specialists to remain useful beyond their training distribution.</w:t>
      </w:r>
    </w:p>
    <w:bookmarkEnd w:id="68"/>
    <w:p w14:paraId="7DC43227">
      <w:pPr>
        <w:pStyle w:val="5"/>
      </w:pPr>
      <w:bookmarkStart w:id="69" w:name="overall-conclusion-of-section-4"/>
      <w:r>
        <w:t>Overall conclusion of Section 4</w:t>
      </w:r>
    </w:p>
    <w:p w14:paraId="340E6011">
      <w:pPr>
        <w:pStyle w:val="23"/>
      </w:pPr>
      <w:r>
        <w:t xml:space="preserve">Together, these results show that </w:t>
      </w:r>
      <w:r>
        <w:rPr>
          <w:b/>
          <w:bCs/>
        </w:rPr>
        <w:t>RED is a lightweight, interpretable, and stable modular reasoning framework</w:t>
      </w:r>
      <w:r>
        <w:t xml:space="preserve"> that preserves expert specialization while enabling coherent global prediction. Its balance of accuracy, robustness, and computational efficiency highlights the promise of residual routing as an alternative to both uniform ensembling and classical Mixture-of-Experts.</w:t>
      </w:r>
    </w:p>
    <w:bookmarkEnd w:id="48"/>
    <w:bookmarkEnd w:id="59"/>
    <w:bookmarkEnd w:id="6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Aptos"/>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Aptos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ZWSimpleStroke">
    <w:panose1 w:val="02000500000000000000"/>
    <w:charset w:val="00"/>
    <w:family w:val="auto"/>
    <w:pitch w:val="default"/>
    <w:sig w:usb0="800000A7" w:usb1="5000004A" w:usb2="00000000" w:usb3="00000000" w:csb0="20000111" w:csb1="41000000"/>
  </w:font>
  <w:font w:name="Cambria Math">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Sitka Display">
    <w:panose1 w:val="00000000000000000000"/>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31"/>
    <w:multiLevelType w:val="multilevel"/>
    <w:tmpl w:val="00A9943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2E713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Arial" w:hAnsi="Arial"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Sitka Display" w:hAnsi="Sitka Display"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Sitka Display" w:hAnsi="Sitka Display"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Sitka Display" w:hAnsi="Sitka Display"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Sitka Display" w:hAnsi="Sitka Display"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Sitka Display" w:hAnsi="Sitka Display"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Sitka Display" w:hAnsi="Sitka Display"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Sitka Display" w:hAnsi="Sitka Display"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992</Words>
  <Characters>5574</Characters>
  <Lines>12</Lines>
  <Paragraphs>8</Paragraphs>
  <TotalTime>12</TotalTime>
  <ScaleCrop>false</ScaleCrop>
  <LinksUpToDate>false</LinksUpToDate>
  <CharactersWithSpaces>6378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2025-12-05T12:16:00Z</dcterms:created>
  <dc:creator>李佳林</dc:creator>
  <cp:lastModifiedBy>李佳林</cp:lastModifiedBy>
  <dcterms:modified xsi:type="dcterms:W3CDTF">2025-12-05T12:22:43Z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eyJoZGlkIjoiY2Q1YzA2N2Y2M2FlOWE2MWY5NDZkNmUwZmZjOGI4OWIiLCJ1c2VySWQiOiI4NTU5NjU5ODQifQ==</vt:lpwstr>
  </property>
  <property fmtid="{D5CDD505-2E9C-101B-9397-08002B2CF9AE}" pid="3" name="KSOProductBuildVer">
    <vt:lpwstr>2052-12.1.0.23542</vt:lpwstr>
  </property>
  <property fmtid="{D5CDD505-2E9C-101B-9397-08002B2CF9AE}" pid="4" name="ICV">
    <vt:lpwstr>2B05C886FC8D4CA996D33D30FC24F7B5_12</vt:lpwstr>
  </property>
</Properties>
</file>