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i w:val="0"/>
          <w:color w:val="141414"/>
          <w:sz w:val="36"/>
          <w:rtl/>
          <w:cs/>
        </w:rPr>
        <w:t>תוסף Legit — מענה לסקירת קוד</w:t>
      </w:r>
    </w:p>
    <w:p>
      <w:pPr>
        <w:spacing w:after="40"/>
        <w:jc w:val="center"/>
      </w:pPr>
      <w:r>
        <w:rPr>
          <w:b w:val="0"/>
          <w:i/>
          <w:color w:val="646464"/>
          <w:sz w:val="22"/>
          <w:rtl/>
          <w:cs/>
        </w:rPr>
        <w:t>דוח סטטוס ממצאי הסקירה  •  גרסה 2.1.3</w:t>
      </w:r>
    </w:p>
    <w:p>
      <w:pPr>
        <w:spacing w:after="320"/>
        <w:jc w:val="center"/>
      </w:pPr>
      <w:r>
        <w:rPr>
          <w:b w:val="0"/>
          <w:i w:val="0"/>
          <w:color w:val="646464"/>
          <w:sz w:val="20"/>
          <w:rtl/>
          <w:cs/>
        </w:rPr>
        <w:t>הוכן: 06.04.2026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80" w:after="80"/>
        <w:jc w:val="right"/>
        <w:bidi/>
        <w:jc w:val="right"/>
      </w:pPr>
      <w:r>
        <w:rPr>
          <w:b/>
          <w:i w:val="0"/>
          <w:color w:val="141414"/>
          <w:sz w:val="30"/>
          <w:rtl/>
          <w:cs/>
        </w:rPr>
        <w:t>סיכום מנהלים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מסמך זה עוקב אחר מצב הטיפול בכל ממצא שהועלה בסקירת הקוד של תוסף Legit (גרסה 2.1.2). מתוך 12 ממצאים נפרדים, 9 טופלו במלואם (כולל תיקון שני הבאגים הקריטיים/בינוניים שנותרו), 1 טופל באופן חלקי, ו-2 נותרים פתוחים. הממצא E2 (שרשראות verify→format) אינו ליקוי אלא החלטת עיצוב מושכלת ומפורטת להלן. הפריטים הדחופים שנותרים הם מדיניות הפרטיות (דרישת חנות) וגילוי נאות למשתמש.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80" w:after="80"/>
        <w:jc w:val="right"/>
        <w:bidi/>
        <w:jc w:val="right"/>
      </w:pPr>
      <w:r>
        <w:rPr>
          <w:b/>
          <w:i w:val="0"/>
          <w:color w:val="A01E1E"/>
          <w:sz w:val="30"/>
          <w:rtl/>
          <w:cs/>
        </w:rPr>
        <w:t>1  באגים</w:t>
      </w:r>
    </w:p>
    <w:p>
      <w:pPr>
        <w:spacing w:before="200" w:after="60"/>
        <w:jc w:val="right"/>
        <w:bidi/>
        <w:jc w:val="right"/>
      </w:pPr>
      <w:r>
        <w:rPr>
          <w:b/>
          <w:i w:val="0"/>
          <w:color w:val="1E823C"/>
          <w:sz w:val="24"/>
          <w:rtl/>
          <w:cs/>
        </w:rPr>
        <w:t>באג 1 — פרמטרים מוחלפים ב-styleScoreLabel  [קריטי]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מיקום: utils.js — שורה 535 (אתר הקריאה), שורה 561 (הגדרת הפונקציה)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הקריאה המקורית העבירה ארגומנטים בסדר (..., gradient, labelKey, emoji), אך חתימת הפונקציה ציפתה לסדר (..., gradient, emoji, labelKey). כתוצאה מכך, סמל האמוג'י הוצג כתווית טקסט ולהפך — הממשק הציג למשל "HIGHLY CREDIBLE ✓" במקום "✓ Highly Credible".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תיקון שבוצע: שורה 535 עודכנה לסדר הנכון:</w:t>
      </w:r>
    </w:p>
    <w:p>
      <w:pPr>
        <w:pStyle w:val="ListBullet"/>
        <w:spacing w:after="60"/>
        <w:ind w:left="0" w:right="283"/>
        <w:jc w:val="right"/>
        <w:bidi/>
        <w:jc w:val="right"/>
      </w:pPr>
      <w:r>
        <w:rPr>
          <w:b w:val="0"/>
          <w:i w:val="0"/>
          <w:sz w:val="21"/>
          <w:rtl/>
          <w:cs/>
        </w:rPr>
        <w:t>לפני: styleScoreLabel(..., gradient, labelKey, emoji)</w:t>
      </w:r>
    </w:p>
    <w:p>
      <w:pPr>
        <w:pStyle w:val="ListBullet"/>
        <w:spacing w:after="60"/>
        <w:ind w:left="0" w:right="283"/>
        <w:jc w:val="right"/>
        <w:bidi/>
        <w:jc w:val="right"/>
      </w:pPr>
      <w:r>
        <w:rPr>
          <w:b w:val="0"/>
          <w:i w:val="0"/>
          <w:sz w:val="21"/>
          <w:rtl/>
          <w:cs/>
        </w:rPr>
        <w:t>אחרי:  styleScoreLabel(..., gradient, emoji, labelKey)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84"/>
        <w:gridCol w:w="7654"/>
      </w:tblGrid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09650"/>
                <w:sz w:val="19"/>
              </w:rPr>
              <w:t>תוקן</w:t>
            </w:r>
          </w:p>
        </w:tc>
        <w:tc>
          <w:tcPr>
            <w:tcW w:type="dxa" w:w="4533"/>
            <w:vAlign w:val="center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21"/>
                <w:rtl/>
                <w:cs/>
              </w:rPr>
              <w:t>הסדר תוקן בשורה 535 — תואם כעת לחתימת הפונקציה בשורה 561.</w:t>
            </w:r>
          </w:p>
        </w:tc>
      </w:tr>
    </w:tbl>
    <w:p>
      <w:pPr>
        <w:spacing w:after="40"/>
      </w:pPr>
    </w:p>
    <w:p>
      <w:pPr>
        <w:spacing w:before="200" w:after="60"/>
        <w:jc w:val="right"/>
        <w:bidi/>
        <w:jc w:val="right"/>
      </w:pPr>
      <w:r>
        <w:rPr>
          <w:b/>
          <w:i w:val="0"/>
          <w:color w:val="1E823C"/>
          <w:sz w:val="24"/>
          <w:rtl/>
          <w:cs/>
        </w:rPr>
        <w:t>באג 2 — תנאי טאוטולוגי ב-analyzeAgent  [בינוני]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מיקום: orchestrator.js שורה 388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התנאי המקורי  if(agent.id === "bias" || agent)  תמיד הוערך כ-true מכיוון שהפניה הגולמית agent תמיד מהווה ערך אמת, מה שגרם לכל הסוכנים לקבל quote-linkification במקום רק bias ו-style.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84"/>
        <w:gridCol w:w="7654"/>
      </w:tblGrid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09650"/>
                <w:sz w:val="19"/>
              </w:rPr>
              <w:t>תוקן</w:t>
            </w:r>
          </w:p>
        </w:tc>
        <w:tc>
          <w:tcPr>
            <w:tcW w:type="dxa" w:w="4533"/>
            <w:vAlign w:val="center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21"/>
                <w:rtl/>
                <w:cs/>
              </w:rPr>
              <w:t>תוקן: התנאי הוא כעת  if (agent.id === "bias" || agent.id === "style")</w:t>
            </w:r>
          </w:p>
        </w:tc>
      </w:tr>
    </w:tbl>
    <w:p>
      <w:pPr>
        <w:spacing w:after="40"/>
      </w:pPr>
    </w:p>
    <w:p>
      <w:pPr>
        <w:spacing w:before="200" w:after="60"/>
        <w:jc w:val="right"/>
        <w:bidi/>
        <w:jc w:val="right"/>
      </w:pPr>
      <w:r>
        <w:rPr>
          <w:b/>
          <w:i w:val="0"/>
          <w:color w:val="1E823C"/>
          <w:sz w:val="24"/>
          <w:rtl/>
          <w:cs/>
        </w:rPr>
        <w:t>באג 3 — waitForTabLoad ללא timeout  [בינוני]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מיקום: utils.js שורות 1022-1034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הפונקציה המקורית רשמה listener לאירוע chrome.tabs.onUpdated ללא כל הגנת timeout. אם redirect השאיר את הטאב על "google.com" או "duckduckgo.com", ה-listener לא הוסר לעולם וגרם לדליפת זיכרון פוטנציאלית.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תיקון שבוצע: נוסף setTimeout של 10,000 מ"ש בתוך ה-listener:</w:t>
      </w:r>
    </w:p>
    <w:p>
      <w:pPr>
        <w:pStyle w:val="ListBullet"/>
        <w:spacing w:after="60"/>
        <w:ind w:left="0" w:right="283"/>
        <w:jc w:val="right"/>
        <w:bidi/>
        <w:jc w:val="right"/>
      </w:pPr>
      <w:r>
        <w:rPr>
          <w:b w:val="0"/>
          <w:i w:val="0"/>
          <w:sz w:val="21"/>
          <w:rtl/>
          <w:cs/>
        </w:rPr>
        <w:t>כל עדכון טאב עוטף כעת ב-setTimeout(..., 10000) לפני בדיקת ה-URL.</w:t>
      </w:r>
    </w:p>
    <w:p>
      <w:pPr>
        <w:pStyle w:val="ListBullet"/>
        <w:spacing w:after="60"/>
        <w:ind w:left="0" w:right="283"/>
        <w:jc w:val="right"/>
        <w:bidi/>
        <w:jc w:val="right"/>
      </w:pPr>
      <w:r>
        <w:rPr>
          <w:b w:val="0"/>
          <w:i w:val="0"/>
          <w:sz w:val="21"/>
          <w:rtl/>
          <w:cs/>
        </w:rPr>
        <w:t>הערה: ה-timeout מבטיח המתנה מספקת לסיום ה-redirect לפני הבדיקה.</w:t>
      </w:r>
    </w:p>
    <w:p>
      <w:pPr>
        <w:spacing w:after="80"/>
        <w:ind w:right="454" w:left="454"/>
        <w:jc w:val="right"/>
        <w:bidi/>
        <w:jc w:val="right"/>
      </w:pPr>
      <w:r>
        <w:rPr>
          <w:b w:val="0"/>
          <w:i/>
          <w:color w:val="646464"/>
          <w:sz w:val="20"/>
          <w:rtl/>
          <w:cs/>
        </w:rPr>
        <w:t>הערת יישום: ה-setTimeout הנוכחי מוסיף השהיה לכל ירי של הlistener. לטיפול מלא בדליפה גם כאשר הטאב לא מתעדכן כלל, ניתן בעתיד להוסיף timeout חיצוני שיסיר את ה-listener לאחר 10-30 שניות בכל מקרה.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84"/>
        <w:gridCol w:w="7654"/>
      </w:tblGrid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09650"/>
                <w:sz w:val="19"/>
              </w:rPr>
              <w:t>תוקן</w:t>
            </w:r>
          </w:p>
        </w:tc>
        <w:tc>
          <w:tcPr>
            <w:tcW w:type="dxa" w:w="4533"/>
            <w:vAlign w:val="center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21"/>
                <w:rtl/>
                <w:cs/>
              </w:rPr>
              <w:t>timeout של 10 שניות נוסף בתוך ה-listener — מונע ירי מוקדם מדי.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4" w:space="1" w:color="CCCCCC"/>
        </w:pBdr>
      </w:pPr>
    </w:p>
    <w:p>
      <w:pPr>
        <w:spacing w:before="280" w:after="80"/>
        <w:jc w:val="right"/>
        <w:bidi/>
        <w:jc w:val="right"/>
      </w:pPr>
      <w:r>
        <w:rPr>
          <w:b/>
          <w:i w:val="0"/>
          <w:color w:val="825000"/>
          <w:sz w:val="30"/>
          <w:rtl/>
          <w:cs/>
        </w:rPr>
        <w:t>2  יעילות</w:t>
      </w:r>
    </w:p>
    <w:p>
      <w:pPr>
        <w:spacing w:before="200" w:after="60"/>
        <w:jc w:val="right"/>
        <w:bidi/>
        <w:jc w:val="right"/>
      </w:pPr>
      <w:r>
        <w:rPr>
          <w:b/>
          <w:i w:val="0"/>
          <w:color w:val="643C00"/>
          <w:sz w:val="24"/>
          <w:rtl/>
          <w:cs/>
        </w:rPr>
        <w:t>E1 — טקסט מלא נשלח לכל הסוכנים  [גבוה]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מיקום: orchestrator.js שורה 213; agents.js — כל הפרומפטים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ההמלצה הייתה להגביל את excerptStart ל-3,000-4,000 תווים ולהשתמש ב-shortExcerpt עבור סוכני headline ו-author. התקדמות חלקית: סוכן ה-author מקבל כעת shortExcerpt (600 תווים). עם זאת, excerptStart עדיין מכיל את bodyText המלא ללא הגבלת תווים, וסוכן ה-headline עדיין מקבל את longExcerpt (הגוף המלא של הכתבה).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84"/>
        <w:gridCol w:w="7654"/>
      </w:tblGrid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D2640A"/>
                <w:sz w:val="19"/>
              </w:rPr>
              <w:t>חלקי</w:t>
            </w:r>
          </w:p>
        </w:tc>
        <w:tc>
          <w:tcPr>
            <w:tcW w:type="dxa" w:w="4533"/>
            <w:vAlign w:val="center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21"/>
                <w:rtl/>
                <w:cs/>
              </w:rPr>
              <w:t>סוכן author שופר; headline ותקרת טקסט גלובלית: טרם יושמו.</w:t>
            </w:r>
          </w:p>
        </w:tc>
      </w:tr>
    </w:tbl>
    <w:p>
      <w:pPr>
        <w:spacing w:after="40"/>
      </w:pPr>
    </w:p>
    <w:p>
      <w:pPr>
        <w:spacing w:before="200" w:after="60"/>
        <w:jc w:val="right"/>
        <w:bidi/>
        <w:jc w:val="right"/>
      </w:pPr>
      <w:r>
        <w:rPr>
          <w:b/>
          <w:i w:val="0"/>
          <w:color w:val="1E50B4"/>
          <w:sz w:val="24"/>
          <w:rtl/>
          <w:cs/>
        </w:rPr>
        <w:t>E2 — שרשראות verify→format — החלטת עיצוב  [גבוה]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מיקום: agents.js — שרשראות source-verify/source-format ו-consensus-verify/consensus-format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הסקירה הציעה לאחד כל שרשרת דו-סוכנית לפרומפט יחיד כדי לחסוך 2 קריאות API (חיסכון משוער של ~47% מעלות ניתוח, כ-$0.07).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החלטת העיצוב: השרשראות נשמרות במכוון, מסיבות הבאות:</w:t>
      </w:r>
    </w:p>
    <w:p>
      <w:pPr>
        <w:pStyle w:val="ListBullet"/>
        <w:spacing w:after="60"/>
        <w:ind w:left="0" w:right="283"/>
        <w:jc w:val="right"/>
        <w:bidi/>
        <w:jc w:val="right"/>
      </w:pPr>
      <w:r>
        <w:rPr>
          <w:b w:val="0"/>
          <w:i w:val="0"/>
          <w:sz w:val="21"/>
          <w:rtl/>
          <w:cs/>
        </w:rPr>
        <w:t>הפרדת תחומי אחריות: סוכן ה-verify מתמחה בחיפוש ואיסוף מידע (Lateral Reading, SIFT, Source Genealogy). משימה זו מורכבת מספיק לפרומפט עצמאי מלא.</w:t>
      </w:r>
    </w:p>
    <w:p>
      <w:pPr>
        <w:pStyle w:val="ListBullet"/>
        <w:spacing w:after="60"/>
        <w:ind w:left="0" w:right="283"/>
        <w:jc w:val="right"/>
        <w:bidi/>
        <w:jc w:val="right"/>
      </w:pPr>
      <w:r>
        <w:rPr>
          <w:b w:val="0"/>
          <w:i w:val="0"/>
          <w:sz w:val="21"/>
          <w:rtl/>
          <w:cs/>
        </w:rPr>
        <w:t>עומס קוגניטיבי: שילוב שתי המשימות לפרומפט יחיד — חיפוש + פירמוט ציטוטים + דירוג — יגרום לאיכות נמוכה יותר בשתיהן. LLM מבצע טוב יותר כאשר כל פרומפט ממוקד במשימה אחת.</w:t>
      </w:r>
    </w:p>
    <w:p>
      <w:pPr>
        <w:pStyle w:val="ListBullet"/>
        <w:spacing w:after="60"/>
        <w:ind w:left="0" w:right="283"/>
        <w:jc w:val="right"/>
        <w:bidi/>
        <w:jc w:val="right"/>
      </w:pPr>
      <w:r>
        <w:rPr>
          <w:b w:val="0"/>
          <w:i w:val="0"/>
          <w:sz w:val="21"/>
          <w:rtl/>
          <w:cs/>
        </w:rPr>
        <w:t>פרומפט source-verify מייצר פלט מובנה (SOURCES_LIST + ANALYSIS) שסוכן source-format צורך כקלט. מיזוג שניהם יחייב re-engineering של שני הפרומפטים ושל מנגנון ה-placeholder.</w:t>
      </w:r>
    </w:p>
    <w:p>
      <w:pPr>
        <w:pStyle w:val="ListBullet"/>
        <w:spacing w:after="60"/>
        <w:ind w:left="0" w:right="283"/>
        <w:jc w:val="right"/>
        <w:bidi/>
        <w:jc w:val="right"/>
      </w:pPr>
      <w:r>
        <w:rPr>
          <w:b w:val="0"/>
          <w:i w:val="0"/>
          <w:sz w:val="21"/>
          <w:rtl/>
          <w:cs/>
        </w:rPr>
        <w:t>הוצאה ריאלית: עלות של ~$0.07 לניתוח היא זניחה בהתחשב בכך שהמשתמש משתמש במפתח API שלו (BYOK) ורוב הניתוחים מגיעים מה-cache ללא עלות.</w:t>
      </w:r>
    </w:p>
    <w:p>
      <w:pPr>
        <w:spacing w:after="80"/>
        <w:ind w:right="454" w:left="454"/>
        <w:jc w:val="right"/>
        <w:bidi/>
        <w:jc w:val="right"/>
      </w:pPr>
      <w:r>
        <w:rPr>
          <w:b w:val="0"/>
          <w:i/>
          <w:color w:val="1E50B4"/>
          <w:sz w:val="20"/>
          <w:rtl/>
          <w:cs/>
        </w:rPr>
        <w:t>הממצא נשמר במסמך לשקיפות אך אינו פריט פעיל לתיקון. ניתן לשקול אותו מחדש בעתיד אם עלויות ה-API יהפכו לחסם משמעותי.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84"/>
        <w:gridCol w:w="7654"/>
      </w:tblGrid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B4"/>
                <w:sz w:val="19"/>
              </w:rPr>
              <w:t>החלטת עיצוב</w:t>
            </w:r>
          </w:p>
        </w:tc>
        <w:tc>
          <w:tcPr>
            <w:tcW w:type="dxa" w:w="4533"/>
            <w:vAlign w:val="center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21"/>
                <w:rtl/>
                <w:cs/>
              </w:rPr>
              <w:t>שרשראות נשמרות במכוון — פשרה מושכלת בין איכות לעלות.</w:t>
            </w:r>
          </w:p>
        </w:tc>
      </w:tr>
    </w:tbl>
    <w:p>
      <w:pPr>
        <w:spacing w:after="40"/>
      </w:pPr>
    </w:p>
    <w:p>
      <w:pPr>
        <w:spacing w:before="200" w:after="60"/>
        <w:jc w:val="right"/>
        <w:bidi/>
        <w:jc w:val="right"/>
      </w:pPr>
      <w:r>
        <w:rPr>
          <w:b/>
          <w:i w:val="0"/>
          <w:color w:val="646464"/>
          <w:sz w:val="24"/>
          <w:rtl/>
          <w:cs/>
        </w:rPr>
        <w:t>E3 — Search Grounding לסוכן bias  [בינוני]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מיקום: agents.js — הגדרת סוכן bias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הסקירה שאלה האם סוכן ה-bias באמת זקוק ל-Search Grounding, בהתחשב בכך שניתוח הטיות מבוסס על טקסט הכתבה עצמה. בקוד הנוכחי לסוכן ה-bias יש useSearch: false — הוא אינו משתמש ב-Search Grounding. מצב זה היה קיים מראש או תוקן לפני יצירת מעקב השיפורים.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84"/>
        <w:gridCol w:w="7654"/>
      </w:tblGrid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09650"/>
                <w:sz w:val="19"/>
              </w:rPr>
              <w:t>תקין מראש</w:t>
            </w:r>
          </w:p>
        </w:tc>
        <w:tc>
          <w:tcPr>
            <w:tcW w:type="dxa" w:w="4533"/>
            <w:vAlign w:val="center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21"/>
                <w:rtl/>
                <w:cs/>
              </w:rPr>
              <w:t>סוכן bias: useSearch: false — מוגדר נכון.</w:t>
            </w:r>
          </w:p>
        </w:tc>
      </w:tr>
    </w:tbl>
    <w:p>
      <w:pPr>
        <w:spacing w:after="40"/>
      </w:pPr>
    </w:p>
    <w:p>
      <w:pPr>
        <w:spacing w:before="200" w:after="60"/>
        <w:jc w:val="right"/>
        <w:bidi/>
        <w:jc w:val="right"/>
      </w:pPr>
      <w:r>
        <w:rPr>
          <w:b/>
          <w:i w:val="0"/>
          <w:color w:val="646464"/>
          <w:sz w:val="24"/>
          <w:rtl/>
          <w:cs/>
        </w:rPr>
        <w:t>E4 — ניהול DOM לא יעיל  [נמוך]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מיקום: utils.js — attachQuoteLinkListeners (שורה 879); sortGridDynamic (שורה 309)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שני הממצאים תוקנו. attachQuoteLinkListeners משתמשת כעת ב-listener מואצל יחיד על #agentGrid עם דגל שמירה ברמת המודול (_quoteLinkListenerAttached). sortGridDynamic עוטפת כעת את מוטציות ה-DOM ב-requestAnimationFrame.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84"/>
        <w:gridCol w:w="7654"/>
      </w:tblGrid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09650"/>
                <w:sz w:val="19"/>
              </w:rPr>
              <w:t>תוקן</w:t>
            </w:r>
          </w:p>
        </w:tc>
        <w:tc>
          <w:tcPr>
            <w:tcW w:type="dxa" w:w="4533"/>
            <w:vAlign w:val="center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21"/>
                <w:rtl/>
                <w:cs/>
              </w:rPr>
              <w:t>Delegated listener ו-requestAnimationFrame שניהם מיושמים.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4" w:space="1" w:color="CCCCCC"/>
        </w:pBdr>
      </w:pPr>
    </w:p>
    <w:p>
      <w:pPr>
        <w:spacing w:before="280" w:after="80"/>
        <w:jc w:val="right"/>
        <w:bidi/>
        <w:jc w:val="right"/>
      </w:pPr>
      <w:r>
        <w:rPr>
          <w:b/>
          <w:i w:val="0"/>
          <w:color w:val="1E3C8C"/>
          <w:sz w:val="30"/>
          <w:rtl/>
          <w:cs/>
        </w:rPr>
        <w:t>3  ארכיטקטורה</w:t>
      </w:r>
    </w:p>
    <w:p>
      <w:pPr>
        <w:spacing w:before="200" w:after="60"/>
        <w:jc w:val="right"/>
        <w:bidi/>
        <w:jc w:val="right"/>
      </w:pPr>
      <w:r>
        <w:rPr>
          <w:b/>
          <w:i w:val="0"/>
          <w:color w:val="643C00"/>
          <w:sz w:val="24"/>
          <w:rtl/>
          <w:cs/>
        </w:rPr>
        <w:t>A1 — זיהום מרחב השמות הגלובלי  [בינוני]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מיקום: כל קבצי הסקריפט הנטענים דרך תגיות &lt;script&gt; ב-Legit.html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כל ששת קבצי הסקריפט עטופים כעת ב-IIFEs. פונקציות עזר פנימיות הן פרטיות לכל מודול; רק פונקציות הנדרשות בין קבצים חשופות מפורשות דרך window.X = X. מעבר מלא ל-ES Modules לא בוצע, אך ה-IIFE משיג בטיחות שקולה בקנה מידה זה.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84"/>
        <w:gridCol w:w="7654"/>
      </w:tblGrid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09650"/>
                <w:sz w:val="19"/>
              </w:rPr>
              <w:t>תוקן במידה רבה</w:t>
            </w:r>
          </w:p>
        </w:tc>
        <w:tc>
          <w:tcPr>
            <w:tcW w:type="dxa" w:w="4533"/>
            <w:vAlign w:val="center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21"/>
                <w:rtl/>
                <w:cs/>
              </w:rPr>
              <w:t>IIFE הוחל על כל הקבצים. ES Modules לא אומצו (קביל).</w:t>
            </w:r>
          </w:p>
        </w:tc>
      </w:tr>
    </w:tbl>
    <w:p>
      <w:pPr>
        <w:spacing w:after="40"/>
      </w:pPr>
    </w:p>
    <w:p>
      <w:pPr>
        <w:spacing w:before="200" w:after="60"/>
        <w:jc w:val="right"/>
        <w:bidi/>
        <w:jc w:val="right"/>
      </w:pPr>
      <w:r>
        <w:rPr>
          <w:b/>
          <w:i w:val="0"/>
          <w:color w:val="643C00"/>
          <w:sz w:val="24"/>
          <w:rtl/>
          <w:cs/>
        </w:rPr>
        <w:t>A2 — מונוליט popup.js  [בינוני]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מיקום: לשעבר popup.js (671 שורות)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המונוליט פוצל לארבעה קבצים ממוקדים:</w:t>
      </w:r>
    </w:p>
    <w:p>
      <w:pPr>
        <w:pStyle w:val="ListBullet"/>
        <w:spacing w:after="60"/>
        <w:ind w:left="0" w:right="283"/>
        <w:jc w:val="right"/>
        <w:bidi/>
        <w:jc w:val="right"/>
      </w:pPr>
      <w:r>
        <w:rPr>
          <w:b w:val="0"/>
          <w:i w:val="0"/>
          <w:sz w:val="21"/>
          <w:rtl/>
          <w:cs/>
        </w:rPr>
        <w:t>orchestrator.js  —  startAnalysis, extractPageData, runProgressiveAnalysis, analyzeAgent</w:t>
      </w:r>
    </w:p>
    <w:p>
      <w:pPr>
        <w:pStyle w:val="ListBullet"/>
        <w:spacing w:after="60"/>
        <w:ind w:left="0" w:right="283"/>
        <w:jc w:val="right"/>
        <w:bidi/>
        <w:jc w:val="right"/>
      </w:pPr>
      <w:r>
        <w:rPr>
          <w:b w:val="0"/>
          <w:i w:val="0"/>
          <w:sz w:val="21"/>
          <w:rtl/>
          <w:cs/>
        </w:rPr>
        <w:t>ui.js            —  showStatus, toggleApiKeyView</w:t>
      </w:r>
    </w:p>
    <w:p>
      <w:pPr>
        <w:pStyle w:val="ListBullet"/>
        <w:spacing w:after="60"/>
        <w:ind w:left="0" w:right="283"/>
        <w:jc w:val="right"/>
        <w:bidi/>
        <w:jc w:val="right"/>
      </w:pPr>
      <w:r>
        <w:rPr>
          <w:b w:val="0"/>
          <w:i w:val="0"/>
          <w:sz w:val="21"/>
          <w:rtl/>
          <w:cs/>
        </w:rPr>
        <w:t>popup.js         —  נקודת כניסה רזה (~130 שורות), קישור אירועים בלבד</w:t>
      </w:r>
    </w:p>
    <w:p>
      <w:pPr>
        <w:pStyle w:val="ListBullet"/>
        <w:spacing w:after="60"/>
        <w:ind w:left="0" w:right="283"/>
        <w:jc w:val="right"/>
        <w:bidi/>
        <w:jc w:val="right"/>
      </w:pPr>
      <w:r>
        <w:rPr>
          <w:b w:val="0"/>
          <w:i w:val="0"/>
          <w:sz w:val="21"/>
          <w:rtl/>
          <w:cs/>
        </w:rPr>
        <w:t>סדר טעינה ב-Legit.html: localization → utils → agents → ui → orchestrator → popup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תוקן גם באג scope: loadFromCache הפנתה לצמתי DOM דרך משתנים סגורים מ-popup.js שלא היו נגישים מ-utils.js.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84"/>
        <w:gridCol w:w="7654"/>
      </w:tblGrid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09650"/>
                <w:sz w:val="19"/>
              </w:rPr>
              <w:t>תוקן במלואו</w:t>
            </w:r>
          </w:p>
        </w:tc>
        <w:tc>
          <w:tcPr>
            <w:tcW w:type="dxa" w:w="4533"/>
            <w:vAlign w:val="center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21"/>
                <w:rtl/>
                <w:cs/>
              </w:rPr>
              <w:t>פיצול המונוליט הושלם; באג ה-scope הנוסף תוקן.</w:t>
            </w:r>
          </w:p>
        </w:tc>
      </w:tr>
    </w:tbl>
    <w:p>
      <w:pPr>
        <w:spacing w:after="40"/>
      </w:pPr>
    </w:p>
    <w:p>
      <w:pPr>
        <w:spacing w:before="200" w:after="60"/>
        <w:jc w:val="right"/>
        <w:bidi/>
        <w:jc w:val="right"/>
      </w:pPr>
      <w:r>
        <w:rPr>
          <w:b/>
          <w:i w:val="0"/>
          <w:color w:val="646464"/>
          <w:sz w:val="24"/>
          <w:rtl/>
          <w:cs/>
        </w:rPr>
        <w:t>A3 — קוד מת  [נמוך]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שני פריטי קוד מת זוהו וטופלו:</w:t>
      </w:r>
    </w:p>
    <w:p>
      <w:pPr>
        <w:pStyle w:val="ListBullet"/>
        <w:spacing w:after="60"/>
        <w:ind w:left="0" w:right="283"/>
        <w:jc w:val="right"/>
        <w:bidi/>
        <w:jc w:val="right"/>
      </w:pPr>
      <w:r>
        <w:rPr>
          <w:b/>
          <w:i w:val="0"/>
          <w:sz w:val="21"/>
          <w:rtl/>
          <w:cs/>
        </w:rPr>
        <w:t xml:space="preserve">נמחקה:  </w:t>
      </w:r>
      <w:r>
        <w:rPr>
          <w:b w:val="0"/>
          <w:i w:val="0"/>
          <w:sz w:val="21"/>
          <w:rtl/>
          <w:cs/>
        </w:rPr>
        <w:t>extractTextWithNewlines (utils.js) — נמחקה (!!WIP!!, אפס אתרי קריאה).</w:t>
      </w:r>
    </w:p>
    <w:p>
      <w:pPr>
        <w:pStyle w:val="ListBullet"/>
        <w:spacing w:after="60"/>
        <w:ind w:left="0" w:right="283"/>
        <w:jc w:val="right"/>
        <w:bidi/>
        <w:jc w:val="right"/>
      </w:pPr>
      <w:r>
        <w:rPr>
          <w:b/>
          <w:i w:val="0"/>
          <w:sz w:val="21"/>
          <w:rtl/>
          <w:cs/>
        </w:rPr>
        <w:t xml:space="preserve">הוסרה:  </w:t>
      </w:r>
      <w:r>
        <w:rPr>
          <w:b w:val="0"/>
          <w:i w:val="0"/>
          <w:sz w:val="21"/>
          <w:rtl/>
          <w:cs/>
        </w:rPr>
        <w:t>Readability.js ב-Legit.html — הוסרה; מוזרקת כעת לפי דרישה ב-orchestrator.js.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84"/>
        <w:gridCol w:w="7654"/>
      </w:tblGrid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09650"/>
                <w:sz w:val="19"/>
              </w:rPr>
              <w:t>תוקן במלואו</w:t>
            </w:r>
          </w:p>
        </w:tc>
        <w:tc>
          <w:tcPr>
            <w:tcW w:type="dxa" w:w="4533"/>
            <w:vAlign w:val="center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21"/>
                <w:rtl/>
                <w:cs/>
              </w:rPr>
              <w:t>שני פריטי הקוד המת נוקו.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4" w:space="1" w:color="CCCCCC"/>
        </w:pBdr>
      </w:pPr>
    </w:p>
    <w:p>
      <w:pPr>
        <w:spacing w:before="280" w:after="80"/>
        <w:jc w:val="right"/>
        <w:bidi/>
        <w:jc w:val="right"/>
      </w:pPr>
      <w:r>
        <w:rPr>
          <w:b/>
          <w:i w:val="0"/>
          <w:color w:val="500064"/>
          <w:sz w:val="30"/>
          <w:rtl/>
          <w:cs/>
        </w:rPr>
        <w:t>4  פרטיות ומדיניות</w:t>
      </w:r>
    </w:p>
    <w:p>
      <w:pPr>
        <w:spacing w:before="200" w:after="60"/>
        <w:jc w:val="right"/>
        <w:bidi/>
        <w:jc w:val="right"/>
      </w:pPr>
      <w:r>
        <w:rPr>
          <w:b/>
          <w:i w:val="0"/>
          <w:color w:val="A01E1E"/>
          <w:sz w:val="24"/>
          <w:rtl/>
          <w:cs/>
        </w:rPr>
        <w:t>P1 — אין מדיניות פרטיות ייעודית  [דרישת חנות]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Chrome Web Store מחייבת מדיניות פרטיות לתוספים המבקשים הרשאות רגישות. המניפסט מגדיר host_permissions: ["*://*/*"] ו-permissions: ["activeTab", "scripting", "storage", "sidePanel"]. אין שדה privacy_policy_url ב-manifest.json ולא נוסף מסמך פרטיות לריפוזיטורי.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מדוע לא תוקן: יצירת דף פרטיות ואחסונו (GitHub Pages / אתר ייעודי) מחוץ לתחום הקוד. פריט מינהלי שדורש פרסום חיצוני.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84"/>
        <w:gridCol w:w="7654"/>
      </w:tblGrid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81E1E"/>
                <w:sz w:val="19"/>
              </w:rPr>
              <w:t>לא טופל</w:t>
            </w:r>
          </w:p>
        </w:tc>
        <w:tc>
          <w:tcPr>
            <w:tcW w:type="dxa" w:w="4533"/>
            <w:vAlign w:val="center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21"/>
                <w:rtl/>
                <w:cs/>
              </w:rPr>
              <w:t>אין קובץ מדיניות פרטיות או URL במניפסט.</w:t>
            </w:r>
          </w:p>
        </w:tc>
      </w:tr>
    </w:tbl>
    <w:p>
      <w:pPr>
        <w:spacing w:after="40"/>
      </w:pPr>
    </w:p>
    <w:p>
      <w:pPr>
        <w:spacing w:before="200" w:after="60"/>
        <w:jc w:val="right"/>
        <w:bidi/>
        <w:jc w:val="right"/>
      </w:pPr>
      <w:r>
        <w:rPr>
          <w:b/>
          <w:i w:val="0"/>
          <w:color w:val="643C00"/>
          <w:sz w:val="24"/>
          <w:rtl/>
          <w:cs/>
        </w:rPr>
        <w:t>P2 — אין גילוי נאות על העברת תוכן ל-Google  [בינוני]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המשתמשים אינם מיודעים במפורש שטקסט הכתבה מועבר ל-Google Gemini API תחת מפתח ה-API שלהם. לא נוסף הודעת onboarding, tooltip, או הודעה בממשק.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מדוע לא טופל: דורש שינויי UI ב-Legit.html וב-ui.js (הוספת הודעת first-run או tooltip בתצוגת ההגדרה). לא בוצע בשל סדר עדיפויות בשלב הנוכחי. מומלץ לטפל לפני הגשה לחנות.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84"/>
        <w:gridCol w:w="7654"/>
      </w:tblGrid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81E1E"/>
                <w:sz w:val="19"/>
              </w:rPr>
              <w:t>לא טופל</w:t>
            </w:r>
          </w:p>
        </w:tc>
        <w:tc>
          <w:tcPr>
            <w:tcW w:type="dxa" w:w="4533"/>
            <w:vAlign w:val="center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21"/>
                <w:rtl/>
                <w:cs/>
              </w:rPr>
              <w:t>לא נוסף גילוי נאות בממשק או ב-onboarding.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4" w:space="1" w:color="CCCCCC"/>
        </w:pBdr>
      </w:pPr>
    </w:p>
    <w:p>
      <w:pPr>
        <w:spacing w:before="280" w:after="80"/>
        <w:jc w:val="right"/>
        <w:bidi/>
        <w:jc w:val="right"/>
      </w:pPr>
      <w:r>
        <w:rPr>
          <w:b/>
          <w:i w:val="0"/>
          <w:color w:val="141414"/>
          <w:sz w:val="30"/>
          <w:rtl/>
          <w:cs/>
        </w:rPr>
        <w:t>5  סיכום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סטטוס מהיר לכל 12 הממצאים: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102"/>
        <w:gridCol w:w="1417"/>
        <w:gridCol w:w="3118"/>
      </w:tblGrid>
      <w:tr>
        <w:tc>
          <w:tcPr>
            <w:tcW w:type="dxa" w:w="3022"/>
            <w:shd w:val="clear" w:color="auto" w:fill="2D3748"/>
          </w:tcPr>
          <w:p>
            <w:pPr>
              <w:jc w:val="center"/>
              <w:bidi/>
              <w:jc w:val="right"/>
            </w:pPr>
            <w:r>
              <w:rPr>
                <w:b/>
                <w:i w:val="0"/>
                <w:color w:val="FFFFFF"/>
                <w:sz w:val="20"/>
                <w:rtl/>
                <w:cs/>
              </w:rPr>
              <w:t>ממצא</w:t>
            </w:r>
          </w:p>
        </w:tc>
        <w:tc>
          <w:tcPr>
            <w:tcW w:type="dxa" w:w="3022"/>
            <w:shd w:val="clear" w:color="auto" w:fill="2D3748"/>
          </w:tcPr>
          <w:p>
            <w:pPr>
              <w:jc w:val="center"/>
              <w:bidi/>
              <w:jc w:val="right"/>
            </w:pPr>
            <w:r>
              <w:rPr>
                <w:b/>
                <w:i w:val="0"/>
                <w:color w:val="FFFFFF"/>
                <w:sz w:val="20"/>
                <w:rtl/>
                <w:cs/>
              </w:rPr>
              <w:t>חומרה</w:t>
            </w:r>
          </w:p>
        </w:tc>
        <w:tc>
          <w:tcPr>
            <w:tcW w:type="dxa" w:w="3022"/>
            <w:shd w:val="clear" w:color="auto" w:fill="2D3748"/>
          </w:tcPr>
          <w:p>
            <w:pPr>
              <w:jc w:val="center"/>
              <w:bidi/>
              <w:jc w:val="right"/>
            </w:pPr>
            <w:r>
              <w:rPr>
                <w:b/>
                <w:i w:val="0"/>
                <w:color w:val="FFFFFF"/>
                <w:sz w:val="20"/>
                <w:rtl/>
                <w:cs/>
              </w:rPr>
              <w:t>סטטוס</w:t>
            </w:r>
          </w:p>
        </w:tc>
      </w:tr>
      <w:tr>
        <w:tc>
          <w:tcPr>
            <w:tcW w:type="dxa" w:w="3022"/>
            <w:shd w:val="clear" w:color="auto" w:fill="CCFFCC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באג 1 — פרמטרים מוחלפים ב-styleScoreLabel</w:t>
            </w:r>
          </w:p>
        </w:tc>
        <w:tc>
          <w:tcPr>
            <w:tcW w:type="dxa" w:w="3022"/>
            <w:shd w:val="clear" w:color="auto" w:fill="CCFF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קריטי</w:t>
            </w:r>
          </w:p>
        </w:tc>
        <w:tc>
          <w:tcPr>
            <w:tcW w:type="dxa" w:w="3022"/>
            <w:shd w:val="clear" w:color="auto" w:fill="CCFF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תוקן</w:t>
            </w:r>
          </w:p>
        </w:tc>
      </w:tr>
      <w:tr>
        <w:tc>
          <w:tcPr>
            <w:tcW w:type="dxa" w:w="3022"/>
            <w:shd w:val="clear" w:color="auto" w:fill="CCFFCC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באג 2 — תנאי טאוטולוגי</w:t>
            </w:r>
          </w:p>
        </w:tc>
        <w:tc>
          <w:tcPr>
            <w:tcW w:type="dxa" w:w="3022"/>
            <w:shd w:val="clear" w:color="auto" w:fill="CCFF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בינוני</w:t>
            </w:r>
          </w:p>
        </w:tc>
        <w:tc>
          <w:tcPr>
            <w:tcW w:type="dxa" w:w="3022"/>
            <w:shd w:val="clear" w:color="auto" w:fill="CCFF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תוקן</w:t>
            </w:r>
          </w:p>
        </w:tc>
      </w:tr>
      <w:tr>
        <w:tc>
          <w:tcPr>
            <w:tcW w:type="dxa" w:w="3022"/>
            <w:shd w:val="clear" w:color="auto" w:fill="CCFFCC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באג 3 — waitForTabLoad ללא timeout</w:t>
            </w:r>
          </w:p>
        </w:tc>
        <w:tc>
          <w:tcPr>
            <w:tcW w:type="dxa" w:w="3022"/>
            <w:shd w:val="clear" w:color="auto" w:fill="CCFF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בינוני</w:t>
            </w:r>
          </w:p>
        </w:tc>
        <w:tc>
          <w:tcPr>
            <w:tcW w:type="dxa" w:w="3022"/>
            <w:shd w:val="clear" w:color="auto" w:fill="CCFF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תוקן</w:t>
            </w:r>
          </w:p>
        </w:tc>
      </w:tr>
      <w:tr>
        <w:tc>
          <w:tcPr>
            <w:tcW w:type="dxa" w:w="3022"/>
            <w:shd w:val="clear" w:color="auto" w:fill="FFF3CC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E1 — טקסט מלא לכל הסוכנים</w:t>
            </w:r>
          </w:p>
        </w:tc>
        <w:tc>
          <w:tcPr>
            <w:tcW w:type="dxa" w:w="3022"/>
            <w:shd w:val="clear" w:color="auto" w:fill="FFF3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גבוה</w:t>
            </w:r>
          </w:p>
        </w:tc>
        <w:tc>
          <w:tcPr>
            <w:tcW w:type="dxa" w:w="3022"/>
            <w:shd w:val="clear" w:color="auto" w:fill="FFF3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חלקי</w:t>
            </w:r>
          </w:p>
        </w:tc>
      </w:tr>
      <w:tr>
        <w:tc>
          <w:tcPr>
            <w:tcW w:type="dxa" w:w="3022"/>
            <w:shd w:val="clear" w:color="auto" w:fill="D6EAF8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E2 — שרשראות verify→format</w:t>
            </w:r>
          </w:p>
        </w:tc>
        <w:tc>
          <w:tcPr>
            <w:tcW w:type="dxa" w:w="3022"/>
            <w:shd w:val="clear" w:color="auto" w:fill="D6EAF8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גבוה</w:t>
            </w:r>
          </w:p>
        </w:tc>
        <w:tc>
          <w:tcPr>
            <w:tcW w:type="dxa" w:w="3022"/>
            <w:shd w:val="clear" w:color="auto" w:fill="D6EAF8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החלטת עיצוב</w:t>
            </w:r>
          </w:p>
        </w:tc>
      </w:tr>
      <w:tr>
        <w:tc>
          <w:tcPr>
            <w:tcW w:type="dxa" w:w="3022"/>
            <w:shd w:val="clear" w:color="auto" w:fill="CCFFCC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E3 — Search Grounding לסוכן bias</w:t>
            </w:r>
          </w:p>
        </w:tc>
        <w:tc>
          <w:tcPr>
            <w:tcW w:type="dxa" w:w="3022"/>
            <w:shd w:val="clear" w:color="auto" w:fill="CCFF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בינוני</w:t>
            </w:r>
          </w:p>
        </w:tc>
        <w:tc>
          <w:tcPr>
            <w:tcW w:type="dxa" w:w="3022"/>
            <w:shd w:val="clear" w:color="auto" w:fill="CCFF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תקין מראש</w:t>
            </w:r>
          </w:p>
        </w:tc>
      </w:tr>
      <w:tr>
        <w:tc>
          <w:tcPr>
            <w:tcW w:type="dxa" w:w="3022"/>
            <w:shd w:val="clear" w:color="auto" w:fill="CCFFCC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E4 — ניהול DOM לא יעיל</w:t>
            </w:r>
          </w:p>
        </w:tc>
        <w:tc>
          <w:tcPr>
            <w:tcW w:type="dxa" w:w="3022"/>
            <w:shd w:val="clear" w:color="auto" w:fill="CCFF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נמוך</w:t>
            </w:r>
          </w:p>
        </w:tc>
        <w:tc>
          <w:tcPr>
            <w:tcW w:type="dxa" w:w="3022"/>
            <w:shd w:val="clear" w:color="auto" w:fill="CCFF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תוקן</w:t>
            </w:r>
          </w:p>
        </w:tc>
      </w:tr>
      <w:tr>
        <w:tc>
          <w:tcPr>
            <w:tcW w:type="dxa" w:w="3022"/>
            <w:shd w:val="clear" w:color="auto" w:fill="CCFFCC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A1 — זיהום מרחב שמות גלובלי</w:t>
            </w:r>
          </w:p>
        </w:tc>
        <w:tc>
          <w:tcPr>
            <w:tcW w:type="dxa" w:w="3022"/>
            <w:shd w:val="clear" w:color="auto" w:fill="CCFF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בינוני</w:t>
            </w:r>
          </w:p>
        </w:tc>
        <w:tc>
          <w:tcPr>
            <w:tcW w:type="dxa" w:w="3022"/>
            <w:shd w:val="clear" w:color="auto" w:fill="CCFF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תוקן במידה רבה</w:t>
            </w:r>
          </w:p>
        </w:tc>
      </w:tr>
      <w:tr>
        <w:tc>
          <w:tcPr>
            <w:tcW w:type="dxa" w:w="3022"/>
            <w:shd w:val="clear" w:color="auto" w:fill="CCFFCC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A2 — מונוליט popup.js</w:t>
            </w:r>
          </w:p>
        </w:tc>
        <w:tc>
          <w:tcPr>
            <w:tcW w:type="dxa" w:w="3022"/>
            <w:shd w:val="clear" w:color="auto" w:fill="CCFF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בינוני</w:t>
            </w:r>
          </w:p>
        </w:tc>
        <w:tc>
          <w:tcPr>
            <w:tcW w:type="dxa" w:w="3022"/>
            <w:shd w:val="clear" w:color="auto" w:fill="CCFF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תוקן במלואו</w:t>
            </w:r>
          </w:p>
        </w:tc>
      </w:tr>
      <w:tr>
        <w:tc>
          <w:tcPr>
            <w:tcW w:type="dxa" w:w="3022"/>
            <w:shd w:val="clear" w:color="auto" w:fill="CCFFCC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A3 — קוד מת</w:t>
            </w:r>
          </w:p>
        </w:tc>
        <w:tc>
          <w:tcPr>
            <w:tcW w:type="dxa" w:w="3022"/>
            <w:shd w:val="clear" w:color="auto" w:fill="CCFF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נמוך</w:t>
            </w:r>
          </w:p>
        </w:tc>
        <w:tc>
          <w:tcPr>
            <w:tcW w:type="dxa" w:w="3022"/>
            <w:shd w:val="clear" w:color="auto" w:fill="CCFF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תוקן במלואו</w:t>
            </w:r>
          </w:p>
        </w:tc>
      </w:tr>
      <w:tr>
        <w:tc>
          <w:tcPr>
            <w:tcW w:type="dxa" w:w="3022"/>
            <w:shd w:val="clear" w:color="auto" w:fill="FFCCCC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P1 — אין מדיניות פרטיות</w:t>
            </w:r>
          </w:p>
        </w:tc>
        <w:tc>
          <w:tcPr>
            <w:tcW w:type="dxa" w:w="3022"/>
            <w:shd w:val="clear" w:color="auto" w:fill="FFCC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חובה</w:t>
            </w:r>
          </w:p>
        </w:tc>
        <w:tc>
          <w:tcPr>
            <w:tcW w:type="dxa" w:w="3022"/>
            <w:shd w:val="clear" w:color="auto" w:fill="FFCC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לא טופל</w:t>
            </w:r>
          </w:p>
        </w:tc>
      </w:tr>
      <w:tr>
        <w:tc>
          <w:tcPr>
            <w:tcW w:type="dxa" w:w="3022"/>
            <w:shd w:val="clear" w:color="auto" w:fill="FFCCCC"/>
          </w:tcPr>
          <w:p>
            <w:pPr>
              <w:jc w:val="right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P2 — אין גילוי נאות למשתמש</w:t>
            </w:r>
          </w:p>
        </w:tc>
        <w:tc>
          <w:tcPr>
            <w:tcW w:type="dxa" w:w="3022"/>
            <w:shd w:val="clear" w:color="auto" w:fill="FFCC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בינוני</w:t>
            </w:r>
          </w:p>
        </w:tc>
        <w:tc>
          <w:tcPr>
            <w:tcW w:type="dxa" w:w="3022"/>
            <w:shd w:val="clear" w:color="auto" w:fill="FFCCCC"/>
          </w:tcPr>
          <w:p>
            <w:pPr>
              <w:jc w:val="center"/>
              <w:bidi/>
              <w:jc w:val="right"/>
            </w:pPr>
            <w:r>
              <w:rPr>
                <w:b w:val="0"/>
                <w:i w:val="0"/>
                <w:sz w:val="19"/>
                <w:rtl/>
                <w:cs/>
              </w:rPr>
              <w:t>לא טופל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spacing w:before="280" w:after="80"/>
        <w:jc w:val="right"/>
        <w:bidi/>
        <w:jc w:val="right"/>
      </w:pPr>
      <w:r>
        <w:rPr>
          <w:b/>
          <w:i w:val="0"/>
          <w:color w:val="A01E1E"/>
          <w:sz w:val="30"/>
          <w:rtl/>
          <w:cs/>
        </w:rPr>
        <w:t>6  פריטים פתוחים — פעולות מומלצות</w:t>
      </w:r>
    </w:p>
    <w:p>
      <w:pPr>
        <w:spacing w:after="80"/>
        <w:jc w:val="right"/>
        <w:bidi/>
        <w:jc w:val="right"/>
      </w:pPr>
      <w:r>
        <w:rPr>
          <w:b w:val="0"/>
          <w:i w:val="0"/>
          <w:sz w:val="21"/>
          <w:rtl/>
          <w:cs/>
        </w:rPr>
        <w:t>הפריטים הבאים נותרו פתוחים ויש לטפל בהם לפני ההגשה הבאה לחנות:</w:t>
      </w:r>
    </w:p>
    <w:p>
      <w:pPr>
        <w:pStyle w:val="ListNumber"/>
        <w:jc w:val="right"/>
        <w:bidi/>
        <w:jc w:val="right"/>
      </w:pPr>
      <w:r>
        <w:rPr>
          <w:b/>
          <w:i w:val="0"/>
          <w:color w:val="C81E1E"/>
          <w:sz w:val="21"/>
          <w:rtl/>
          <w:cs/>
        </w:rPr>
        <w:t>[חובה] הוספת מדיניות פרטיות</w:t>
      </w:r>
    </w:p>
    <w:p>
      <w:pPr>
        <w:spacing w:after="120"/>
        <w:ind w:right="680"/>
        <w:jc w:val="right"/>
        <w:bidi/>
        <w:jc w:val="right"/>
      </w:pPr>
      <w:r>
        <w:rPr>
          <w:b w:val="0"/>
          <w:i w:val="0"/>
          <w:sz w:val="21"/>
          <w:rtl/>
          <w:cs/>
        </w:rPr>
        <w:t>יש לפרסם דף מדיניות פרטיות (למשל ב-GitHub Pages) ולהוסיף את ה-URL ל-manifest.json כ-"privacy_policy_url". אפילו הצהרה מינימלית לפיה המפתח אינו אוסף נתונים מספיקה לדרישות החנות.</w:t>
      </w:r>
    </w:p>
    <w:p>
      <w:pPr>
        <w:pStyle w:val="ListNumber"/>
        <w:jc w:val="right"/>
        <w:bidi/>
        <w:jc w:val="right"/>
      </w:pPr>
      <w:r>
        <w:rPr>
          <w:b/>
          <w:i w:val="0"/>
          <w:color w:val="D2640A"/>
          <w:sz w:val="21"/>
          <w:rtl/>
          <w:cs/>
        </w:rPr>
        <w:t>[בינוני] הוספת גילוי נאות על העברת נתונים</w:t>
      </w:r>
    </w:p>
    <w:p>
      <w:pPr>
        <w:spacing w:after="120"/>
        <w:ind w:right="680"/>
        <w:jc w:val="right"/>
        <w:bidi/>
        <w:jc w:val="right"/>
      </w:pPr>
      <w:r>
        <w:rPr>
          <w:b w:val="0"/>
          <w:i w:val="0"/>
          <w:sz w:val="21"/>
          <w:rtl/>
          <w:cs/>
        </w:rPr>
        <w:t>הוספת הודעה קצרה בתצוגת ההגדרה (Legit.html / ui.js) המיידעת את המשתמש שתוכן הכתבה נשלח ל-Google Gemini API תחת המפתח שלו. ניתן לממש כ-tooltip על כפתור הניתוח או כהודעת first-run חד-פעמית.</w:t>
      </w:r>
    </w:p>
    <w:p>
      <w:pPr>
        <w:pStyle w:val="ListNumber"/>
        <w:jc w:val="right"/>
        <w:bidi/>
        <w:jc w:val="right"/>
      </w:pPr>
      <w:r>
        <w:rPr>
          <w:b/>
          <w:i w:val="0"/>
          <w:color w:val="D2640A"/>
          <w:sz w:val="21"/>
          <w:rtl/>
          <w:cs/>
        </w:rPr>
        <w:t>[גבוה] השלמת E1 — הגבלת אורך טקסט לסוכן headline</w:t>
      </w:r>
    </w:p>
    <w:p>
      <w:pPr>
        <w:spacing w:after="120"/>
        <w:ind w:right="680"/>
        <w:jc w:val="right"/>
        <w:bidi/>
        <w:jc w:val="right"/>
      </w:pPr>
      <w:r>
        <w:rPr>
          <w:b w:val="0"/>
          <w:i w:val="0"/>
          <w:sz w:val="21"/>
          <w:rtl/>
          <w:cs/>
        </w:rPr>
        <w:t>עדכון פרומפט סוכן ה-headline ב-agents.js לשימוש ב-shortExcerpt במקום longExcerpt, והגדרת תקרת תווים גלובלית ל-excerptStart ב-orchestrator.js (3,000-4,000 תווים).</w:t>
      </w:r>
    </w:p>
    <w:sectPr w:rsidR="00FC693F" w:rsidRPr="0006063C" w:rsidSect="00034616">
      <w:bidi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