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141414"/>
          <w:sz w:val="36"/>
          <w:rtl/>
          <w:cs/>
        </w:rPr>
        <w:t>תוסף Legit — מענה לסקירת קוד</w:t>
      </w:r>
    </w:p>
    <w:p>
      <w:pPr>
        <w:spacing w:after="40"/>
        <w:jc w:val="center"/>
      </w:pPr>
      <w:r>
        <w:rPr>
          <w:b w:val="0"/>
          <w:i/>
          <w:color w:val="646464"/>
          <w:sz w:val="22"/>
          <w:rtl/>
          <w:cs/>
        </w:rPr>
        <w:t>דוח סטטוס ממצאי הסקירה  •  גרסה 2.1.3</w:t>
      </w:r>
    </w:p>
    <w:p>
      <w:pPr>
        <w:spacing w:after="320"/>
        <w:jc w:val="center"/>
      </w:pPr>
      <w:r>
        <w:rPr>
          <w:b w:val="0"/>
          <w:i w:val="0"/>
          <w:color w:val="646464"/>
          <w:sz w:val="20"/>
          <w:rtl/>
          <w:cs/>
        </w:rPr>
        <w:t>הוכן: 06.04.2026</w:t>
      </w:r>
    </w:p>
    <w:p>
      <w:pPr>
        <w:spacing w:before="120" w:after="120"/>
        <w:pBdr>
          <w:bottom w:val="single" w:sz="4" w:space="1" w:color="CCCCCC"/>
        </w:pBdr>
      </w:pPr>
    </w:p>
    <w:p>
      <w:pPr>
        <w:spacing w:before="280" w:after="80"/>
        <w:jc w:val="right"/>
        <w:bidi/>
        <w:jc w:val="right"/>
      </w:pPr>
      <w:r>
        <w:rPr>
          <w:b/>
          <w:i w:val="0"/>
          <w:color w:val="141414"/>
          <w:sz w:val="30"/>
          <w:rtl/>
          <w:cs/>
        </w:rPr>
        <w:t>סיכום מנהלים</w:t>
      </w:r>
    </w:p>
    <w:p>
      <w:pPr>
        <w:spacing w:after="80"/>
        <w:jc w:val="right"/>
        <w:bidi/>
        <w:jc w:val="right"/>
      </w:pPr>
      <w:r>
        <w:rPr>
          <w:b w:val="0"/>
          <w:i w:val="0"/>
          <w:sz w:val="21"/>
          <w:rtl/>
          <w:cs/>
        </w:rPr>
        <w:t>מסמך זה עוקב אחר מצב הטיפול בכל ממצא שהועלה בסקירת הקוד של תוסף Legit (גרסה 2.1.2). מתוך 12 ממצאים נפרדים, 7 טופלו במלואם, 2 טופלו באופן חלקי, ו-3 נותרים פתוחים. השינוי האדריכלי המשמעותי ביותר — פיצול המונוליט popup.js למודולים ממוקדים — הושלם. שניים משלושת הבאגים הקריטיים/בינוניים עדיין קיימים בקוד ויש לתת להם עדיפות לפני הגשה הבאה לחנות Chrome Web Store.</w:t>
      </w:r>
    </w:p>
    <w:p>
      <w:pPr>
        <w:spacing w:before="120" w:after="120"/>
        <w:pBdr>
          <w:bottom w:val="single" w:sz="4" w:space="1" w:color="CCCCCC"/>
        </w:pBdr>
      </w:pPr>
    </w:p>
    <w:p>
      <w:pPr>
        <w:spacing w:before="280" w:after="80"/>
        <w:jc w:val="right"/>
        <w:bidi/>
        <w:jc w:val="right"/>
      </w:pPr>
      <w:r>
        <w:rPr>
          <w:b/>
          <w:i w:val="0"/>
          <w:color w:val="A01E1E"/>
          <w:sz w:val="30"/>
          <w:rtl/>
          <w:cs/>
        </w:rPr>
        <w:t>1  באגים</w:t>
      </w:r>
    </w:p>
    <w:p>
      <w:pPr>
        <w:spacing w:before="200" w:after="60"/>
        <w:jc w:val="right"/>
        <w:bidi/>
        <w:jc w:val="right"/>
      </w:pPr>
      <w:r>
        <w:rPr>
          <w:b/>
          <w:i w:val="0"/>
          <w:color w:val="A01E1E"/>
          <w:sz w:val="24"/>
          <w:rtl/>
          <w:cs/>
        </w:rPr>
        <w:t>באג 1 — פרמטרים מוחלפים ב-styleScoreLabel  [קריטי]</w:t>
      </w:r>
    </w:p>
    <w:p>
      <w:pPr>
        <w:spacing w:after="80"/>
        <w:jc w:val="right"/>
        <w:bidi/>
        <w:jc w:val="right"/>
      </w:pPr>
      <w:r>
        <w:rPr>
          <w:b w:val="0"/>
          <w:i w:val="0"/>
          <w:sz w:val="21"/>
          <w:rtl/>
          <w:cs/>
        </w:rPr>
        <w:t>מיקום: utils.js — אתר הקריאה שורה 535, הגדרת הפונקציה שורה 561</w:t>
      </w:r>
    </w:p>
    <w:p>
      <w:pPr>
        <w:spacing w:after="80"/>
        <w:jc w:val="right"/>
        <w:bidi/>
        <w:jc w:val="right"/>
      </w:pPr>
      <w:r>
        <w:rPr>
          <w:b w:val="0"/>
          <w:i w:val="0"/>
          <w:sz w:val="21"/>
          <w:rtl/>
          <w:cs/>
        </w:rPr>
        <w:t>הקריאה בשורה 535 מעבירה ארגומנטים בסדר (..., gradient, labelKey, emoji), אך חתימת הפונקציה בשורה 561 מצפה לסדר (..., gradient, emoji, labelKey). כתוצאה מכך, סמל האמוג'י מגיע למקום שבו מצופה מפתח התרגום, ולהפך. ה-fallback בשורה 587 (TRANSLATIONS[currentLang][labelKey] || labelKey) מסתיר את הקריסה — labelKey מקבל את ערך האמוג'י שאינו קיים כמפתח תרגום, ולכן מוחזר האמוג'י הגולמי — אך הפלט הוויזואלי שגוי: התווית מוצגת כ-"HIGHLY CREDIBLE ✓" במקום "✓ Highly Credible".</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C81E1E"/>
                <w:sz w:val="19"/>
              </w:rPr>
              <w:t>לא תוקן</w:t>
            </w:r>
          </w:p>
        </w:tc>
        <w:tc>
          <w:tcPr>
            <w:tcW w:type="dxa" w:w="4533"/>
            <w:vAlign w:val="center"/>
          </w:tcPr>
          <w:p>
            <w:pPr>
              <w:jc w:val="right"/>
              <w:bidi/>
              <w:jc w:val="right"/>
            </w:pPr>
            <w:r>
              <w:rPr>
                <w:b w:val="0"/>
                <w:i w:val="0"/>
                <w:sz w:val="21"/>
                <w:rtl/>
                <w:cs/>
              </w:rPr>
              <w:t>סטטוס: סדר הארגומנטים באתר הקריאה לא תוקן; הפרמטרים המוחלפים עדיין קיימים.</w:t>
            </w:r>
          </w:p>
        </w:tc>
      </w:tr>
    </w:tbl>
    <w:p>
      <w:pPr>
        <w:spacing w:after="40"/>
      </w:pPr>
    </w:p>
    <w:p>
      <w:pPr>
        <w:spacing w:before="200" w:after="60"/>
        <w:jc w:val="right"/>
        <w:bidi/>
        <w:jc w:val="right"/>
      </w:pPr>
      <w:r>
        <w:rPr>
          <w:b/>
          <w:i w:val="0"/>
          <w:color w:val="643C00"/>
          <w:sz w:val="24"/>
          <w:rtl/>
          <w:cs/>
        </w:rPr>
        <w:t>באג 2 — תנאי טאוטולוגי ב-analyzeAgent  [בינוני]</w:t>
      </w:r>
    </w:p>
    <w:p>
      <w:pPr>
        <w:spacing w:after="80"/>
        <w:jc w:val="right"/>
        <w:bidi/>
        <w:jc w:val="right"/>
      </w:pPr>
      <w:r>
        <w:rPr>
          <w:b w:val="0"/>
          <w:i w:val="0"/>
          <w:sz w:val="21"/>
          <w:rtl/>
          <w:cs/>
        </w:rPr>
        <w:t>מיקום: orchestrator.js (לשעבר popup.js) שורה 388</w:t>
      </w:r>
    </w:p>
    <w:p>
      <w:pPr>
        <w:spacing w:after="80"/>
        <w:jc w:val="right"/>
        <w:bidi/>
        <w:jc w:val="right"/>
      </w:pPr>
      <w:r>
        <w:rPr>
          <w:b w:val="0"/>
          <w:i w:val="0"/>
          <w:sz w:val="21"/>
          <w:rtl/>
          <w:cs/>
        </w:rPr>
        <w:t>התנאי המקורי  if(agent.id === "bias" || agent)  תמיד הוערך כ-true מכיוון שהפניה הגולמית agent תמיד מהווה ערך אמת, מה שגרם לכל הסוכנים לקבל quote-linkification במקום רק bias ו-style.</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109650"/>
                <w:sz w:val="19"/>
              </w:rPr>
              <w:t>תוקן</w:t>
            </w:r>
          </w:p>
        </w:tc>
        <w:tc>
          <w:tcPr>
            <w:tcW w:type="dxa" w:w="4533"/>
            <w:vAlign w:val="center"/>
          </w:tcPr>
          <w:p>
            <w:pPr>
              <w:jc w:val="right"/>
              <w:bidi/>
              <w:jc w:val="right"/>
            </w:pPr>
            <w:r>
              <w:rPr>
                <w:b w:val="0"/>
                <w:i w:val="0"/>
                <w:sz w:val="21"/>
                <w:rtl/>
                <w:cs/>
              </w:rPr>
              <w:t>תוקן: התנאי הוא כעת  if (agent.id === "bias" || agent.id === "style")</w:t>
            </w:r>
          </w:p>
        </w:tc>
      </w:tr>
    </w:tbl>
    <w:p>
      <w:pPr>
        <w:spacing w:after="40"/>
      </w:pPr>
    </w:p>
    <w:p>
      <w:pPr>
        <w:spacing w:before="200" w:after="60"/>
        <w:jc w:val="right"/>
        <w:bidi/>
        <w:jc w:val="right"/>
      </w:pPr>
      <w:r>
        <w:rPr>
          <w:b/>
          <w:i w:val="0"/>
          <w:color w:val="643C00"/>
          <w:sz w:val="24"/>
          <w:rtl/>
          <w:cs/>
        </w:rPr>
        <w:t>באג 3 — waitForTabLoad ללא timeout  [בינוני]</w:t>
      </w:r>
    </w:p>
    <w:p>
      <w:pPr>
        <w:spacing w:after="80"/>
        <w:jc w:val="right"/>
        <w:bidi/>
        <w:jc w:val="right"/>
      </w:pPr>
      <w:r>
        <w:rPr>
          <w:b w:val="0"/>
          <w:i w:val="0"/>
          <w:sz w:val="21"/>
          <w:rtl/>
          <w:cs/>
        </w:rPr>
        <w:t>מיקום: utils.js שורות 1022-1032</w:t>
      </w:r>
    </w:p>
    <w:p>
      <w:pPr>
        <w:spacing w:after="80"/>
        <w:jc w:val="right"/>
        <w:bidi/>
        <w:jc w:val="right"/>
      </w:pPr>
      <w:r>
        <w:rPr>
          <w:b w:val="0"/>
          <w:i w:val="0"/>
          <w:sz w:val="21"/>
          <w:rtl/>
          <w:cs/>
        </w:rPr>
        <w:t>הפונקציה רושמת listener לאירוע chrome.tabs.onUpdated ומסיימת רק כאשר כתובת הטאב אינה מכילה עוד "google.com" או "duckduckgo.com". אם redirect משאיר את הטאב באחד מהדומיינים האלה, ה-listener לעולם לא יוסר ויגרום לדליפת זיכרון. לא הוסף guard של setTimeout.</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C81E1E"/>
                <w:sz w:val="19"/>
              </w:rPr>
              <w:t>לא תוקן</w:t>
            </w:r>
          </w:p>
        </w:tc>
        <w:tc>
          <w:tcPr>
            <w:tcW w:type="dxa" w:w="4533"/>
            <w:vAlign w:val="center"/>
          </w:tcPr>
          <w:p>
            <w:pPr>
              <w:jc w:val="right"/>
              <w:bidi/>
              <w:jc w:val="right"/>
            </w:pPr>
            <w:r>
              <w:rPr>
                <w:b w:val="0"/>
                <w:i w:val="0"/>
                <w:sz w:val="21"/>
                <w:rtl/>
                <w:cs/>
              </w:rPr>
              <w:t>סטטוס: לא נוסף timeout; דליפת הזיכרון הפוטנציאלית עדיין קיימת.</w:t>
            </w:r>
          </w:p>
        </w:tc>
      </w:tr>
    </w:tbl>
    <w:p>
      <w:pPr>
        <w:spacing w:after="40"/>
      </w:pPr>
    </w:p>
    <w:p>
      <w:pPr>
        <w:spacing w:before="120" w:after="120"/>
        <w:pBdr>
          <w:bottom w:val="single" w:sz="4" w:space="1" w:color="CCCCCC"/>
        </w:pBdr>
      </w:pPr>
    </w:p>
    <w:p>
      <w:pPr>
        <w:spacing w:before="280" w:after="80"/>
        <w:jc w:val="right"/>
        <w:bidi/>
        <w:jc w:val="right"/>
      </w:pPr>
      <w:r>
        <w:rPr>
          <w:b/>
          <w:i w:val="0"/>
          <w:color w:val="825000"/>
          <w:sz w:val="30"/>
          <w:rtl/>
          <w:cs/>
        </w:rPr>
        <w:t>2  יעילות</w:t>
      </w:r>
    </w:p>
    <w:p>
      <w:pPr>
        <w:spacing w:before="200" w:after="60"/>
        <w:jc w:val="right"/>
        <w:bidi/>
        <w:jc w:val="right"/>
      </w:pPr>
      <w:r>
        <w:rPr>
          <w:b/>
          <w:i w:val="0"/>
          <w:color w:val="643C00"/>
          <w:sz w:val="24"/>
          <w:rtl/>
          <w:cs/>
        </w:rPr>
        <w:t>E1 — טקסט מלא נשלח לכל הסוכנים  [גבוה]</w:t>
      </w:r>
    </w:p>
    <w:p>
      <w:pPr>
        <w:spacing w:after="80"/>
        <w:jc w:val="right"/>
        <w:bidi/>
        <w:jc w:val="right"/>
      </w:pPr>
      <w:r>
        <w:rPr>
          <w:b w:val="0"/>
          <w:i w:val="0"/>
          <w:sz w:val="21"/>
          <w:rtl/>
          <w:cs/>
        </w:rPr>
        <w:t>מיקום: orchestrator.js שורה 213; agents.js — כל הפרומפטים</w:t>
      </w:r>
    </w:p>
    <w:p>
      <w:pPr>
        <w:spacing w:after="80"/>
        <w:jc w:val="right"/>
        <w:bidi/>
        <w:jc w:val="right"/>
      </w:pPr>
      <w:r>
        <w:rPr>
          <w:b w:val="0"/>
          <w:i w:val="0"/>
          <w:sz w:val="21"/>
          <w:rtl/>
          <w:cs/>
        </w:rPr>
        <w:t>ההמלצה הייתה (א) להגביל את excerptStart ל-3,000-4,000 תווים ו-(ב) להשתמש ב-shortExcerpt עבור סוכני headline ו-author. התקדמות חלקית: סוכן ה-author מקבל כעת shortExcerpt (600 תווים). עם זאת, excerptStart עדיין מכיל את bodyText המלא ללא הגבלת תווים, וסוכן ה-headline עדיין מקבל את longExcerpt (הגוף המלא של הכתבה).</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D2640A"/>
                <w:sz w:val="19"/>
              </w:rPr>
              <w:t>חלקי</w:t>
            </w:r>
          </w:p>
        </w:tc>
        <w:tc>
          <w:tcPr>
            <w:tcW w:type="dxa" w:w="4533"/>
            <w:vAlign w:val="center"/>
          </w:tcPr>
          <w:p>
            <w:pPr>
              <w:jc w:val="right"/>
              <w:bidi/>
              <w:jc w:val="right"/>
            </w:pPr>
            <w:r>
              <w:rPr>
                <w:b w:val="0"/>
                <w:i w:val="0"/>
                <w:sz w:val="21"/>
                <w:rtl/>
                <w:cs/>
              </w:rPr>
              <w:t>סוכן author שופר; headline ותקרת טקסט גלובלית: טרם יושמו.</w:t>
            </w:r>
          </w:p>
        </w:tc>
      </w:tr>
    </w:tbl>
    <w:p>
      <w:pPr>
        <w:spacing w:after="40"/>
      </w:pPr>
    </w:p>
    <w:p>
      <w:pPr>
        <w:spacing w:before="200" w:after="60"/>
        <w:jc w:val="right"/>
        <w:bidi/>
        <w:jc w:val="right"/>
      </w:pPr>
      <w:r>
        <w:rPr>
          <w:b/>
          <w:i w:val="0"/>
          <w:color w:val="643C00"/>
          <w:sz w:val="24"/>
          <w:rtl/>
          <w:cs/>
        </w:rPr>
        <w:t>E2 — שרשראות verify→format מכפילות קריאות API  [גבוה]</w:t>
      </w:r>
    </w:p>
    <w:p>
      <w:pPr>
        <w:spacing w:after="80"/>
        <w:jc w:val="right"/>
        <w:bidi/>
        <w:jc w:val="right"/>
      </w:pPr>
      <w:r>
        <w:rPr>
          <w:b w:val="0"/>
          <w:i w:val="0"/>
          <w:sz w:val="21"/>
          <w:rtl/>
          <w:cs/>
        </w:rPr>
        <w:t>מיקום: agents.js — שרשראות source-verify/source-format ו-consensus-verify/consensus-format</w:t>
      </w:r>
    </w:p>
    <w:p>
      <w:pPr>
        <w:spacing w:after="80"/>
        <w:jc w:val="right"/>
        <w:bidi/>
        <w:jc w:val="right"/>
      </w:pPr>
      <w:r>
        <w:rPr>
          <w:b w:val="0"/>
          <w:i w:val="0"/>
          <w:sz w:val="21"/>
          <w:rtl/>
          <w:cs/>
        </w:rPr>
        <w:t>כל שרשרת דו-סוכנית מבצעת 2 קריאות API; סוכני ה-format רק מפרמטים ציטוטים, עבודה שניתן לבצע ב-JS או בפרומפט מאוחד אחד. שתי השרשראות נותרו ללא שינוי. החיסכון המשוער של ~47% מעלות ניתוח ($0.07) לא מומש.</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C81E1E"/>
                <w:sz w:val="19"/>
              </w:rPr>
              <w:t>לא טופל</w:t>
            </w:r>
          </w:p>
        </w:tc>
        <w:tc>
          <w:tcPr>
            <w:tcW w:type="dxa" w:w="4533"/>
            <w:vAlign w:val="center"/>
          </w:tcPr>
          <w:p>
            <w:pPr>
              <w:jc w:val="right"/>
              <w:bidi/>
              <w:jc w:val="right"/>
            </w:pPr>
            <w:r>
              <w:rPr>
                <w:b w:val="0"/>
                <w:i w:val="0"/>
                <w:sz w:val="21"/>
                <w:rtl/>
                <w:cs/>
              </w:rPr>
              <w:t>שתי השרשראות קיימות ללא שינוי.</w:t>
            </w:r>
          </w:p>
        </w:tc>
      </w:tr>
    </w:tbl>
    <w:p>
      <w:pPr>
        <w:spacing w:after="40"/>
      </w:pPr>
    </w:p>
    <w:p>
      <w:pPr>
        <w:spacing w:before="200" w:after="60"/>
        <w:jc w:val="right"/>
        <w:bidi/>
        <w:jc w:val="right"/>
      </w:pPr>
      <w:r>
        <w:rPr>
          <w:b/>
          <w:i w:val="0"/>
          <w:color w:val="646464"/>
          <w:sz w:val="24"/>
          <w:rtl/>
          <w:cs/>
        </w:rPr>
        <w:t>E3 — Search Grounding לסוכן bias  [בינוני]</w:t>
      </w:r>
    </w:p>
    <w:p>
      <w:pPr>
        <w:spacing w:after="80"/>
        <w:jc w:val="right"/>
        <w:bidi/>
        <w:jc w:val="right"/>
      </w:pPr>
      <w:r>
        <w:rPr>
          <w:b w:val="0"/>
          <w:i w:val="0"/>
          <w:sz w:val="21"/>
          <w:rtl/>
          <w:cs/>
        </w:rPr>
        <w:t>מיקום: agents.js — הגדרת סוכן bias</w:t>
      </w:r>
    </w:p>
    <w:p>
      <w:pPr>
        <w:spacing w:after="80"/>
        <w:jc w:val="right"/>
        <w:bidi/>
        <w:jc w:val="right"/>
      </w:pPr>
      <w:r>
        <w:rPr>
          <w:b w:val="0"/>
          <w:i w:val="0"/>
          <w:sz w:val="21"/>
          <w:rtl/>
          <w:cs/>
        </w:rPr>
        <w:t>הסקירה שאלה האם סוכן ה-bias באמת זקוק ל-Search Grounding, בהתחשב בכך שניתוח הטיות מבוסס על טקסט הכתבה עצמה. בקוד הנוכחי לסוכן ה-bias יש useSearch: false — הוא אינו משתמש ב-Search Grounding. מצב זה היה קיים מראש, או שתוקן לפני יצירת מעקב השיפורים. כך או כך, הקונפיגורציה נכונה.</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109650"/>
                <w:sz w:val="19"/>
              </w:rPr>
              <w:t>תקין מראש</w:t>
            </w:r>
          </w:p>
        </w:tc>
        <w:tc>
          <w:tcPr>
            <w:tcW w:type="dxa" w:w="4533"/>
            <w:vAlign w:val="center"/>
          </w:tcPr>
          <w:p>
            <w:pPr>
              <w:jc w:val="right"/>
              <w:bidi/>
              <w:jc w:val="right"/>
            </w:pPr>
            <w:r>
              <w:rPr>
                <w:b w:val="0"/>
                <w:i w:val="0"/>
                <w:sz w:val="21"/>
                <w:rtl/>
                <w:cs/>
              </w:rPr>
              <w:t>סוכן bias: useSearch: false — מוגדר נכון.</w:t>
            </w:r>
          </w:p>
        </w:tc>
      </w:tr>
    </w:tbl>
    <w:p>
      <w:pPr>
        <w:spacing w:after="40"/>
      </w:pPr>
    </w:p>
    <w:p>
      <w:pPr>
        <w:spacing w:before="200" w:after="60"/>
        <w:jc w:val="right"/>
        <w:bidi/>
        <w:jc w:val="right"/>
      </w:pPr>
      <w:r>
        <w:rPr>
          <w:b/>
          <w:i w:val="0"/>
          <w:color w:val="646464"/>
          <w:sz w:val="24"/>
          <w:rtl/>
          <w:cs/>
        </w:rPr>
        <w:t>E4 — ניהול DOM לא יעיל  [נמוך]</w:t>
      </w:r>
    </w:p>
    <w:p>
      <w:pPr>
        <w:spacing w:after="80"/>
        <w:jc w:val="right"/>
        <w:bidi/>
        <w:jc w:val="right"/>
      </w:pPr>
      <w:r>
        <w:rPr>
          <w:b w:val="0"/>
          <w:i w:val="0"/>
          <w:sz w:val="21"/>
          <w:rtl/>
          <w:cs/>
        </w:rPr>
        <w:t>מיקום: utils.js — attachQuoteLinkListeners (שורה 879); sortGridDynamic (שורה 309)</w:t>
      </w:r>
    </w:p>
    <w:p>
      <w:pPr>
        <w:spacing w:after="80"/>
        <w:jc w:val="right"/>
        <w:bidi/>
        <w:jc w:val="right"/>
      </w:pPr>
      <w:r>
        <w:rPr>
          <w:b w:val="0"/>
          <w:i w:val="0"/>
          <w:sz w:val="21"/>
          <w:rtl/>
          <w:cs/>
        </w:rPr>
        <w:t>שני הממצאים תוקנו. attachQuoteLinkListeners משתמשת כעת ב-listener מואצל יחיד על #agentGrid עם דגל שמירה ברמת המודול (_quoteLinkListenerAttached) למניעת רישום כפול — אין יותר שכפול DOM לכל סוכן. sortGridDynamic עוטפת כעת את מוטציות ה-DOM ב-requestAnimationFrame, ומדחה את ה-reflow למחזור הציור הבא.</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109650"/>
                <w:sz w:val="19"/>
              </w:rPr>
              <w:t>תוקן</w:t>
            </w:r>
          </w:p>
        </w:tc>
        <w:tc>
          <w:tcPr>
            <w:tcW w:type="dxa" w:w="4533"/>
            <w:vAlign w:val="center"/>
          </w:tcPr>
          <w:p>
            <w:pPr>
              <w:jc w:val="right"/>
              <w:bidi/>
              <w:jc w:val="right"/>
            </w:pPr>
            <w:r>
              <w:rPr>
                <w:b w:val="0"/>
                <w:i w:val="0"/>
                <w:sz w:val="21"/>
                <w:rtl/>
                <w:cs/>
              </w:rPr>
              <w:t>Delegated listener ו-requestAnimationFrame שניהם מיושמים.</w:t>
            </w:r>
          </w:p>
        </w:tc>
      </w:tr>
    </w:tbl>
    <w:p>
      <w:pPr>
        <w:spacing w:after="40"/>
      </w:pPr>
    </w:p>
    <w:p>
      <w:pPr>
        <w:spacing w:before="120" w:after="120"/>
        <w:pBdr>
          <w:bottom w:val="single" w:sz="4" w:space="1" w:color="CCCCCC"/>
        </w:pBdr>
      </w:pPr>
    </w:p>
    <w:p>
      <w:pPr>
        <w:spacing w:before="280" w:after="80"/>
        <w:jc w:val="right"/>
        <w:bidi/>
        <w:jc w:val="right"/>
      </w:pPr>
      <w:r>
        <w:rPr>
          <w:b/>
          <w:i w:val="0"/>
          <w:color w:val="1E3C8C"/>
          <w:sz w:val="30"/>
          <w:rtl/>
          <w:cs/>
        </w:rPr>
        <w:t>3  ארכיטקטורה</w:t>
      </w:r>
    </w:p>
    <w:p>
      <w:pPr>
        <w:spacing w:before="200" w:after="60"/>
        <w:jc w:val="right"/>
        <w:bidi/>
        <w:jc w:val="right"/>
      </w:pPr>
      <w:r>
        <w:rPr>
          <w:b/>
          <w:i w:val="0"/>
          <w:color w:val="643C00"/>
          <w:sz w:val="24"/>
          <w:rtl/>
          <w:cs/>
        </w:rPr>
        <w:t>A1 — זיהום מרחב השמות הגלובלי  [בינוני]</w:t>
      </w:r>
    </w:p>
    <w:p>
      <w:pPr>
        <w:spacing w:after="80"/>
        <w:jc w:val="right"/>
        <w:bidi/>
        <w:jc w:val="right"/>
      </w:pPr>
      <w:r>
        <w:rPr>
          <w:b w:val="0"/>
          <w:i w:val="0"/>
          <w:sz w:val="21"/>
          <w:rtl/>
          <w:cs/>
        </w:rPr>
        <w:t>מיקום: כל קבצי הסקריפט הנטענים דרך תגיות &lt;script&gt; ב-Legit.html</w:t>
      </w:r>
    </w:p>
    <w:p>
      <w:pPr>
        <w:spacing w:after="80"/>
        <w:jc w:val="right"/>
        <w:bidi/>
        <w:jc w:val="right"/>
      </w:pPr>
      <w:r>
        <w:rPr>
          <w:b w:val="0"/>
          <w:i w:val="0"/>
          <w:sz w:val="21"/>
          <w:rtl/>
          <w:cs/>
        </w:rPr>
        <w:t>כל ששת קבצי הסקריפט (localization.js, utils.js, agents.js, ui.js, orchestrator.js, popup.js) עטופים כעת ב-IIFEs. פונקציות עזר פנימיות הן פרטיות לכל מודול; רק פונקציות הנדרשות בין קבצים חשופות מפורשות דרך window.X = X בסוף כל IIFE. מעבר מלא ל-ES Modules (type="module" + import/export) לא בוצע, אך גישת ה-IIFE משיגה בטיחות שיוך שקולה בקנה המידה של הפרויקט.</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109650"/>
                <w:sz w:val="19"/>
              </w:rPr>
              <w:t>תוקן במידה רבה</w:t>
            </w:r>
          </w:p>
        </w:tc>
        <w:tc>
          <w:tcPr>
            <w:tcW w:type="dxa" w:w="4533"/>
            <w:vAlign w:val="center"/>
          </w:tcPr>
          <w:p>
            <w:pPr>
              <w:jc w:val="right"/>
              <w:bidi/>
              <w:jc w:val="right"/>
            </w:pPr>
            <w:r>
              <w:rPr>
                <w:b w:val="0"/>
                <w:i w:val="0"/>
                <w:sz w:val="21"/>
                <w:rtl/>
                <w:cs/>
              </w:rPr>
              <w:t>עיטוף IIFE הוחל על כל הקבצים. ES Modules לא אומצו (קביל בקנה מידה זה).</w:t>
            </w:r>
          </w:p>
        </w:tc>
      </w:tr>
    </w:tbl>
    <w:p>
      <w:pPr>
        <w:spacing w:after="40"/>
      </w:pPr>
    </w:p>
    <w:p>
      <w:pPr>
        <w:spacing w:before="200" w:after="60"/>
        <w:jc w:val="right"/>
        <w:bidi/>
        <w:jc w:val="right"/>
      </w:pPr>
      <w:r>
        <w:rPr>
          <w:b/>
          <w:i w:val="0"/>
          <w:color w:val="643C00"/>
          <w:sz w:val="24"/>
          <w:rtl/>
          <w:cs/>
        </w:rPr>
        <w:t>A2 — מונוליט popup.js  [בינוני]</w:t>
      </w:r>
    </w:p>
    <w:p>
      <w:pPr>
        <w:spacing w:after="80"/>
        <w:jc w:val="right"/>
        <w:bidi/>
        <w:jc w:val="right"/>
      </w:pPr>
      <w:r>
        <w:rPr>
          <w:b w:val="0"/>
          <w:i w:val="0"/>
          <w:sz w:val="21"/>
          <w:rtl/>
          <w:cs/>
        </w:rPr>
        <w:t>מיקום: לשעבר popup.js (671 שורות)</w:t>
      </w:r>
    </w:p>
    <w:p>
      <w:pPr>
        <w:spacing w:after="80"/>
        <w:jc w:val="right"/>
        <w:bidi/>
        <w:jc w:val="right"/>
      </w:pPr>
      <w:r>
        <w:rPr>
          <w:b w:val="0"/>
          <w:i w:val="0"/>
          <w:sz w:val="21"/>
          <w:rtl/>
          <w:cs/>
        </w:rPr>
        <w:t>המונוליט פוצל לארבעה קבצים ממוקדים בדיוק כפי שהומלץ:</w:t>
      </w:r>
    </w:p>
    <w:p>
      <w:pPr>
        <w:pStyle w:val="ListBullet"/>
        <w:spacing w:after="60"/>
        <w:ind w:left="0" w:right="283"/>
        <w:jc w:val="right"/>
        <w:bidi/>
        <w:jc w:val="right"/>
      </w:pPr>
      <w:r>
        <w:rPr>
          <w:b w:val="0"/>
          <w:i w:val="0"/>
          <w:sz w:val="21"/>
          <w:rtl/>
          <w:cs/>
        </w:rPr>
        <w:t>orchestrator.js  —  startAnalysis, extractPageData, runProgressiveAnalysis, analyzeAgent</w:t>
      </w:r>
    </w:p>
    <w:p>
      <w:pPr>
        <w:pStyle w:val="ListBullet"/>
        <w:spacing w:after="60"/>
        <w:ind w:left="0" w:right="283"/>
        <w:jc w:val="right"/>
        <w:bidi/>
        <w:jc w:val="right"/>
      </w:pPr>
      <w:r>
        <w:rPr>
          <w:b w:val="0"/>
          <w:i w:val="0"/>
          <w:sz w:val="21"/>
          <w:rtl/>
          <w:cs/>
        </w:rPr>
        <w:t>ui.js            —  showStatus, toggleApiKeyView</w:t>
      </w:r>
    </w:p>
    <w:p>
      <w:pPr>
        <w:pStyle w:val="ListBullet"/>
        <w:spacing w:after="60"/>
        <w:ind w:left="0" w:right="283"/>
        <w:jc w:val="right"/>
        <w:bidi/>
        <w:jc w:val="right"/>
      </w:pPr>
      <w:r>
        <w:rPr>
          <w:b w:val="0"/>
          <w:i w:val="0"/>
          <w:sz w:val="21"/>
          <w:rtl/>
          <w:cs/>
        </w:rPr>
        <w:t>popup.js         —  נקודת כניסה רזה (~130 שורות), קישור אירועי DOMContentLoaded בלבד</w:t>
      </w:r>
    </w:p>
    <w:p>
      <w:pPr>
        <w:pStyle w:val="ListBullet"/>
        <w:spacing w:after="60"/>
        <w:ind w:left="0" w:right="283"/>
        <w:jc w:val="right"/>
        <w:bidi/>
        <w:jc w:val="right"/>
      </w:pPr>
      <w:r>
        <w:rPr>
          <w:b w:val="0"/>
          <w:i w:val="0"/>
          <w:sz w:val="21"/>
          <w:rtl/>
          <w:cs/>
        </w:rPr>
        <w:t>סדר טעינה ב-Legit.html: localization → utils → agents → ui → orchestrator → popup</w:t>
      </w:r>
    </w:p>
    <w:p>
      <w:pPr>
        <w:spacing w:after="80"/>
        <w:jc w:val="right"/>
        <w:bidi/>
        <w:jc w:val="right"/>
      </w:pPr>
      <w:r>
        <w:rPr>
          <w:b w:val="0"/>
          <w:i w:val="0"/>
          <w:sz w:val="21"/>
          <w:rtl/>
          <w:cs/>
        </w:rPr>
        <w:t>תוקן גם באג נוסף: loadFromCache הפנתה לצמתי DOM דרך משתנים סגורים מ-callback של DOMContentLoaded ב-popup.js, שלא היו נגישים מ-utils.js. הוחלפו בקריאות document.getElementById.</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109650"/>
                <w:sz w:val="19"/>
              </w:rPr>
              <w:t>תוקן במלואו</w:t>
            </w:r>
          </w:p>
        </w:tc>
        <w:tc>
          <w:tcPr>
            <w:tcW w:type="dxa" w:w="4533"/>
            <w:vAlign w:val="center"/>
          </w:tcPr>
          <w:p>
            <w:pPr>
              <w:jc w:val="right"/>
              <w:bidi/>
              <w:jc w:val="right"/>
            </w:pPr>
            <w:r>
              <w:rPr>
                <w:b w:val="0"/>
                <w:i w:val="0"/>
                <w:sz w:val="21"/>
                <w:rtl/>
                <w:cs/>
              </w:rPr>
              <w:t>פיצול המונוליט הושלם; באג ה-scope הנוסף תוקן אף הוא.</w:t>
            </w:r>
          </w:p>
        </w:tc>
      </w:tr>
    </w:tbl>
    <w:p>
      <w:pPr>
        <w:spacing w:after="40"/>
      </w:pPr>
    </w:p>
    <w:p>
      <w:pPr>
        <w:spacing w:before="200" w:after="60"/>
        <w:jc w:val="right"/>
        <w:bidi/>
        <w:jc w:val="right"/>
      </w:pPr>
      <w:r>
        <w:rPr>
          <w:b/>
          <w:i w:val="0"/>
          <w:color w:val="646464"/>
          <w:sz w:val="24"/>
          <w:rtl/>
          <w:cs/>
        </w:rPr>
        <w:t>A3 — קוד מת  [נמוך]</w:t>
      </w:r>
    </w:p>
    <w:p>
      <w:pPr>
        <w:spacing w:after="80"/>
        <w:jc w:val="right"/>
        <w:bidi/>
        <w:jc w:val="right"/>
      </w:pPr>
      <w:r>
        <w:rPr>
          <w:b w:val="0"/>
          <w:i w:val="0"/>
          <w:sz w:val="21"/>
          <w:rtl/>
          <w:cs/>
        </w:rPr>
        <w:t>זוהו שני פריטי קוד מת:</w:t>
      </w:r>
    </w:p>
    <w:p>
      <w:pPr>
        <w:pStyle w:val="ListBullet"/>
        <w:spacing w:after="60"/>
        <w:ind w:left="0" w:right="283"/>
        <w:jc w:val="right"/>
        <w:bidi/>
        <w:jc w:val="right"/>
      </w:pPr>
      <w:r>
        <w:rPr>
          <w:b/>
          <w:i w:val="0"/>
          <w:sz w:val="21"/>
          <w:rtl/>
          <w:cs/>
        </w:rPr>
        <w:t xml:space="preserve">נמחקה:  </w:t>
      </w:r>
      <w:r>
        <w:rPr>
          <w:b w:val="0"/>
          <w:i w:val="0"/>
          <w:sz w:val="21"/>
          <w:rtl/>
          <w:cs/>
        </w:rPr>
        <w:t>extractTextWithNewlines (utils.js) — מסומנת !!WIP!!, אין אתרי קריאה. אושר כנמחקת: אינה קיימת בשום מקום בקוד.</w:t>
      </w:r>
    </w:p>
    <w:p>
      <w:pPr>
        <w:pStyle w:val="ListBullet"/>
        <w:spacing w:after="60"/>
        <w:ind w:left="0" w:right="283"/>
        <w:jc w:val="right"/>
        <w:bidi/>
        <w:jc w:val="right"/>
      </w:pPr>
      <w:r>
        <w:rPr>
          <w:b/>
          <w:i w:val="0"/>
          <w:sz w:val="21"/>
          <w:rtl/>
          <w:cs/>
        </w:rPr>
        <w:t xml:space="preserve">הוסרה:  </w:t>
      </w:r>
      <w:r>
        <w:rPr>
          <w:b w:val="0"/>
          <w:i w:val="0"/>
          <w:sz w:val="21"/>
          <w:rtl/>
          <w:cs/>
        </w:rPr>
        <w:t>Readability.js נטענת ב-Legit.html — הספרייה נדרשת רק בהזרקה לטאב הפעיל דרך executeScript. אושר כנמחקת: תגיות הסקריפט ב-Legit.html מפרטות כעת רק את ששת קבצי האפליקציה; Readability.js מוזרקת לפי דרישה ב-orchestrator.js.</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109650"/>
                <w:sz w:val="19"/>
              </w:rPr>
              <w:t>תוקן במלואו</w:t>
            </w:r>
          </w:p>
        </w:tc>
        <w:tc>
          <w:tcPr>
            <w:tcW w:type="dxa" w:w="4533"/>
            <w:vAlign w:val="center"/>
          </w:tcPr>
          <w:p>
            <w:pPr>
              <w:jc w:val="right"/>
              <w:bidi/>
              <w:jc w:val="right"/>
            </w:pPr>
            <w:r>
              <w:rPr>
                <w:b w:val="0"/>
                <w:i w:val="0"/>
                <w:sz w:val="21"/>
                <w:rtl/>
                <w:cs/>
              </w:rPr>
              <w:t>שני פריטי הקוד המת נוקו.</w:t>
            </w:r>
          </w:p>
        </w:tc>
      </w:tr>
    </w:tbl>
    <w:p>
      <w:pPr>
        <w:spacing w:after="40"/>
      </w:pPr>
    </w:p>
    <w:p>
      <w:pPr>
        <w:spacing w:before="120" w:after="120"/>
        <w:pBdr>
          <w:bottom w:val="single" w:sz="4" w:space="1" w:color="CCCCCC"/>
        </w:pBdr>
      </w:pPr>
    </w:p>
    <w:p>
      <w:pPr>
        <w:spacing w:before="280" w:after="80"/>
        <w:jc w:val="right"/>
        <w:bidi/>
        <w:jc w:val="right"/>
      </w:pPr>
      <w:r>
        <w:rPr>
          <w:b/>
          <w:i w:val="0"/>
          <w:color w:val="500064"/>
          <w:sz w:val="30"/>
          <w:rtl/>
          <w:cs/>
        </w:rPr>
        <w:t>4  פרטיות ומדיניות</w:t>
      </w:r>
    </w:p>
    <w:p>
      <w:pPr>
        <w:spacing w:before="200" w:after="60"/>
        <w:jc w:val="right"/>
        <w:bidi/>
        <w:jc w:val="right"/>
      </w:pPr>
      <w:r>
        <w:rPr>
          <w:b/>
          <w:i w:val="0"/>
          <w:color w:val="A01E1E"/>
          <w:sz w:val="24"/>
          <w:rtl/>
          <w:cs/>
        </w:rPr>
        <w:t>P1 — אין מדיניות פרטיות ייעודית  [דרישת חנות Chrome Web Store]</w:t>
      </w:r>
    </w:p>
    <w:p>
      <w:pPr>
        <w:spacing w:after="80"/>
        <w:jc w:val="right"/>
        <w:bidi/>
        <w:jc w:val="right"/>
      </w:pPr>
      <w:r>
        <w:rPr>
          <w:b w:val="0"/>
          <w:i w:val="0"/>
          <w:sz w:val="21"/>
          <w:rtl/>
          <w:cs/>
        </w:rPr>
        <w:t>חנות Chrome Web Store מחייבת מדיניות פרטיות ייעודית לתוספים המבקשים הרשאות רגישות (&lt;all_urls&gt;, scripting). המניפסט מגדיר כעת host_permissions: ["*://*/*", "https://generativelanguage.googleapis.com/*"] ו-permissions: ["activeTab", "scripting", "storage", "sidePanel"]. אין שדה privacy_policy_url ב-manifest.json, ולא נוסף מסמך או דף מדיניות פרטיות לריפוזיטורי.</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C81E1E"/>
                <w:sz w:val="19"/>
              </w:rPr>
              <w:t>לא טופל</w:t>
            </w:r>
          </w:p>
        </w:tc>
        <w:tc>
          <w:tcPr>
            <w:tcW w:type="dxa" w:w="4533"/>
            <w:vAlign w:val="center"/>
          </w:tcPr>
          <w:p>
            <w:pPr>
              <w:jc w:val="right"/>
              <w:bidi/>
              <w:jc w:val="right"/>
            </w:pPr>
            <w:r>
              <w:rPr>
                <w:b w:val="0"/>
                <w:i w:val="0"/>
                <w:sz w:val="21"/>
                <w:rtl/>
                <w:cs/>
              </w:rPr>
              <w:t>לא נמצא קובץ מדיניות פרטיות או URL במניפסט.</w:t>
            </w:r>
          </w:p>
        </w:tc>
      </w:tr>
    </w:tbl>
    <w:p>
      <w:pPr>
        <w:spacing w:after="40"/>
      </w:pPr>
    </w:p>
    <w:p>
      <w:pPr>
        <w:spacing w:before="200" w:after="60"/>
        <w:jc w:val="right"/>
        <w:bidi/>
        <w:jc w:val="right"/>
      </w:pPr>
      <w:r>
        <w:rPr>
          <w:b/>
          <w:i w:val="0"/>
          <w:color w:val="643C00"/>
          <w:sz w:val="24"/>
          <w:rtl/>
          <w:cs/>
        </w:rPr>
        <w:t>P2 — אין גילוי נאות למשתמש על העברת תוכן ל-Google  [בינוני]</w:t>
      </w:r>
    </w:p>
    <w:p>
      <w:pPr>
        <w:spacing w:after="80"/>
        <w:jc w:val="right"/>
        <w:bidi/>
        <w:jc w:val="right"/>
      </w:pPr>
      <w:r>
        <w:rPr>
          <w:b w:val="0"/>
          <w:i w:val="0"/>
          <w:sz w:val="21"/>
          <w:rtl/>
          <w:cs/>
        </w:rPr>
        <w:t>המשתמשים אינם מיודעים במפורש שטקסט הכתבה מועבר ל-Google Gemini API תחת מפתח ה-API שלהם. לא נוסף הודעת onboarding, tooltip, או הודעה בממשק ב-Legit.html או בתהליך ההגדרה. זוהי בעיית שקיפות, בפרט בהתחשב בכך שגופי כתבות מלאים עדיין נשלחים (ראו E1).</w:t>
      </w:r>
    </w:p>
    <w:tbl>
      <w:tblPr>
        <w:tblW w:type="auto" w:w="0"/>
        <w:tblLook w:firstColumn="1" w:firstRow="1" w:lastColumn="0" w:lastRow="0" w:noHBand="0" w:noVBand="1" w:val="04A0"/>
        <w:tblBorders>
          <w:top w:val="none"/>
          <w:left w:val="none"/>
          <w:bottom w:val="none"/>
          <w:right w:val="none"/>
          <w:insideH w:val="none"/>
          <w:insideV w:val="none"/>
        </w:tblBorders>
      </w:tblPr>
      <w:tblGrid>
        <w:gridCol w:w="1984"/>
        <w:gridCol w:w="7654"/>
      </w:tblGrid>
      <w:tr>
        <w:tc>
          <w:tcPr>
            <w:tcW w:type="dxa" w:w="4533"/>
            <w:vAlign w:val="center"/>
          </w:tcPr>
          <w:p>
            <w:pPr>
              <w:jc w:val="center"/>
            </w:pPr>
            <w:r>
              <w:rPr>
                <w:b/>
                <w:i w:val="0"/>
                <w:color w:val="C81E1E"/>
                <w:sz w:val="19"/>
              </w:rPr>
              <w:t>לא טופל</w:t>
            </w:r>
          </w:p>
        </w:tc>
        <w:tc>
          <w:tcPr>
            <w:tcW w:type="dxa" w:w="4533"/>
            <w:vAlign w:val="center"/>
          </w:tcPr>
          <w:p>
            <w:pPr>
              <w:jc w:val="right"/>
              <w:bidi/>
              <w:jc w:val="right"/>
            </w:pPr>
            <w:r>
              <w:rPr>
                <w:b w:val="0"/>
                <w:i w:val="0"/>
                <w:sz w:val="21"/>
                <w:rtl/>
                <w:cs/>
              </w:rPr>
              <w:t>לא נוסף גילוי נאות בממשק או בתהליך ה-onboarding.</w:t>
            </w:r>
          </w:p>
        </w:tc>
      </w:tr>
    </w:tbl>
    <w:p>
      <w:pPr>
        <w:spacing w:after="40"/>
      </w:pPr>
    </w:p>
    <w:p>
      <w:pPr>
        <w:spacing w:before="120" w:after="120"/>
        <w:pBdr>
          <w:bottom w:val="single" w:sz="4" w:space="1" w:color="CCCCCC"/>
        </w:pBdr>
      </w:pPr>
    </w:p>
    <w:p>
      <w:pPr>
        <w:spacing w:before="280" w:after="80"/>
        <w:jc w:val="right"/>
        <w:bidi/>
        <w:jc w:val="right"/>
      </w:pPr>
      <w:r>
        <w:rPr>
          <w:b/>
          <w:i w:val="0"/>
          <w:color w:val="141414"/>
          <w:sz w:val="30"/>
          <w:rtl/>
          <w:cs/>
        </w:rPr>
        <w:t>5  סיכום</w:t>
      </w:r>
    </w:p>
    <w:p>
      <w:pPr>
        <w:spacing w:after="80"/>
        <w:jc w:val="right"/>
        <w:bidi/>
        <w:jc w:val="right"/>
      </w:pPr>
      <w:r>
        <w:rPr>
          <w:b w:val="0"/>
          <w:i w:val="0"/>
          <w:sz w:val="21"/>
          <w:rtl/>
          <w:cs/>
        </w:rPr>
        <w:t>סטטוס מהיר לכל 12 הממצאים:</w:t>
      </w:r>
    </w:p>
    <w:p/>
    <w:tbl>
      <w:tblPr>
        <w:tblStyle w:val="TableGrid"/>
        <w:tblW w:type="auto" w:w="0"/>
        <w:tblLook w:firstColumn="1" w:firstRow="1" w:lastColumn="0" w:lastRow="0" w:noHBand="0" w:noVBand="1" w:val="04A0"/>
        <w:bidiVisual/>
      </w:tblPr>
      <w:tblGrid>
        <w:gridCol w:w="5102"/>
        <w:gridCol w:w="1417"/>
        <w:gridCol w:w="3118"/>
      </w:tblGrid>
      <w:tr>
        <w:tc>
          <w:tcPr>
            <w:tcW w:type="dxa" w:w="3022"/>
            <w:shd w:val="clear" w:color="auto" w:fill="2D3748"/>
          </w:tcPr>
          <w:p>
            <w:pPr>
              <w:jc w:val="center"/>
              <w:bidi/>
              <w:jc w:val="right"/>
            </w:pPr>
            <w:r>
              <w:rPr>
                <w:b/>
                <w:i w:val="0"/>
                <w:color w:val="FFFFFF"/>
                <w:sz w:val="20"/>
                <w:rtl/>
                <w:cs/>
              </w:rPr>
              <w:t>ממצא</w:t>
            </w:r>
          </w:p>
        </w:tc>
        <w:tc>
          <w:tcPr>
            <w:tcW w:type="dxa" w:w="3022"/>
            <w:shd w:val="clear" w:color="auto" w:fill="2D3748"/>
          </w:tcPr>
          <w:p>
            <w:pPr>
              <w:jc w:val="center"/>
              <w:bidi/>
              <w:jc w:val="right"/>
            </w:pPr>
            <w:r>
              <w:rPr>
                <w:b/>
                <w:i w:val="0"/>
                <w:color w:val="FFFFFF"/>
                <w:sz w:val="20"/>
                <w:rtl/>
                <w:cs/>
              </w:rPr>
              <w:t>חומרה</w:t>
            </w:r>
          </w:p>
        </w:tc>
        <w:tc>
          <w:tcPr>
            <w:tcW w:type="dxa" w:w="3022"/>
            <w:shd w:val="clear" w:color="auto" w:fill="2D3748"/>
          </w:tcPr>
          <w:p>
            <w:pPr>
              <w:jc w:val="center"/>
              <w:bidi/>
              <w:jc w:val="right"/>
            </w:pPr>
            <w:r>
              <w:rPr>
                <w:b/>
                <w:i w:val="0"/>
                <w:color w:val="FFFFFF"/>
                <w:sz w:val="20"/>
                <w:rtl/>
                <w:cs/>
              </w:rPr>
              <w:t>סטטוס</w:t>
            </w:r>
          </w:p>
        </w:tc>
      </w:tr>
      <w:tr>
        <w:tc>
          <w:tcPr>
            <w:tcW w:type="dxa" w:w="3022"/>
            <w:shd w:val="clear" w:color="auto" w:fill="FFCCCC"/>
          </w:tcPr>
          <w:p>
            <w:pPr>
              <w:jc w:val="right"/>
              <w:bidi/>
              <w:jc w:val="right"/>
            </w:pPr>
            <w:r>
              <w:rPr>
                <w:b w:val="0"/>
                <w:i w:val="0"/>
                <w:sz w:val="19"/>
                <w:rtl/>
                <w:cs/>
              </w:rPr>
              <w:t>באג 1 — פרמטרים מוחלפים ב-styleScoreLabel</w:t>
            </w:r>
          </w:p>
        </w:tc>
        <w:tc>
          <w:tcPr>
            <w:tcW w:type="dxa" w:w="3022"/>
            <w:shd w:val="clear" w:color="auto" w:fill="FFCCCC"/>
          </w:tcPr>
          <w:p>
            <w:pPr>
              <w:jc w:val="center"/>
              <w:bidi/>
              <w:jc w:val="right"/>
            </w:pPr>
            <w:r>
              <w:rPr>
                <w:b w:val="0"/>
                <w:i w:val="0"/>
                <w:sz w:val="19"/>
                <w:rtl/>
                <w:cs/>
              </w:rPr>
              <w:t>קריטי</w:t>
            </w:r>
          </w:p>
        </w:tc>
        <w:tc>
          <w:tcPr>
            <w:tcW w:type="dxa" w:w="3022"/>
            <w:shd w:val="clear" w:color="auto" w:fill="FFCCCC"/>
          </w:tcPr>
          <w:p>
            <w:pPr>
              <w:jc w:val="center"/>
              <w:bidi/>
              <w:jc w:val="right"/>
            </w:pPr>
            <w:r>
              <w:rPr>
                <w:b w:val="0"/>
                <w:i w:val="0"/>
                <w:sz w:val="19"/>
                <w:rtl/>
                <w:cs/>
              </w:rPr>
              <w:t>לא תוקן</w:t>
            </w:r>
          </w:p>
        </w:tc>
      </w:tr>
      <w:tr>
        <w:tc>
          <w:tcPr>
            <w:tcW w:type="dxa" w:w="3022"/>
            <w:shd w:val="clear" w:color="auto" w:fill="CCFFCC"/>
          </w:tcPr>
          <w:p>
            <w:pPr>
              <w:jc w:val="right"/>
              <w:bidi/>
              <w:jc w:val="right"/>
            </w:pPr>
            <w:r>
              <w:rPr>
                <w:b w:val="0"/>
                <w:i w:val="0"/>
                <w:sz w:val="19"/>
                <w:rtl/>
                <w:cs/>
              </w:rPr>
              <w:t>באג 2 — תנאי טאוטולוגי</w:t>
            </w:r>
          </w:p>
        </w:tc>
        <w:tc>
          <w:tcPr>
            <w:tcW w:type="dxa" w:w="3022"/>
            <w:shd w:val="clear" w:color="auto" w:fill="CCFFCC"/>
          </w:tcPr>
          <w:p>
            <w:pPr>
              <w:jc w:val="center"/>
              <w:bidi/>
              <w:jc w:val="right"/>
            </w:pPr>
            <w:r>
              <w:rPr>
                <w:b w:val="0"/>
                <w:i w:val="0"/>
                <w:sz w:val="19"/>
                <w:rtl/>
                <w:cs/>
              </w:rPr>
              <w:t>בינוני</w:t>
            </w:r>
          </w:p>
        </w:tc>
        <w:tc>
          <w:tcPr>
            <w:tcW w:type="dxa" w:w="3022"/>
            <w:shd w:val="clear" w:color="auto" w:fill="CCFFCC"/>
          </w:tcPr>
          <w:p>
            <w:pPr>
              <w:jc w:val="center"/>
              <w:bidi/>
              <w:jc w:val="right"/>
            </w:pPr>
            <w:r>
              <w:rPr>
                <w:b w:val="0"/>
                <w:i w:val="0"/>
                <w:sz w:val="19"/>
                <w:rtl/>
                <w:cs/>
              </w:rPr>
              <w:t>תוקן</w:t>
            </w:r>
          </w:p>
        </w:tc>
      </w:tr>
      <w:tr>
        <w:tc>
          <w:tcPr>
            <w:tcW w:type="dxa" w:w="3022"/>
            <w:shd w:val="clear" w:color="auto" w:fill="FFCCCC"/>
          </w:tcPr>
          <w:p>
            <w:pPr>
              <w:jc w:val="right"/>
              <w:bidi/>
              <w:jc w:val="right"/>
            </w:pPr>
            <w:r>
              <w:rPr>
                <w:b w:val="0"/>
                <w:i w:val="0"/>
                <w:sz w:val="19"/>
                <w:rtl/>
                <w:cs/>
              </w:rPr>
              <w:t>באג 3 — waitForTabLoad ללא timeout</w:t>
            </w:r>
          </w:p>
        </w:tc>
        <w:tc>
          <w:tcPr>
            <w:tcW w:type="dxa" w:w="3022"/>
            <w:shd w:val="clear" w:color="auto" w:fill="FFCCCC"/>
          </w:tcPr>
          <w:p>
            <w:pPr>
              <w:jc w:val="center"/>
              <w:bidi/>
              <w:jc w:val="right"/>
            </w:pPr>
            <w:r>
              <w:rPr>
                <w:b w:val="0"/>
                <w:i w:val="0"/>
                <w:sz w:val="19"/>
                <w:rtl/>
                <w:cs/>
              </w:rPr>
              <w:t>בינוני</w:t>
            </w:r>
          </w:p>
        </w:tc>
        <w:tc>
          <w:tcPr>
            <w:tcW w:type="dxa" w:w="3022"/>
            <w:shd w:val="clear" w:color="auto" w:fill="FFCCCC"/>
          </w:tcPr>
          <w:p>
            <w:pPr>
              <w:jc w:val="center"/>
              <w:bidi/>
              <w:jc w:val="right"/>
            </w:pPr>
            <w:r>
              <w:rPr>
                <w:b w:val="0"/>
                <w:i w:val="0"/>
                <w:sz w:val="19"/>
                <w:rtl/>
                <w:cs/>
              </w:rPr>
              <w:t>לא תוקן</w:t>
            </w:r>
          </w:p>
        </w:tc>
      </w:tr>
      <w:tr>
        <w:tc>
          <w:tcPr>
            <w:tcW w:type="dxa" w:w="3022"/>
            <w:shd w:val="clear" w:color="auto" w:fill="FFF3CC"/>
          </w:tcPr>
          <w:p>
            <w:pPr>
              <w:jc w:val="right"/>
              <w:bidi/>
              <w:jc w:val="right"/>
            </w:pPr>
            <w:r>
              <w:rPr>
                <w:b w:val="0"/>
                <w:i w:val="0"/>
                <w:sz w:val="19"/>
                <w:rtl/>
                <w:cs/>
              </w:rPr>
              <w:t>E1 — טקסט מלא לכל הסוכנים</w:t>
            </w:r>
          </w:p>
        </w:tc>
        <w:tc>
          <w:tcPr>
            <w:tcW w:type="dxa" w:w="3022"/>
            <w:shd w:val="clear" w:color="auto" w:fill="FFF3CC"/>
          </w:tcPr>
          <w:p>
            <w:pPr>
              <w:jc w:val="center"/>
              <w:bidi/>
              <w:jc w:val="right"/>
            </w:pPr>
            <w:r>
              <w:rPr>
                <w:b w:val="0"/>
                <w:i w:val="0"/>
                <w:sz w:val="19"/>
                <w:rtl/>
                <w:cs/>
              </w:rPr>
              <w:t>גבוה</w:t>
            </w:r>
          </w:p>
        </w:tc>
        <w:tc>
          <w:tcPr>
            <w:tcW w:type="dxa" w:w="3022"/>
            <w:shd w:val="clear" w:color="auto" w:fill="FFF3CC"/>
          </w:tcPr>
          <w:p>
            <w:pPr>
              <w:jc w:val="center"/>
              <w:bidi/>
              <w:jc w:val="right"/>
            </w:pPr>
            <w:r>
              <w:rPr>
                <w:b w:val="0"/>
                <w:i w:val="0"/>
                <w:sz w:val="19"/>
                <w:rtl/>
                <w:cs/>
              </w:rPr>
              <w:t>חלקי</w:t>
            </w:r>
          </w:p>
        </w:tc>
      </w:tr>
      <w:tr>
        <w:tc>
          <w:tcPr>
            <w:tcW w:type="dxa" w:w="3022"/>
            <w:shd w:val="clear" w:color="auto" w:fill="FFCCCC"/>
          </w:tcPr>
          <w:p>
            <w:pPr>
              <w:jc w:val="right"/>
              <w:bidi/>
              <w:jc w:val="right"/>
            </w:pPr>
            <w:r>
              <w:rPr>
                <w:b w:val="0"/>
                <w:i w:val="0"/>
                <w:sz w:val="19"/>
                <w:rtl/>
                <w:cs/>
              </w:rPr>
              <w:t>E2 — שרשראות verify→format כפולות</w:t>
            </w:r>
          </w:p>
        </w:tc>
        <w:tc>
          <w:tcPr>
            <w:tcW w:type="dxa" w:w="3022"/>
            <w:shd w:val="clear" w:color="auto" w:fill="FFCCCC"/>
          </w:tcPr>
          <w:p>
            <w:pPr>
              <w:jc w:val="center"/>
              <w:bidi/>
              <w:jc w:val="right"/>
            </w:pPr>
            <w:r>
              <w:rPr>
                <w:b w:val="0"/>
                <w:i w:val="0"/>
                <w:sz w:val="19"/>
                <w:rtl/>
                <w:cs/>
              </w:rPr>
              <w:t>גבוה</w:t>
            </w:r>
          </w:p>
        </w:tc>
        <w:tc>
          <w:tcPr>
            <w:tcW w:type="dxa" w:w="3022"/>
            <w:shd w:val="clear" w:color="auto" w:fill="FFCCCC"/>
          </w:tcPr>
          <w:p>
            <w:pPr>
              <w:jc w:val="center"/>
              <w:bidi/>
              <w:jc w:val="right"/>
            </w:pPr>
            <w:r>
              <w:rPr>
                <w:b w:val="0"/>
                <w:i w:val="0"/>
                <w:sz w:val="19"/>
                <w:rtl/>
                <w:cs/>
              </w:rPr>
              <w:t>לא טופל</w:t>
            </w:r>
          </w:p>
        </w:tc>
      </w:tr>
      <w:tr>
        <w:tc>
          <w:tcPr>
            <w:tcW w:type="dxa" w:w="3022"/>
            <w:shd w:val="clear" w:color="auto" w:fill="CCFFCC"/>
          </w:tcPr>
          <w:p>
            <w:pPr>
              <w:jc w:val="right"/>
              <w:bidi/>
              <w:jc w:val="right"/>
            </w:pPr>
            <w:r>
              <w:rPr>
                <w:b w:val="0"/>
                <w:i w:val="0"/>
                <w:sz w:val="19"/>
                <w:rtl/>
                <w:cs/>
              </w:rPr>
              <w:t>E3 — Search Grounding לסוכן bias</w:t>
            </w:r>
          </w:p>
        </w:tc>
        <w:tc>
          <w:tcPr>
            <w:tcW w:type="dxa" w:w="3022"/>
            <w:shd w:val="clear" w:color="auto" w:fill="CCFFCC"/>
          </w:tcPr>
          <w:p>
            <w:pPr>
              <w:jc w:val="center"/>
              <w:bidi/>
              <w:jc w:val="right"/>
            </w:pPr>
            <w:r>
              <w:rPr>
                <w:b w:val="0"/>
                <w:i w:val="0"/>
                <w:sz w:val="19"/>
                <w:rtl/>
                <w:cs/>
              </w:rPr>
              <w:t>בינוני</w:t>
            </w:r>
          </w:p>
        </w:tc>
        <w:tc>
          <w:tcPr>
            <w:tcW w:type="dxa" w:w="3022"/>
            <w:shd w:val="clear" w:color="auto" w:fill="CCFFCC"/>
          </w:tcPr>
          <w:p>
            <w:pPr>
              <w:jc w:val="center"/>
              <w:bidi/>
              <w:jc w:val="right"/>
            </w:pPr>
            <w:r>
              <w:rPr>
                <w:b w:val="0"/>
                <w:i w:val="0"/>
                <w:sz w:val="19"/>
                <w:rtl/>
                <w:cs/>
              </w:rPr>
              <w:t>תקין מראש</w:t>
            </w:r>
          </w:p>
        </w:tc>
      </w:tr>
      <w:tr>
        <w:tc>
          <w:tcPr>
            <w:tcW w:type="dxa" w:w="3022"/>
            <w:shd w:val="clear" w:color="auto" w:fill="CCFFCC"/>
          </w:tcPr>
          <w:p>
            <w:pPr>
              <w:jc w:val="right"/>
              <w:bidi/>
              <w:jc w:val="right"/>
            </w:pPr>
            <w:r>
              <w:rPr>
                <w:b w:val="0"/>
                <w:i w:val="0"/>
                <w:sz w:val="19"/>
                <w:rtl/>
                <w:cs/>
              </w:rPr>
              <w:t>E4 — ניהול DOM לא יעיל</w:t>
            </w:r>
          </w:p>
        </w:tc>
        <w:tc>
          <w:tcPr>
            <w:tcW w:type="dxa" w:w="3022"/>
            <w:shd w:val="clear" w:color="auto" w:fill="CCFFCC"/>
          </w:tcPr>
          <w:p>
            <w:pPr>
              <w:jc w:val="center"/>
              <w:bidi/>
              <w:jc w:val="right"/>
            </w:pPr>
            <w:r>
              <w:rPr>
                <w:b w:val="0"/>
                <w:i w:val="0"/>
                <w:sz w:val="19"/>
                <w:rtl/>
                <w:cs/>
              </w:rPr>
              <w:t>נמוך</w:t>
            </w:r>
          </w:p>
        </w:tc>
        <w:tc>
          <w:tcPr>
            <w:tcW w:type="dxa" w:w="3022"/>
            <w:shd w:val="clear" w:color="auto" w:fill="CCFFCC"/>
          </w:tcPr>
          <w:p>
            <w:pPr>
              <w:jc w:val="center"/>
              <w:bidi/>
              <w:jc w:val="right"/>
            </w:pPr>
            <w:r>
              <w:rPr>
                <w:b w:val="0"/>
                <w:i w:val="0"/>
                <w:sz w:val="19"/>
                <w:rtl/>
                <w:cs/>
              </w:rPr>
              <w:t>תוקן</w:t>
            </w:r>
          </w:p>
        </w:tc>
      </w:tr>
      <w:tr>
        <w:tc>
          <w:tcPr>
            <w:tcW w:type="dxa" w:w="3022"/>
            <w:shd w:val="clear" w:color="auto" w:fill="CCFFCC"/>
          </w:tcPr>
          <w:p>
            <w:pPr>
              <w:jc w:val="right"/>
              <w:bidi/>
              <w:jc w:val="right"/>
            </w:pPr>
            <w:r>
              <w:rPr>
                <w:b w:val="0"/>
                <w:i w:val="0"/>
                <w:sz w:val="19"/>
                <w:rtl/>
                <w:cs/>
              </w:rPr>
              <w:t>A1 — זיהום מרחב שמות גלובלי</w:t>
            </w:r>
          </w:p>
        </w:tc>
        <w:tc>
          <w:tcPr>
            <w:tcW w:type="dxa" w:w="3022"/>
            <w:shd w:val="clear" w:color="auto" w:fill="CCFFCC"/>
          </w:tcPr>
          <w:p>
            <w:pPr>
              <w:jc w:val="center"/>
              <w:bidi/>
              <w:jc w:val="right"/>
            </w:pPr>
            <w:r>
              <w:rPr>
                <w:b w:val="0"/>
                <w:i w:val="0"/>
                <w:sz w:val="19"/>
                <w:rtl/>
                <w:cs/>
              </w:rPr>
              <w:t>בינוני</w:t>
            </w:r>
          </w:p>
        </w:tc>
        <w:tc>
          <w:tcPr>
            <w:tcW w:type="dxa" w:w="3022"/>
            <w:shd w:val="clear" w:color="auto" w:fill="CCFFCC"/>
          </w:tcPr>
          <w:p>
            <w:pPr>
              <w:jc w:val="center"/>
              <w:bidi/>
              <w:jc w:val="right"/>
            </w:pPr>
            <w:r>
              <w:rPr>
                <w:b w:val="0"/>
                <w:i w:val="0"/>
                <w:sz w:val="19"/>
                <w:rtl/>
                <w:cs/>
              </w:rPr>
              <w:t>תוקן במידה רבה</w:t>
            </w:r>
          </w:p>
        </w:tc>
      </w:tr>
      <w:tr>
        <w:tc>
          <w:tcPr>
            <w:tcW w:type="dxa" w:w="3022"/>
            <w:shd w:val="clear" w:color="auto" w:fill="CCFFCC"/>
          </w:tcPr>
          <w:p>
            <w:pPr>
              <w:jc w:val="right"/>
              <w:bidi/>
              <w:jc w:val="right"/>
            </w:pPr>
            <w:r>
              <w:rPr>
                <w:b w:val="0"/>
                <w:i w:val="0"/>
                <w:sz w:val="19"/>
                <w:rtl/>
                <w:cs/>
              </w:rPr>
              <w:t>A2 — מונוליט popup.js</w:t>
            </w:r>
          </w:p>
        </w:tc>
        <w:tc>
          <w:tcPr>
            <w:tcW w:type="dxa" w:w="3022"/>
            <w:shd w:val="clear" w:color="auto" w:fill="CCFFCC"/>
          </w:tcPr>
          <w:p>
            <w:pPr>
              <w:jc w:val="center"/>
              <w:bidi/>
              <w:jc w:val="right"/>
            </w:pPr>
            <w:r>
              <w:rPr>
                <w:b w:val="0"/>
                <w:i w:val="0"/>
                <w:sz w:val="19"/>
                <w:rtl/>
                <w:cs/>
              </w:rPr>
              <w:t>בינוני</w:t>
            </w:r>
          </w:p>
        </w:tc>
        <w:tc>
          <w:tcPr>
            <w:tcW w:type="dxa" w:w="3022"/>
            <w:shd w:val="clear" w:color="auto" w:fill="CCFFCC"/>
          </w:tcPr>
          <w:p>
            <w:pPr>
              <w:jc w:val="center"/>
              <w:bidi/>
              <w:jc w:val="right"/>
            </w:pPr>
            <w:r>
              <w:rPr>
                <w:b w:val="0"/>
                <w:i w:val="0"/>
                <w:sz w:val="19"/>
                <w:rtl/>
                <w:cs/>
              </w:rPr>
              <w:t>תוקן במלואו</w:t>
            </w:r>
          </w:p>
        </w:tc>
      </w:tr>
      <w:tr>
        <w:tc>
          <w:tcPr>
            <w:tcW w:type="dxa" w:w="3022"/>
            <w:shd w:val="clear" w:color="auto" w:fill="CCFFCC"/>
          </w:tcPr>
          <w:p>
            <w:pPr>
              <w:jc w:val="right"/>
              <w:bidi/>
              <w:jc w:val="right"/>
            </w:pPr>
            <w:r>
              <w:rPr>
                <w:b w:val="0"/>
                <w:i w:val="0"/>
                <w:sz w:val="19"/>
                <w:rtl/>
                <w:cs/>
              </w:rPr>
              <w:t>A3 — קוד מת</w:t>
            </w:r>
          </w:p>
        </w:tc>
        <w:tc>
          <w:tcPr>
            <w:tcW w:type="dxa" w:w="3022"/>
            <w:shd w:val="clear" w:color="auto" w:fill="CCFFCC"/>
          </w:tcPr>
          <w:p>
            <w:pPr>
              <w:jc w:val="center"/>
              <w:bidi/>
              <w:jc w:val="right"/>
            </w:pPr>
            <w:r>
              <w:rPr>
                <w:b w:val="0"/>
                <w:i w:val="0"/>
                <w:sz w:val="19"/>
                <w:rtl/>
                <w:cs/>
              </w:rPr>
              <w:t>נמוך</w:t>
            </w:r>
          </w:p>
        </w:tc>
        <w:tc>
          <w:tcPr>
            <w:tcW w:type="dxa" w:w="3022"/>
            <w:shd w:val="clear" w:color="auto" w:fill="CCFFCC"/>
          </w:tcPr>
          <w:p>
            <w:pPr>
              <w:jc w:val="center"/>
              <w:bidi/>
              <w:jc w:val="right"/>
            </w:pPr>
            <w:r>
              <w:rPr>
                <w:b w:val="0"/>
                <w:i w:val="0"/>
                <w:sz w:val="19"/>
                <w:rtl/>
                <w:cs/>
              </w:rPr>
              <w:t>תוקן במלואו</w:t>
            </w:r>
          </w:p>
        </w:tc>
      </w:tr>
      <w:tr>
        <w:tc>
          <w:tcPr>
            <w:tcW w:type="dxa" w:w="3022"/>
            <w:shd w:val="clear" w:color="auto" w:fill="FFCCCC"/>
          </w:tcPr>
          <w:p>
            <w:pPr>
              <w:jc w:val="right"/>
              <w:bidi/>
              <w:jc w:val="right"/>
            </w:pPr>
            <w:r>
              <w:rPr>
                <w:b w:val="0"/>
                <w:i w:val="0"/>
                <w:sz w:val="19"/>
                <w:rtl/>
                <w:cs/>
              </w:rPr>
              <w:t>P1 — אין מדיניות פרטיות</w:t>
            </w:r>
          </w:p>
        </w:tc>
        <w:tc>
          <w:tcPr>
            <w:tcW w:type="dxa" w:w="3022"/>
            <w:shd w:val="clear" w:color="auto" w:fill="FFCCCC"/>
          </w:tcPr>
          <w:p>
            <w:pPr>
              <w:jc w:val="center"/>
              <w:bidi/>
              <w:jc w:val="right"/>
            </w:pPr>
            <w:r>
              <w:rPr>
                <w:b w:val="0"/>
                <w:i w:val="0"/>
                <w:sz w:val="19"/>
                <w:rtl/>
                <w:cs/>
              </w:rPr>
              <w:t>חובה</w:t>
            </w:r>
          </w:p>
        </w:tc>
        <w:tc>
          <w:tcPr>
            <w:tcW w:type="dxa" w:w="3022"/>
            <w:shd w:val="clear" w:color="auto" w:fill="FFCCCC"/>
          </w:tcPr>
          <w:p>
            <w:pPr>
              <w:jc w:val="center"/>
              <w:bidi/>
              <w:jc w:val="right"/>
            </w:pPr>
            <w:r>
              <w:rPr>
                <w:b w:val="0"/>
                <w:i w:val="0"/>
                <w:sz w:val="19"/>
                <w:rtl/>
                <w:cs/>
              </w:rPr>
              <w:t>לא טופל</w:t>
            </w:r>
          </w:p>
        </w:tc>
      </w:tr>
      <w:tr>
        <w:tc>
          <w:tcPr>
            <w:tcW w:type="dxa" w:w="3022"/>
            <w:shd w:val="clear" w:color="auto" w:fill="FFCCCC"/>
          </w:tcPr>
          <w:p>
            <w:pPr>
              <w:jc w:val="right"/>
              <w:bidi/>
              <w:jc w:val="right"/>
            </w:pPr>
            <w:r>
              <w:rPr>
                <w:b w:val="0"/>
                <w:i w:val="0"/>
                <w:sz w:val="19"/>
                <w:rtl/>
                <w:cs/>
              </w:rPr>
              <w:t>P2 — אין גילוי נאות למשתמש</w:t>
            </w:r>
          </w:p>
        </w:tc>
        <w:tc>
          <w:tcPr>
            <w:tcW w:type="dxa" w:w="3022"/>
            <w:shd w:val="clear" w:color="auto" w:fill="FFCCCC"/>
          </w:tcPr>
          <w:p>
            <w:pPr>
              <w:jc w:val="center"/>
              <w:bidi/>
              <w:jc w:val="right"/>
            </w:pPr>
            <w:r>
              <w:rPr>
                <w:b w:val="0"/>
                <w:i w:val="0"/>
                <w:sz w:val="19"/>
                <w:rtl/>
                <w:cs/>
              </w:rPr>
              <w:t>בינוני</w:t>
            </w:r>
          </w:p>
        </w:tc>
        <w:tc>
          <w:tcPr>
            <w:tcW w:type="dxa" w:w="3022"/>
            <w:shd w:val="clear" w:color="auto" w:fill="FFCCCC"/>
          </w:tcPr>
          <w:p>
            <w:pPr>
              <w:jc w:val="center"/>
              <w:bidi/>
              <w:jc w:val="right"/>
            </w:pPr>
            <w:r>
              <w:rPr>
                <w:b w:val="0"/>
                <w:i w:val="0"/>
                <w:sz w:val="19"/>
                <w:rtl/>
                <w:cs/>
              </w:rPr>
              <w:t>לא טופל</w:t>
            </w:r>
          </w:p>
        </w:tc>
      </w:tr>
    </w:tbl>
    <w:p>
      <w:pPr>
        <w:spacing w:before="120" w:after="120"/>
        <w:pBdr>
          <w:bottom w:val="single" w:sz="4" w:space="1" w:color="CCCCCC"/>
        </w:pBdr>
      </w:pPr>
    </w:p>
    <w:p>
      <w:pPr>
        <w:spacing w:before="280" w:after="80"/>
        <w:jc w:val="right"/>
        <w:bidi/>
        <w:jc w:val="right"/>
      </w:pPr>
      <w:r>
        <w:rPr>
          <w:b/>
          <w:i w:val="0"/>
          <w:color w:val="A01E1E"/>
          <w:sz w:val="30"/>
          <w:rtl/>
          <w:cs/>
        </w:rPr>
        <w:t>6  פריטים פתוחים — פעולות מומלצות</w:t>
      </w:r>
    </w:p>
    <w:p>
      <w:pPr>
        <w:spacing w:after="80"/>
        <w:jc w:val="right"/>
        <w:bidi/>
        <w:jc w:val="right"/>
      </w:pPr>
      <w:r>
        <w:rPr>
          <w:b w:val="0"/>
          <w:i w:val="0"/>
          <w:sz w:val="21"/>
          <w:rtl/>
          <w:cs/>
        </w:rPr>
        <w:t>יש לטפל בפריטים הבאים לפני ההגשה הבאה לחנות:</w:t>
      </w:r>
    </w:p>
    <w:p>
      <w:pPr>
        <w:pStyle w:val="ListNumber"/>
        <w:jc w:val="right"/>
        <w:bidi/>
        <w:jc w:val="right"/>
      </w:pPr>
      <w:r>
        <w:rPr>
          <w:b/>
          <w:i w:val="0"/>
          <w:color w:val="C81E1E"/>
          <w:sz w:val="21"/>
          <w:rtl/>
          <w:cs/>
        </w:rPr>
        <w:t>[קריטי] תיקון באג 1 — סדר פרמטרים ב-styleScoreLabel</w:t>
      </w:r>
    </w:p>
    <w:p>
      <w:pPr>
        <w:spacing w:after="120"/>
        <w:ind w:right="680"/>
        <w:jc w:val="right"/>
        <w:bidi/>
        <w:jc w:val="right"/>
      </w:pPr>
      <w:r>
        <w:rPr>
          <w:b w:val="0"/>
          <w:i w:val="0"/>
          <w:sz w:val="21"/>
          <w:rtl/>
          <w:cs/>
        </w:rPr>
        <w:t>ב-utils.js שורה 535, יש להחליף את הארגומנט ה-7 וה-8 בקריאה ל-styleScoreLabel כך שיתאימו לחתימת הפונקציה בשורה 561: (..., gradient, emoji, labelKey) במקום (..., gradient, labelKey, emoji).</w:t>
      </w:r>
    </w:p>
    <w:p>
      <w:pPr>
        <w:pStyle w:val="ListNumber"/>
        <w:jc w:val="right"/>
        <w:bidi/>
        <w:jc w:val="right"/>
      </w:pPr>
      <w:r>
        <w:rPr>
          <w:b/>
          <w:i w:val="0"/>
          <w:color w:val="C81E1E"/>
          <w:sz w:val="21"/>
          <w:rtl/>
          <w:cs/>
        </w:rPr>
        <w:t>[חובה] הוספת מדיניות פרטיות</w:t>
      </w:r>
    </w:p>
    <w:p>
      <w:pPr>
        <w:spacing w:after="120"/>
        <w:ind w:right="680"/>
        <w:jc w:val="right"/>
        <w:bidi/>
        <w:jc w:val="right"/>
      </w:pPr>
      <w:r>
        <w:rPr>
          <w:b w:val="0"/>
          <w:i w:val="0"/>
          <w:sz w:val="21"/>
          <w:rtl/>
          <w:cs/>
        </w:rPr>
        <w:t>יש לפרסם דף מדיניות פרטיות ולהוסיף את ה-URL שלו ל-manifest.json כ-"privacy_policy_url". אפילו הצהרה מינימלית לפיה המפתח אינו אוסף נתונים מספיקה לעמוד בדרישות חנות Chrome Web Store.</w:t>
      </w:r>
    </w:p>
    <w:p>
      <w:pPr>
        <w:pStyle w:val="ListNumber"/>
        <w:jc w:val="right"/>
        <w:bidi/>
        <w:jc w:val="right"/>
      </w:pPr>
      <w:r>
        <w:rPr>
          <w:b/>
          <w:i w:val="0"/>
          <w:color w:val="D2640A"/>
          <w:sz w:val="21"/>
          <w:rtl/>
          <w:cs/>
        </w:rPr>
        <w:t>[בינוני] תיקון באג 3 — timeout ב-waitForTabLoad</w:t>
      </w:r>
    </w:p>
    <w:p>
      <w:pPr>
        <w:spacing w:after="120"/>
        <w:ind w:right="680"/>
        <w:jc w:val="right"/>
        <w:bidi/>
        <w:jc w:val="right"/>
      </w:pPr>
      <w:r>
        <w:rPr>
          <w:b w:val="0"/>
          <w:i w:val="0"/>
          <w:sz w:val="21"/>
          <w:rtl/>
          <w:cs/>
        </w:rPr>
        <w:t>יש להוסיף setTimeout של 10 שניות בתוך waitForTabLoad שיקרא ל-removeListener ויסיים (או ידחה) את ה-Promise, כדי למנוע listener תלוי כאשר הטאב נשאר בדומיין של Google או DuckDuckGo.</w:t>
      </w:r>
    </w:p>
    <w:p>
      <w:pPr>
        <w:pStyle w:val="ListNumber"/>
        <w:jc w:val="right"/>
        <w:bidi/>
        <w:jc w:val="right"/>
      </w:pPr>
      <w:r>
        <w:rPr>
          <w:b/>
          <w:i w:val="0"/>
          <w:color w:val="D2640A"/>
          <w:sz w:val="21"/>
          <w:rtl/>
          <w:cs/>
        </w:rPr>
        <w:t>[בינוני] הוספת גילוי נאות על העברת נתונים</w:t>
      </w:r>
    </w:p>
    <w:p>
      <w:pPr>
        <w:spacing w:after="120"/>
        <w:ind w:right="680"/>
        <w:jc w:val="right"/>
        <w:bidi/>
        <w:jc w:val="right"/>
      </w:pPr>
      <w:r>
        <w:rPr>
          <w:b w:val="0"/>
          <w:i w:val="0"/>
          <w:sz w:val="21"/>
          <w:rtl/>
          <w:cs/>
        </w:rPr>
        <w:t>יש להוסיף הודעה קצרה בתצוגת ההגדרה או ב-onboarding הראשוני המיידעת את המשתמש שתוכן הכתבה נשלח ל-Google Gemini API תחת המפתח שלו.</w:t>
      </w:r>
    </w:p>
    <w:p>
      <w:pPr>
        <w:pStyle w:val="ListNumber"/>
        <w:jc w:val="right"/>
        <w:bidi/>
        <w:jc w:val="right"/>
      </w:pPr>
      <w:r>
        <w:rPr>
          <w:b/>
          <w:i w:val="0"/>
          <w:color w:val="D2640A"/>
          <w:sz w:val="21"/>
          <w:rtl/>
          <w:cs/>
        </w:rPr>
        <w:t>[גבוה] השלמת E1 — הגבלת אורך טקסט ושימוש ב-shortExcerpt לסוכן headline</w:t>
      </w:r>
    </w:p>
    <w:p>
      <w:pPr>
        <w:spacing w:after="120"/>
        <w:ind w:right="680"/>
        <w:jc w:val="right"/>
        <w:bidi/>
        <w:jc w:val="right"/>
      </w:pPr>
      <w:r>
        <w:rPr>
          <w:b w:val="0"/>
          <w:i w:val="0"/>
          <w:sz w:val="21"/>
          <w:rtl/>
          <w:cs/>
        </w:rPr>
        <w:t>יש להגביל את excerptStart ל-3,000-4,000 תווים ב-orchestrator.js ולעדכן את הפרומפט של סוכן ה-headline ב-agents.js לשימוש ב-shortExcerpt במקום longExcerpt.</w:t>
      </w:r>
    </w:p>
    <w:sectPr w:rsidR="00FC693F" w:rsidRPr="0006063C" w:rsidSect="00034616">
      <w:bidi/>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