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color w:val="141414"/>
          <w:sz w:val="36"/>
        </w:rPr>
        <w:t>Legit Extension — Code Review Response</w:t>
      </w:r>
    </w:p>
    <w:p>
      <w:pPr>
        <w:spacing w:after="40"/>
        <w:jc w:val="center"/>
      </w:pPr>
      <w:r>
        <w:rPr>
          <w:b w:val="0"/>
          <w:i/>
          <w:color w:val="646464"/>
          <w:sz w:val="22"/>
        </w:rPr>
        <w:t>Review Findings Status Report  •  v2.1.3</w:t>
      </w:r>
    </w:p>
    <w:p>
      <w:pPr>
        <w:spacing w:after="320"/>
        <w:jc w:val="center"/>
      </w:pPr>
      <w:r>
        <w:rPr>
          <w:b w:val="0"/>
          <w:i w:val="0"/>
          <w:color w:val="646464"/>
          <w:sz w:val="20"/>
        </w:rPr>
        <w:t>Prepared: April 06, 2026</w:t>
      </w:r>
    </w:p>
    <w:p>
      <w:pPr>
        <w:spacing w:before="120" w:after="120"/>
        <w:pBdr>
          <w:bottom w:val="single" w:sz="4" w:space="1" w:color="CCCCCC"/>
        </w:pBdr>
      </w:pPr>
    </w:p>
    <w:p>
      <w:pPr>
        <w:spacing w:before="280" w:after="80"/>
        <w:jc w:val="left"/>
      </w:pPr>
      <w:r>
        <w:rPr>
          <w:b/>
          <w:i w:val="0"/>
          <w:color w:val="141414"/>
          <w:sz w:val="30"/>
        </w:rPr>
        <w:t>Executive Summary</w:t>
      </w:r>
    </w:p>
    <w:p>
      <w:pPr>
        <w:spacing w:after="80"/>
        <w:jc w:val="left"/>
      </w:pPr>
      <w:r>
        <w:rPr>
          <w:b w:val="0"/>
          <w:i w:val="0"/>
          <w:sz w:val="21"/>
        </w:rPr>
        <w:t>This document tracks the resolution status of each finding raised in the Legit Extension Code Review (v2.1.2). Out of 12 discrete findings, 7 have been fully addressed, 2 partially or already addressed, and 3 remain open. The most impactful architectural change -- splitting the popup.js monolith into focused modules -- has been completed. Two of the three critical/medium bugs are still present in the codebase and should be prioritised before the next Chrome Web Store submission.</w:t>
      </w:r>
    </w:p>
    <w:p>
      <w:pPr>
        <w:spacing w:before="120" w:after="120"/>
        <w:pBdr>
          <w:bottom w:val="single" w:sz="4" w:space="1" w:color="CCCCCC"/>
        </w:pBdr>
      </w:pPr>
    </w:p>
    <w:p>
      <w:pPr>
        <w:spacing w:before="280" w:after="80"/>
        <w:jc w:val="left"/>
      </w:pPr>
      <w:r>
        <w:rPr>
          <w:b/>
          <w:i w:val="0"/>
          <w:color w:val="A01E1E"/>
          <w:sz w:val="30"/>
        </w:rPr>
        <w:t>1  Bugs</w:t>
      </w:r>
    </w:p>
    <w:p>
      <w:pPr>
        <w:spacing w:before="200" w:after="60"/>
        <w:jc w:val="left"/>
      </w:pPr>
      <w:r>
        <w:rPr>
          <w:b/>
          <w:i w:val="0"/>
          <w:color w:val="A01E1E"/>
          <w:sz w:val="24"/>
        </w:rPr>
        <w:t>Bug 1 -- Swapped Parameters in styleScoreLabel  [Critical]</w:t>
      </w:r>
    </w:p>
    <w:p>
      <w:pPr>
        <w:spacing w:after="80"/>
        <w:jc w:val="left"/>
      </w:pPr>
      <w:r>
        <w:rPr>
          <w:b w:val="0"/>
          <w:i w:val="0"/>
          <w:sz w:val="21"/>
        </w:rPr>
        <w:t>Location: utils.js -- call site line 535, definition line 561</w:t>
      </w:r>
    </w:p>
    <w:p>
      <w:pPr>
        <w:spacing w:after="80"/>
        <w:jc w:val="left"/>
      </w:pPr>
      <w:r>
        <w:rPr>
          <w:b w:val="0"/>
          <w:i w:val="0"/>
          <w:sz w:val="21"/>
        </w:rPr>
        <w:t>The call at line 535 passes arguments in the order (..., gradient, labelKey, emoji), but the function signature at line 561 expects (..., gradient, emoji, labelKey). As a result the emoji symbol is placed where the translation key is expected. The fallback at line 587 (TRANSLATIONS[currentLang][labelKey] || labelKey) hides the crash -- labelKey ends up as the emoji character which is not a translation key, so it falls back to the raw emoji -- but the visual output is wrong: the label renders as "HIGHLY CREDIBLE +" instead of "+ Highly Credible".</w:t>
      </w:r>
    </w:p>
    <w:tbl>
      <w:tblPr>
        <w:tblW w:type="auto" w:w="0"/>
        <w:tblLook w:firstColumn="1" w:firstRow="1" w:lastColumn="0" w:lastRow="0" w:noHBand="0" w:noVBand="1" w:val="04A0"/>
        <w:tblBorders>
          <w:top w:val="none"/>
          <w:left w:val="none"/>
          <w:bottom w:val="none"/>
          <w:right w:val="none"/>
          <w:insideH w:val="none"/>
          <w:insideV w:val="none"/>
        </w:tblBorders>
      </w:tblPr>
      <w:tblGrid>
        <w:gridCol w:w="7654"/>
        <w:gridCol w:w="1984"/>
      </w:tblGrid>
      <w:tr>
        <w:tc>
          <w:tcPr>
            <w:tcW w:type="dxa" w:w="4533"/>
            <w:vAlign w:val="center"/>
          </w:tcPr>
          <w:p>
            <w:r>
              <w:rPr>
                <w:b w:val="0"/>
                <w:i w:val="0"/>
                <w:sz w:val="21"/>
              </w:rPr>
              <w:t>Status: call-site argument order not corrected; swapped args still present.</w:t>
            </w:r>
          </w:p>
        </w:tc>
        <w:tc>
          <w:tcPr>
            <w:tcW w:type="dxa" w:w="4533"/>
            <w:vAlign w:val="center"/>
          </w:tcPr>
          <w:p>
            <w:pPr>
              <w:jc w:val="center"/>
            </w:pPr>
            <w:r>
              <w:rPr>
                <w:b/>
                <w:i w:val="0"/>
                <w:color w:val="C81E1E"/>
                <w:sz w:val="19"/>
              </w:rPr>
              <w:t>NOT FIXED</w:t>
            </w:r>
          </w:p>
        </w:tc>
      </w:tr>
    </w:tbl>
    <w:p>
      <w:pPr>
        <w:spacing w:after="40"/>
      </w:pPr>
    </w:p>
    <w:p>
      <w:pPr>
        <w:spacing w:before="200" w:after="60"/>
        <w:jc w:val="left"/>
      </w:pPr>
      <w:r>
        <w:rPr>
          <w:b/>
          <w:i w:val="0"/>
          <w:color w:val="643C00"/>
          <w:sz w:val="24"/>
        </w:rPr>
        <w:t>Bug 2 -- Tautological Condition in analyzeAgent  [Medium]</w:t>
      </w:r>
    </w:p>
    <w:p>
      <w:pPr>
        <w:spacing w:after="80"/>
        <w:jc w:val="left"/>
      </w:pPr>
      <w:r>
        <w:rPr>
          <w:b w:val="0"/>
          <w:i w:val="0"/>
          <w:sz w:val="21"/>
        </w:rPr>
        <w:t>Location: orchestrator.js (was popup.js) line 388</w:t>
      </w:r>
    </w:p>
    <w:p>
      <w:pPr>
        <w:spacing w:after="80"/>
        <w:jc w:val="left"/>
      </w:pPr>
      <w:r>
        <w:rPr>
          <w:b w:val="0"/>
          <w:i w:val="0"/>
          <w:sz w:val="21"/>
        </w:rPr>
        <w:t>The original condition  if(agent.id === "bias" || agent)  always evaluated to true because the bare agent reference is always truthy, causing every agent to receive quote-linkification instead of only bias and style.</w:t>
      </w:r>
    </w:p>
    <w:tbl>
      <w:tblPr>
        <w:tblW w:type="auto" w:w="0"/>
        <w:tblLook w:firstColumn="1" w:firstRow="1" w:lastColumn="0" w:lastRow="0" w:noHBand="0" w:noVBand="1" w:val="04A0"/>
        <w:tblBorders>
          <w:top w:val="none"/>
          <w:left w:val="none"/>
          <w:bottom w:val="none"/>
          <w:right w:val="none"/>
          <w:insideH w:val="none"/>
          <w:insideV w:val="none"/>
        </w:tblBorders>
      </w:tblPr>
      <w:tblGrid>
        <w:gridCol w:w="7654"/>
        <w:gridCol w:w="1984"/>
      </w:tblGrid>
      <w:tr>
        <w:tc>
          <w:tcPr>
            <w:tcW w:type="dxa" w:w="4533"/>
            <w:vAlign w:val="center"/>
          </w:tcPr>
          <w:p>
            <w:r>
              <w:rPr>
                <w:b w:val="0"/>
                <w:i w:val="0"/>
                <w:sz w:val="21"/>
              </w:rPr>
              <w:t>Fixed: condition is now  if (agent.id === "bias" || agent.id === "style")</w:t>
            </w:r>
          </w:p>
        </w:tc>
        <w:tc>
          <w:tcPr>
            <w:tcW w:type="dxa" w:w="4533"/>
            <w:vAlign w:val="center"/>
          </w:tcPr>
          <w:p>
            <w:pPr>
              <w:jc w:val="center"/>
            </w:pPr>
            <w:r>
              <w:rPr>
                <w:b/>
                <w:i w:val="0"/>
                <w:color w:val="109650"/>
                <w:sz w:val="19"/>
              </w:rPr>
              <w:t>FIXED</w:t>
            </w:r>
          </w:p>
        </w:tc>
      </w:tr>
    </w:tbl>
    <w:p>
      <w:pPr>
        <w:spacing w:after="40"/>
      </w:pPr>
    </w:p>
    <w:p>
      <w:pPr>
        <w:spacing w:before="200" w:after="60"/>
        <w:jc w:val="left"/>
      </w:pPr>
      <w:r>
        <w:rPr>
          <w:b/>
          <w:i w:val="0"/>
          <w:color w:val="643C00"/>
          <w:sz w:val="24"/>
        </w:rPr>
        <w:t>Bug 3 -- waitForTabLoad Has No Timeout  [Medium]</w:t>
      </w:r>
    </w:p>
    <w:p>
      <w:pPr>
        <w:spacing w:after="80"/>
        <w:jc w:val="left"/>
      </w:pPr>
      <w:r>
        <w:rPr>
          <w:b w:val="0"/>
          <w:i w:val="0"/>
          <w:sz w:val="21"/>
        </w:rPr>
        <w:t>Location: utils.js lines 1022-1032</w:t>
      </w:r>
    </w:p>
    <w:p>
      <w:pPr>
        <w:spacing w:after="80"/>
        <w:jc w:val="left"/>
      </w:pPr>
      <w:r>
        <w:rPr>
          <w:b w:val="0"/>
          <w:i w:val="0"/>
          <w:sz w:val="21"/>
        </w:rPr>
        <w:t>The function registers a chrome.tabs.onUpdated listener and resolves only when the tab URL no longer contains "google.com" or "duckduckgo.com". If a redirect keeps the tab on one of those domains the listener is never removed, causing a persistent memory leak. No setTimeout guard has been added.</w:t>
      </w:r>
    </w:p>
    <w:tbl>
      <w:tblPr>
        <w:tblW w:type="auto" w:w="0"/>
        <w:tblLook w:firstColumn="1" w:firstRow="1" w:lastColumn="0" w:lastRow="0" w:noHBand="0" w:noVBand="1" w:val="04A0"/>
        <w:tblBorders>
          <w:top w:val="none"/>
          <w:left w:val="none"/>
          <w:bottom w:val="none"/>
          <w:right w:val="none"/>
          <w:insideH w:val="none"/>
          <w:insideV w:val="none"/>
        </w:tblBorders>
      </w:tblPr>
      <w:tblGrid>
        <w:gridCol w:w="7654"/>
        <w:gridCol w:w="1984"/>
      </w:tblGrid>
      <w:tr>
        <w:tc>
          <w:tcPr>
            <w:tcW w:type="dxa" w:w="4533"/>
            <w:vAlign w:val="center"/>
          </w:tcPr>
          <w:p>
            <w:r>
              <w:rPr>
                <w:b w:val="0"/>
                <w:i w:val="0"/>
                <w:sz w:val="21"/>
              </w:rPr>
              <w:t>Status: no timeout added; potential memory leak remains.</w:t>
            </w:r>
          </w:p>
        </w:tc>
        <w:tc>
          <w:tcPr>
            <w:tcW w:type="dxa" w:w="4533"/>
            <w:vAlign w:val="center"/>
          </w:tcPr>
          <w:p>
            <w:pPr>
              <w:jc w:val="center"/>
            </w:pPr>
            <w:r>
              <w:rPr>
                <w:b/>
                <w:i w:val="0"/>
                <w:color w:val="C81E1E"/>
                <w:sz w:val="19"/>
              </w:rPr>
              <w:t>NOT FIXED</w:t>
            </w:r>
          </w:p>
        </w:tc>
      </w:tr>
    </w:tbl>
    <w:p>
      <w:pPr>
        <w:spacing w:after="40"/>
      </w:pPr>
    </w:p>
    <w:p>
      <w:pPr>
        <w:spacing w:before="120" w:after="120"/>
        <w:pBdr>
          <w:bottom w:val="single" w:sz="4" w:space="1" w:color="CCCCCC"/>
        </w:pBdr>
      </w:pPr>
    </w:p>
    <w:p>
      <w:pPr>
        <w:spacing w:before="280" w:after="80"/>
        <w:jc w:val="left"/>
      </w:pPr>
      <w:r>
        <w:rPr>
          <w:b/>
          <w:i w:val="0"/>
          <w:color w:val="825000"/>
          <w:sz w:val="30"/>
        </w:rPr>
        <w:t>2  Efficiency</w:t>
      </w:r>
    </w:p>
    <w:p>
      <w:pPr>
        <w:spacing w:before="200" w:after="60"/>
        <w:jc w:val="left"/>
      </w:pPr>
      <w:r>
        <w:rPr>
          <w:b/>
          <w:i w:val="0"/>
          <w:color w:val="643C00"/>
          <w:sz w:val="24"/>
        </w:rPr>
        <w:t>E1 -- Full Article Text Sent to All Agents  [High]</w:t>
      </w:r>
    </w:p>
    <w:p>
      <w:pPr>
        <w:spacing w:after="80"/>
        <w:jc w:val="left"/>
      </w:pPr>
      <w:r>
        <w:rPr>
          <w:b w:val="0"/>
          <w:i w:val="0"/>
          <w:sz w:val="21"/>
        </w:rPr>
        <w:t>Location: orchestrator.js line 213; agents.js -- all prompts</w:t>
      </w:r>
    </w:p>
    <w:p>
      <w:pPr>
        <w:spacing w:after="80"/>
        <w:jc w:val="left"/>
      </w:pPr>
      <w:r>
        <w:rPr>
          <w:b w:val="0"/>
          <w:i w:val="0"/>
          <w:sz w:val="21"/>
        </w:rPr>
        <w:t>The recommendation was to (a) cap excerptStart at 3,000-4,000 chars and (b) use shortExcerpt for headline and author agents. Partial progress: the author agent now receives shortExcerpt (600 chars). However excerptStart is still the full bodyText with no character ceiling, and the headline agent still passes longExcerpt (the full body) to the model.</w:t>
      </w:r>
    </w:p>
    <w:tbl>
      <w:tblPr>
        <w:tblW w:type="auto" w:w="0"/>
        <w:tblLook w:firstColumn="1" w:firstRow="1" w:lastColumn="0" w:lastRow="0" w:noHBand="0" w:noVBand="1" w:val="04A0"/>
        <w:tblBorders>
          <w:top w:val="none"/>
          <w:left w:val="none"/>
          <w:bottom w:val="none"/>
          <w:right w:val="none"/>
          <w:insideH w:val="none"/>
          <w:insideV w:val="none"/>
        </w:tblBorders>
      </w:tblPr>
      <w:tblGrid>
        <w:gridCol w:w="7654"/>
        <w:gridCol w:w="1984"/>
      </w:tblGrid>
      <w:tr>
        <w:tc>
          <w:tcPr>
            <w:tcW w:type="dxa" w:w="4533"/>
            <w:vAlign w:val="center"/>
          </w:tcPr>
          <w:p>
            <w:r>
              <w:rPr>
                <w:b w:val="0"/>
                <w:i w:val="0"/>
                <w:sz w:val="21"/>
              </w:rPr>
              <w:t>Author agent improved; headline agent and global text cap: not yet applied.</w:t>
            </w:r>
          </w:p>
        </w:tc>
        <w:tc>
          <w:tcPr>
            <w:tcW w:type="dxa" w:w="4533"/>
            <w:vAlign w:val="center"/>
          </w:tcPr>
          <w:p>
            <w:pPr>
              <w:jc w:val="center"/>
            </w:pPr>
            <w:r>
              <w:rPr>
                <w:b/>
                <w:i w:val="0"/>
                <w:color w:val="D2640A"/>
                <w:sz w:val="19"/>
              </w:rPr>
              <w:t>PARTIAL</w:t>
            </w:r>
          </w:p>
        </w:tc>
      </w:tr>
    </w:tbl>
    <w:p>
      <w:pPr>
        <w:spacing w:after="40"/>
      </w:pPr>
    </w:p>
    <w:p>
      <w:pPr>
        <w:spacing w:before="200" w:after="60"/>
        <w:jc w:val="left"/>
      </w:pPr>
      <w:r>
        <w:rPr>
          <w:b/>
          <w:i w:val="0"/>
          <w:color w:val="643C00"/>
          <w:sz w:val="24"/>
        </w:rPr>
        <w:t>E2 -- verify-format Agent Chains Double API Calls  [High]</w:t>
      </w:r>
    </w:p>
    <w:p>
      <w:pPr>
        <w:spacing w:after="80"/>
        <w:jc w:val="left"/>
      </w:pPr>
      <w:r>
        <w:rPr>
          <w:b w:val="0"/>
          <w:i w:val="0"/>
          <w:sz w:val="21"/>
        </w:rPr>
        <w:t>Location: agents.js -- source-verify/source-format and consensus-verify/consensus-format chains</w:t>
      </w:r>
    </w:p>
    <w:p>
      <w:pPr>
        <w:spacing w:after="80"/>
        <w:jc w:val="left"/>
      </w:pPr>
      <w:r>
        <w:rPr>
          <w:b w:val="0"/>
          <w:i w:val="0"/>
          <w:sz w:val="21"/>
        </w:rPr>
        <w:t>Each two-agent chain makes 2 API calls; the format agents only rewrite citations, work that could be done in JS or in a single merged prompt. Both chains remain unchanged. The estimated saving of ~47% of per-analysis cost ($0.07) has not been realised.</w:t>
      </w:r>
    </w:p>
    <w:tbl>
      <w:tblPr>
        <w:tblW w:type="auto" w:w="0"/>
        <w:tblLook w:firstColumn="1" w:firstRow="1" w:lastColumn="0" w:lastRow="0" w:noHBand="0" w:noVBand="1" w:val="04A0"/>
        <w:tblBorders>
          <w:top w:val="none"/>
          <w:left w:val="none"/>
          <w:bottom w:val="none"/>
          <w:right w:val="none"/>
          <w:insideH w:val="none"/>
          <w:insideV w:val="none"/>
        </w:tblBorders>
      </w:tblPr>
      <w:tblGrid>
        <w:gridCol w:w="7654"/>
        <w:gridCol w:w="1984"/>
      </w:tblGrid>
      <w:tr>
        <w:tc>
          <w:tcPr>
            <w:tcW w:type="dxa" w:w="4533"/>
            <w:vAlign w:val="center"/>
          </w:tcPr>
          <w:p>
            <w:r>
              <w:rPr>
                <w:b w:val="0"/>
                <w:i w:val="0"/>
                <w:sz w:val="21"/>
              </w:rPr>
              <w:t>Both chains intact; no change applied.</w:t>
            </w:r>
          </w:p>
        </w:tc>
        <w:tc>
          <w:tcPr>
            <w:tcW w:type="dxa" w:w="4533"/>
            <w:vAlign w:val="center"/>
          </w:tcPr>
          <w:p>
            <w:pPr>
              <w:jc w:val="center"/>
            </w:pPr>
            <w:r>
              <w:rPr>
                <w:b/>
                <w:i w:val="0"/>
                <w:color w:val="C81E1E"/>
                <w:sz w:val="19"/>
              </w:rPr>
              <w:t>NOT ADDRESSED</w:t>
            </w:r>
          </w:p>
        </w:tc>
      </w:tr>
    </w:tbl>
    <w:p>
      <w:pPr>
        <w:spacing w:after="40"/>
      </w:pPr>
    </w:p>
    <w:p>
      <w:pPr>
        <w:spacing w:before="200" w:after="60"/>
        <w:jc w:val="left"/>
      </w:pPr>
      <w:r>
        <w:rPr>
          <w:b/>
          <w:i w:val="0"/>
          <w:color w:val="646464"/>
          <w:sz w:val="24"/>
        </w:rPr>
        <w:t>E3 -- Search Grounding for Bias Agent  [Medium]</w:t>
      </w:r>
    </w:p>
    <w:p>
      <w:pPr>
        <w:spacing w:after="80"/>
        <w:jc w:val="left"/>
      </w:pPr>
      <w:r>
        <w:rPr>
          <w:b w:val="0"/>
          <w:i w:val="0"/>
          <w:sz w:val="21"/>
        </w:rPr>
        <w:t>Location: agents.js -- bias agent configuration</w:t>
      </w:r>
    </w:p>
    <w:p>
      <w:pPr>
        <w:spacing w:after="80"/>
        <w:jc w:val="left"/>
      </w:pPr>
      <w:r>
        <w:rPr>
          <w:b w:val="0"/>
          <w:i w:val="0"/>
          <w:sz w:val="21"/>
        </w:rPr>
        <w:t>The review asked whether the bias agent truly needs Search Grounding, given that bias is determined from the article text itself. In the current codebase the bias agent has useSearch: false -- it does not use Search Grounding. This was either pre-existing or corrected before the improvements tracker was created. Either way, the configuration is correct.</w:t>
      </w:r>
    </w:p>
    <w:tbl>
      <w:tblPr>
        <w:tblW w:type="auto" w:w="0"/>
        <w:tblLook w:firstColumn="1" w:firstRow="1" w:lastColumn="0" w:lastRow="0" w:noHBand="0" w:noVBand="1" w:val="04A0"/>
        <w:tblBorders>
          <w:top w:val="none"/>
          <w:left w:val="none"/>
          <w:bottom w:val="none"/>
          <w:right w:val="none"/>
          <w:insideH w:val="none"/>
          <w:insideV w:val="none"/>
        </w:tblBorders>
      </w:tblPr>
      <w:tblGrid>
        <w:gridCol w:w="7654"/>
        <w:gridCol w:w="1984"/>
      </w:tblGrid>
      <w:tr>
        <w:tc>
          <w:tcPr>
            <w:tcW w:type="dxa" w:w="4533"/>
            <w:vAlign w:val="center"/>
          </w:tcPr>
          <w:p>
            <w:r>
              <w:rPr>
                <w:b w:val="0"/>
                <w:i w:val="0"/>
                <w:sz w:val="21"/>
              </w:rPr>
              <w:t>bias agent: useSearch: false -- correctly configured.</w:t>
            </w:r>
          </w:p>
        </w:tc>
        <w:tc>
          <w:tcPr>
            <w:tcW w:type="dxa" w:w="4533"/>
            <w:vAlign w:val="center"/>
          </w:tcPr>
          <w:p>
            <w:pPr>
              <w:jc w:val="center"/>
            </w:pPr>
            <w:r>
              <w:rPr>
                <w:b/>
                <w:i w:val="0"/>
                <w:color w:val="109650"/>
                <w:sz w:val="19"/>
              </w:rPr>
              <w:t>ALREADY OK</w:t>
            </w:r>
          </w:p>
        </w:tc>
      </w:tr>
    </w:tbl>
    <w:p>
      <w:pPr>
        <w:spacing w:after="40"/>
      </w:pPr>
    </w:p>
    <w:p>
      <w:pPr>
        <w:spacing w:before="200" w:after="60"/>
        <w:jc w:val="left"/>
      </w:pPr>
      <w:r>
        <w:rPr>
          <w:b/>
          <w:i w:val="0"/>
          <w:color w:val="646464"/>
          <w:sz w:val="24"/>
        </w:rPr>
        <w:t>E4 -- Inefficient DOM Management  [Low]</w:t>
      </w:r>
    </w:p>
    <w:p>
      <w:pPr>
        <w:spacing w:after="80"/>
        <w:jc w:val="left"/>
      </w:pPr>
      <w:r>
        <w:rPr>
          <w:b w:val="0"/>
          <w:i w:val="0"/>
          <w:sz w:val="21"/>
        </w:rPr>
        <w:t>Location: utils.js -- attachQuoteLinkListeners (line 879); sortGridDynamic (line 309)</w:t>
      </w:r>
    </w:p>
    <w:p>
      <w:pPr>
        <w:spacing w:after="80"/>
        <w:jc w:val="left"/>
      </w:pPr>
      <w:r>
        <w:rPr>
          <w:b w:val="0"/>
          <w:i w:val="0"/>
          <w:sz w:val="21"/>
        </w:rPr>
        <w:t>Both issues have been resolved. attachQuoteLinkListeners now uses a single delegated listener on #agentGrid with a module-level guard flag (_quoteLinkListenerAttached) to prevent duplicate registration -- no more per-element DOM cloning. sortGridDynamic wraps its DOM mutations in requestAnimationFrame, deferring reflow to the next paint cycle.</w:t>
      </w:r>
    </w:p>
    <w:tbl>
      <w:tblPr>
        <w:tblW w:type="auto" w:w="0"/>
        <w:tblLook w:firstColumn="1" w:firstRow="1" w:lastColumn="0" w:lastRow="0" w:noHBand="0" w:noVBand="1" w:val="04A0"/>
        <w:tblBorders>
          <w:top w:val="none"/>
          <w:left w:val="none"/>
          <w:bottom w:val="none"/>
          <w:right w:val="none"/>
          <w:insideH w:val="none"/>
          <w:insideV w:val="none"/>
        </w:tblBorders>
      </w:tblPr>
      <w:tblGrid>
        <w:gridCol w:w="7654"/>
        <w:gridCol w:w="1984"/>
      </w:tblGrid>
      <w:tr>
        <w:tc>
          <w:tcPr>
            <w:tcW w:type="dxa" w:w="4533"/>
            <w:vAlign w:val="center"/>
          </w:tcPr>
          <w:p>
            <w:r>
              <w:rPr>
                <w:b w:val="0"/>
                <w:i w:val="0"/>
                <w:sz w:val="21"/>
              </w:rPr>
              <w:t>Delegated listener and requestAnimationFrame both implemented.</w:t>
            </w:r>
          </w:p>
        </w:tc>
        <w:tc>
          <w:tcPr>
            <w:tcW w:type="dxa" w:w="4533"/>
            <w:vAlign w:val="center"/>
          </w:tcPr>
          <w:p>
            <w:pPr>
              <w:jc w:val="center"/>
            </w:pPr>
            <w:r>
              <w:rPr>
                <w:b/>
                <w:i w:val="0"/>
                <w:color w:val="109650"/>
                <w:sz w:val="19"/>
              </w:rPr>
              <w:t>FIXED</w:t>
            </w:r>
          </w:p>
        </w:tc>
      </w:tr>
    </w:tbl>
    <w:p>
      <w:pPr>
        <w:spacing w:after="40"/>
      </w:pPr>
    </w:p>
    <w:p>
      <w:pPr>
        <w:spacing w:before="120" w:after="120"/>
        <w:pBdr>
          <w:bottom w:val="single" w:sz="4" w:space="1" w:color="CCCCCC"/>
        </w:pBdr>
      </w:pPr>
    </w:p>
    <w:p>
      <w:pPr>
        <w:spacing w:before="280" w:after="80"/>
        <w:jc w:val="left"/>
      </w:pPr>
      <w:r>
        <w:rPr>
          <w:b/>
          <w:i w:val="0"/>
          <w:color w:val="1E3C8C"/>
          <w:sz w:val="30"/>
        </w:rPr>
        <w:t>3  Architecture</w:t>
      </w:r>
    </w:p>
    <w:p>
      <w:pPr>
        <w:spacing w:before="200" w:after="60"/>
        <w:jc w:val="left"/>
      </w:pPr>
      <w:r>
        <w:rPr>
          <w:b/>
          <w:i w:val="0"/>
          <w:color w:val="643C00"/>
          <w:sz w:val="24"/>
        </w:rPr>
        <w:t>A1 -- Global Variable Namespace Pollution  [Medium]</w:t>
      </w:r>
    </w:p>
    <w:p>
      <w:pPr>
        <w:spacing w:after="80"/>
        <w:jc w:val="left"/>
      </w:pPr>
      <w:r>
        <w:rPr>
          <w:b w:val="0"/>
          <w:i w:val="0"/>
          <w:sz w:val="21"/>
        </w:rPr>
        <w:t>Location: all script files loaded via &lt;script&gt; tags in Legit.html</w:t>
      </w:r>
    </w:p>
    <w:p>
      <w:pPr>
        <w:spacing w:after="80"/>
        <w:jc w:val="left"/>
      </w:pPr>
      <w:r>
        <w:rPr>
          <w:b w:val="0"/>
          <w:i w:val="0"/>
          <w:sz w:val="21"/>
        </w:rPr>
        <w:t>All six script files (localization.js, utils.js, agents.js, ui.js, orchestrator.js, popup.js) are now wrapped in IIFEs. Internal helpers are private to each module; only functions needed cross-file are explicitly promoted via window.X = X at the end of each IIFE. Full migration to ES Modules (type="module" + import/export) has not been done, but the IIFE approach achieves equivalent scoping safety for this project's scale.</w:t>
      </w:r>
    </w:p>
    <w:tbl>
      <w:tblPr>
        <w:tblW w:type="auto" w:w="0"/>
        <w:tblLook w:firstColumn="1" w:firstRow="1" w:lastColumn="0" w:lastRow="0" w:noHBand="0" w:noVBand="1" w:val="04A0"/>
        <w:tblBorders>
          <w:top w:val="none"/>
          <w:left w:val="none"/>
          <w:bottom w:val="none"/>
          <w:right w:val="none"/>
          <w:insideH w:val="none"/>
          <w:insideV w:val="none"/>
        </w:tblBorders>
      </w:tblPr>
      <w:tblGrid>
        <w:gridCol w:w="7654"/>
        <w:gridCol w:w="1984"/>
      </w:tblGrid>
      <w:tr>
        <w:tc>
          <w:tcPr>
            <w:tcW w:type="dxa" w:w="4533"/>
            <w:vAlign w:val="center"/>
          </w:tcPr>
          <w:p>
            <w:r>
              <w:rPr>
                <w:b w:val="0"/>
                <w:i w:val="0"/>
                <w:sz w:val="21"/>
              </w:rPr>
              <w:t>IIFE scoping applied to all files. ES Modules not adopted (acceptable at this scale).</w:t>
            </w:r>
          </w:p>
        </w:tc>
        <w:tc>
          <w:tcPr>
            <w:tcW w:type="dxa" w:w="4533"/>
            <w:vAlign w:val="center"/>
          </w:tcPr>
          <w:p>
            <w:pPr>
              <w:jc w:val="center"/>
            </w:pPr>
            <w:r>
              <w:rPr>
                <w:b/>
                <w:i w:val="0"/>
                <w:color w:val="109650"/>
                <w:sz w:val="19"/>
              </w:rPr>
              <w:t>SUBSTANTIALLY FIXED</w:t>
            </w:r>
          </w:p>
        </w:tc>
      </w:tr>
    </w:tbl>
    <w:p>
      <w:pPr>
        <w:spacing w:after="40"/>
      </w:pPr>
    </w:p>
    <w:p>
      <w:pPr>
        <w:spacing w:before="200" w:after="60"/>
        <w:jc w:val="left"/>
      </w:pPr>
      <w:r>
        <w:rPr>
          <w:b/>
          <w:i w:val="0"/>
          <w:color w:val="643C00"/>
          <w:sz w:val="24"/>
        </w:rPr>
        <w:t>A2 -- popup.js Monolith  [Medium]</w:t>
      </w:r>
    </w:p>
    <w:p>
      <w:pPr>
        <w:spacing w:after="80"/>
        <w:jc w:val="left"/>
      </w:pPr>
      <w:r>
        <w:rPr>
          <w:b w:val="0"/>
          <w:i w:val="0"/>
          <w:sz w:val="21"/>
        </w:rPr>
        <w:t>Location: formerly popup.js (671 lines)</w:t>
      </w:r>
    </w:p>
    <w:p>
      <w:pPr>
        <w:spacing w:after="80"/>
        <w:jc w:val="left"/>
      </w:pPr>
      <w:r>
        <w:rPr>
          <w:b w:val="0"/>
          <w:i w:val="0"/>
          <w:sz w:val="21"/>
        </w:rPr>
        <w:t>The monolith has been split into four focused files exactly as recommended:</w:t>
      </w:r>
    </w:p>
    <w:p>
      <w:pPr>
        <w:pStyle w:val="ListBullet"/>
        <w:spacing w:after="60"/>
        <w:ind w:left="283"/>
      </w:pPr>
      <w:r>
        <w:rPr>
          <w:b w:val="0"/>
          <w:i w:val="0"/>
          <w:sz w:val="21"/>
        </w:rPr>
        <w:t>orchestrator.js  --  startAnalysis, extractPageData, runProgressiveAnalysis, analyzeAgent</w:t>
      </w:r>
    </w:p>
    <w:p>
      <w:pPr>
        <w:pStyle w:val="ListBullet"/>
        <w:spacing w:after="60"/>
        <w:ind w:left="283"/>
      </w:pPr>
      <w:r>
        <w:rPr>
          <w:b w:val="0"/>
          <w:i w:val="0"/>
          <w:sz w:val="21"/>
        </w:rPr>
        <w:t>ui.js            --  showStatus, toggleApiKeyView</w:t>
      </w:r>
    </w:p>
    <w:p>
      <w:pPr>
        <w:pStyle w:val="ListBullet"/>
        <w:spacing w:after="60"/>
        <w:ind w:left="283"/>
      </w:pPr>
      <w:r>
        <w:rPr>
          <w:b w:val="0"/>
          <w:i w:val="0"/>
          <w:sz w:val="21"/>
        </w:rPr>
        <w:t>popup.js         --  thin entry point (~130 lines), DOMContentLoaded wiring only</w:t>
      </w:r>
    </w:p>
    <w:p>
      <w:pPr>
        <w:pStyle w:val="ListBullet"/>
        <w:spacing w:after="60"/>
        <w:ind w:left="283"/>
      </w:pPr>
      <w:r>
        <w:rPr>
          <w:b w:val="0"/>
          <w:i w:val="0"/>
          <w:sz w:val="21"/>
        </w:rPr>
        <w:t>Load order in Legit.html: localization -&gt; utils -&gt; agents -&gt; ui -&gt; orchestrator -&gt; popup</w:t>
      </w:r>
    </w:p>
    <w:p>
      <w:pPr>
        <w:spacing w:after="80"/>
        <w:jc w:val="left"/>
      </w:pPr>
      <w:r>
        <w:rPr>
          <w:b w:val="0"/>
          <w:i w:val="0"/>
          <w:sz w:val="21"/>
        </w:rPr>
        <w:t>A bonus fix was applied: loadFromCache previously referenced DOM nodes via closed-over variables from popup.js's DOMContentLoaded callback, which were inaccessible from utils.js. Replaced with document.getElementById calls.</w:t>
      </w:r>
    </w:p>
    <w:tbl>
      <w:tblPr>
        <w:tblW w:type="auto" w:w="0"/>
        <w:tblLook w:firstColumn="1" w:firstRow="1" w:lastColumn="0" w:lastRow="0" w:noHBand="0" w:noVBand="1" w:val="04A0"/>
        <w:tblBorders>
          <w:top w:val="none"/>
          <w:left w:val="none"/>
          <w:bottom w:val="none"/>
          <w:right w:val="none"/>
          <w:insideH w:val="none"/>
          <w:insideV w:val="none"/>
        </w:tblBorders>
      </w:tblPr>
      <w:tblGrid>
        <w:gridCol w:w="7654"/>
        <w:gridCol w:w="1984"/>
      </w:tblGrid>
      <w:tr>
        <w:tc>
          <w:tcPr>
            <w:tcW w:type="dxa" w:w="4533"/>
            <w:vAlign w:val="center"/>
          </w:tcPr>
          <w:p>
            <w:r>
              <w:rPr>
                <w:b w:val="0"/>
                <w:i w:val="0"/>
                <w:sz w:val="21"/>
              </w:rPr>
              <w:t>Monolith split complete; bonus scope bug fixed as well.</w:t>
            </w:r>
          </w:p>
        </w:tc>
        <w:tc>
          <w:tcPr>
            <w:tcW w:type="dxa" w:w="4533"/>
            <w:vAlign w:val="center"/>
          </w:tcPr>
          <w:p>
            <w:pPr>
              <w:jc w:val="center"/>
            </w:pPr>
            <w:r>
              <w:rPr>
                <w:b/>
                <w:i w:val="0"/>
                <w:color w:val="109650"/>
                <w:sz w:val="19"/>
              </w:rPr>
              <w:t>FULLY FIXED</w:t>
            </w:r>
          </w:p>
        </w:tc>
      </w:tr>
    </w:tbl>
    <w:p>
      <w:pPr>
        <w:spacing w:after="40"/>
      </w:pPr>
    </w:p>
    <w:p>
      <w:pPr>
        <w:spacing w:before="200" w:after="60"/>
        <w:jc w:val="left"/>
      </w:pPr>
      <w:r>
        <w:rPr>
          <w:b/>
          <w:i w:val="0"/>
          <w:color w:val="646464"/>
          <w:sz w:val="24"/>
        </w:rPr>
        <w:t>A3 -- Dead Code  [Low]</w:t>
      </w:r>
    </w:p>
    <w:p>
      <w:pPr>
        <w:spacing w:after="80"/>
        <w:jc w:val="left"/>
      </w:pPr>
      <w:r>
        <w:rPr>
          <w:b w:val="0"/>
          <w:i w:val="0"/>
          <w:sz w:val="21"/>
        </w:rPr>
        <w:t>Two dead-code items were identified:</w:t>
      </w:r>
    </w:p>
    <w:p>
      <w:pPr>
        <w:pStyle w:val="ListBullet"/>
        <w:spacing w:after="60"/>
        <w:ind w:left="283"/>
      </w:pPr>
      <w:r>
        <w:rPr>
          <w:b/>
          <w:i w:val="0"/>
          <w:sz w:val="21"/>
        </w:rPr>
        <w:t xml:space="preserve">Deleted:  </w:t>
      </w:r>
      <w:r>
        <w:rPr>
          <w:b w:val="0"/>
          <w:i w:val="0"/>
          <w:sz w:val="21"/>
        </w:rPr>
        <w:t>extractTextWithNewlines (utils.js) -- marked !!WIP!!, never called. Confirmed deleted: not present anywhere in the codebase.</w:t>
      </w:r>
    </w:p>
    <w:p>
      <w:pPr>
        <w:pStyle w:val="ListBullet"/>
        <w:spacing w:after="60"/>
        <w:ind w:left="283"/>
      </w:pPr>
      <w:r>
        <w:rPr>
          <w:b/>
          <w:i w:val="0"/>
          <w:sz w:val="21"/>
        </w:rPr>
        <w:t xml:space="preserve">Removed:  </w:t>
      </w:r>
      <w:r>
        <w:rPr>
          <w:b w:val="0"/>
          <w:i w:val="0"/>
          <w:sz w:val="21"/>
        </w:rPr>
        <w:t>Readability.js loaded in Legit.html -- the library is only needed when injected into the active tab via executeScript. Confirmed removed: Legit.html script tags now list only the six application scripts; Readability.js is injected on-demand in orchestrator.js.</w:t>
      </w:r>
    </w:p>
    <w:tbl>
      <w:tblPr>
        <w:tblW w:type="auto" w:w="0"/>
        <w:tblLook w:firstColumn="1" w:firstRow="1" w:lastColumn="0" w:lastRow="0" w:noHBand="0" w:noVBand="1" w:val="04A0"/>
        <w:tblBorders>
          <w:top w:val="none"/>
          <w:left w:val="none"/>
          <w:bottom w:val="none"/>
          <w:right w:val="none"/>
          <w:insideH w:val="none"/>
          <w:insideV w:val="none"/>
        </w:tblBorders>
      </w:tblPr>
      <w:tblGrid>
        <w:gridCol w:w="7654"/>
        <w:gridCol w:w="1984"/>
      </w:tblGrid>
      <w:tr>
        <w:tc>
          <w:tcPr>
            <w:tcW w:type="dxa" w:w="4533"/>
            <w:vAlign w:val="center"/>
          </w:tcPr>
          <w:p>
            <w:r>
              <w:rPr>
                <w:b w:val="0"/>
                <w:i w:val="0"/>
                <w:sz w:val="21"/>
              </w:rPr>
              <w:t>Both dead-code items cleaned up.</w:t>
            </w:r>
          </w:p>
        </w:tc>
        <w:tc>
          <w:tcPr>
            <w:tcW w:type="dxa" w:w="4533"/>
            <w:vAlign w:val="center"/>
          </w:tcPr>
          <w:p>
            <w:pPr>
              <w:jc w:val="center"/>
            </w:pPr>
            <w:r>
              <w:rPr>
                <w:b/>
                <w:i w:val="0"/>
                <w:color w:val="109650"/>
                <w:sz w:val="19"/>
              </w:rPr>
              <w:t>FULLY FIXED</w:t>
            </w:r>
          </w:p>
        </w:tc>
      </w:tr>
    </w:tbl>
    <w:p>
      <w:pPr>
        <w:spacing w:after="40"/>
      </w:pPr>
    </w:p>
    <w:p>
      <w:pPr>
        <w:spacing w:before="120" w:after="120"/>
        <w:pBdr>
          <w:bottom w:val="single" w:sz="4" w:space="1" w:color="CCCCCC"/>
        </w:pBdr>
      </w:pPr>
    </w:p>
    <w:p>
      <w:pPr>
        <w:spacing w:before="280" w:after="80"/>
        <w:jc w:val="left"/>
      </w:pPr>
      <w:r>
        <w:rPr>
          <w:b/>
          <w:i w:val="0"/>
          <w:color w:val="500064"/>
          <w:sz w:val="30"/>
        </w:rPr>
        <w:t>4  Privacy &amp; Policy</w:t>
      </w:r>
    </w:p>
    <w:p>
      <w:pPr>
        <w:spacing w:before="200" w:after="60"/>
        <w:jc w:val="left"/>
      </w:pPr>
      <w:r>
        <w:rPr>
          <w:b/>
          <w:i w:val="0"/>
          <w:color w:val="A01E1E"/>
          <w:sz w:val="24"/>
        </w:rPr>
        <w:t>P1 -- No Dedicated Privacy Policy  [Required by Chrome Web Store]</w:t>
      </w:r>
    </w:p>
    <w:p>
      <w:pPr>
        <w:spacing w:after="80"/>
        <w:jc w:val="left"/>
      </w:pPr>
      <w:r>
        <w:rPr>
          <w:b w:val="0"/>
          <w:i w:val="0"/>
          <w:sz w:val="21"/>
        </w:rPr>
        <w:t>Chrome Web Store mandates a dedicated privacy policy for extensions requesting sensitive permissions (&lt;all_urls&gt;, scripting). The manifest currently declares host_permissions: ["*://*/*", "https://generativelanguage.googleapis.com/*"] and permissions: ["activeTab", "scripting", "storage", "sidePanel"]. No privacy_policy_url field is present in manifest.json, and no privacy policy page or document has been added to the repository.</w:t>
      </w:r>
    </w:p>
    <w:tbl>
      <w:tblPr>
        <w:tblW w:type="auto" w:w="0"/>
        <w:tblLook w:firstColumn="1" w:firstRow="1" w:lastColumn="0" w:lastRow="0" w:noHBand="0" w:noVBand="1" w:val="04A0"/>
        <w:tblBorders>
          <w:top w:val="none"/>
          <w:left w:val="none"/>
          <w:bottom w:val="none"/>
          <w:right w:val="none"/>
          <w:insideH w:val="none"/>
          <w:insideV w:val="none"/>
        </w:tblBorders>
      </w:tblPr>
      <w:tblGrid>
        <w:gridCol w:w="7654"/>
        <w:gridCol w:w="1984"/>
      </w:tblGrid>
      <w:tr>
        <w:tc>
          <w:tcPr>
            <w:tcW w:type="dxa" w:w="4533"/>
            <w:vAlign w:val="center"/>
          </w:tcPr>
          <w:p>
            <w:r>
              <w:rPr>
                <w:b w:val="0"/>
                <w:i w:val="0"/>
                <w:sz w:val="21"/>
              </w:rPr>
              <w:t>No privacy policy file or manifest URL found.</w:t>
            </w:r>
          </w:p>
        </w:tc>
        <w:tc>
          <w:tcPr>
            <w:tcW w:type="dxa" w:w="4533"/>
            <w:vAlign w:val="center"/>
          </w:tcPr>
          <w:p>
            <w:pPr>
              <w:jc w:val="center"/>
            </w:pPr>
            <w:r>
              <w:rPr>
                <w:b/>
                <w:i w:val="0"/>
                <w:color w:val="C81E1E"/>
                <w:sz w:val="19"/>
              </w:rPr>
              <w:t>NOT ADDRESSED</w:t>
            </w:r>
          </w:p>
        </w:tc>
      </w:tr>
    </w:tbl>
    <w:p>
      <w:pPr>
        <w:spacing w:after="40"/>
      </w:pPr>
    </w:p>
    <w:p>
      <w:pPr>
        <w:spacing w:before="200" w:after="60"/>
        <w:jc w:val="left"/>
      </w:pPr>
      <w:r>
        <w:rPr>
          <w:b/>
          <w:i w:val="0"/>
          <w:color w:val="643C00"/>
          <w:sz w:val="24"/>
        </w:rPr>
        <w:t>P2 -- No User Disclosure About Content Sent to Google  [Medium]</w:t>
      </w:r>
    </w:p>
    <w:p>
      <w:pPr>
        <w:spacing w:after="80"/>
        <w:jc w:val="left"/>
      </w:pPr>
      <w:r>
        <w:rPr>
          <w:b w:val="0"/>
          <w:i w:val="0"/>
          <w:sz w:val="21"/>
        </w:rPr>
        <w:t>Users are not explicitly informed that article text is transmitted to the Google Gemini API under their own API key. No onboarding message, tooltip, or in-UI notice was added to Legit.html or the setup flow. This is a transparency concern, especially given that full article bodies are still sent (see E1 above).</w:t>
      </w:r>
    </w:p>
    <w:tbl>
      <w:tblPr>
        <w:tblW w:type="auto" w:w="0"/>
        <w:tblLook w:firstColumn="1" w:firstRow="1" w:lastColumn="0" w:lastRow="0" w:noHBand="0" w:noVBand="1" w:val="04A0"/>
        <w:tblBorders>
          <w:top w:val="none"/>
          <w:left w:val="none"/>
          <w:bottom w:val="none"/>
          <w:right w:val="none"/>
          <w:insideH w:val="none"/>
          <w:insideV w:val="none"/>
        </w:tblBorders>
      </w:tblPr>
      <w:tblGrid>
        <w:gridCol w:w="7654"/>
        <w:gridCol w:w="1984"/>
      </w:tblGrid>
      <w:tr>
        <w:tc>
          <w:tcPr>
            <w:tcW w:type="dxa" w:w="4533"/>
            <w:vAlign w:val="center"/>
          </w:tcPr>
          <w:p>
            <w:r>
              <w:rPr>
                <w:b w:val="0"/>
                <w:i w:val="0"/>
                <w:sz w:val="21"/>
              </w:rPr>
              <w:t>No disclosure notice added to the UI or onboarding flow.</w:t>
            </w:r>
          </w:p>
        </w:tc>
        <w:tc>
          <w:tcPr>
            <w:tcW w:type="dxa" w:w="4533"/>
            <w:vAlign w:val="center"/>
          </w:tcPr>
          <w:p>
            <w:pPr>
              <w:jc w:val="center"/>
            </w:pPr>
            <w:r>
              <w:rPr>
                <w:b/>
                <w:i w:val="0"/>
                <w:color w:val="C81E1E"/>
                <w:sz w:val="19"/>
              </w:rPr>
              <w:t>NOT ADDRESSED</w:t>
            </w:r>
          </w:p>
        </w:tc>
      </w:tr>
    </w:tbl>
    <w:p>
      <w:pPr>
        <w:spacing w:after="40"/>
      </w:pPr>
    </w:p>
    <w:p>
      <w:pPr>
        <w:spacing w:before="120" w:after="120"/>
        <w:pBdr>
          <w:bottom w:val="single" w:sz="4" w:space="1" w:color="CCCCCC"/>
        </w:pBdr>
      </w:pPr>
    </w:p>
    <w:p>
      <w:pPr>
        <w:spacing w:before="280" w:after="80"/>
        <w:jc w:val="left"/>
      </w:pPr>
      <w:r>
        <w:rPr>
          <w:b/>
          <w:i w:val="0"/>
          <w:color w:val="141414"/>
          <w:sz w:val="30"/>
        </w:rPr>
        <w:t>5  Summary</w:t>
      </w:r>
    </w:p>
    <w:p>
      <w:pPr>
        <w:spacing w:after="80"/>
        <w:jc w:val="left"/>
      </w:pPr>
      <w:r>
        <w:rPr>
          <w:b w:val="0"/>
          <w:i w:val="0"/>
          <w:sz w:val="21"/>
        </w:rPr>
        <w:t>Quick-reference status for all 12 findings:</w:t>
      </w:r>
    </w:p>
    <w:p/>
    <w:tbl>
      <w:tblPr>
        <w:tblStyle w:val="TableGrid"/>
        <w:tblW w:type="auto" w:w="0"/>
        <w:tblLook w:firstColumn="1" w:firstRow="1" w:lastColumn="0" w:lastRow="0" w:noHBand="0" w:noVBand="1" w:val="04A0"/>
      </w:tblPr>
      <w:tblGrid>
        <w:gridCol w:w="5102"/>
        <w:gridCol w:w="1417"/>
        <w:gridCol w:w="3118"/>
      </w:tblGrid>
      <w:tr>
        <w:tc>
          <w:tcPr>
            <w:tcW w:type="dxa" w:w="3022"/>
            <w:shd w:val="clear" w:color="auto" w:fill="2D3748"/>
          </w:tcPr>
          <w:p>
            <w:pPr>
              <w:jc w:val="center"/>
            </w:pPr>
            <w:r>
              <w:rPr>
                <w:b/>
                <w:i w:val="0"/>
                <w:color w:val="FFFFFF"/>
                <w:sz w:val="20"/>
              </w:rPr>
              <w:t>Finding</w:t>
            </w:r>
          </w:p>
        </w:tc>
        <w:tc>
          <w:tcPr>
            <w:tcW w:type="dxa" w:w="3022"/>
            <w:shd w:val="clear" w:color="auto" w:fill="2D3748"/>
          </w:tcPr>
          <w:p>
            <w:pPr>
              <w:jc w:val="center"/>
            </w:pPr>
            <w:r>
              <w:rPr>
                <w:b/>
                <w:i w:val="0"/>
                <w:color w:val="FFFFFF"/>
                <w:sz w:val="20"/>
              </w:rPr>
              <w:t>Severity</w:t>
            </w:r>
          </w:p>
        </w:tc>
        <w:tc>
          <w:tcPr>
            <w:tcW w:type="dxa" w:w="3022"/>
            <w:shd w:val="clear" w:color="auto" w:fill="2D3748"/>
          </w:tcPr>
          <w:p>
            <w:pPr>
              <w:jc w:val="center"/>
            </w:pPr>
            <w:r>
              <w:rPr>
                <w:b/>
                <w:i w:val="0"/>
                <w:color w:val="FFFFFF"/>
                <w:sz w:val="20"/>
              </w:rPr>
              <w:t>Status</w:t>
            </w:r>
          </w:p>
        </w:tc>
      </w:tr>
      <w:tr>
        <w:tc>
          <w:tcPr>
            <w:tcW w:type="dxa" w:w="3022"/>
            <w:shd w:val="clear" w:color="auto" w:fill="FFCCCC"/>
          </w:tcPr>
          <w:p>
            <w:pPr>
              <w:jc w:val="left"/>
            </w:pPr>
            <w:r>
              <w:rPr>
                <w:b w:val="0"/>
                <w:i w:val="0"/>
                <w:sz w:val="19"/>
              </w:rPr>
              <w:t>Bug 1 -- styleScoreLabel swapped params</w:t>
            </w:r>
          </w:p>
        </w:tc>
        <w:tc>
          <w:tcPr>
            <w:tcW w:type="dxa" w:w="3022"/>
            <w:shd w:val="clear" w:color="auto" w:fill="FFCCCC"/>
          </w:tcPr>
          <w:p>
            <w:pPr>
              <w:jc w:val="center"/>
            </w:pPr>
            <w:r>
              <w:rPr>
                <w:b w:val="0"/>
                <w:i w:val="0"/>
                <w:sz w:val="19"/>
              </w:rPr>
              <w:t>Critical</w:t>
            </w:r>
          </w:p>
        </w:tc>
        <w:tc>
          <w:tcPr>
            <w:tcW w:type="dxa" w:w="3022"/>
            <w:shd w:val="clear" w:color="auto" w:fill="FFCCCC"/>
          </w:tcPr>
          <w:p>
            <w:pPr>
              <w:jc w:val="center"/>
            </w:pPr>
            <w:r>
              <w:rPr>
                <w:b w:val="0"/>
                <w:i w:val="0"/>
                <w:sz w:val="19"/>
              </w:rPr>
              <w:t>Not Fixed</w:t>
            </w:r>
          </w:p>
        </w:tc>
      </w:tr>
      <w:tr>
        <w:tc>
          <w:tcPr>
            <w:tcW w:type="dxa" w:w="3022"/>
            <w:shd w:val="clear" w:color="auto" w:fill="CCFFCC"/>
          </w:tcPr>
          <w:p>
            <w:pPr>
              <w:jc w:val="left"/>
            </w:pPr>
            <w:r>
              <w:rPr>
                <w:b w:val="0"/>
                <w:i w:val="0"/>
                <w:sz w:val="19"/>
              </w:rPr>
              <w:t>Bug 2 -- Tautological condition</w:t>
            </w:r>
          </w:p>
        </w:tc>
        <w:tc>
          <w:tcPr>
            <w:tcW w:type="dxa" w:w="3022"/>
            <w:shd w:val="clear" w:color="auto" w:fill="CCFFCC"/>
          </w:tcPr>
          <w:p>
            <w:pPr>
              <w:jc w:val="center"/>
            </w:pPr>
            <w:r>
              <w:rPr>
                <w:b w:val="0"/>
                <w:i w:val="0"/>
                <w:sz w:val="19"/>
              </w:rPr>
              <w:t>Medium</w:t>
            </w:r>
          </w:p>
        </w:tc>
        <w:tc>
          <w:tcPr>
            <w:tcW w:type="dxa" w:w="3022"/>
            <w:shd w:val="clear" w:color="auto" w:fill="CCFFCC"/>
          </w:tcPr>
          <w:p>
            <w:pPr>
              <w:jc w:val="center"/>
            </w:pPr>
            <w:r>
              <w:rPr>
                <w:b w:val="0"/>
                <w:i w:val="0"/>
                <w:sz w:val="19"/>
              </w:rPr>
              <w:t>Fixed</w:t>
            </w:r>
          </w:p>
        </w:tc>
      </w:tr>
      <w:tr>
        <w:tc>
          <w:tcPr>
            <w:tcW w:type="dxa" w:w="3022"/>
            <w:shd w:val="clear" w:color="auto" w:fill="FFCCCC"/>
          </w:tcPr>
          <w:p>
            <w:pPr>
              <w:jc w:val="left"/>
            </w:pPr>
            <w:r>
              <w:rPr>
                <w:b w:val="0"/>
                <w:i w:val="0"/>
                <w:sz w:val="19"/>
              </w:rPr>
              <w:t>Bug 3 -- waitForTabLoad no timeout</w:t>
            </w:r>
          </w:p>
        </w:tc>
        <w:tc>
          <w:tcPr>
            <w:tcW w:type="dxa" w:w="3022"/>
            <w:shd w:val="clear" w:color="auto" w:fill="FFCCCC"/>
          </w:tcPr>
          <w:p>
            <w:pPr>
              <w:jc w:val="center"/>
            </w:pPr>
            <w:r>
              <w:rPr>
                <w:b w:val="0"/>
                <w:i w:val="0"/>
                <w:sz w:val="19"/>
              </w:rPr>
              <w:t>Medium</w:t>
            </w:r>
          </w:p>
        </w:tc>
        <w:tc>
          <w:tcPr>
            <w:tcW w:type="dxa" w:w="3022"/>
            <w:shd w:val="clear" w:color="auto" w:fill="FFCCCC"/>
          </w:tcPr>
          <w:p>
            <w:pPr>
              <w:jc w:val="center"/>
            </w:pPr>
            <w:r>
              <w:rPr>
                <w:b w:val="0"/>
                <w:i w:val="0"/>
                <w:sz w:val="19"/>
              </w:rPr>
              <w:t>Not Fixed</w:t>
            </w:r>
          </w:p>
        </w:tc>
      </w:tr>
      <w:tr>
        <w:tc>
          <w:tcPr>
            <w:tcW w:type="dxa" w:w="3022"/>
            <w:shd w:val="clear" w:color="auto" w:fill="FFF3CC"/>
          </w:tcPr>
          <w:p>
            <w:pPr>
              <w:jc w:val="left"/>
            </w:pPr>
            <w:r>
              <w:rPr>
                <w:b w:val="0"/>
                <w:i w:val="0"/>
                <w:sz w:val="19"/>
              </w:rPr>
              <w:t>E1 -- Full text to all agents</w:t>
            </w:r>
          </w:p>
        </w:tc>
        <w:tc>
          <w:tcPr>
            <w:tcW w:type="dxa" w:w="3022"/>
            <w:shd w:val="clear" w:color="auto" w:fill="FFF3CC"/>
          </w:tcPr>
          <w:p>
            <w:pPr>
              <w:jc w:val="center"/>
            </w:pPr>
            <w:r>
              <w:rPr>
                <w:b w:val="0"/>
                <w:i w:val="0"/>
                <w:sz w:val="19"/>
              </w:rPr>
              <w:t>High</w:t>
            </w:r>
          </w:p>
        </w:tc>
        <w:tc>
          <w:tcPr>
            <w:tcW w:type="dxa" w:w="3022"/>
            <w:shd w:val="clear" w:color="auto" w:fill="FFF3CC"/>
          </w:tcPr>
          <w:p>
            <w:pPr>
              <w:jc w:val="center"/>
            </w:pPr>
            <w:r>
              <w:rPr>
                <w:b w:val="0"/>
                <w:i w:val="0"/>
                <w:sz w:val="19"/>
              </w:rPr>
              <w:t>Partial</w:t>
            </w:r>
          </w:p>
        </w:tc>
      </w:tr>
      <w:tr>
        <w:tc>
          <w:tcPr>
            <w:tcW w:type="dxa" w:w="3022"/>
            <w:shd w:val="clear" w:color="auto" w:fill="FFCCCC"/>
          </w:tcPr>
          <w:p>
            <w:pPr>
              <w:jc w:val="left"/>
            </w:pPr>
            <w:r>
              <w:rPr>
                <w:b w:val="0"/>
                <w:i w:val="0"/>
                <w:sz w:val="19"/>
              </w:rPr>
              <w:t>E2 -- verify-format doubles API calls</w:t>
            </w:r>
          </w:p>
        </w:tc>
        <w:tc>
          <w:tcPr>
            <w:tcW w:type="dxa" w:w="3022"/>
            <w:shd w:val="clear" w:color="auto" w:fill="FFCCCC"/>
          </w:tcPr>
          <w:p>
            <w:pPr>
              <w:jc w:val="center"/>
            </w:pPr>
            <w:r>
              <w:rPr>
                <w:b w:val="0"/>
                <w:i w:val="0"/>
                <w:sz w:val="19"/>
              </w:rPr>
              <w:t>High</w:t>
            </w:r>
          </w:p>
        </w:tc>
        <w:tc>
          <w:tcPr>
            <w:tcW w:type="dxa" w:w="3022"/>
            <w:shd w:val="clear" w:color="auto" w:fill="FFCCCC"/>
          </w:tcPr>
          <w:p>
            <w:pPr>
              <w:jc w:val="center"/>
            </w:pPr>
            <w:r>
              <w:rPr>
                <w:b w:val="0"/>
                <w:i w:val="0"/>
                <w:sz w:val="19"/>
              </w:rPr>
              <w:t>Not Addressed</w:t>
            </w:r>
          </w:p>
        </w:tc>
      </w:tr>
      <w:tr>
        <w:tc>
          <w:tcPr>
            <w:tcW w:type="dxa" w:w="3022"/>
            <w:shd w:val="clear" w:color="auto" w:fill="CCFFCC"/>
          </w:tcPr>
          <w:p>
            <w:pPr>
              <w:jc w:val="left"/>
            </w:pPr>
            <w:r>
              <w:rPr>
                <w:b w:val="0"/>
                <w:i w:val="0"/>
                <w:sz w:val="19"/>
              </w:rPr>
              <w:t>E3 -- Search grounding for bias</w:t>
            </w:r>
          </w:p>
        </w:tc>
        <w:tc>
          <w:tcPr>
            <w:tcW w:type="dxa" w:w="3022"/>
            <w:shd w:val="clear" w:color="auto" w:fill="CCFFCC"/>
          </w:tcPr>
          <w:p>
            <w:pPr>
              <w:jc w:val="center"/>
            </w:pPr>
            <w:r>
              <w:rPr>
                <w:b w:val="0"/>
                <w:i w:val="0"/>
                <w:sz w:val="19"/>
              </w:rPr>
              <w:t>Medium</w:t>
            </w:r>
          </w:p>
        </w:tc>
        <w:tc>
          <w:tcPr>
            <w:tcW w:type="dxa" w:w="3022"/>
            <w:shd w:val="clear" w:color="auto" w:fill="CCFFCC"/>
          </w:tcPr>
          <w:p>
            <w:pPr>
              <w:jc w:val="center"/>
            </w:pPr>
            <w:r>
              <w:rPr>
                <w:b w:val="0"/>
                <w:i w:val="0"/>
                <w:sz w:val="19"/>
              </w:rPr>
              <w:t>Already OK</w:t>
            </w:r>
          </w:p>
        </w:tc>
      </w:tr>
      <w:tr>
        <w:tc>
          <w:tcPr>
            <w:tcW w:type="dxa" w:w="3022"/>
            <w:shd w:val="clear" w:color="auto" w:fill="CCFFCC"/>
          </w:tcPr>
          <w:p>
            <w:pPr>
              <w:jc w:val="left"/>
            </w:pPr>
            <w:r>
              <w:rPr>
                <w:b w:val="0"/>
                <w:i w:val="0"/>
                <w:sz w:val="19"/>
              </w:rPr>
              <w:t>E4 -- DOM inefficiency</w:t>
            </w:r>
          </w:p>
        </w:tc>
        <w:tc>
          <w:tcPr>
            <w:tcW w:type="dxa" w:w="3022"/>
            <w:shd w:val="clear" w:color="auto" w:fill="CCFFCC"/>
          </w:tcPr>
          <w:p>
            <w:pPr>
              <w:jc w:val="center"/>
            </w:pPr>
            <w:r>
              <w:rPr>
                <w:b w:val="0"/>
                <w:i w:val="0"/>
                <w:sz w:val="19"/>
              </w:rPr>
              <w:t>Low</w:t>
            </w:r>
          </w:p>
        </w:tc>
        <w:tc>
          <w:tcPr>
            <w:tcW w:type="dxa" w:w="3022"/>
            <w:shd w:val="clear" w:color="auto" w:fill="CCFFCC"/>
          </w:tcPr>
          <w:p>
            <w:pPr>
              <w:jc w:val="center"/>
            </w:pPr>
            <w:r>
              <w:rPr>
                <w:b w:val="0"/>
                <w:i w:val="0"/>
                <w:sz w:val="19"/>
              </w:rPr>
              <w:t>Fixed</w:t>
            </w:r>
          </w:p>
        </w:tc>
      </w:tr>
      <w:tr>
        <w:tc>
          <w:tcPr>
            <w:tcW w:type="dxa" w:w="3022"/>
            <w:shd w:val="clear" w:color="auto" w:fill="CCFFCC"/>
          </w:tcPr>
          <w:p>
            <w:pPr>
              <w:jc w:val="left"/>
            </w:pPr>
            <w:r>
              <w:rPr>
                <w:b w:val="0"/>
                <w:i w:val="0"/>
                <w:sz w:val="19"/>
              </w:rPr>
              <w:t>A1 -- Global variable pollution</w:t>
            </w:r>
          </w:p>
        </w:tc>
        <w:tc>
          <w:tcPr>
            <w:tcW w:type="dxa" w:w="3022"/>
            <w:shd w:val="clear" w:color="auto" w:fill="CCFFCC"/>
          </w:tcPr>
          <w:p>
            <w:pPr>
              <w:jc w:val="center"/>
            </w:pPr>
            <w:r>
              <w:rPr>
                <w:b w:val="0"/>
                <w:i w:val="0"/>
                <w:sz w:val="19"/>
              </w:rPr>
              <w:t>Medium</w:t>
            </w:r>
          </w:p>
        </w:tc>
        <w:tc>
          <w:tcPr>
            <w:tcW w:type="dxa" w:w="3022"/>
            <w:shd w:val="clear" w:color="auto" w:fill="CCFFCC"/>
          </w:tcPr>
          <w:p>
            <w:pPr>
              <w:jc w:val="center"/>
            </w:pPr>
            <w:r>
              <w:rPr>
                <w:b w:val="0"/>
                <w:i w:val="0"/>
                <w:sz w:val="19"/>
              </w:rPr>
              <w:t>Substantially Fixed</w:t>
            </w:r>
          </w:p>
        </w:tc>
      </w:tr>
      <w:tr>
        <w:tc>
          <w:tcPr>
            <w:tcW w:type="dxa" w:w="3022"/>
            <w:shd w:val="clear" w:color="auto" w:fill="CCFFCC"/>
          </w:tcPr>
          <w:p>
            <w:pPr>
              <w:jc w:val="left"/>
            </w:pPr>
            <w:r>
              <w:rPr>
                <w:b w:val="0"/>
                <w:i w:val="0"/>
                <w:sz w:val="19"/>
              </w:rPr>
              <w:t>A2 -- popup.js monolith</w:t>
            </w:r>
          </w:p>
        </w:tc>
        <w:tc>
          <w:tcPr>
            <w:tcW w:type="dxa" w:w="3022"/>
            <w:shd w:val="clear" w:color="auto" w:fill="CCFFCC"/>
          </w:tcPr>
          <w:p>
            <w:pPr>
              <w:jc w:val="center"/>
            </w:pPr>
            <w:r>
              <w:rPr>
                <w:b w:val="0"/>
                <w:i w:val="0"/>
                <w:sz w:val="19"/>
              </w:rPr>
              <w:t>Medium</w:t>
            </w:r>
          </w:p>
        </w:tc>
        <w:tc>
          <w:tcPr>
            <w:tcW w:type="dxa" w:w="3022"/>
            <w:shd w:val="clear" w:color="auto" w:fill="CCFFCC"/>
          </w:tcPr>
          <w:p>
            <w:pPr>
              <w:jc w:val="center"/>
            </w:pPr>
            <w:r>
              <w:rPr>
                <w:b w:val="0"/>
                <w:i w:val="0"/>
                <w:sz w:val="19"/>
              </w:rPr>
              <w:t>Fully Fixed</w:t>
            </w:r>
          </w:p>
        </w:tc>
      </w:tr>
      <w:tr>
        <w:tc>
          <w:tcPr>
            <w:tcW w:type="dxa" w:w="3022"/>
            <w:shd w:val="clear" w:color="auto" w:fill="CCFFCC"/>
          </w:tcPr>
          <w:p>
            <w:pPr>
              <w:jc w:val="left"/>
            </w:pPr>
            <w:r>
              <w:rPr>
                <w:b w:val="0"/>
                <w:i w:val="0"/>
                <w:sz w:val="19"/>
              </w:rPr>
              <w:t>A3 -- Dead code</w:t>
            </w:r>
          </w:p>
        </w:tc>
        <w:tc>
          <w:tcPr>
            <w:tcW w:type="dxa" w:w="3022"/>
            <w:shd w:val="clear" w:color="auto" w:fill="CCFFCC"/>
          </w:tcPr>
          <w:p>
            <w:pPr>
              <w:jc w:val="center"/>
            </w:pPr>
            <w:r>
              <w:rPr>
                <w:b w:val="0"/>
                <w:i w:val="0"/>
                <w:sz w:val="19"/>
              </w:rPr>
              <w:t>Low</w:t>
            </w:r>
          </w:p>
        </w:tc>
        <w:tc>
          <w:tcPr>
            <w:tcW w:type="dxa" w:w="3022"/>
            <w:shd w:val="clear" w:color="auto" w:fill="CCFFCC"/>
          </w:tcPr>
          <w:p>
            <w:pPr>
              <w:jc w:val="center"/>
            </w:pPr>
            <w:r>
              <w:rPr>
                <w:b w:val="0"/>
                <w:i w:val="0"/>
                <w:sz w:val="19"/>
              </w:rPr>
              <w:t>Fully Fixed</w:t>
            </w:r>
          </w:p>
        </w:tc>
      </w:tr>
      <w:tr>
        <w:tc>
          <w:tcPr>
            <w:tcW w:type="dxa" w:w="3022"/>
            <w:shd w:val="clear" w:color="auto" w:fill="FFCCCC"/>
          </w:tcPr>
          <w:p>
            <w:pPr>
              <w:jc w:val="left"/>
            </w:pPr>
            <w:r>
              <w:rPr>
                <w:b w:val="0"/>
                <w:i w:val="0"/>
                <w:sz w:val="19"/>
              </w:rPr>
              <w:t>P1 -- No privacy policy</w:t>
            </w:r>
          </w:p>
        </w:tc>
        <w:tc>
          <w:tcPr>
            <w:tcW w:type="dxa" w:w="3022"/>
            <w:shd w:val="clear" w:color="auto" w:fill="FFCCCC"/>
          </w:tcPr>
          <w:p>
            <w:pPr>
              <w:jc w:val="center"/>
            </w:pPr>
            <w:r>
              <w:rPr>
                <w:b w:val="0"/>
                <w:i w:val="0"/>
                <w:sz w:val="19"/>
              </w:rPr>
              <w:t>Required</w:t>
            </w:r>
          </w:p>
        </w:tc>
        <w:tc>
          <w:tcPr>
            <w:tcW w:type="dxa" w:w="3022"/>
            <w:shd w:val="clear" w:color="auto" w:fill="FFCCCC"/>
          </w:tcPr>
          <w:p>
            <w:pPr>
              <w:jc w:val="center"/>
            </w:pPr>
            <w:r>
              <w:rPr>
                <w:b w:val="0"/>
                <w:i w:val="0"/>
                <w:sz w:val="19"/>
              </w:rPr>
              <w:t>Not Addressed</w:t>
            </w:r>
          </w:p>
        </w:tc>
      </w:tr>
      <w:tr>
        <w:tc>
          <w:tcPr>
            <w:tcW w:type="dxa" w:w="3022"/>
            <w:shd w:val="clear" w:color="auto" w:fill="FFCCCC"/>
          </w:tcPr>
          <w:p>
            <w:pPr>
              <w:jc w:val="left"/>
            </w:pPr>
            <w:r>
              <w:rPr>
                <w:b w:val="0"/>
                <w:i w:val="0"/>
                <w:sz w:val="19"/>
              </w:rPr>
              <w:t>P2 -- No user disclosure</w:t>
            </w:r>
          </w:p>
        </w:tc>
        <w:tc>
          <w:tcPr>
            <w:tcW w:type="dxa" w:w="3022"/>
            <w:shd w:val="clear" w:color="auto" w:fill="FFCCCC"/>
          </w:tcPr>
          <w:p>
            <w:pPr>
              <w:jc w:val="center"/>
            </w:pPr>
            <w:r>
              <w:rPr>
                <w:b w:val="0"/>
                <w:i w:val="0"/>
                <w:sz w:val="19"/>
              </w:rPr>
              <w:t>Medium</w:t>
            </w:r>
          </w:p>
        </w:tc>
        <w:tc>
          <w:tcPr>
            <w:tcW w:type="dxa" w:w="3022"/>
            <w:shd w:val="clear" w:color="auto" w:fill="FFCCCC"/>
          </w:tcPr>
          <w:p>
            <w:pPr>
              <w:jc w:val="center"/>
            </w:pPr>
            <w:r>
              <w:rPr>
                <w:b w:val="0"/>
                <w:i w:val="0"/>
                <w:sz w:val="19"/>
              </w:rPr>
              <w:t>Not Addressed</w:t>
            </w:r>
          </w:p>
        </w:tc>
      </w:tr>
    </w:tbl>
    <w:p>
      <w:pPr>
        <w:spacing w:before="120" w:after="120"/>
        <w:pBdr>
          <w:bottom w:val="single" w:sz="4" w:space="1" w:color="CCCCCC"/>
        </w:pBdr>
      </w:pPr>
    </w:p>
    <w:p>
      <w:pPr>
        <w:spacing w:before="280" w:after="80"/>
        <w:jc w:val="left"/>
      </w:pPr>
      <w:r>
        <w:rPr>
          <w:b/>
          <w:i w:val="0"/>
          <w:color w:val="A01E1E"/>
          <w:sz w:val="30"/>
        </w:rPr>
        <w:t>6  Open Items -- Recommended Next Actions</w:t>
      </w:r>
    </w:p>
    <w:p>
      <w:pPr>
        <w:spacing w:after="80"/>
        <w:jc w:val="left"/>
      </w:pPr>
      <w:r>
        <w:rPr>
          <w:b w:val="0"/>
          <w:i w:val="0"/>
          <w:sz w:val="21"/>
        </w:rPr>
        <w:t>The following items should be addressed before the next store submission:</w:t>
      </w:r>
    </w:p>
    <w:p>
      <w:pPr>
        <w:pStyle w:val="ListNumber"/>
      </w:pPr>
      <w:r>
        <w:rPr>
          <w:b/>
          <w:i w:val="0"/>
          <w:color w:val="C81E1E"/>
          <w:sz w:val="21"/>
        </w:rPr>
        <w:t>[CRITICAL] Fix Bug 1 -- styleScoreLabel parameter order</w:t>
      </w:r>
    </w:p>
    <w:p>
      <w:pPr>
        <w:spacing w:after="120"/>
        <w:ind w:left="680"/>
      </w:pPr>
      <w:r>
        <w:rPr>
          <w:b w:val="0"/>
          <w:i w:val="0"/>
          <w:sz w:val="21"/>
        </w:rPr>
        <w:t>In utils.js line 535, swap the 7th and 8th arguments in the styleScoreLabel call so they match the function signature at line 561: (..., gradient, emoji, labelKey) instead of (..., gradient, labelKey, emoji).</w:t>
      </w:r>
    </w:p>
    <w:p>
      <w:pPr>
        <w:pStyle w:val="ListNumber"/>
      </w:pPr>
      <w:r>
        <w:rPr>
          <w:b/>
          <w:i w:val="0"/>
          <w:color w:val="C81E1E"/>
          <w:sz w:val="21"/>
        </w:rPr>
        <w:t>[REQUIRED] Add Privacy Policy</w:t>
      </w:r>
    </w:p>
    <w:p>
      <w:pPr>
        <w:spacing w:after="120"/>
        <w:ind w:left="680"/>
      </w:pPr>
      <w:r>
        <w:rPr>
          <w:b w:val="0"/>
          <w:i w:val="0"/>
          <w:sz w:val="21"/>
        </w:rPr>
        <w:t>Publish a privacy policy page and add its URL to manifest.json as "privacy_policy_url". Even a minimal statement that no data is collected by the developer is sufficient to satisfy the Chrome Web Store requirement.</w:t>
      </w:r>
    </w:p>
    <w:p>
      <w:pPr>
        <w:pStyle w:val="ListNumber"/>
      </w:pPr>
      <w:r>
        <w:rPr>
          <w:b/>
          <w:i w:val="0"/>
          <w:color w:val="D2640A"/>
          <w:sz w:val="21"/>
        </w:rPr>
        <w:t>[MEDIUM] Fix Bug 3 -- waitForTabLoad timeout</w:t>
      </w:r>
    </w:p>
    <w:p>
      <w:pPr>
        <w:spacing w:after="120"/>
        <w:ind w:left="680"/>
      </w:pPr>
      <w:r>
        <w:rPr>
          <w:b w:val="0"/>
          <w:i w:val="0"/>
          <w:sz w:val="21"/>
        </w:rPr>
        <w:t>Add a 10-second setTimeout inside waitForTabLoad that calls removeListener and resolves (or rejects) to prevent a dangling listener when the tab remains on a Google or DuckDuckGo domain.</w:t>
      </w:r>
    </w:p>
    <w:p>
      <w:pPr>
        <w:pStyle w:val="ListNumber"/>
      </w:pPr>
      <w:r>
        <w:rPr>
          <w:b/>
          <w:i w:val="0"/>
          <w:color w:val="D2640A"/>
          <w:sz w:val="21"/>
        </w:rPr>
        <w:t>[MEDIUM] Add User Disclosure for Data Transmission</w:t>
      </w:r>
    </w:p>
    <w:p>
      <w:pPr>
        <w:spacing w:after="120"/>
        <w:ind w:left="680"/>
      </w:pPr>
      <w:r>
        <w:rPr>
          <w:b w:val="0"/>
          <w:i w:val="0"/>
          <w:sz w:val="21"/>
        </w:rPr>
        <w:t>Add a brief notice in the setup view or first-run onboarding informing the user that article content is sent to Google Gemini API under their own key.</w:t>
      </w:r>
    </w:p>
    <w:p>
      <w:pPr>
        <w:pStyle w:val="ListNumber"/>
      </w:pPr>
      <w:r>
        <w:rPr>
          <w:b/>
          <w:i w:val="0"/>
          <w:color w:val="D2640A"/>
          <w:sz w:val="21"/>
        </w:rPr>
        <w:t>[HIGH] Complete E1 -- Cap Text Length and Use shortExcerpt for Headline</w:t>
      </w:r>
    </w:p>
    <w:p>
      <w:pPr>
        <w:spacing w:after="120"/>
        <w:ind w:left="680"/>
      </w:pPr>
      <w:r>
        <w:rPr>
          <w:b w:val="0"/>
          <w:i w:val="0"/>
          <w:sz w:val="21"/>
        </w:rPr>
        <w:t>Limit excerptStart to 3,000-4,000 characters in orchestrator.js and update the headline agent prompt in agents.js to use shortExcerpt rather than longExcerpt.</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