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2"/>
          <w:szCs w:val="32"/>
        </w:rPr>
        <w:t xml:space="preserve">ARXML 接口交付文档模板：信号驱动模式 v1.1</w:t>
      </w:r>
    </w:p>
    <w:p>
      <w:pPr>
        <w:pStyle w:val="Normal"/>
      </w:pPr>
      <w:r>
        <w:rPr>
          <w:sz w:val="21"/>
          <w:szCs w:val="21"/>
        </w:rPr>
        <w:t xml:space="preserve">适用范围：基于信号的 Atomic SWC 开发。</w:t>
      </w:r>
    </w:p>
    <w:p>
      <w:pPr>
        <w:pStyle w:val="Normal"/>
      </w:pPr>
      <w:r>
        <w:rPr>
          <w:sz w:val="21"/>
          <w:szCs w:val="21"/>
        </w:rPr>
        <w:t xml:space="preserve">交付目标：让工具从本文件抽取信号契约，生成 Excel v2 草稿，再生成 DaVinci Developer 可导入的 ARXML。</w:t>
      </w:r>
    </w:p>
    <w:p>
      <w:pPr>
        <w:pStyle w:val="Normal"/>
      </w:pPr>
      <w:r>
        <w:rPr>
          <w:sz w:val="21"/>
          <w:szCs w:val="21"/>
        </w:rPr>
        <w:t xml:space="preserve">填写原则：只填写业务不可推导的信息；包路径、完整 AUTOSAR Ref、MappingSet、InterfaceRef、默认 ComSpec 等由工具生成。</w:t>
      </w:r>
    </w:p>
    <w:p>
      <w:pPr>
        <w:pStyle w:val="Heading1"/>
      </w:pPr>
      <w:r>
        <w:rPr>
          <w:b/>
          <w:sz w:val="28"/>
          <w:szCs w:val="28"/>
        </w:rPr>
        <w:t xml:space="preserve">1. 项目与命名规则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填写值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项目名称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例如 TurnLamp / Wiper / Window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系统/域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例如 Body / ExteriorLight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目标 AUTOSAR 版本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4.3.0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当前建议 4.3.0，便于 DaVinci R24-11 导入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生成模式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SignalAtomicDaVinci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固定填写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RootPackage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可空；为空时工具使用 DaVinci 信号模板路径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Atomic SWC 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信号模式第一版建议一个文档对应一个 Atomic SWC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周期 Runnable 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例如 Step / MainFunction / Runnable_10ms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默认周期 ms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例如 10 / 20 / 50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需求来源文档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SRD/详设/交付文档名称与版本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填写人/日期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2. SWC 清单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SWC名称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SWC类型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所属层级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部署域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ApplicationAtomicSwComponentType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Application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填写说明：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信号驱动第一版默认只生成 Atomic SWC，不生成 Composition。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如果同一文档出现多个 SWC，需要明确每个信号属于哪个 SWC；否则默认全部归入“项目与命名规则”中的 Atomic SWC。</w:t>
      </w:r>
    </w:p>
    <w:p>
      <w:pPr>
        <w:pStyle w:val="Heading1"/>
      </w:pPr>
      <w:r>
        <w:rPr>
          <w:b/>
          <w:sz w:val="28"/>
          <w:szCs w:val="28"/>
        </w:rPr>
        <w:t xml:space="preserve">3. Runnable 与触发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RunnableName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TriggerType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PeriodMs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关联Port/Signal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TimingEvent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填写说明：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`TriggerType` 第一版支持 `TimingEvent`。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`PeriodMs` 必须明确；如果文档里没有周期，请写入“未决问题”。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如果信号读写全部发生在同一个周期函数，`关联Port/Signal` 可填 `ALL`。</w:t>
      </w:r>
    </w:p>
    <w:p>
      <w:pPr>
        <w:pStyle w:val="Heading1"/>
      </w:pPr>
      <w:r>
        <w:rPr>
          <w:b/>
          <w:sz w:val="28"/>
          <w:szCs w:val="28"/>
        </w:rPr>
        <w:t xml:space="preserve">4. 输入信号清单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No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SignalName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ProviderModule/SWC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ConsumerSWC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DataType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Unit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Range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EnumValues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InitValue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PeriodMs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CAN/LIN通道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CAN信号名称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Description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0..1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填写说明：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`SignalName` 建议直接使用 DaVinci 里期望看到的 PortInterface/Port/DataElement 名称；工具会复用该名称。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`DataType` 支持 `boolean`、`uint8`、`uint16`、`uint32`、`sint8`、`sint16`、`sint32`，以及项目约定的应用类型名。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`EnumValues` 只有枚举/文本表时填写，格式必须是 `0=OFF, 1=ON, 15=Error_Value`。不要只写自然语言描述。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`InitValue`：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Boolean 填 `0/1` 或 `false/true`；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Numeric 填数字；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Enum 推荐填枚举符号，例如 `OFF`，也可填内部值但会进入人工确认清单。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`ProviderModule/SWC` 表示信号来源；如果只是外部总线来源，可以填模块名或网络名。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`ConsumerSWC` 通常填本 Atomic SWC 名称。</w:t>
      </w:r>
    </w:p>
    <w:p>
      <w:pPr>
        <w:pStyle w:val="Heading1"/>
      </w:pPr>
      <w:r>
        <w:rPr>
          <w:b/>
          <w:sz w:val="28"/>
          <w:szCs w:val="28"/>
        </w:rPr>
        <w:t xml:space="preserve">5. 输出信号清单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No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SignalName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ProviderSWC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ConsumerModule/SWC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DataType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Unit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Range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EnumValues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InitValue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PeriodMs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CAN/LIN通道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CAN信号名称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Description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0..1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填写说明：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`ProviderSWC` 通常填本 Atomic SWC 名称。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`ConsumerModule/SWC` 表示信号去向；如果只是发送到外部网络，可以填模块名或网络名。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输出信号会生成 P-Port，输入信号会生成 R-Port。</w:t>
      </w:r>
    </w:p>
    <w:p>
      <w:pPr>
        <w:pStyle w:val="Heading1"/>
      </w:pPr>
      <w:r>
        <w:rPr>
          <w:b/>
          <w:sz w:val="28"/>
          <w:szCs w:val="28"/>
        </w:rPr>
        <w:t xml:space="preserve">6. 数据类型与枚举补充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TypeName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BaseType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CompuMethodType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EnumValues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PhysicalRange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Unit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DataConstr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RequirementId/Source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TEXTTABLE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0=OFF, 1=ON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0..1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0..1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填写说明：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如果信号清单里的 `EnumValues` 已经完整，本表可不填；复杂类型或复用类型建议填写。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`CompuMethodType` 支持 `IDENTICAL`、`LINEAR`、`TEXTTABLE`。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枚举必须给出内部值到文本符号的映射，避免 DaVinci/RTE 阶段出现初值和 CompuScale 不一致。</w:t>
      </w:r>
    </w:p>
    <w:p>
      <w:pPr>
        <w:pStyle w:val="Heading1"/>
      </w:pPr>
      <w:r>
        <w:rPr>
          <w:b/>
          <w:sz w:val="28"/>
          <w:szCs w:val="28"/>
        </w:rPr>
        <w:t xml:space="preserve">7. 可选高级配置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SignalName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ComSpec配置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DataFilter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HandleNeverReceived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InvalidValue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AliveTimeout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HandleTimeoutType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ALWAYS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填写说明：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本表可空。为空时工具使用 DaVinci 信号模板默认值。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`HandleNeverReceived` 不要随意开启；如果开启，建议同时明确 `InvalidValue`。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第一版生成器优先保证 DaVinci 可导入，不强制输出所有可选 ComSpec。</w:t>
      </w:r>
    </w:p>
    <w:p>
      <w:pPr>
        <w:pStyle w:val="Heading1"/>
      </w:pPr>
      <w:r>
        <w:rPr>
          <w:b/>
          <w:sz w:val="28"/>
          <w:szCs w:val="28"/>
        </w:rPr>
        <w:t xml:space="preserve">8. 未决问题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编号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字段/信号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问题描述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建议默认值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负责人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关闭结论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Open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填写说明：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工具不能可靠推导的信息必须进入本表，不能静默编造。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状态建议使用 `Open`、`Confirmed`、`Closed`。</w:t>
      </w:r>
    </w:p>
    <w:p>
      <w:pPr>
        <w:pStyle w:val="Heading1"/>
      </w:pPr>
      <w:r>
        <w:rPr>
          <w:b/>
          <w:sz w:val="28"/>
          <w:szCs w:val="28"/>
        </w:rPr>
        <w:t xml:space="preserve">9. 生成规则摘要</w:t>
      </w:r>
    </w:p>
    <w:p>
      <w:pPr>
        <w:pStyle w:val="Normal"/>
      </w:pPr>
      <w:r>
        <w:rPr>
          <w:sz w:val="21"/>
          <w:szCs w:val="21"/>
        </w:rPr>
        <w:t xml:space="preserve">工具会按以下默认规则生成 Excel 和 ARXML：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Component package：`/ComponentTypes`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Interface package：`/PortInterfaces`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 type package：`/DataTypes`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MappingSet：`/ComponentTypes/MappingSets/DataMapping`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信号接口：每个信号一个 SenderReceiverInterface。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信号端口：输入信号生成 R-Port，输出信号生成 P-Port。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Interface、Port、DataElement 默认共用 `SignalName`，对齐 DaVinci 手工建模风格。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Boolean 类型使用平台 Boolean 和 `&lt;CATEGORY&gt;BOOLEAN&lt;/CATEGORY&gt;` 初值。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Numeric 类型使用 `&lt;CATEGORY&gt;VALUE&lt;/CATEGORY&gt;&lt;V&gt;...&lt;/V&gt;`。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Enum/TextTable 类型使用 CompuMethod TEXTTABLE；初值应优先使用枚举符号。</w:t>
      </w:r>
    </w:p>
    <w:p>
      <w:pPr>
        <w:pStyle w:val="Heading1"/>
      </w:pPr>
      <w:r>
        <w:rPr>
          <w:b/>
          <w:sz w:val="28"/>
          <w:szCs w:val="28"/>
        </w:rPr>
        <w:t xml:space="preserve">10. 交付物清单</w:t>
      </w:r>
    </w:p>
    <w:p>
      <w:pPr>
        <w:pStyle w:val="Normal"/>
      </w:pPr>
      <w:r>
        <w:rPr>
          <w:sz w:val="21"/>
          <w:szCs w:val="21"/>
        </w:rPr>
        <w:t xml:space="preserve">上游交付时建议同时提供：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本文档填写后的 `.docx`；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相关 SRD/详设文档；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如有 DaVinci 手工样例，提供 `.arxml` 作为 golden reference；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如有未决字段，明确负责人和计划关闭时间。</w:t>
      </w:r>
    </w:p>
    <w:sectPr>
      <w:pgSz w:w="16838" w:h="11906" w:orient="landscape"/>
      <w:pgMar w:top="720" w:right="720" w:bottom="720" w:left="720" w:header="708" w:footer="708" w:gutter="0"/>
    </w:sectPr>
  </w:body>
</w:document>
</file>

<file path=word/numbering.xml>﻿<?xml version="1.0" encoding="UTF-8" standalone="yes"?>
<w:numbering xmlns:w="http://schemas.openxmlformats.org/wordprocessingml/2006/main">
  <w:abstractNum w:abstractNumId="0"><w:multiLevelType w:val="hybridMultilevel"/><w:lvl w:ilvl="0"><w:start w:val="1"/><w:numFmt w:val="bullet"/><w:lvlText w:val="鈥?/><w:lvlJc w:val="left"/><w:pPr><w:ind w:left="720" w:hanging="360"/></w:pPr></w:lvl></w:abstractNum>
  <w:num w:numId="1"><w:abstractNumId w:val="0"/>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basedOn w:val="TableNormal"/>
    <w:uiPriority w:val="5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