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Table S9. Search strategy and reproducible query</w:t>
      </w:r>
    </w:p>
    <w:p>
      <w:r>
        <w:rPr>
          <w:b/>
        </w:rPr>
        <w:t xml:space="preserve">Database: </w:t>
      </w:r>
      <w:r>
        <w:t>Europe PMC (https://europepmc.org) — the sole literature source for signature identification</w:t>
      </w:r>
    </w:p>
    <w:p>
      <w:r>
        <w:rPr>
          <w:b/>
        </w:rPr>
        <w:t xml:space="preserve">Interface: </w:t>
      </w:r>
      <w:r>
        <w:t>Europe PMC REST API (https://www.ebi.ac.uk/europepmc/webservices/rest/search)</w:t>
      </w:r>
    </w:p>
    <w:p>
      <w:r>
        <w:rPr>
          <w:b/>
        </w:rPr>
        <w:t xml:space="preserve">Date of search: </w:t>
      </w:r>
      <w:r>
        <w:t>Executed in September 2026; the record set was locked on 29 September 2026 and version-stamped in the released repository</w:t>
      </w:r>
    </w:p>
    <w:p>
      <w:r>
        <w:rPr>
          <w:b/>
        </w:rPr>
        <w:t xml:space="preserve">Date of re-execution for this table: </w:t>
      </w:r>
      <w:r>
        <w:t>3 October 2026</w:t>
      </w:r>
    </w:p>
    <w:p>
      <w:r>
        <w:rPr>
          <w:b/>
        </w:rPr>
        <w:t xml:space="preserve">Date limits: </w:t>
      </w:r>
      <w:r>
        <w:t>First publication date 1 January 2020 to the search date</w:t>
      </w:r>
    </w:p>
    <w:p>
      <w:r>
        <w:rPr>
          <w:b/>
        </w:rPr>
        <w:t xml:space="preserve">Language limit: </w:t>
      </w:r>
      <w:r>
        <w:t>English-language full text required for extraction; applied at the full-text assessment stage, not in the query string</w:t>
      </w:r>
    </w:p>
    <w:p>
      <w:r>
        <w:rPr>
          <w:b/>
        </w:rPr>
        <w:t xml:space="preserve">Records returned at re-execution: </w:t>
      </w:r>
      <w:r>
        <w:t>6086</w:t>
      </w:r>
    </w:p>
    <w:p>
      <w:r>
        <w:rPr>
          <w:b/>
        </w:rPr>
        <w:t xml:space="preserve">Coverage check: </w:t>
      </w:r>
      <w:r>
        <w:t>Of the 338 source publications in the pre-standardisation library, 332 (98.2%) are retrieved directly by this query string</w:t>
      </w:r>
    </w:p>
    <w:p>
      <w:r>
        <w:rPr>
          <w:b/>
        </w:rPr>
        <w:t xml:space="preserve">Screening register: </w:t>
      </w:r>
      <w:r>
        <w:t>1,241 records tracked through the pipeline in an auditable register, released with the benchmark</w:t>
      </w:r>
    </w:p>
    <w:p/>
    <w:p>
      <w:r>
        <w:rPr>
          <w:b/>
        </w:rPr>
        <w:t>Query string</w:t>
      </w:r>
    </w:p>
    <w:p>
      <w:r>
        <w:rPr>
          <w:rFonts w:ascii="Courier New" w:hAnsi="Courier New"/>
          <w:sz w:val="16"/>
        </w:rPr>
        <w:t>(TITLE_ABS:"colorectal" OR TITLE_ABS:"colorectal cancer" OR TITLE_ABS:"colon cancer" OR TITLE_ABS:"rectal cancer" OR TITLE_ABS:"colon adenocarcinoma" OR TITLE_ABS:"rectal adenocarcinoma" OR TITLE_ABS:"colorectal carcinoma" OR TITLE_ABS:"CRC" OR TITLE_ABS:"colon" OR TITLE_ABS:"rectal" OR TITLE_ABS:"colonic") AND (TITLE_ABS:"signature" OR TITLE_ABS:"signatures" OR TITLE_ABS:"gene signature" OR TITLE_ABS:"prognostic signature" OR TITLE_ABS:"prognostic model" OR TITLE_ABS:"risk score" OR TITLE_ABS:"risk model" OR TITLE_ABS:"nomogram" OR TITLE_ABS:"multigene" OR TITLE_ABS:"multi-gene" OR TITLE_ABS:"gene set" OR TITLE_ABS:"gene panel") AND (TITLE_ABS:"survival" OR TITLE_ABS:"prognosis" OR TITLE_ABS:"prognostic" OR TITLE_ABS:"overall survival" OR TITLE_ABS:"recurrence" OR TITLE_ABS:"outcome" OR TITLE_ABS:"predict" OR TITLE_ABS:"biomarker") AND (FIRST_PDATE:[2020-01-01 TO 2026-12-31])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