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fill="082624" w:color="auto" w:val="clear"/>
          </w:tcPr>
          <w:p>
            <w:pPr>
              <w:spacing w:before="640" w:after="80"/>
              <w:ind w:left="227"/>
            </w:pPr>
            <w:r>
              <w:rPr>
                <w:rFonts w:ascii="Calibri" w:hAnsi="Calibri"/>
                <w:b/>
                <w:color w:val="EE7D72"/>
                <w:sz w:val="18"/>
              </w:rPr>
              <w:t>FINANCIAL INTELLIGENCE PLATFORM · 2026</w:t>
            </w:r>
          </w:p>
          <w:p>
            <w:pPr>
              <w:spacing w:before="40" w:after="80"/>
              <w:ind w:left="227"/>
            </w:pPr>
            <w:r>
              <w:rPr>
                <w:rFonts w:ascii="Calibri" w:hAnsi="Calibri"/>
                <w:b/>
                <w:color w:val="D4E6E3"/>
                <w:sz w:val="28"/>
              </w:rPr>
              <w:t>i-finsights · Phase 1 Delivery</w:t>
            </w:r>
          </w:p>
          <w:p>
            <w:pPr>
              <w:spacing w:before="80" w:after="120"/>
              <w:ind w:left="227"/>
            </w:pPr>
            <w:r>
              <w:rPr>
                <w:rFonts w:ascii="Calibri" w:hAnsi="Calibri"/>
                <w:b/>
                <w:color w:val="FFFFFF"/>
                <w:sz w:val="64"/>
              </w:rPr>
              <w:t>CFO360 for RIA Advisory</w:t>
            </w:r>
          </w:p>
          <w:p>
            <w:pPr>
              <w:spacing w:before="120" w:after="120"/>
              <w:ind w:left="227"/>
            </w:pPr>
            <w:r>
              <w:rPr>
                <w:rFonts w:ascii="Calibri" w:hAnsi="Calibri"/>
                <w:color w:val="DDE8E7"/>
                <w:sz w:val="22"/>
              </w:rPr>
              <w:t>A purpose-built financial intelligence platform connecting your 17 Business Central tenants into a single, real-time view — starting with the five revenue and receivables reports your finance team needs most.</w:t>
            </w:r>
          </w:p>
          <w:p>
            <w:pPr>
              <w:spacing w:before="280" w:after="560"/>
              <w:ind w:left="227"/>
            </w:pPr>
            <w:r>
              <w:rPr>
                <w:rFonts w:ascii="Calibri" w:hAnsi="Calibri"/>
                <w:color w:val="AABBBA"/>
                <w:sz w:val="19"/>
              </w:rPr>
              <w:t xml:space="preserve">Prepared for </w:t>
            </w:r>
            <w:r>
              <w:rPr>
                <w:rFonts w:ascii="Calibri" w:hAnsi="Calibri"/>
                <w:b/>
                <w:color w:val="FFFFFF"/>
                <w:sz w:val="19"/>
              </w:rPr>
              <w:t>RIA Advisory — Group Finance Leadership</w:t>
            </w:r>
            <w:r>
              <w:rPr>
                <w:rFonts w:ascii="Calibri" w:hAnsi="Calibri"/>
                <w:color w:val="AABBBA"/>
                <w:sz w:val="19"/>
              </w:rPr>
              <w:t xml:space="preserve">  ·  May 2026  ·  Confidential</w:t>
            </w:r>
          </w:p>
          <w:p>
            <w:pPr>
              <w:spacing w:before="0" w:after="0"/>
              <w:ind w:left="227"/>
              <w:pBdr>
                <w:top w:val="single" w:sz="4" w:space="1" w:color="1A3835"/>
              </w:pBdr>
              <w:shd w:fill="051C1A" w:val="clear"/>
            </w:pPr>
            <w:r>
              <w:rPr>
                <w:rFonts w:ascii="Calibri" w:hAnsi="Calibri"/>
                <w:color w:val="889E9C"/>
                <w:sz w:val="18"/>
              </w:rPr>
              <w:t>i-Source Infosystems Pvt. Ltd.   ·   Proposal · Confidential</w:t>
            </w:r>
          </w:p>
        </w:tc>
      </w:tr>
    </w:tbl>
    <w:p>
      <w:r>
        <w:br w:type="page"/>
      </w:r>
    </w:p>
    <w:tbl>
      <w:tblPr>
        <w:tblW w:type="auto" w:w="0"/>
        <w:jc w:val="center"/>
        <w:tblLook w:firstColumn="1" w:firstRow="1" w:lastColumn="0" w:lastRow="0" w:noHBand="0" w:noVBand="1" w:val="04A0"/>
      </w:tblPr>
      <w:tblGrid>
        <w:gridCol w:w="9638"/>
      </w:tblGrid>
      <w:tr>
        <w:tc>
          <w:tcPr>
            <w:tcW w:type="dxa" w:w="9638"/>
            <w:shd w:fill="0F3F3C" w:color="auto" w:val="clear"/>
          </w:tcPr>
          <w:p>
            <w:pPr>
              <w:spacing w:before="160" w:after="40"/>
              <w:ind w:left="227"/>
            </w:pPr>
            <w:r>
              <w:rPr>
                <w:rFonts w:ascii="Calibri" w:hAnsi="Calibri"/>
                <w:b/>
                <w:color w:val="EE7D72"/>
                <w:sz w:val="16"/>
              </w:rPr>
              <w:t>EXECUTIVE SUMMARY</w:t>
            </w:r>
          </w:p>
          <w:p>
            <w:pPr>
              <w:spacing w:before="40" w:after="40"/>
              <w:ind w:left="227"/>
            </w:pPr>
            <w:r>
              <w:rPr>
                <w:rFonts w:ascii="Calibri" w:hAnsi="Calibri"/>
                <w:b/>
                <w:color w:val="FFFFFF"/>
                <w:sz w:val="40"/>
              </w:rPr>
              <w:t>One number. Real-time. From 17 subsidiaries.</w:t>
            </w:r>
          </w:p>
          <w:p>
            <w:pPr>
              <w:spacing w:before="40" w:after="200"/>
              <w:ind w:left="227"/>
            </w:pPr>
            <w:r>
              <w:rPr>
                <w:rFonts w:ascii="Calibri" w:hAnsi="Calibri"/>
                <w:color w:val="CCDDDB"/>
                <w:sz w:val="20"/>
              </w:rPr>
              <w:t>Replacing the 8–10 day Excel close with live, auditable financial intelligence.</w:t>
            </w:r>
          </w:p>
        </w:tc>
      </w:tr>
    </w:tbl>
    <w:p/>
    <w:p>
      <w:pPr>
        <w:spacing w:before="280" w:after="120"/>
        <w:pBdr>
          <w:bottom w:val="single" w:sz="4" w:space="1" w:color="D4E6E3"/>
        </w:pBdr>
      </w:pPr>
      <w:r>
        <w:rPr>
          <w:rFonts w:ascii="Calibri" w:hAnsi="Calibri"/>
          <w:b/>
          <w:color w:val="1F6B66"/>
          <w:sz w:val="18"/>
        </w:rPr>
        <w:t>KEY FACTS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FFFFFF" w:color="auto" w:val="clear"/>
            <w:tcBorders>
              <w:top w:val="single" w:sz="18" w:space="0" w:color="1F6B66"/>
            </w:tcBorders>
          </w:tcPr>
          <w:p>
            <w:pPr>
              <w:spacing w:before="160"/>
              <w:jc w:val="center"/>
            </w:pPr>
            <w:r>
              <w:rPr>
                <w:rFonts w:ascii="Calibri" w:hAnsi="Calibri"/>
                <w:b/>
                <w:color w:val="1F6B66"/>
                <w:sz w:val="44"/>
              </w:rPr>
              <w:t>17</w:t>
            </w:r>
            <w:r>
              <w:rPr>
                <w:rFonts w:ascii="Calibri" w:hAnsi="Calibri"/>
                <w:color w:val="E8443B"/>
                <w:sz w:val="20"/>
              </w:rPr>
              <w:t xml:space="preserve"> BC</w:t>
            </w:r>
          </w:p>
        </w:tc>
        <w:tc>
          <w:tcPr>
            <w:tcW w:type="dxa" w:w="2409"/>
            <w:shd w:fill="FFFFFF" w:color="auto" w:val="clear"/>
            <w:tcBorders>
              <w:top w:val="single" w:sz="18" w:space="0" w:color="1F6B66"/>
            </w:tcBorders>
          </w:tcPr>
          <w:p>
            <w:pPr>
              <w:spacing w:before="160"/>
              <w:jc w:val="center"/>
            </w:pPr>
            <w:r>
              <w:rPr>
                <w:rFonts w:ascii="Calibri" w:hAnsi="Calibri"/>
                <w:b/>
                <w:color w:val="1F6B66"/>
                <w:sz w:val="44"/>
              </w:rPr>
              <w:t>8–10</w:t>
            </w:r>
            <w:r>
              <w:rPr>
                <w:rFonts w:ascii="Calibri" w:hAnsi="Calibri"/>
                <w:color w:val="E8443B"/>
                <w:sz w:val="20"/>
              </w:rPr>
              <w:t xml:space="preserve"> days</w:t>
            </w:r>
          </w:p>
        </w:tc>
        <w:tc>
          <w:tcPr>
            <w:tcW w:type="dxa" w:w="2409"/>
            <w:shd w:fill="FFFFFF" w:color="auto" w:val="clear"/>
            <w:tcBorders>
              <w:top w:val="single" w:sz="18" w:space="0" w:color="1F6B66"/>
            </w:tcBorders>
          </w:tcPr>
          <w:p>
            <w:pPr>
              <w:spacing w:before="160"/>
              <w:jc w:val="center"/>
            </w:pPr>
            <w:r>
              <w:rPr>
                <w:rFonts w:ascii="Calibri" w:hAnsi="Calibri"/>
                <w:b/>
                <w:color w:val="1F6B66"/>
                <w:sz w:val="44"/>
              </w:rPr>
              <w:t>5</w:t>
            </w:r>
            <w:r>
              <w:rPr>
                <w:rFonts w:ascii="Calibri" w:hAnsi="Calibri"/>
                <w:color w:val="E8443B"/>
                <w:sz w:val="20"/>
              </w:rPr>
              <w:t xml:space="preserve"> reports</w:t>
            </w:r>
          </w:p>
        </w:tc>
        <w:tc>
          <w:tcPr>
            <w:tcW w:type="dxa" w:w="2409"/>
            <w:shd w:fill="FFFFFF" w:color="auto" w:val="clear"/>
            <w:tcBorders>
              <w:top w:val="single" w:sz="18" w:space="0" w:color="1F6B66"/>
            </w:tcBorders>
          </w:tcPr>
          <w:p>
            <w:pPr>
              <w:spacing w:before="160"/>
              <w:jc w:val="center"/>
            </w:pPr>
            <w:r>
              <w:rPr>
                <w:rFonts w:ascii="Calibri" w:hAnsi="Calibri"/>
                <w:b/>
                <w:color w:val="1F6B66"/>
                <w:sz w:val="44"/>
              </w:rPr>
              <w:t>3</w:t>
            </w:r>
            <w:r>
              <w:rPr>
                <w:rFonts w:ascii="Calibri" w:hAnsi="Calibri"/>
                <w:color w:val="E8443B"/>
                <w:sz w:val="20"/>
              </w:rPr>
              <w:t xml:space="preserve"> weeks</w:t>
            </w:r>
          </w:p>
        </w:tc>
      </w:tr>
      <w:tr>
        <w:tc>
          <w:tcPr>
            <w:tcW w:type="dxa" w:w="2409"/>
            <w:shd w:fill="FFFFFF" w:color="auto" w:val="clear"/>
          </w:tcPr>
          <w:p>
            <w:pPr>
              <w:spacing w:after="160"/>
              <w:jc w:val="center"/>
            </w:pPr>
            <w:r>
              <w:rPr>
                <w:rFonts w:ascii="Calibri" w:hAnsi="Calibri"/>
                <w:color w:val="66726F"/>
                <w:sz w:val="18"/>
              </w:rPr>
              <w:t>Business Central tenants consolidated</w:t>
            </w:r>
          </w:p>
        </w:tc>
        <w:tc>
          <w:tcPr>
            <w:tcW w:type="dxa" w:w="2409"/>
            <w:shd w:fill="FFFFFF" w:color="auto" w:val="clear"/>
          </w:tcPr>
          <w:p>
            <w:pPr>
              <w:spacing w:after="160"/>
              <w:jc w:val="center"/>
            </w:pPr>
            <w:r>
              <w:rPr>
                <w:rFonts w:ascii="Calibri" w:hAnsi="Calibri"/>
                <w:color w:val="66726F"/>
                <w:sz w:val="18"/>
              </w:rPr>
              <w:t>Current Excel-driven monthly close</w:t>
            </w:r>
          </w:p>
        </w:tc>
        <w:tc>
          <w:tcPr>
            <w:tcW w:type="dxa" w:w="2409"/>
            <w:shd w:fill="FFFFFF" w:color="auto" w:val="clear"/>
          </w:tcPr>
          <w:p>
            <w:pPr>
              <w:spacing w:after="160"/>
              <w:jc w:val="center"/>
            </w:pPr>
            <w:r>
              <w:rPr>
                <w:rFonts w:ascii="Calibri" w:hAnsi="Calibri"/>
                <w:color w:val="66726F"/>
                <w:sz w:val="18"/>
              </w:rPr>
              <w:t>Phase 1 — revenue &amp; AR reports</w:t>
            </w:r>
          </w:p>
        </w:tc>
        <w:tc>
          <w:tcPr>
            <w:tcW w:type="dxa" w:w="2409"/>
            <w:shd w:fill="FFFFFF" w:color="auto" w:val="clear"/>
          </w:tcPr>
          <w:p>
            <w:pPr>
              <w:spacing w:after="160"/>
              <w:jc w:val="center"/>
            </w:pPr>
            <w:r>
              <w:rPr>
                <w:rFonts w:ascii="Calibri" w:hAnsi="Calibri"/>
                <w:color w:val="66726F"/>
                <w:sz w:val="18"/>
              </w:rPr>
              <w:t>Phase 1 delivery commitment</w:t>
            </w:r>
          </w:p>
        </w:tc>
      </w:tr>
    </w:tbl>
    <w:p/>
    <w:p>
      <w:pPr>
        <w:spacing w:before="280" w:after="120"/>
        <w:pBdr>
          <w:bottom w:val="single" w:sz="4" w:space="1" w:color="D4E6E3"/>
        </w:pBdr>
      </w:pPr>
      <w:r>
        <w:rPr>
          <w:rFonts w:ascii="Calibri" w:hAnsi="Calibri"/>
          <w:b/>
          <w:color w:val="1F6B66"/>
          <w:sz w:val="18"/>
        </w:rPr>
        <w:t>CONTEXT</w:t>
      </w:r>
    </w:p>
    <w:p>
      <w:pPr>
        <w:spacing w:before="40" w:after="80"/>
      </w:pPr>
      <w:r>
        <w:rPr>
          <w:rFonts w:ascii="Calibri" w:hAnsi="Calibri"/>
          <w:color w:val="333938"/>
          <w:sz w:val="21"/>
        </w:rPr>
        <w:t>RIA Advisory operates 17 independent Business Central SaaS tenants — one per subsidiary — across multiple geographies and currencies. Every month, the Group Controller spends 8–10 business days on manual extraction, VLOOKUP consolidation, and email-driven intercompany reconciliation — with no intra-month P&amp;L visibility.</w:t>
      </w:r>
    </w:p>
    <w:p>
      <w:pPr>
        <w:spacing w:before="160" w:after="160"/>
        <w:ind w:left="227" w:right="227"/>
        <w:shd w:fill="EEF5F4" w:val="clear"/>
        <w:pBdr>
          <w:left w:val="single" w:sz="24" w:space="4" w:color="2F7873"/>
        </w:pBdr>
      </w:pPr>
      <w:r>
        <w:rPr>
          <w:rFonts w:ascii="Calibri" w:hAnsi="Calibri"/>
          <w:b/>
          <w:color w:val="175551"/>
          <w:sz w:val="20"/>
        </w:rPr>
        <w:t xml:space="preserve">Phase 1 commitment:  </w:t>
      </w:r>
      <w:r>
        <w:rPr>
          <w:rFonts w:ascii="Calibri" w:hAnsi="Calibri"/>
          <w:color w:val="0F3F3C"/>
          <w:sz w:val="20"/>
        </w:rPr>
        <w:t>Collections · Invoicing · Revenue · Unbilled Revenue (UBR) · Accounts Receivable — five revenue and receivables reports plus Azure Entra ID Single Sign-On. Deployed on RIA Advisory's own server infrastructure within 3 weeks of engagement start.</w:t>
      </w:r>
    </w:p>
    <w:p>
      <w:pPr>
        <w:spacing w:before="280" w:after="120"/>
        <w:pBdr>
          <w:bottom w:val="single" w:sz="4" w:space="1" w:color="D4E6E3"/>
        </w:pBdr>
      </w:pPr>
      <w:r>
        <w:rPr>
          <w:rFonts w:ascii="Calibri" w:hAnsi="Calibri"/>
          <w:b/>
          <w:color w:val="1F6B66"/>
          <w:sz w:val="18"/>
        </w:rPr>
        <w:t>THE PROBLEM WE SOLVE</w:t>
      </w:r>
    </w:p>
    <w:tbl>
      <w:tblPr>
        <w:tblW w:type="auto" w:w="0"/>
        <w:jc w:val="center"/>
        <w:tblLook w:firstColumn="1" w:firstRow="1" w:lastColumn="0" w:lastRow="0" w:noHBand="0" w:noVBand="1" w:val="04A0"/>
      </w:tblPr>
      <w:tblGrid>
        <w:gridCol w:w="4819"/>
        <w:gridCol w:w="4819"/>
      </w:tblGrid>
      <w:tr>
        <w:tc>
          <w:tcPr>
            <w:tcW w:type="dxa" w:w="2835"/>
            <w:shd w:fill="EEF5F4" w:color="auto" w:val="clear"/>
            <w:tcBorders>
              <w:left w:val="single" w:sz="18" w:space="0" w:color="1F6B66"/>
            </w:tcBorders>
          </w:tcPr>
          <w:p>
            <w:pPr>
              <w:spacing w:before="120" w:after="120"/>
            </w:pPr>
            <w:r>
              <w:rPr>
                <w:rFonts w:ascii="Calibri" w:hAnsi="Calibri"/>
                <w:b/>
                <w:color w:val="0F3F3C"/>
                <w:sz w:val="20"/>
              </w:rPr>
              <w:t>Manual Excel closes</w:t>
            </w:r>
          </w:p>
        </w:tc>
        <w:tc>
          <w:tcPr>
            <w:tcW w:type="dxa" w:w="4819"/>
          </w:tcPr>
          <w:p>
            <w:pPr>
              <w:spacing w:before="120" w:after="120"/>
            </w:pPr>
            <w:r>
              <w:rPr>
                <w:rFonts w:ascii="Calibri" w:hAnsi="Calibri"/>
                <w:color w:val="333938"/>
                <w:sz w:val="20"/>
              </w:rPr>
              <w:t>8–10 days of analyst time extracting from 17 BC tenants, VLOOKUP consolidation, no audit trail.</w:t>
            </w:r>
          </w:p>
        </w:tc>
      </w:tr>
      <w:tr>
        <w:tc>
          <w:tcPr>
            <w:tcW w:type="dxa" w:w="2835"/>
            <w:shd w:fill="EEF5F4" w:color="auto" w:val="clear"/>
            <w:tcBorders>
              <w:left w:val="single" w:sz="18" w:space="0" w:color="E8443B"/>
            </w:tcBorders>
          </w:tcPr>
          <w:p>
            <w:pPr>
              <w:spacing w:before="120" w:after="120"/>
            </w:pPr>
            <w:r>
              <w:rPr>
                <w:rFonts w:ascii="Calibri" w:hAnsi="Calibri"/>
                <w:b/>
                <w:color w:val="0F3F3C"/>
                <w:sz w:val="20"/>
              </w:rPr>
              <w:t>No intra-month visibility</w:t>
            </w:r>
          </w:p>
        </w:tc>
        <w:tc>
          <w:tcPr>
            <w:tcW w:type="dxa" w:w="4819"/>
          </w:tcPr>
          <w:p>
            <w:pPr>
              <w:spacing w:before="120" w:after="120"/>
            </w:pPr>
            <w:r>
              <w:rPr>
                <w:rFonts w:ascii="Calibri" w:hAnsi="Calibri"/>
                <w:color w:val="333938"/>
                <w:sz w:val="20"/>
              </w:rPr>
              <w:t>Leadership flies blind until close. No real-time P&amp;L, no live AR aging, no collections dashboard.</w:t>
            </w:r>
          </w:p>
        </w:tc>
      </w:tr>
      <w:tr>
        <w:tc>
          <w:tcPr>
            <w:tcW w:type="dxa" w:w="2835"/>
            <w:shd w:fill="EEF5F4" w:color="auto" w:val="clear"/>
            <w:tcBorders>
              <w:left w:val="single" w:sz="18" w:space="0" w:color="1F6B66"/>
            </w:tcBorders>
          </w:tcPr>
          <w:p>
            <w:pPr>
              <w:spacing w:before="120" w:after="120"/>
            </w:pPr>
            <w:r>
              <w:rPr>
                <w:rFonts w:ascii="Calibri" w:hAnsi="Calibri"/>
                <w:b/>
                <w:color w:val="0F3F3C"/>
                <w:sz w:val="20"/>
              </w:rPr>
              <w:t>No drill-through capability</w:t>
            </w:r>
          </w:p>
        </w:tc>
        <w:tc>
          <w:tcPr>
            <w:tcW w:type="dxa" w:w="4819"/>
          </w:tcPr>
          <w:p>
            <w:pPr>
              <w:spacing w:before="120" w:after="120"/>
            </w:pPr>
            <w:r>
              <w:rPr>
                <w:rFonts w:ascii="Calibri" w:hAnsi="Calibri"/>
                <w:color w:val="333938"/>
                <w:sz w:val="20"/>
              </w:rPr>
              <w:t>Board asks a question — analysts re-extract data from BC. No path from group total to source GL entry.</w:t>
            </w:r>
          </w:p>
        </w:tc>
      </w:tr>
      <w:tr>
        <w:tc>
          <w:tcPr>
            <w:tcW w:type="dxa" w:w="2835"/>
            <w:shd w:fill="EEF5F4" w:color="auto" w:val="clear"/>
            <w:tcBorders>
              <w:left w:val="single" w:sz="18" w:space="0" w:color="E8443B"/>
            </w:tcBorders>
          </w:tcPr>
          <w:p>
            <w:pPr>
              <w:spacing w:before="120" w:after="120"/>
            </w:pPr>
            <w:r>
              <w:rPr>
                <w:rFonts w:ascii="Calibri" w:hAnsi="Calibri"/>
                <w:b/>
                <w:color w:val="0F3F3C"/>
                <w:sz w:val="20"/>
              </w:rPr>
              <w:t>No programmatic BC access</w:t>
            </w:r>
          </w:p>
        </w:tc>
        <w:tc>
          <w:tcPr>
            <w:tcW w:type="dxa" w:w="4819"/>
          </w:tcPr>
          <w:p>
            <w:pPr>
              <w:spacing w:before="120" w:after="120"/>
            </w:pPr>
            <w:r>
              <w:rPr>
                <w:rFonts w:ascii="Calibri" w:hAnsi="Calibri"/>
                <w:color w:val="333938"/>
                <w:sz w:val="20"/>
              </w:rPr>
              <w:t>No BC API integration. Manual exports from each tenant. No automation, no scheduling, no watermarks.</w:t>
            </w:r>
          </w:p>
        </w:tc>
      </w:tr>
    </w:tbl>
    <w:p>
      <w:r>
        <w:br w:type="page"/>
      </w:r>
    </w:p>
    <w:tbl>
      <w:tblPr>
        <w:tblW w:type="auto" w:w="0"/>
        <w:jc w:val="center"/>
        <w:tblLook w:firstColumn="1" w:firstRow="1" w:lastColumn="0" w:lastRow="0" w:noHBand="0" w:noVBand="1" w:val="04A0"/>
      </w:tblPr>
      <w:tblGrid>
        <w:gridCol w:w="9638"/>
      </w:tblGrid>
      <w:tr>
        <w:tc>
          <w:tcPr>
            <w:tcW w:type="dxa" w:w="9638"/>
            <w:shd w:fill="0F3F3C" w:color="auto" w:val="clear"/>
          </w:tcPr>
          <w:p>
            <w:pPr>
              <w:spacing w:before="160" w:after="200"/>
              <w:ind w:left="227"/>
            </w:pPr>
            <w:r>
              <w:rPr>
                <w:rFonts w:ascii="Calibri" w:hAnsi="Calibri"/>
                <w:color w:val="EE7D72"/>
                <w:sz w:val="16"/>
              </w:rPr>
              <w:t>PHASE 1 · 3-WEEK DELIVERY</w:t>
            </w:r>
          </w:p>
          <w:p>
            <w:pPr>
              <w:spacing w:before="40" w:after="40"/>
              <w:ind w:left="227"/>
            </w:pPr>
            <w:r>
              <w:rPr>
                <w:rFonts w:ascii="Calibri" w:hAnsi="Calibri"/>
                <w:b/>
                <w:color w:val="FFFFFF"/>
                <w:sz w:val="40"/>
              </w:rPr>
              <w:t>Scope &amp; Platform Architecture</w:t>
            </w:r>
          </w:p>
          <w:p>
            <w:pPr>
              <w:spacing w:before="40" w:after="40"/>
              <w:ind w:left="227"/>
            </w:pPr>
            <w:r>
              <w:rPr>
                <w:rFonts w:ascii="Calibri" w:hAnsi="Calibri"/>
                <w:b/>
                <w:color w:val="CCDDDB"/>
                <w:sz w:val="20"/>
              </w:rPr>
              <w:t>Five revenue &amp; AR reports + SSO — on your infrastructure.</w:t>
            </w:r>
          </w:p>
        </w:tc>
      </w:tr>
    </w:tbl>
    <w:p/>
    <w:p>
      <w:pPr>
        <w:spacing w:before="280" w:after="120"/>
        <w:pBdr>
          <w:bottom w:val="single" w:sz="4" w:space="1" w:color="D4E6E3"/>
        </w:pBdr>
      </w:pPr>
      <w:r>
        <w:rPr>
          <w:rFonts w:ascii="Calibri" w:hAnsi="Calibri"/>
          <w:b/>
          <w:color w:val="1F6B66"/>
          <w:sz w:val="18"/>
        </w:rPr>
        <w:t>PHASE 1 — WHAT GETS BUILT</w:t>
      </w:r>
    </w:p>
    <w:tbl>
      <w:tblPr>
        <w:tblW w:type="auto" w:w="0"/>
        <w:jc w:val="center"/>
        <w:tblLook w:firstColumn="1" w:firstRow="1" w:lastColumn="0" w:lastRow="0" w:noHBand="0" w:noVBand="1" w:val="04A0"/>
      </w:tblPr>
      <w:tblGrid>
        <w:gridCol w:w="4819"/>
        <w:gridCol w:w="4819"/>
      </w:tblGrid>
      <w:tr>
        <w:tc>
          <w:tcPr>
            <w:tcW w:type="dxa" w:w="794"/>
            <w:shd w:fill="EEF5F4" w:color="auto" w:val="clear"/>
          </w:tcPr>
          <w:p>
            <w:pPr>
              <w:spacing w:before="120"/>
              <w:jc w:val="center"/>
            </w:pPr>
            <w:r>
              <w:rPr>
                <w:rFonts w:ascii="Calibri" w:hAnsi="Calibri"/>
                <w:b/>
                <w:color w:val="2F7873"/>
                <w:sz w:val="32"/>
              </w:rPr>
              <w:t>01</w:t>
            </w:r>
          </w:p>
        </w:tc>
        <w:tc>
          <w:tcPr>
            <w:tcW w:type="dxa" w:w="4819"/>
            <w:tcBorders>
              <w:left w:val="single" w:sz="12" w:space="0" w:color="2F7873"/>
            </w:tcBorders>
          </w:tcPr>
          <w:p>
            <w:pPr>
              <w:spacing w:before="120" w:after="40"/>
            </w:pPr>
            <w:r>
              <w:rPr>
                <w:rFonts w:ascii="Calibri" w:hAnsi="Calibri"/>
                <w:b/>
                <w:color w:val="0F3F3C"/>
                <w:sz w:val="22"/>
              </w:rPr>
              <w:t>Collections Dashboard</w:t>
            </w:r>
          </w:p>
          <w:p>
            <w:pPr>
              <w:spacing w:before="0" w:after="160"/>
            </w:pPr>
            <w:r>
              <w:rPr>
                <w:rFonts w:ascii="Calibri" w:hAnsi="Calibri"/>
                <w:color w:val="66726F"/>
                <w:sz w:val="19"/>
              </w:rPr>
              <w:t>Real-time view of outstanding receivables by client, age bucket, and entity. Month-by-month collection rate trend. Overdue alerts by subsidiary controller.</w:t>
            </w:r>
          </w:p>
        </w:tc>
      </w:tr>
      <w:tr>
        <w:tc>
          <w:tcPr>
            <w:tcW w:type="dxa" w:w="794"/>
            <w:shd w:fill="FDEDEC" w:color="auto" w:val="clear"/>
          </w:tcPr>
          <w:p>
            <w:pPr>
              <w:spacing w:before="120"/>
              <w:jc w:val="center"/>
            </w:pPr>
            <w:r>
              <w:rPr>
                <w:rFonts w:ascii="Calibri" w:hAnsi="Calibri"/>
                <w:b/>
                <w:color w:val="E8443B"/>
                <w:sz w:val="32"/>
              </w:rPr>
              <w:t>02</w:t>
            </w:r>
          </w:p>
        </w:tc>
        <w:tc>
          <w:tcPr>
            <w:tcW w:type="dxa" w:w="4819"/>
            <w:tcBorders>
              <w:left w:val="single" w:sz="12" w:space="0" w:color="E8443B"/>
            </w:tcBorders>
          </w:tcPr>
          <w:p>
            <w:pPr>
              <w:spacing w:before="120" w:after="40"/>
            </w:pPr>
            <w:r>
              <w:rPr>
                <w:rFonts w:ascii="Calibri" w:hAnsi="Calibri"/>
                <w:b/>
                <w:color w:val="0F3F3C"/>
                <w:sz w:val="22"/>
              </w:rPr>
              <w:t>Invoicing Report</w:t>
            </w:r>
          </w:p>
          <w:p>
            <w:pPr>
              <w:spacing w:before="0" w:after="160"/>
            </w:pPr>
            <w:r>
              <w:rPr>
                <w:rFonts w:ascii="Calibri" w:hAnsi="Calibri"/>
                <w:color w:val="66726F"/>
                <w:sz w:val="19"/>
              </w:rPr>
              <w:t>Invoice count and value by entity, client, month, and vertical. Drill-through to individual invoice lines posted in Business Central. Export-ready.</w:t>
            </w:r>
          </w:p>
        </w:tc>
      </w:tr>
      <w:tr>
        <w:tc>
          <w:tcPr>
            <w:tcW w:type="dxa" w:w="794"/>
            <w:shd w:fill="EEF5F4" w:color="auto" w:val="clear"/>
          </w:tcPr>
          <w:p>
            <w:pPr>
              <w:spacing w:before="120"/>
              <w:jc w:val="center"/>
            </w:pPr>
            <w:r>
              <w:rPr>
                <w:rFonts w:ascii="Calibri" w:hAnsi="Calibri"/>
                <w:b/>
                <w:color w:val="2F7873"/>
                <w:sz w:val="32"/>
              </w:rPr>
              <w:t>03</w:t>
            </w:r>
          </w:p>
        </w:tc>
        <w:tc>
          <w:tcPr>
            <w:tcW w:type="dxa" w:w="4819"/>
            <w:tcBorders>
              <w:left w:val="single" w:sz="12" w:space="0" w:color="2F7873"/>
            </w:tcBorders>
          </w:tcPr>
          <w:p>
            <w:pPr>
              <w:spacing w:before="120" w:after="40"/>
            </w:pPr>
            <w:r>
              <w:rPr>
                <w:rFonts w:ascii="Calibri" w:hAnsi="Calibri"/>
                <w:b/>
                <w:color w:val="0F3F3C"/>
                <w:sz w:val="22"/>
              </w:rPr>
              <w:t>Revenue Report</w:t>
            </w:r>
          </w:p>
          <w:p>
            <w:pPr>
              <w:spacing w:before="0" w:after="160"/>
            </w:pPr>
            <w:r>
              <w:rPr>
                <w:rFonts w:ascii="Calibri" w:hAnsi="Calibri"/>
                <w:color w:val="66726F"/>
                <w:sz w:val="19"/>
              </w:rPr>
              <w:t>Recognised revenue by subsidiary, month, and account category. Year-on-year comparison. Breakdown by department and vertical. Sourced directly from BC GL entries.</w:t>
            </w:r>
          </w:p>
        </w:tc>
      </w:tr>
      <w:tr>
        <w:tc>
          <w:tcPr>
            <w:tcW w:type="dxa" w:w="794"/>
            <w:shd w:fill="FDEDEC" w:color="auto" w:val="clear"/>
          </w:tcPr>
          <w:p>
            <w:pPr>
              <w:spacing w:before="120"/>
              <w:jc w:val="center"/>
            </w:pPr>
            <w:r>
              <w:rPr>
                <w:rFonts w:ascii="Calibri" w:hAnsi="Calibri"/>
                <w:b/>
                <w:color w:val="E8443B"/>
                <w:sz w:val="32"/>
              </w:rPr>
              <w:t>04</w:t>
            </w:r>
          </w:p>
        </w:tc>
        <w:tc>
          <w:tcPr>
            <w:tcW w:type="dxa" w:w="4819"/>
            <w:tcBorders>
              <w:left w:val="single" w:sz="12" w:space="0" w:color="E8443B"/>
            </w:tcBorders>
          </w:tcPr>
          <w:p>
            <w:pPr>
              <w:spacing w:before="120" w:after="40"/>
            </w:pPr>
            <w:r>
              <w:rPr>
                <w:rFonts w:ascii="Calibri" w:hAnsi="Calibri"/>
                <w:b/>
                <w:color w:val="0F3F3C"/>
                <w:sz w:val="22"/>
              </w:rPr>
              <w:t>Unbilled Revenue (UBR)</w:t>
            </w:r>
          </w:p>
          <w:p>
            <w:pPr>
              <w:spacing w:before="0" w:after="160"/>
            </w:pPr>
            <w:r>
              <w:rPr>
                <w:rFonts w:ascii="Calibri" w:hAnsi="Calibri"/>
                <w:color w:val="66726F"/>
                <w:sz w:val="19"/>
              </w:rPr>
              <w:t>Work-in-progress and unbilled work by project and entity. Revenue recognised vs invoiced gap. Real-time from BC posted sales and GL.</w:t>
            </w:r>
          </w:p>
        </w:tc>
      </w:tr>
      <w:tr>
        <w:tc>
          <w:tcPr>
            <w:tcW w:type="dxa" w:w="794"/>
            <w:shd w:fill="EEF5F4" w:color="auto" w:val="clear"/>
          </w:tcPr>
          <w:p>
            <w:pPr>
              <w:spacing w:before="120"/>
              <w:jc w:val="center"/>
            </w:pPr>
            <w:r>
              <w:rPr>
                <w:rFonts w:ascii="Calibri" w:hAnsi="Calibri"/>
                <w:b/>
                <w:color w:val="2F7873"/>
                <w:sz w:val="32"/>
              </w:rPr>
              <w:t>05</w:t>
            </w:r>
          </w:p>
        </w:tc>
        <w:tc>
          <w:tcPr>
            <w:tcW w:type="dxa" w:w="4819"/>
            <w:tcBorders>
              <w:left w:val="single" w:sz="12" w:space="0" w:color="2F7873"/>
            </w:tcBorders>
          </w:tcPr>
          <w:p>
            <w:pPr>
              <w:spacing w:before="120" w:after="40"/>
            </w:pPr>
            <w:r>
              <w:rPr>
                <w:rFonts w:ascii="Calibri" w:hAnsi="Calibri"/>
                <w:b/>
                <w:color w:val="0F3F3C"/>
                <w:sz w:val="22"/>
              </w:rPr>
              <w:t>Accounts Receivable (AR) Aging</w:t>
            </w:r>
          </w:p>
          <w:p>
            <w:pPr>
              <w:spacing w:before="0" w:after="160"/>
            </w:pPr>
            <w:r>
              <w:rPr>
                <w:rFonts w:ascii="Calibri" w:hAnsi="Calibri"/>
                <w:color w:val="66726F"/>
                <w:sz w:val="19"/>
              </w:rPr>
              <w:t>Full AR aging by entity: 0–30, 31–60, 61–90, 90+ days. Customer-level drill-through. Group-consolidated and per-subsidiary views.</w:t>
            </w:r>
          </w:p>
        </w:tc>
      </w:tr>
      <w:tr>
        <w:tc>
          <w:tcPr>
            <w:tcW w:type="dxa" w:w="794"/>
            <w:shd w:fill="FDEDEC" w:color="auto" w:val="clear"/>
          </w:tcPr>
          <w:p>
            <w:pPr>
              <w:spacing w:before="120"/>
              <w:jc w:val="center"/>
            </w:pPr>
            <w:r>
              <w:rPr>
                <w:rFonts w:ascii="Calibri" w:hAnsi="Calibri"/>
                <w:b/>
                <w:color w:val="E8443B"/>
                <w:sz w:val="32"/>
              </w:rPr>
              <w:t>06</w:t>
            </w:r>
          </w:p>
        </w:tc>
        <w:tc>
          <w:tcPr>
            <w:tcW w:type="dxa" w:w="4819"/>
            <w:tcBorders>
              <w:left w:val="single" w:sz="12" w:space="0" w:color="E8443B"/>
            </w:tcBorders>
          </w:tcPr>
          <w:p>
            <w:pPr>
              <w:spacing w:before="120" w:after="40"/>
            </w:pPr>
            <w:r>
              <w:rPr>
                <w:rFonts w:ascii="Calibri" w:hAnsi="Calibri"/>
                <w:b/>
                <w:color w:val="0F3F3C"/>
                <w:sz w:val="22"/>
              </w:rPr>
              <w:t>Azure Entra ID Single Sign-On</w:t>
            </w:r>
          </w:p>
          <w:p>
            <w:pPr>
              <w:spacing w:before="0" w:after="160"/>
            </w:pPr>
            <w:r>
              <w:rPr>
                <w:rFonts w:ascii="Calibri" w:hAnsi="Calibri"/>
                <w:color w:val="66726F"/>
                <w:sz w:val="19"/>
              </w:rPr>
              <w:t>All RIA Advisory users log in with their existing Microsoft 365 credentials. No separate password. Role-based access controls per report and per subsidiary.</w:t>
            </w:r>
          </w:p>
        </w:tc>
      </w:tr>
    </w:tbl>
    <w:p>
      <w:pPr>
        <w:spacing w:before="120" w:after="120"/>
        <w:pBdr>
          <w:bottom w:val="single" w:sz="4" w:space="1" w:color="D1D8D8"/>
        </w:pBdr>
      </w:pPr>
    </w:p>
    <w:p>
      <w:pPr>
        <w:spacing w:before="280" w:after="120"/>
        <w:pBdr>
          <w:bottom w:val="single" w:sz="4" w:space="1" w:color="D4E6E3"/>
        </w:pBdr>
      </w:pPr>
      <w:r>
        <w:rPr>
          <w:rFonts w:ascii="Calibri" w:hAnsi="Calibri"/>
          <w:b/>
          <w:color w:val="1F6B66"/>
          <w:sz w:val="18"/>
        </w:rPr>
        <w:t>HIGH-LEVEL ARCHITECTURE</w:t>
      </w:r>
    </w:p>
    <w:tbl>
      <w:tblPr>
        <w:tblW w:type="auto" w:w="0"/>
        <w:jc w:val="center"/>
        <w:tblLook w:firstColumn="1" w:firstRow="1" w:lastColumn="0" w:lastRow="0" w:noHBand="0" w:noVBand="1" w:val="04A0"/>
      </w:tblPr>
      <w:tblGrid>
        <w:gridCol w:w="9638"/>
      </w:tblGrid>
      <w:tr>
        <w:tc>
          <w:tcPr>
            <w:tcW w:type="dxa" w:w="9638"/>
            <w:shd w:fill="1F6B66" w:color="auto" w:val="clear"/>
          </w:tcPr>
          <w:p>
            <w:pPr>
              <w:spacing w:before="100" w:after="20"/>
              <w:ind w:left="170"/>
            </w:pPr>
            <w:r>
              <w:rPr>
                <w:rFonts w:ascii="Calibri" w:hAnsi="Calibri"/>
                <w:b/>
                <w:color w:val="FFFFFF"/>
                <w:sz w:val="20"/>
              </w:rPr>
              <w:t xml:space="preserve">Presentation Layer  </w:t>
            </w:r>
            <w:r>
              <w:rPr>
                <w:rFonts w:ascii="Calibri" w:hAnsi="Calibri"/>
                <w:color w:val="CCDDDB"/>
                <w:sz w:val="19"/>
              </w:rPr>
              <w:t>— React 18 + TypeScript</w:t>
            </w:r>
          </w:p>
          <w:p>
            <w:pPr>
              <w:spacing w:before="20" w:after="120"/>
              <w:ind w:left="170"/>
            </w:pPr>
            <w:r>
              <w:rPr>
                <w:rFonts w:ascii="Calibri" w:hAnsi="Calibri"/>
                <w:color w:val="AABBBA"/>
                <w:sz w:val="17"/>
              </w:rPr>
              <w:t>Collections · Invoicing · Revenue · UBR · AR Aging · Azure SSO (MSAL)</w:t>
            </w:r>
          </w:p>
        </w:tc>
      </w:tr>
      <w:tr>
        <w:tc>
          <w:tcPr>
            <w:tcW w:type="dxa" w:w="9638"/>
            <w:shd w:fill="175551" w:color="auto" w:val="clear"/>
          </w:tcPr>
          <w:p>
            <w:pPr>
              <w:spacing w:before="100" w:after="20"/>
              <w:ind w:left="170"/>
            </w:pPr>
            <w:r>
              <w:rPr>
                <w:rFonts w:ascii="Calibri" w:hAnsi="Calibri"/>
                <w:b/>
                <w:color w:val="FFFFFF"/>
                <w:sz w:val="20"/>
              </w:rPr>
              <w:t xml:space="preserve">API Layer  </w:t>
            </w:r>
            <w:r>
              <w:rPr>
                <w:rFonts w:ascii="Calibri" w:hAnsi="Calibri"/>
                <w:color w:val="CCDDDB"/>
                <w:sz w:val="19"/>
              </w:rPr>
              <w:t>— FastAPI (Python)</w:t>
            </w:r>
          </w:p>
          <w:p>
            <w:pPr>
              <w:spacing w:before="20" w:after="120"/>
              <w:ind w:left="170"/>
            </w:pPr>
            <w:r>
              <w:rPr>
                <w:rFonts w:ascii="Calibri" w:hAnsi="Calibri"/>
                <w:color w:val="AABBBA"/>
                <w:sz w:val="17"/>
              </w:rPr>
              <w:t>REST endpoints · JWT auth · Tenant isolation · Role-based access · BC sync trigger</w:t>
            </w:r>
          </w:p>
        </w:tc>
      </w:tr>
      <w:tr>
        <w:tc>
          <w:tcPr>
            <w:tcW w:type="dxa" w:w="9638"/>
            <w:shd w:fill="0F3F3C" w:color="auto" w:val="clear"/>
          </w:tcPr>
          <w:p>
            <w:pPr>
              <w:spacing w:before="100" w:after="20"/>
              <w:ind w:left="170"/>
            </w:pPr>
            <w:r>
              <w:rPr>
                <w:rFonts w:ascii="Calibri" w:hAnsi="Calibri"/>
                <w:b/>
                <w:color w:val="FFFFFF"/>
                <w:sz w:val="20"/>
              </w:rPr>
              <w:t xml:space="preserve">Data Layer  </w:t>
            </w:r>
            <w:r>
              <w:rPr>
                <w:rFonts w:ascii="Calibri" w:hAnsi="Calibri"/>
                <w:color w:val="CCDDDB"/>
                <w:sz w:val="19"/>
              </w:rPr>
              <w:t>— PostgreSQL (Star Schema)</w:t>
            </w:r>
          </w:p>
          <w:p>
            <w:pPr>
              <w:spacing w:before="20" w:after="120"/>
              <w:ind w:left="170"/>
            </w:pPr>
            <w:r>
              <w:rPr>
                <w:rFonts w:ascii="Calibri" w:hAnsi="Calibri"/>
                <w:color w:val="AABBBA"/>
                <w:sz w:val="17"/>
              </w:rPr>
              <w:t>fact_gl_entries · fact_gl_normalized · dim_company · dim_account · dim_date · Incremental sync watermark</w:t>
            </w:r>
          </w:p>
        </w:tc>
      </w:tr>
      <w:tr>
        <w:tc>
          <w:tcPr>
            <w:tcW w:type="dxa" w:w="9638"/>
            <w:shd w:fill="333938" w:color="auto" w:val="clear"/>
          </w:tcPr>
          <w:p>
            <w:pPr>
              <w:spacing w:before="100" w:after="20"/>
              <w:ind w:left="170"/>
            </w:pPr>
            <w:r>
              <w:rPr>
                <w:rFonts w:ascii="Calibri" w:hAnsi="Calibri"/>
                <w:b/>
                <w:color w:val="FFFFFF"/>
                <w:sz w:val="20"/>
              </w:rPr>
              <w:t xml:space="preserve">Source  </w:t>
            </w:r>
            <w:r>
              <w:rPr>
                <w:rFonts w:ascii="Calibri" w:hAnsi="Calibri"/>
                <w:color w:val="CCDDDB"/>
                <w:sz w:val="19"/>
              </w:rPr>
              <w:t>— Microsoft Dynamics 365 Business Central</w:t>
            </w:r>
          </w:p>
          <w:p>
            <w:pPr>
              <w:spacing w:before="20" w:after="120"/>
              <w:ind w:left="170"/>
            </w:pPr>
            <w:r>
              <w:rPr>
                <w:rFonts w:ascii="Calibri" w:hAnsi="Calibri"/>
                <w:color w:val="AABBBA"/>
                <w:sz w:val="17"/>
              </w:rPr>
              <w:t>OData API v2.0 · OAuth (client credentials) · 17 BC tenants · GL Entries · Posted Sales · CoA · AR</w:t>
            </w:r>
          </w:p>
        </w:tc>
      </w:tr>
      <w:tr>
        <w:tc>
          <w:tcPr>
            <w:tcW w:type="dxa" w:w="9638"/>
            <w:shd w:fill="C93328" w:color="auto" w:val="clear"/>
          </w:tcPr>
          <w:p>
            <w:pPr>
              <w:spacing w:before="100" w:after="20"/>
              <w:ind w:left="170"/>
            </w:pPr>
            <w:r>
              <w:rPr>
                <w:rFonts w:ascii="Calibri" w:hAnsi="Calibri"/>
                <w:b/>
                <w:color w:val="FFFFFF"/>
                <w:sz w:val="20"/>
              </w:rPr>
              <w:t xml:space="preserve">Infrastructure  </w:t>
            </w:r>
            <w:r>
              <w:rPr>
                <w:rFonts w:ascii="Calibri" w:hAnsi="Calibri"/>
                <w:color w:val="CCDDDB"/>
                <w:sz w:val="19"/>
              </w:rPr>
              <w:t>— RIA Advisory Server (On-Premises)</w:t>
            </w:r>
          </w:p>
          <w:p>
            <w:pPr>
              <w:spacing w:before="20" w:after="120"/>
              <w:ind w:left="170"/>
            </w:pPr>
            <w:r>
              <w:rPr>
                <w:rFonts w:ascii="Calibri" w:hAnsi="Calibri"/>
                <w:color w:val="AABBBA"/>
                <w:sz w:val="17"/>
              </w:rPr>
              <w:t>Docker Compose · Ubuntu 22.04 LTS · 4 vCPU · 16 GB RAM · 500 GB SSD · All data stays on RIA infrastructure</w:t>
            </w:r>
          </w:p>
        </w:tc>
      </w:tr>
    </w:tbl>
    <w:p>
      <w:r>
        <w:br w:type="page"/>
      </w:r>
    </w:p>
    <w:tbl>
      <w:tblPr>
        <w:tblW w:type="auto" w:w="0"/>
        <w:jc w:val="center"/>
        <w:tblLook w:firstColumn="1" w:firstRow="1" w:lastColumn="0" w:lastRow="0" w:noHBand="0" w:noVBand="1" w:val="04A0"/>
      </w:tblPr>
      <w:tblGrid>
        <w:gridCol w:w="9638"/>
      </w:tblGrid>
      <w:tr>
        <w:tc>
          <w:tcPr>
            <w:tcW w:type="dxa" w:w="9638"/>
            <w:shd w:fill="0F3F3C" w:color="auto" w:val="clear"/>
          </w:tcPr>
          <w:p>
            <w:pPr>
              <w:spacing w:before="160" w:after="200"/>
              <w:ind w:left="227"/>
            </w:pPr>
            <w:r>
              <w:rPr>
                <w:rFonts w:ascii="Calibri" w:hAnsi="Calibri"/>
                <w:b/>
                <w:color w:val="EE7D72"/>
                <w:sz w:val="16"/>
              </w:rPr>
              <w:t>DELIVERABLES &amp; TIMELINE</w:t>
            </w:r>
          </w:p>
          <w:p>
            <w:pPr>
              <w:spacing w:before="40" w:after="40"/>
              <w:ind w:left="227"/>
            </w:pPr>
            <w:r>
              <w:rPr>
                <w:rFonts w:ascii="Calibri" w:hAnsi="Calibri"/>
                <w:b/>
                <w:color w:val="FFFFFF"/>
                <w:sz w:val="40"/>
              </w:rPr>
              <w:t>What You Receive · When</w:t>
            </w:r>
          </w:p>
          <w:p>
            <w:pPr>
              <w:spacing w:before="40" w:after="40"/>
              <w:ind w:left="227"/>
            </w:pPr>
            <w:r>
              <w:rPr>
                <w:rFonts w:ascii="Calibri" w:hAnsi="Calibri"/>
                <w:b w:val="0"/>
                <w:color w:val="CCDDDB"/>
                <w:sz w:val="20"/>
              </w:rPr>
              <w:t>3-week delivery. On your server. Ready for finance team from day one.</w:t>
            </w:r>
          </w:p>
        </w:tc>
      </w:tr>
    </w:tbl>
    <w:p/>
    <w:p>
      <w:pPr>
        <w:spacing w:before="280" w:after="120"/>
        <w:pBdr>
          <w:bottom w:val="single" w:sz="4" w:space="1" w:color="D4E6E3"/>
        </w:pBdr>
      </w:pPr>
      <w:r>
        <w:rPr>
          <w:rFonts w:ascii="Calibri" w:hAnsi="Calibri"/>
          <w:b/>
          <w:color w:val="1F6B66"/>
          <w:sz w:val="18"/>
        </w:rPr>
        <w:t>COMPLETE DELIVERABLES — PHASE 1</w:t>
      </w:r>
    </w:p>
    <w:tbl>
      <w:tblPr>
        <w:tblStyle w:val="TableGrid"/>
        <w:tblW w:type="auto" w:w="0"/>
        <w:jc w:val="center"/>
        <w:tblLook w:firstColumn="1" w:firstRow="1" w:lastColumn="0" w:lastRow="0" w:noHBand="0" w:noVBand="1" w:val="04A0"/>
      </w:tblPr>
      <w:tblGrid>
        <w:gridCol w:w="4819"/>
        <w:gridCol w:w="4819"/>
      </w:tblGrid>
      <w:tr>
        <w:tc>
          <w:tcPr>
            <w:tcW w:type="dxa" w:w="4819"/>
            <w:shd w:fill="0F3F3C" w:color="auto" w:val="clear"/>
          </w:tcPr>
          <w:p>
            <w:pPr>
              <w:spacing w:before="100" w:after="100"/>
            </w:pPr>
            <w:r>
              <w:rPr>
                <w:rFonts w:ascii="Calibri" w:hAnsi="Calibri"/>
                <w:b/>
                <w:color w:val="FFFFFF"/>
                <w:sz w:val="19"/>
              </w:rPr>
              <w:t>Deliverable</w:t>
            </w:r>
          </w:p>
        </w:tc>
        <w:tc>
          <w:tcPr>
            <w:tcW w:type="dxa" w:w="4819"/>
            <w:shd w:fill="0F3F3C" w:color="auto" w:val="clear"/>
          </w:tcPr>
          <w:p>
            <w:pPr>
              <w:spacing w:before="100" w:after="100"/>
            </w:pPr>
            <w:r>
              <w:rPr>
                <w:rFonts w:ascii="Calibri" w:hAnsi="Calibri"/>
                <w:b/>
                <w:color w:val="FFFFFF"/>
                <w:sz w:val="19"/>
              </w:rPr>
              <w:t>What It Includes</w:t>
            </w:r>
          </w:p>
        </w:tc>
      </w:tr>
      <w:tr>
        <w:tc>
          <w:tcPr>
            <w:tcW w:type="dxa" w:w="4819"/>
            <w:shd w:fill="FFFFFF" w:color="auto" w:val="clear"/>
          </w:tcPr>
          <w:p>
            <w:pPr>
              <w:spacing w:before="100" w:after="100"/>
            </w:pPr>
            <w:r>
              <w:rPr>
                <w:rFonts w:ascii="Calibri" w:hAnsi="Calibri"/>
                <w:b/>
                <w:color w:val="0F3F3C"/>
                <w:sz w:val="20"/>
              </w:rPr>
              <w:t>Collections Dashboard</w:t>
            </w:r>
          </w:p>
        </w:tc>
        <w:tc>
          <w:tcPr>
            <w:tcW w:type="dxa" w:w="4819"/>
            <w:shd w:fill="FFFFFF" w:color="auto" w:val="clear"/>
          </w:tcPr>
          <w:p>
            <w:pPr>
              <w:spacing w:before="100" w:after="100"/>
            </w:pPr>
            <w:r>
              <w:rPr>
                <w:rFonts w:ascii="Calibri" w:hAnsi="Calibri"/>
                <w:color w:val="333938"/>
                <w:sz w:val="20"/>
              </w:rPr>
              <w:t>AR aging, collection rate, overdue alerts</w:t>
            </w:r>
          </w:p>
        </w:tc>
      </w:tr>
      <w:tr>
        <w:tc>
          <w:tcPr>
            <w:tcW w:type="dxa" w:w="4819"/>
            <w:shd w:fill="F4F6F6" w:color="auto" w:val="clear"/>
          </w:tcPr>
          <w:p>
            <w:pPr>
              <w:spacing w:before="100" w:after="100"/>
            </w:pPr>
            <w:r>
              <w:rPr>
                <w:rFonts w:ascii="Calibri" w:hAnsi="Calibri"/>
                <w:b/>
                <w:color w:val="0F3F3C"/>
                <w:sz w:val="20"/>
              </w:rPr>
              <w:t>Invoicing Report</w:t>
            </w:r>
          </w:p>
        </w:tc>
        <w:tc>
          <w:tcPr>
            <w:tcW w:type="dxa" w:w="4819"/>
            <w:shd w:fill="F4F6F6" w:color="auto" w:val="clear"/>
          </w:tcPr>
          <w:p>
            <w:pPr>
              <w:spacing w:before="100" w:after="100"/>
            </w:pPr>
            <w:r>
              <w:rPr>
                <w:rFonts w:ascii="Calibri" w:hAnsi="Calibri"/>
                <w:color w:val="333938"/>
                <w:sz w:val="20"/>
              </w:rPr>
              <w:t>Invoice count, value, client, month drill-down</w:t>
            </w:r>
          </w:p>
        </w:tc>
      </w:tr>
      <w:tr>
        <w:tc>
          <w:tcPr>
            <w:tcW w:type="dxa" w:w="4819"/>
            <w:shd w:fill="FFFFFF" w:color="auto" w:val="clear"/>
          </w:tcPr>
          <w:p>
            <w:pPr>
              <w:spacing w:before="100" w:after="100"/>
            </w:pPr>
            <w:r>
              <w:rPr>
                <w:rFonts w:ascii="Calibri" w:hAnsi="Calibri"/>
                <w:b/>
                <w:color w:val="0F3F3C"/>
                <w:sz w:val="20"/>
              </w:rPr>
              <w:t>Revenue Report</w:t>
            </w:r>
          </w:p>
        </w:tc>
        <w:tc>
          <w:tcPr>
            <w:tcW w:type="dxa" w:w="4819"/>
            <w:shd w:fill="FFFFFF" w:color="auto" w:val="clear"/>
          </w:tcPr>
          <w:p>
            <w:pPr>
              <w:spacing w:before="100" w:after="100"/>
            </w:pPr>
            <w:r>
              <w:rPr>
                <w:rFonts w:ascii="Calibri" w:hAnsi="Calibri"/>
                <w:color w:val="333938"/>
                <w:sz w:val="20"/>
              </w:rPr>
              <w:t>GL-sourced revenue by entity, month, department</w:t>
            </w:r>
          </w:p>
        </w:tc>
      </w:tr>
      <w:tr>
        <w:tc>
          <w:tcPr>
            <w:tcW w:type="dxa" w:w="4819"/>
            <w:shd w:fill="F4F6F6" w:color="auto" w:val="clear"/>
          </w:tcPr>
          <w:p>
            <w:pPr>
              <w:spacing w:before="100" w:after="100"/>
            </w:pPr>
            <w:r>
              <w:rPr>
                <w:rFonts w:ascii="Calibri" w:hAnsi="Calibri"/>
                <w:b/>
                <w:color w:val="0F3F3C"/>
                <w:sz w:val="20"/>
              </w:rPr>
              <w:t>Unbilled Revenue (UBR)</w:t>
            </w:r>
          </w:p>
        </w:tc>
        <w:tc>
          <w:tcPr>
            <w:tcW w:type="dxa" w:w="4819"/>
            <w:shd w:fill="F4F6F6" w:color="auto" w:val="clear"/>
          </w:tcPr>
          <w:p>
            <w:pPr>
              <w:spacing w:before="100" w:after="100"/>
            </w:pPr>
            <w:r>
              <w:rPr>
                <w:rFonts w:ascii="Calibri" w:hAnsi="Calibri"/>
                <w:color w:val="333938"/>
                <w:sz w:val="20"/>
              </w:rPr>
              <w:t>WIP vs invoiced gap, project-level view</w:t>
            </w:r>
          </w:p>
        </w:tc>
      </w:tr>
      <w:tr>
        <w:tc>
          <w:tcPr>
            <w:tcW w:type="dxa" w:w="4819"/>
            <w:shd w:fill="FFFFFF" w:color="auto" w:val="clear"/>
          </w:tcPr>
          <w:p>
            <w:pPr>
              <w:spacing w:before="100" w:after="100"/>
            </w:pPr>
            <w:r>
              <w:rPr>
                <w:rFonts w:ascii="Calibri" w:hAnsi="Calibri"/>
                <w:b/>
                <w:color w:val="0F3F3C"/>
                <w:sz w:val="20"/>
              </w:rPr>
              <w:t>Accounts Receivable Aging</w:t>
            </w:r>
          </w:p>
        </w:tc>
        <w:tc>
          <w:tcPr>
            <w:tcW w:type="dxa" w:w="4819"/>
            <w:shd w:fill="FFFFFF" w:color="auto" w:val="clear"/>
          </w:tcPr>
          <w:p>
            <w:pPr>
              <w:spacing w:before="100" w:after="100"/>
            </w:pPr>
            <w:r>
              <w:rPr>
                <w:rFonts w:ascii="Calibri" w:hAnsi="Calibri"/>
                <w:color w:val="333938"/>
                <w:sz w:val="20"/>
              </w:rPr>
              <w:t>0–30 / 31–60 / 61–90 / 90+ buckets, per entity</w:t>
            </w:r>
          </w:p>
        </w:tc>
      </w:tr>
      <w:tr>
        <w:tc>
          <w:tcPr>
            <w:tcW w:type="dxa" w:w="4819"/>
            <w:shd w:fill="F4F6F6" w:color="auto" w:val="clear"/>
          </w:tcPr>
          <w:p>
            <w:pPr>
              <w:spacing w:before="100" w:after="100"/>
            </w:pPr>
            <w:r>
              <w:rPr>
                <w:rFonts w:ascii="Calibri" w:hAnsi="Calibri"/>
                <w:b/>
                <w:color w:val="0F3F3C"/>
                <w:sz w:val="20"/>
              </w:rPr>
              <w:t>Azure Entra ID SSO</w:t>
            </w:r>
          </w:p>
        </w:tc>
        <w:tc>
          <w:tcPr>
            <w:tcW w:type="dxa" w:w="4819"/>
            <w:shd w:fill="F4F6F6" w:color="auto" w:val="clear"/>
          </w:tcPr>
          <w:p>
            <w:pPr>
              <w:spacing w:before="100" w:after="100"/>
            </w:pPr>
            <w:r>
              <w:rPr>
                <w:rFonts w:ascii="Calibri" w:hAnsi="Calibri"/>
                <w:color w:val="333938"/>
                <w:sz w:val="20"/>
              </w:rPr>
              <w:t>Microsoft 365 login, RBAC, subsidiary access control</w:t>
            </w:r>
          </w:p>
        </w:tc>
      </w:tr>
      <w:tr>
        <w:tc>
          <w:tcPr>
            <w:tcW w:type="dxa" w:w="4819"/>
            <w:shd w:fill="FFFFFF" w:color="auto" w:val="clear"/>
          </w:tcPr>
          <w:p>
            <w:pPr>
              <w:spacing w:before="100" w:after="100"/>
            </w:pPr>
            <w:r>
              <w:rPr>
                <w:rFonts w:ascii="Calibri" w:hAnsi="Calibri"/>
                <w:b/>
                <w:color w:val="0F3F3C"/>
                <w:sz w:val="20"/>
              </w:rPr>
              <w:t>BC API Integration</w:t>
            </w:r>
          </w:p>
        </w:tc>
        <w:tc>
          <w:tcPr>
            <w:tcW w:type="dxa" w:w="4819"/>
            <w:shd w:fill="FFFFFF" w:color="auto" w:val="clear"/>
          </w:tcPr>
          <w:p>
            <w:pPr>
              <w:spacing w:before="100" w:after="100"/>
            </w:pPr>
            <w:r>
              <w:rPr>
                <w:rFonts w:ascii="Calibri" w:hAnsi="Calibri"/>
                <w:color w:val="333938"/>
                <w:sz w:val="20"/>
              </w:rPr>
              <w:t>OAuth connector, incremental sync, 17 tenants, auto-refresh</w:t>
            </w:r>
          </w:p>
        </w:tc>
      </w:tr>
      <w:tr>
        <w:tc>
          <w:tcPr>
            <w:tcW w:type="dxa" w:w="4819"/>
            <w:shd w:fill="F4F6F6" w:color="auto" w:val="clear"/>
          </w:tcPr>
          <w:p>
            <w:pPr>
              <w:spacing w:before="100" w:after="100"/>
            </w:pPr>
            <w:r>
              <w:rPr>
                <w:rFonts w:ascii="Calibri" w:hAnsi="Calibri"/>
                <w:b/>
                <w:color w:val="0F3F3C"/>
                <w:sz w:val="20"/>
              </w:rPr>
              <w:t>On-Premises Deployment</w:t>
            </w:r>
          </w:p>
        </w:tc>
        <w:tc>
          <w:tcPr>
            <w:tcW w:type="dxa" w:w="4819"/>
            <w:shd w:fill="F4F6F6" w:color="auto" w:val="clear"/>
          </w:tcPr>
          <w:p>
            <w:pPr>
              <w:spacing w:before="100" w:after="100"/>
            </w:pPr>
            <w:r>
              <w:rPr>
                <w:rFonts w:ascii="Calibri" w:hAnsi="Calibri"/>
                <w:color w:val="333938"/>
                <w:sz w:val="20"/>
              </w:rPr>
              <w:t>Docker Compose on RIA server, production config, SSL</w:t>
            </w:r>
          </w:p>
        </w:tc>
      </w:tr>
      <w:tr>
        <w:tc>
          <w:tcPr>
            <w:tcW w:type="dxa" w:w="4819"/>
            <w:shd w:fill="FFFFFF" w:color="auto" w:val="clear"/>
          </w:tcPr>
          <w:p>
            <w:pPr>
              <w:spacing w:before="100" w:after="100"/>
            </w:pPr>
            <w:r>
              <w:rPr>
                <w:rFonts w:ascii="Calibri" w:hAnsi="Calibri"/>
                <w:b/>
                <w:color w:val="0F3F3C"/>
                <w:sz w:val="20"/>
              </w:rPr>
              <w:t>User Training &amp; Handover</w:t>
            </w:r>
          </w:p>
        </w:tc>
        <w:tc>
          <w:tcPr>
            <w:tcW w:type="dxa" w:w="4819"/>
            <w:shd w:fill="FFFFFF" w:color="auto" w:val="clear"/>
          </w:tcPr>
          <w:p>
            <w:pPr>
              <w:spacing w:before="100" w:after="100"/>
            </w:pPr>
            <w:r>
              <w:rPr>
                <w:rFonts w:ascii="Calibri" w:hAnsi="Calibri"/>
                <w:color w:val="333938"/>
                <w:sz w:val="20"/>
              </w:rPr>
              <w:t>Finance team walkthrough, admin handover, runbook</w:t>
            </w:r>
          </w:p>
        </w:tc>
      </w:tr>
    </w:tbl>
    <w:p>
      <w:pPr>
        <w:spacing w:before="120" w:after="120"/>
        <w:pBdr>
          <w:bottom w:val="single" w:sz="4" w:space="1" w:color="D1D8D8"/>
        </w:pBdr>
      </w:pPr>
    </w:p>
    <w:p>
      <w:pPr>
        <w:spacing w:before="280" w:after="120"/>
        <w:pBdr>
          <w:bottom w:val="single" w:sz="4" w:space="1" w:color="D4E6E3"/>
        </w:pBdr>
      </w:pPr>
      <w:r>
        <w:rPr>
          <w:rFonts w:ascii="Calibri" w:hAnsi="Calibri"/>
          <w:b/>
          <w:color w:val="1F6B66"/>
          <w:sz w:val="18"/>
        </w:rPr>
        <w:t>3-WEEK DELIVERY TIMELINE</w:t>
      </w:r>
    </w:p>
    <w:tbl>
      <w:tblPr>
        <w:tblW w:type="auto" w:w="0"/>
        <w:jc w:val="center"/>
        <w:tblLook w:firstColumn="1" w:firstRow="1" w:lastColumn="0" w:lastRow="0" w:noHBand="0" w:noVBand="1" w:val="04A0"/>
      </w:tblPr>
      <w:tblGrid>
        <w:gridCol w:w="4819"/>
        <w:gridCol w:w="4819"/>
      </w:tblGrid>
      <w:tr>
        <w:tc>
          <w:tcPr>
            <w:tcW w:type="dxa" w:w="1814"/>
            <w:shd w:fill="EEF5F4" w:color="auto" w:val="clear"/>
            <w:tcBorders>
              <w:left w:val="single" w:sz="18" w:space="0" w:color="1F6B66"/>
            </w:tcBorders>
          </w:tcPr>
          <w:p>
            <w:pPr>
              <w:spacing w:before="160"/>
              <w:jc w:val="center"/>
            </w:pPr>
            <w:r>
              <w:rPr>
                <w:rFonts w:ascii="Calibri" w:hAnsi="Calibri"/>
                <w:b/>
                <w:color w:val="1F6B66"/>
                <w:sz w:val="36"/>
              </w:rPr>
              <w:t>Week 1</w:t>
            </w:r>
          </w:p>
        </w:tc>
        <w:tc>
          <w:tcPr>
            <w:tcW w:type="dxa" w:w="4819"/>
            <w:tcBorders>
              <w:left w:val="single" w:sz="6" w:space="0" w:color="D1D8D8"/>
            </w:tcBorders>
          </w:tcPr>
          <w:p>
            <w:pPr>
              <w:spacing w:before="120" w:after="40"/>
              <w:ind w:left="170"/>
            </w:pPr>
            <w:r>
              <w:rPr>
                <w:rFonts w:ascii="Calibri" w:hAnsi="Calibri"/>
                <w:b/>
                <w:color w:val="175551"/>
                <w:sz w:val="20"/>
              </w:rPr>
              <w:t>Week 1 — Foundation</w:t>
            </w:r>
          </w:p>
          <w:p>
            <w:pPr>
              <w:spacing w:before="0" w:after="80"/>
              <w:ind w:left="170"/>
            </w:pPr>
            <w:r>
              <w:rPr>
                <w:rFonts w:ascii="Calibri" w:hAnsi="Calibri"/>
                <w:b/>
                <w:color w:val="1F2423"/>
                <w:sz w:val="22"/>
              </w:rPr>
              <w:t>Infrastructure Setup · BC API Integration · Data Pipeline</w:t>
            </w:r>
          </w:p>
          <w:p>
            <w:pPr>
              <w:pStyle w:val="ListBullet"/>
              <w:spacing w:before="20" w:after="20"/>
              <w:ind w:left="283"/>
            </w:pPr>
            <w:r>
              <w:rPr>
                <w:rFonts w:ascii="Calibri" w:hAnsi="Calibri"/>
                <w:color w:val="333938"/>
                <w:sz w:val="19"/>
              </w:rPr>
              <w:t>Server provisioned and Docker Compose deployed on RIA infrastructure</w:t>
            </w:r>
          </w:p>
          <w:p>
            <w:pPr>
              <w:pStyle w:val="ListBullet"/>
              <w:spacing w:before="20" w:after="20"/>
              <w:ind w:left="283"/>
            </w:pPr>
            <w:r>
              <w:rPr>
                <w:rFonts w:ascii="Calibri" w:hAnsi="Calibri"/>
                <w:color w:val="333938"/>
                <w:sz w:val="19"/>
              </w:rPr>
              <w:t>BC OAuth credentials configured for all active tenants</w:t>
            </w:r>
          </w:p>
          <w:p>
            <w:pPr>
              <w:pStyle w:val="ListBullet"/>
              <w:spacing w:before="20" w:after="20"/>
              <w:ind w:left="283"/>
            </w:pPr>
            <w:r>
              <w:rPr>
                <w:rFonts w:ascii="Calibri" w:hAnsi="Calibri"/>
                <w:color w:val="333938"/>
                <w:sz w:val="19"/>
              </w:rPr>
              <w:t>GL data pull operational — incremental sync running</w:t>
            </w:r>
          </w:p>
          <w:p>
            <w:pPr>
              <w:pStyle w:val="ListBullet"/>
              <w:spacing w:before="20" w:after="20"/>
              <w:ind w:left="283"/>
            </w:pPr>
            <w:r>
              <w:rPr>
                <w:rFonts w:ascii="Calibri" w:hAnsi="Calibri"/>
                <w:color w:val="333938"/>
                <w:sz w:val="19"/>
              </w:rPr>
              <w:t>PostgreSQL star schema migrations applied, data seeded</w:t>
            </w:r>
          </w:p>
          <w:p>
            <w:pPr>
              <w:pStyle w:val="ListBullet"/>
              <w:spacing w:before="20" w:after="20"/>
              <w:ind w:left="283"/>
            </w:pPr>
            <w:r>
              <w:rPr>
                <w:rFonts w:ascii="Calibri" w:hAnsi="Calibri"/>
                <w:color w:val="333938"/>
                <w:sz w:val="19"/>
              </w:rPr>
              <w:t>Azure Entra ID SSO configured and tested with RIA user accounts</w:t>
            </w:r>
          </w:p>
        </w:tc>
      </w:tr>
      <w:tr>
        <w:tc>
          <w:tcPr>
            <w:tcW w:type="dxa" w:w="1814"/>
            <w:shd w:fill="EEF5F4" w:color="auto" w:val="clear"/>
            <w:tcBorders>
              <w:left w:val="single" w:sz="18" w:space="0" w:color="1F6B66"/>
            </w:tcBorders>
          </w:tcPr>
          <w:p>
            <w:pPr>
              <w:spacing w:before="160"/>
              <w:jc w:val="center"/>
            </w:pPr>
            <w:r>
              <w:rPr>
                <w:rFonts w:ascii="Calibri" w:hAnsi="Calibri"/>
                <w:b/>
                <w:color w:val="1F6B66"/>
                <w:sz w:val="36"/>
              </w:rPr>
              <w:t>Week 2</w:t>
            </w:r>
          </w:p>
        </w:tc>
        <w:tc>
          <w:tcPr>
            <w:tcW w:type="dxa" w:w="4819"/>
            <w:tcBorders>
              <w:left w:val="single" w:sz="6" w:space="0" w:color="D1D8D8"/>
            </w:tcBorders>
          </w:tcPr>
          <w:p>
            <w:pPr>
              <w:spacing w:before="120" w:after="40"/>
              <w:ind w:left="170"/>
            </w:pPr>
            <w:r>
              <w:rPr>
                <w:rFonts w:ascii="Calibri" w:hAnsi="Calibri"/>
                <w:b/>
                <w:color w:val="175551"/>
                <w:sz w:val="20"/>
              </w:rPr>
              <w:t>Week 2 — Reports Build</w:t>
            </w:r>
          </w:p>
          <w:p>
            <w:pPr>
              <w:spacing w:before="0" w:after="80"/>
              <w:ind w:left="170"/>
            </w:pPr>
            <w:r>
              <w:rPr>
                <w:rFonts w:ascii="Calibri" w:hAnsi="Calibri"/>
                <w:b/>
                <w:color w:val="1F2423"/>
                <w:sz w:val="22"/>
              </w:rPr>
              <w:t>5 Reports Live · Role-Based Access</w:t>
            </w:r>
          </w:p>
          <w:p>
            <w:pPr>
              <w:pStyle w:val="ListBullet"/>
              <w:spacing w:before="20" w:after="20"/>
              <w:ind w:left="283"/>
            </w:pPr>
            <w:r>
              <w:rPr>
                <w:rFonts w:ascii="Calibri" w:hAnsi="Calibri"/>
                <w:color w:val="333938"/>
                <w:sz w:val="19"/>
              </w:rPr>
              <w:t>Collections Dashboard — live AR aging from BC data</w:t>
            </w:r>
          </w:p>
          <w:p>
            <w:pPr>
              <w:pStyle w:val="ListBullet"/>
              <w:spacing w:before="20" w:after="20"/>
              <w:ind w:left="283"/>
            </w:pPr>
            <w:r>
              <w:rPr>
                <w:rFonts w:ascii="Calibri" w:hAnsi="Calibri"/>
                <w:color w:val="333938"/>
                <w:sz w:val="19"/>
              </w:rPr>
              <w:t>Invoicing Report — invoice count and value by entity and month</w:t>
            </w:r>
          </w:p>
          <w:p>
            <w:pPr>
              <w:pStyle w:val="ListBullet"/>
              <w:spacing w:before="20" w:after="20"/>
              <w:ind w:left="283"/>
            </w:pPr>
            <w:r>
              <w:rPr>
                <w:rFonts w:ascii="Calibri" w:hAnsi="Calibri"/>
                <w:color w:val="333938"/>
                <w:sz w:val="19"/>
              </w:rPr>
              <w:t>Revenue Report — GL-sourced revenue breakdown</w:t>
            </w:r>
          </w:p>
          <w:p>
            <w:pPr>
              <w:pStyle w:val="ListBullet"/>
              <w:spacing w:before="20" w:after="20"/>
              <w:ind w:left="283"/>
            </w:pPr>
            <w:r>
              <w:rPr>
                <w:rFonts w:ascii="Calibri" w:hAnsi="Calibri"/>
                <w:color w:val="333938"/>
                <w:sz w:val="19"/>
              </w:rPr>
              <w:t>UBR Report — unbilled revenue gap analysis</w:t>
            </w:r>
          </w:p>
          <w:p>
            <w:pPr>
              <w:pStyle w:val="ListBullet"/>
              <w:spacing w:before="20" w:after="20"/>
              <w:ind w:left="283"/>
            </w:pPr>
            <w:r>
              <w:rPr>
                <w:rFonts w:ascii="Calibri" w:hAnsi="Calibri"/>
                <w:color w:val="333938"/>
                <w:sz w:val="19"/>
              </w:rPr>
              <w:t>AR Aging — 4-bucket aging per entity, group-consolidated view</w:t>
            </w:r>
          </w:p>
          <w:p>
            <w:pPr>
              <w:pStyle w:val="ListBullet"/>
              <w:spacing w:before="20" w:after="20"/>
              <w:ind w:left="283"/>
            </w:pPr>
            <w:r>
              <w:rPr>
                <w:rFonts w:ascii="Calibri" w:hAnsi="Calibri"/>
                <w:color w:val="333938"/>
                <w:sz w:val="19"/>
              </w:rPr>
              <w:t>RBAC: subsidiary access controls mapped to RIA org structure</w:t>
            </w:r>
          </w:p>
        </w:tc>
      </w:tr>
      <w:tr>
        <w:tc>
          <w:tcPr>
            <w:tcW w:type="dxa" w:w="1814"/>
            <w:shd w:fill="EEF5F4" w:color="auto" w:val="clear"/>
            <w:tcBorders>
              <w:left w:val="single" w:sz="18" w:space="0" w:color="1F6B66"/>
            </w:tcBorders>
          </w:tcPr>
          <w:p>
            <w:pPr>
              <w:spacing w:before="160"/>
              <w:jc w:val="center"/>
            </w:pPr>
            <w:r>
              <w:rPr>
                <w:rFonts w:ascii="Calibri" w:hAnsi="Calibri"/>
                <w:b/>
                <w:color w:val="1F6B66"/>
                <w:sz w:val="36"/>
              </w:rPr>
              <w:t>Week 3</w:t>
            </w:r>
          </w:p>
        </w:tc>
        <w:tc>
          <w:tcPr>
            <w:tcW w:type="dxa" w:w="4819"/>
            <w:tcBorders>
              <w:left w:val="single" w:sz="6" w:space="0" w:color="D1D8D8"/>
            </w:tcBorders>
          </w:tcPr>
          <w:p>
            <w:pPr>
              <w:spacing w:before="120" w:after="40"/>
              <w:ind w:left="170"/>
            </w:pPr>
            <w:r>
              <w:rPr>
                <w:rFonts w:ascii="Calibri" w:hAnsi="Calibri"/>
                <w:b/>
                <w:color w:val="175551"/>
                <w:sz w:val="20"/>
              </w:rPr>
              <w:t>Week 3 — UAT &amp; Handover</w:t>
            </w:r>
          </w:p>
          <w:p>
            <w:pPr>
              <w:spacing w:before="0" w:after="80"/>
              <w:ind w:left="170"/>
            </w:pPr>
            <w:r>
              <w:rPr>
                <w:rFonts w:ascii="Calibri" w:hAnsi="Calibri"/>
                <w:b/>
                <w:color w:val="1F2423"/>
                <w:sz w:val="22"/>
              </w:rPr>
              <w:t>Finance Team Testing · Sign-off · Production Go-Live</w:t>
            </w:r>
          </w:p>
          <w:p>
            <w:pPr>
              <w:pStyle w:val="ListBullet"/>
              <w:spacing w:before="20" w:after="20"/>
              <w:ind w:left="283"/>
            </w:pPr>
            <w:r>
              <w:rPr>
                <w:rFonts w:ascii="Calibri" w:hAnsi="Calibri"/>
                <w:color w:val="333938"/>
                <w:sz w:val="19"/>
              </w:rPr>
              <w:t>Finance team UAT — validate report numbers against BC source</w:t>
            </w:r>
          </w:p>
          <w:p>
            <w:pPr>
              <w:pStyle w:val="ListBullet"/>
              <w:spacing w:before="20" w:after="20"/>
              <w:ind w:left="283"/>
            </w:pPr>
            <w:r>
              <w:rPr>
                <w:rFonts w:ascii="Calibri" w:hAnsi="Calibri"/>
                <w:color w:val="333938"/>
                <w:sz w:val="19"/>
              </w:rPr>
              <w:t>Issue resolution and fine-tuning</w:t>
            </w:r>
          </w:p>
          <w:p>
            <w:pPr>
              <w:pStyle w:val="ListBullet"/>
              <w:spacing w:before="20" w:after="20"/>
              <w:ind w:left="283"/>
            </w:pPr>
            <w:r>
              <w:rPr>
                <w:rFonts w:ascii="Calibri" w:hAnsi="Calibri"/>
                <w:color w:val="333938"/>
                <w:sz w:val="19"/>
              </w:rPr>
              <w:t>Finance team training session (CFO, Controller, analysts)</w:t>
            </w:r>
          </w:p>
          <w:p>
            <w:pPr>
              <w:pStyle w:val="ListBullet"/>
              <w:spacing w:before="20" w:after="20"/>
              <w:ind w:left="283"/>
            </w:pPr>
            <w:r>
              <w:rPr>
                <w:rFonts w:ascii="Calibri" w:hAnsi="Calibri"/>
                <w:color w:val="333938"/>
                <w:sz w:val="19"/>
              </w:rPr>
              <w:t>Admin handover — runbook, credential management, BC sync</w:t>
            </w:r>
          </w:p>
          <w:p>
            <w:pPr>
              <w:pStyle w:val="ListBullet"/>
              <w:spacing w:before="20" w:after="20"/>
              <w:ind w:left="283"/>
            </w:pPr>
            <w:r>
              <w:rPr>
                <w:rFonts w:ascii="Calibri" w:hAnsi="Calibri"/>
                <w:color w:val="333938"/>
                <w:sz w:val="19"/>
              </w:rPr>
              <w:t>Production sign-off and go-live</w:t>
            </w:r>
          </w:p>
        </w:tc>
      </w:tr>
    </w:tbl>
    <w:p>
      <w:pPr>
        <w:spacing w:before="160" w:after="160"/>
        <w:ind w:left="227" w:right="227"/>
        <w:shd w:fill="EEF5F4" w:val="clear"/>
        <w:pBdr>
          <w:left w:val="single" w:sz="24" w:space="4" w:color="2F7873"/>
        </w:pBdr>
      </w:pPr>
      <w:r>
        <w:rPr>
          <w:rFonts w:ascii="Calibri" w:hAnsi="Calibri"/>
          <w:b/>
          <w:color w:val="175551"/>
          <w:sz w:val="20"/>
        </w:rPr>
        <w:t xml:space="preserve">On-premises deployment:  </w:t>
      </w:r>
      <w:r>
        <w:rPr>
          <w:rFonts w:ascii="Calibri" w:hAnsi="Calibri"/>
          <w:color w:val="0F3F3C"/>
          <w:sz w:val="20"/>
        </w:rPr>
        <w:t>All data stays on RIA Advisory's own server. No cloud dependencies beyond the BC API connection and Azure SSO (both already part of your Microsoft 365 subscription). No data leaves your infrastructure.</w:t>
      </w:r>
    </w:p>
    <w:p>
      <w:r>
        <w:br w:type="page"/>
      </w:r>
    </w:p>
    <w:tbl>
      <w:tblPr>
        <w:tblW w:type="auto" w:w="0"/>
        <w:jc w:val="center"/>
        <w:tblLook w:firstColumn="1" w:firstRow="1" w:lastColumn="0" w:lastRow="0" w:noHBand="0" w:noVBand="1" w:val="04A0"/>
      </w:tblPr>
      <w:tblGrid>
        <w:gridCol w:w="9638"/>
      </w:tblGrid>
      <w:tr>
        <w:tc>
          <w:tcPr>
            <w:tcW w:type="dxa" w:w="9638"/>
            <w:shd w:fill="0F3F3C" w:color="auto" w:val="clear"/>
          </w:tcPr>
          <w:p>
            <w:pPr>
              <w:spacing w:before="160" w:after="200"/>
              <w:ind w:left="227"/>
            </w:pPr>
            <w:r>
              <w:rPr>
                <w:rFonts w:ascii="Calibri" w:hAnsi="Calibri"/>
                <w:b/>
                <w:color w:val="EE7D72"/>
                <w:sz w:val="16"/>
              </w:rPr>
              <w:t>NEXT STEPS</w:t>
            </w:r>
          </w:p>
          <w:p>
            <w:pPr>
              <w:spacing w:before="40" w:after="40"/>
              <w:ind w:left="227"/>
            </w:pPr>
            <w:r>
              <w:rPr>
                <w:rFonts w:ascii="Calibri" w:hAnsi="Calibri"/>
                <w:b/>
                <w:color w:val="FFFFFF"/>
                <w:sz w:val="40"/>
              </w:rPr>
              <w:t>From Proposal to Go-Live</w:t>
            </w:r>
          </w:p>
          <w:p>
            <w:pPr>
              <w:spacing w:before="40" w:after="40"/>
              <w:ind w:left="227"/>
            </w:pPr>
            <w:r>
              <w:rPr>
                <w:rFonts w:ascii="Calibri" w:hAnsi="Calibri"/>
                <w:b w:val="0"/>
                <w:color w:val="CCDDDB"/>
                <w:sz w:val="20"/>
              </w:rPr>
              <w:t>Four steps to get Phase 1 running on your server.</w:t>
            </w:r>
          </w:p>
        </w:tc>
      </w:tr>
    </w:tbl>
    <w:p/>
    <w:p>
      <w:pPr>
        <w:spacing w:before="280" w:after="120"/>
        <w:pBdr>
          <w:bottom w:val="single" w:sz="4" w:space="1" w:color="D4E6E3"/>
        </w:pBdr>
      </w:pPr>
      <w:r>
        <w:rPr>
          <w:rFonts w:ascii="Calibri" w:hAnsi="Calibri"/>
          <w:b/>
          <w:color w:val="1F6B66"/>
          <w:sz w:val="18"/>
        </w:rPr>
        <w:t>FOUR STEPS TO GO-LIVE</w:t>
      </w:r>
    </w:p>
    <w:tbl>
      <w:tblPr>
        <w:tblW w:type="auto" w:w="0"/>
        <w:jc w:val="center"/>
        <w:tblLook w:firstColumn="1" w:firstRow="1" w:lastColumn="0" w:lastRow="0" w:noHBand="0" w:noVBand="1" w:val="04A0"/>
      </w:tblPr>
      <w:tblGrid>
        <w:gridCol w:w="4819"/>
        <w:gridCol w:w="4819"/>
      </w:tblGrid>
      <w:tr>
        <w:tc>
          <w:tcPr>
            <w:tcW w:type="dxa" w:w="907"/>
            <w:shd w:fill="1F6B66" w:color="auto" w:val="clear"/>
          </w:tcPr>
          <w:p>
            <w:pPr>
              <w:spacing w:before="200"/>
              <w:jc w:val="center"/>
            </w:pPr>
            <w:r>
              <w:rPr>
                <w:rFonts w:ascii="Calibri" w:hAnsi="Calibri"/>
                <w:b/>
                <w:color w:val="FFFFFF"/>
                <w:sz w:val="40"/>
              </w:rPr>
              <w:t>1</w:t>
            </w:r>
          </w:p>
        </w:tc>
        <w:tc>
          <w:tcPr>
            <w:tcW w:type="dxa" w:w="4819"/>
            <w:tcBorders>
              <w:left w:val="single" w:sz="6" w:space="0" w:color="A9CDC8"/>
            </w:tcBorders>
          </w:tcPr>
          <w:p>
            <w:pPr>
              <w:spacing w:before="160" w:after="40"/>
              <w:ind w:left="170"/>
            </w:pPr>
            <w:r>
              <w:rPr>
                <w:rFonts w:ascii="Calibri" w:hAnsi="Calibri"/>
                <w:b/>
                <w:color w:val="1F2423"/>
                <w:sz w:val="22"/>
              </w:rPr>
              <w:t>Proposal Review &amp; Approval</w:t>
            </w:r>
          </w:p>
          <w:p>
            <w:pPr>
              <w:spacing w:before="0" w:after="200"/>
              <w:ind w:left="170"/>
            </w:pPr>
            <w:r>
              <w:rPr>
                <w:rFonts w:ascii="Calibri" w:hAnsi="Calibri"/>
                <w:color w:val="66726F"/>
                <w:sz w:val="20"/>
              </w:rPr>
              <w:t>RIA Group Finance Leadership reviews this proposal. Commercial terms reviewed separately (Appendix). Sign-off and engagement confirmation.</w:t>
            </w:r>
          </w:p>
        </w:tc>
      </w:tr>
      <w:tr>
        <w:tc>
          <w:tcPr>
            <w:tcW w:type="dxa" w:w="907"/>
            <w:shd w:fill="1F6B66" w:color="auto" w:val="clear"/>
          </w:tcPr>
          <w:p>
            <w:pPr>
              <w:spacing w:before="200"/>
              <w:jc w:val="center"/>
            </w:pPr>
            <w:r>
              <w:rPr>
                <w:rFonts w:ascii="Calibri" w:hAnsi="Calibri"/>
                <w:b/>
                <w:color w:val="FFFFFF"/>
                <w:sz w:val="40"/>
              </w:rPr>
              <w:t>2</w:t>
            </w:r>
          </w:p>
        </w:tc>
        <w:tc>
          <w:tcPr>
            <w:tcW w:type="dxa" w:w="4819"/>
            <w:tcBorders>
              <w:left w:val="single" w:sz="6" w:space="0" w:color="D4E6E3"/>
            </w:tcBorders>
          </w:tcPr>
          <w:p>
            <w:pPr>
              <w:spacing w:before="160" w:after="40"/>
              <w:ind w:left="170"/>
            </w:pPr>
            <w:r>
              <w:rPr>
                <w:rFonts w:ascii="Calibri" w:hAnsi="Calibri"/>
                <w:b/>
                <w:color w:val="1F2423"/>
                <w:sz w:val="22"/>
              </w:rPr>
              <w:t>Infrastructure Readiness</w:t>
            </w:r>
          </w:p>
          <w:p>
            <w:pPr>
              <w:spacing w:before="0" w:after="200"/>
              <w:ind w:left="170"/>
            </w:pPr>
            <w:r>
              <w:rPr>
                <w:rFonts w:ascii="Calibri" w:hAnsi="Calibri"/>
                <w:color w:val="66726F"/>
                <w:sz w:val="20"/>
              </w:rPr>
              <w:t>RIA Advisory provisions server: Ubuntu 22.04 LTS, 4 vCPU, 16 GB RAM, 500 GB SSD, outbound HTTPS to BC API and Azure AD. i-Source confirms access and deploys base stack.</w:t>
            </w:r>
          </w:p>
        </w:tc>
      </w:tr>
      <w:tr>
        <w:tc>
          <w:tcPr>
            <w:tcW w:type="dxa" w:w="907"/>
            <w:shd w:fill="1F6B66" w:color="auto" w:val="clear"/>
          </w:tcPr>
          <w:p>
            <w:pPr>
              <w:spacing w:before="200"/>
              <w:jc w:val="center"/>
            </w:pPr>
            <w:r>
              <w:rPr>
                <w:rFonts w:ascii="Calibri" w:hAnsi="Calibri"/>
                <w:b/>
                <w:color w:val="FFFFFF"/>
                <w:sz w:val="40"/>
              </w:rPr>
              <w:t>3</w:t>
            </w:r>
          </w:p>
        </w:tc>
        <w:tc>
          <w:tcPr>
            <w:tcW w:type="dxa" w:w="4819"/>
            <w:tcBorders>
              <w:left w:val="single" w:sz="6" w:space="0" w:color="A9CDC8"/>
            </w:tcBorders>
          </w:tcPr>
          <w:p>
            <w:pPr>
              <w:spacing w:before="160" w:after="40"/>
              <w:ind w:left="170"/>
            </w:pPr>
            <w:r>
              <w:rPr>
                <w:rFonts w:ascii="Calibri" w:hAnsi="Calibri"/>
                <w:b/>
                <w:color w:val="1F2423"/>
                <w:sz w:val="22"/>
              </w:rPr>
              <w:t>BC API Credential Handover</w:t>
            </w:r>
          </w:p>
          <w:p>
            <w:pPr>
              <w:spacing w:before="0" w:after="200"/>
              <w:ind w:left="170"/>
            </w:pPr>
            <w:r>
              <w:rPr>
                <w:rFonts w:ascii="Calibri" w:hAnsi="Calibri"/>
                <w:color w:val="66726F"/>
                <w:sz w:val="20"/>
              </w:rPr>
              <w:t>RIA IT provides Azure AD App Registration client credentials (client ID + secret) with Business Central API read permissions for all active tenants. i-Source configures OAuth and validates GL data pull.</w:t>
            </w:r>
          </w:p>
        </w:tc>
      </w:tr>
      <w:tr>
        <w:tc>
          <w:tcPr>
            <w:tcW w:type="dxa" w:w="907"/>
            <w:shd w:fill="1F6B66" w:color="auto" w:val="clear"/>
          </w:tcPr>
          <w:p>
            <w:pPr>
              <w:spacing w:before="200"/>
              <w:jc w:val="center"/>
            </w:pPr>
            <w:r>
              <w:rPr>
                <w:rFonts w:ascii="Calibri" w:hAnsi="Calibri"/>
                <w:b/>
                <w:color w:val="FFFFFF"/>
                <w:sz w:val="40"/>
              </w:rPr>
              <w:t>4</w:t>
            </w:r>
          </w:p>
        </w:tc>
        <w:tc>
          <w:tcPr>
            <w:tcW w:type="dxa" w:w="4819"/>
            <w:tcBorders>
              <w:left w:val="single" w:sz="6" w:space="0" w:color="D4E6E3"/>
            </w:tcBorders>
          </w:tcPr>
          <w:p>
            <w:pPr>
              <w:spacing w:before="160" w:after="40"/>
              <w:ind w:left="170"/>
            </w:pPr>
            <w:r>
              <w:rPr>
                <w:rFonts w:ascii="Calibri" w:hAnsi="Calibri"/>
                <w:b/>
                <w:color w:val="1F2423"/>
                <w:sz w:val="22"/>
              </w:rPr>
              <w:t>Kick-off &amp; Week 1 Begins</w:t>
            </w:r>
          </w:p>
          <w:p>
            <w:pPr>
              <w:spacing w:before="0" w:after="200"/>
              <w:ind w:left="170"/>
            </w:pPr>
            <w:r>
              <w:rPr>
                <w:rFonts w:ascii="Calibri" w:hAnsi="Calibri"/>
                <w:color w:val="66726F"/>
                <w:sz w:val="20"/>
              </w:rPr>
              <w:t>Kick-off meeting with RIA Finance and IT teams. Week 1 delivery begins. Weekly check-in calls during 3-week build. Finance team UAT in Week 3. Go-live.</w:t>
            </w:r>
          </w:p>
        </w:tc>
      </w:tr>
    </w:tbl>
    <w:p>
      <w:pPr>
        <w:spacing w:before="120" w:after="120"/>
        <w:pBdr>
          <w:bottom w:val="single" w:sz="4" w:space="1" w:color="D1D8D8"/>
        </w:pBdr>
      </w:pPr>
    </w:p>
    <w:p>
      <w:pPr>
        <w:spacing w:before="280" w:after="120"/>
        <w:pBdr>
          <w:bottom w:val="single" w:sz="4" w:space="1" w:color="D4E6E3"/>
        </w:pBdr>
      </w:pPr>
      <w:r>
        <w:rPr>
          <w:rFonts w:ascii="Calibri" w:hAnsi="Calibri"/>
          <w:b/>
          <w:color w:val="1F6B66"/>
          <w:sz w:val="18"/>
        </w:rPr>
        <w:t>PHASE 2 — FULL PLATFORM</w:t>
      </w:r>
    </w:p>
    <w:p>
      <w:pPr>
        <w:spacing w:before="40" w:after="80"/>
      </w:pPr>
      <w:r>
        <w:rPr>
          <w:rFonts w:ascii="Calibri" w:hAnsi="Calibri"/>
          <w:color w:val="333938"/>
          <w:sz w:val="21"/>
        </w:rPr>
        <w:t>Phase 1 delivers the highest-priority revenue and AR reports. Phase 2 expands to the full i-finsights platform — Executive Dashboard, Close Cockpit, GL Explorer, full P&amp;L Analytics, Trial Balance, Balance Sheet, Cash Flow, Budget vs Actuals, Intercompany Reconciliation, Multi-Dimensional Analytics, and the complete pipeline with IC elimination, FX translation, and data quality gates. Phase 2 scope and timeline to be agreed post Phase 1 go-live.</w:t>
      </w:r>
    </w:p>
    <w:p>
      <w:pPr>
        <w:spacing w:before="160" w:after="160"/>
        <w:ind w:left="227" w:right="227"/>
        <w:shd w:fill="EEF5F4" w:val="clear"/>
        <w:pBdr>
          <w:left w:val="single" w:sz="24" w:space="4" w:color="2F7873"/>
        </w:pBdr>
      </w:pPr>
      <w:r>
        <w:rPr>
          <w:rFonts w:ascii="Calibri" w:hAnsi="Calibri"/>
          <w:b/>
          <w:color w:val="175551"/>
          <w:sz w:val="20"/>
        </w:rPr>
        <w:t xml:space="preserve">Infrastructure requirement (to be provisioned by RIA Advisory):  </w:t>
      </w:r>
      <w:r>
        <w:rPr>
          <w:rFonts w:ascii="Calibri" w:hAnsi="Calibri"/>
          <w:color w:val="0F3F3C"/>
          <w:sz w:val="20"/>
        </w:rPr>
        <w:t>Ubuntu 22.04 LTS server · 4 vCPU · 16 GB RAM · 500 GB SSD · Outbound HTTPS (443) to api.businesscentral.dynamics.com and login.microsoftonline.com</w:t>
      </w:r>
    </w:p>
    <w:p>
      <w:pPr>
        <w:spacing w:before="120" w:after="120"/>
        <w:pBdr>
          <w:bottom w:val="single" w:sz="4" w:space="1" w:color="D1D8D8"/>
        </w:pBdr>
      </w:pPr>
    </w:p>
    <w:p>
      <w:pPr>
        <w:spacing w:before="400"/>
        <w:jc w:val="center"/>
      </w:pPr>
      <w:r>
        <w:rPr>
          <w:rFonts w:ascii="Calibri" w:hAnsi="Calibri"/>
          <w:color w:val="66726F"/>
          <w:sz w:val="17"/>
        </w:rPr>
        <w:t>i-finsights · Phase 1 Proposal   ·   i-Source Infosystems Pvt. Ltd.   ·   RIA Advisory   ·   May 2026   ·   Confidential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