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40"/>
        <w:jc w:val="center"/>
      </w:pPr>
      <w:r>
        <w:rPr>
          <w:rFonts w:ascii="Calibri" w:cs="Calibri" w:eastAsia="Calibri" w:hAnsi="Calibri"/>
          <w:b/>
          <w:bCs/>
          <w:color w:val="2E75B6"/>
          <w:spacing w:val="80"/>
          <w:sz w:val="28"/>
          <w:szCs w:val="28"/>
        </w:rPr>
        <w:t xml:space="preserve">PRODUCT REQUIREMENTS DOCUMENT</w:t>
      </w:r>
    </w:p>
    <w:p>
      <w:pPr>
        <w:spacing w:after="160"/>
        <w:jc w:val="center"/>
      </w:pPr>
      <w:r>
        <w:rPr>
          <w:rFonts w:ascii="Calibri" w:cs="Calibri" w:eastAsia="Calibri" w:hAnsi="Calibri"/>
          <w:b/>
          <w:bCs/>
          <w:color w:val="1F3864"/>
          <w:sz w:val="52"/>
          <w:szCs w:val="52"/>
        </w:rPr>
        <w:t xml:space="preserve">Unified Financial Intelligence Platform</w:t>
      </w:r>
    </w:p>
    <w:p>
      <w:pPr>
        <w:spacing w:after="800"/>
        <w:jc w:val="center"/>
      </w:pPr>
      <w:r>
        <w:rPr>
          <w:rFonts w:ascii="Calibri" w:cs="Calibri" w:eastAsia="Calibri" w:hAnsi="Calibri"/>
          <w:i/>
          <w:iCs/>
          <w:color w:val="222222"/>
          <w:sz w:val="24"/>
          <w:szCs w:val="24"/>
        </w:rPr>
        <w:t xml:space="preserve">Consolidating Microsoft Dynamics 365 Business Central across 17 RIA Advisory subsidiaries into a governed data lakehouse with an enterprise React application.</w:t>
      </w:r>
    </w:p>
    <w:p>
      <w:pPr>
        <w:spacing w:after="120" w:before="1200"/>
        <w:jc w:val="center"/>
      </w:pPr>
      <w:r>
        <w:rPr>
          <w:rFonts w:ascii="Calibri" w:cs="Calibri" w:eastAsia="Calibri" w:hAnsi="Calibri"/>
          <w:color w:val="666666"/>
          <w:sz w:val="20"/>
          <w:szCs w:val="20"/>
        </w:rPr>
        <w:t xml:space="preserve">Prepared by</w:t>
      </w:r>
    </w:p>
    <w:p>
      <w:pPr>
        <w:spacing w:after="80"/>
        <w:jc w:val="center"/>
      </w:pPr>
      <w:r>
        <w:rPr>
          <w:rFonts w:ascii="Calibri" w:cs="Calibri" w:eastAsia="Calibri" w:hAnsi="Calibri"/>
          <w:b/>
          <w:bCs/>
          <w:color w:val="222222"/>
          <w:sz w:val="24"/>
          <w:szCs w:val="24"/>
        </w:rPr>
        <w:t xml:space="preserve">Centre of Excellence — Data &amp; Platforms</w:t>
      </w:r>
    </w:p>
    <w:p>
      <w:pPr>
        <w:spacing w:after="80"/>
        <w:jc w:val="center"/>
      </w:pPr>
      <w:r>
        <w:rPr>
          <w:rFonts w:ascii="Calibri" w:cs="Calibri" w:eastAsia="Calibri" w:hAnsi="Calibri"/>
          <w:color w:val="222222"/>
          <w:sz w:val="22"/>
          <w:szCs w:val="22"/>
        </w:rPr>
        <w:t xml:space="preserve">iSource Info Systems</w:t>
      </w:r>
    </w:p>
    <w:p>
      <w:pPr>
        <w:spacing w:after="80"/>
        <w:jc w:val="center"/>
      </w:pPr>
      <w:r>
        <w:rPr>
          <w:rFonts w:ascii="Calibri" w:cs="Calibri" w:eastAsia="Calibri" w:hAnsi="Calibri"/>
          <w:color w:val="666666"/>
          <w:sz w:val="20"/>
          <w:szCs w:val="20"/>
        </w:rPr>
        <w:t xml:space="preserve">Version 1.0  |  Draft for Review</w:t>
      </w:r>
    </w:p>
    <w:p>
      <w:pPr>
        <w:jc w:val="center"/>
      </w:pPr>
      <w:r>
        <w:rPr>
          <w:rFonts w:ascii="Calibri" w:cs="Calibri" w:eastAsia="Calibri" w:hAnsi="Calibri"/>
          <w:color w:val="666666"/>
          <w:sz w:val="20"/>
          <w:szCs w:val="20"/>
        </w:rPr>
        <w:t xml:space="preserve">April 2026</w:t>
      </w:r>
    </w:p>
    <w:p>
      <w:r>
        <w:br w:type="page"/>
      </w:r>
    </w:p>
    <w:p>
      <w:pPr>
        <w:pStyle w:val="Heading1"/>
        <w:spacing w:after="200" w:before="360"/>
      </w:pPr>
      <w:r>
        <w:rPr>
          <w:rFonts w:ascii="Calibri" w:cs="Calibri" w:eastAsia="Calibri" w:hAnsi="Calibri"/>
          <w:b/>
          <w:bCs/>
          <w:color w:val="1F3864"/>
          <w:sz w:val="32"/>
          <w:szCs w:val="32"/>
        </w:rPr>
        <w:t xml:space="preserve">1. Document Control</w:t>
      </w:r>
    </w:p>
    <w:p>
      <w:pPr>
        <w:pStyle w:val="Heading3"/>
        <w:spacing w:after="120" w:before="200"/>
      </w:pPr>
      <w:r>
        <w:rPr>
          <w:rFonts w:ascii="Calibri" w:cs="Calibri" w:eastAsia="Calibri" w:hAnsi="Calibri"/>
          <w:b/>
          <w:bCs/>
          <w:color w:val="2E75B6"/>
          <w:sz w:val="23"/>
          <w:szCs w:val="23"/>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800"/>
        <w:gridCol w:w="396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Version</w:t>
            </w:r>
          </w:p>
        </w:tc>
        <w:tc>
          <w:tcPr>
            <w:tcW w:type="dxa" w:w="1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Date</w:t>
            </w:r>
          </w:p>
        </w:tc>
        <w:tc>
          <w:tcPr>
            <w:tcW w:type="dxa" w:w="2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Author</w:t>
            </w:r>
          </w:p>
        </w:tc>
        <w:tc>
          <w:tcPr>
            <w:tcW w:type="dxa" w:w="3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Summary of Change</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0.1</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Apr 2026</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CoE — Data &amp; Platforms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Initial draft for internal review</w:t>
            </w:r>
          </w:p>
        </w:tc>
      </w:tr>
      <w:tr>
        <w:tc>
          <w:tcPr>
            <w:tcW w:type="dxa" w:w="1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1.0</w:t>
            </w:r>
          </w:p>
        </w:tc>
        <w:tc>
          <w:tcPr>
            <w:tcW w:type="dxa" w:w="1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Apr 2026</w:t>
            </w:r>
          </w:p>
        </w:tc>
        <w:tc>
          <w:tcPr>
            <w:tcW w:type="dxa" w:w="28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CoE — Data &amp; Platforms</w:t>
            </w:r>
          </w:p>
        </w:tc>
        <w:tc>
          <w:tcPr>
            <w:tcW w:type="dxa" w:w="39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Stakeholder distribution copy</w:t>
            </w:r>
          </w:p>
        </w:tc>
      </w:tr>
    </w:tbl>
    <w:p>
      <w:pPr>
        <w:pStyle w:val="Heading3"/>
        <w:spacing w:after="120" w:before="200"/>
      </w:pPr>
      <w:r>
        <w:rPr>
          <w:rFonts w:ascii="Calibri" w:cs="Calibri" w:eastAsia="Calibri" w:hAnsi="Calibri"/>
          <w:b/>
          <w:bCs/>
          <w:color w:val="2E75B6"/>
          <w:sz w:val="23"/>
          <w:szCs w:val="23"/>
        </w:rPr>
        <w:t xml:space="preserve">Reviewers &amp; Approvers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Role</w:t>
            </w:r>
          </w:p>
        </w:tc>
        <w:tc>
          <w:tcPr>
            <w:tcW w:type="dxa" w:w="2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Name</w:t>
            </w:r>
          </w:p>
        </w:tc>
        <w:tc>
          <w:tcPr>
            <w:tcW w:type="dxa" w:w="3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Responsibility</w:t>
            </w:r>
          </w:p>
        </w:tc>
      </w:tr>
      <w:tr>
        <w:tc>
          <w:tcPr>
            <w:tcW w:type="dxa" w:w="2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Executive Sponsor</w:t>
            </w:r>
          </w:p>
        </w:tc>
        <w:tc>
          <w:tcPr>
            <w:tcW w:type="dxa" w:w="2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CFO, RIA Advisory</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Funding &amp; business outcome owner</w:t>
            </w:r>
          </w:p>
        </w:tc>
      </w:tr>
      <w:tr>
        <w:tc>
          <w:tcPr>
            <w:tcW w:type="dxa" w:w="27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VP, Centre of Excellence</w:t>
            </w:r>
          </w:p>
        </w:tc>
        <w:tc>
          <w:tcPr>
            <w:tcW w:type="dxa" w:w="27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Program Owner</w:t>
            </w:r>
          </w:p>
        </w:tc>
        <w:tc>
          <w:tcPr>
            <w:tcW w:type="dxa" w:w="39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Delivery accountability &amp; architecture sign-off</w:t>
            </w:r>
          </w:p>
        </w:tc>
      </w:tr>
      <w:tr>
        <w:tc>
          <w:tcPr>
            <w:tcW w:type="dxa" w:w="2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Head of Finance Operations</w:t>
            </w:r>
          </w:p>
        </w:tc>
        <w:tc>
          <w:tcPr>
            <w:tcW w:type="dxa" w:w="2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Business Owner</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Functional scope &amp; UAT</w:t>
            </w:r>
          </w:p>
        </w:tc>
      </w:tr>
      <w:tr>
        <w:tc>
          <w:tcPr>
            <w:tcW w:type="dxa" w:w="27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Chief Compliance Officer</w:t>
            </w:r>
          </w:p>
        </w:tc>
        <w:tc>
          <w:tcPr>
            <w:tcW w:type="dxa" w:w="27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Reviewer</w:t>
            </w:r>
          </w:p>
        </w:tc>
        <w:tc>
          <w:tcPr>
            <w:tcW w:type="dxa" w:w="39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SEC/FINRA, books &amp; records, privacy</w:t>
            </w:r>
          </w:p>
        </w:tc>
      </w:tr>
      <w:tr>
        <w:tc>
          <w:tcPr>
            <w:tcW w:type="dxa" w:w="2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CISO / Head of InfoSec</w:t>
            </w:r>
          </w:p>
        </w:tc>
        <w:tc>
          <w:tcPr>
            <w:tcW w:type="dxa" w:w="2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Reviewer</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Security architecture &amp; data residency</w:t>
            </w:r>
          </w:p>
        </w:tc>
      </w:tr>
      <w:tr>
        <w:tc>
          <w:tcPr>
            <w:tcW w:type="dxa" w:w="27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Subsidiary Controllers (×17)</w:t>
            </w:r>
          </w:p>
        </w:tc>
        <w:tc>
          <w:tcPr>
            <w:tcW w:type="dxa" w:w="27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Stakeholders</w:t>
            </w:r>
          </w:p>
        </w:tc>
        <w:tc>
          <w:tcPr>
            <w:tcW w:type="dxa" w:w="39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Data quality, source system access</w:t>
            </w:r>
          </w:p>
        </w:tc>
      </w:tr>
    </w:tbl>
    <w:p>
      <w:r>
        <w:br w:type="page"/>
      </w:r>
    </w:p>
    <w:p>
      <w:pPr>
        <w:pStyle w:val="Heading1"/>
        <w:spacing w:after="200" w:before="360"/>
      </w:pPr>
      <w:r>
        <w:rPr>
          <w:rFonts w:ascii="Calibri" w:cs="Calibri" w:eastAsia="Calibri" w:hAnsi="Calibri"/>
          <w:b/>
          <w:bCs/>
          <w:color w:val="1F3864"/>
          <w:sz w:val="32"/>
          <w:szCs w:val="32"/>
        </w:rPr>
        <w:t xml:space="preserve">2. Executive Summary</w:t>
      </w:r>
    </w:p>
    <w:p>
      <w:pPr>
        <w:spacing w:after="120"/>
      </w:pPr>
      <w:r>
        <w:rPr>
          <w:rFonts w:ascii="Calibri" w:cs="Calibri" w:eastAsia="Calibri" w:hAnsi="Calibri"/>
          <w:color w:val="222222"/>
          <w:sz w:val="22"/>
          <w:szCs w:val="22"/>
        </w:rPr>
        <w:t xml:space="preserve">RIA Advisory operates through 17 wholly-owned or majority-held subsidiaries, each running an independent tenant of Microsoft Dynamics 365 Business Central for general ledger, accounts payable, accounts receivable, billing, and sub-ledger accounting. While this federated model preserves subsidiary autonomy and simplifies onboarding of acquired firms, it prevents the parent entity from obtaining a trusted, timely, and comparable view of revenue, margin, client fee economics, and cash position across the group.</w:t>
      </w:r>
    </w:p>
    <w:p>
      <w:pPr>
        <w:spacing w:after="120"/>
      </w:pPr>
      <w:r>
        <w:rPr>
          <w:rFonts w:ascii="Calibri" w:cs="Calibri" w:eastAsia="Calibri" w:hAnsi="Calibri"/>
          <w:color w:val="222222"/>
          <w:sz w:val="22"/>
          <w:szCs w:val="22"/>
        </w:rPr>
        <w:t xml:space="preserve">This document defines the requirements for the Unified Financial Intelligence Platform (UFIP) — a governed data lakehouse that ingests data from all 17 Business Central tenants on a scheduled and event-driven basis, harmonises it into a conformed financial model, and exposes it through a secure, role-aware React application for executives, finance operations, and subsidiary leaders.</w:t>
      </w:r>
    </w:p>
    <w:p>
      <w:pPr>
        <w:spacing w:after="120"/>
      </w:pPr>
      <w:r>
        <w:rPr>
          <w:rFonts w:ascii="Calibri" w:cs="Calibri" w:eastAsia="Calibri" w:hAnsi="Calibri"/>
          <w:color w:val="222222"/>
          <w:sz w:val="22"/>
          <w:szCs w:val="22"/>
        </w:rPr>
        <w:t xml:space="preserve">The platform is designed to be enterprise-grade from day one: Azure-native, audit-ready for SEC Investment Advisers Act recordkeeping (Rule 204-2) and Reg S-P obligations, resilient to subsidiary-level change, and extensible to adjacent source systems (CRM, portfolio accounting, HRIS) in subsequent phases.</w:t>
      </w:r>
    </w:p>
    <w:p>
      <w:pPr>
        <w:pStyle w:val="Heading3"/>
        <w:spacing w:after="120" w:before="200"/>
      </w:pPr>
      <w:r>
        <w:rPr>
          <w:rFonts w:ascii="Calibri" w:cs="Calibri" w:eastAsia="Calibri" w:hAnsi="Calibri"/>
          <w:b/>
          <w:bCs/>
          <w:color w:val="2E75B6"/>
          <w:sz w:val="23"/>
          <w:szCs w:val="23"/>
        </w:rPr>
        <w:t xml:space="preserve">Headline Outcomes</w:t>
      </w:r>
    </w:p>
    <w:p>
      <w:pPr>
        <w:pStyle w:val="ListParagraph"/>
        <w:numPr>
          <w:ilvl w:val="0"/>
          <w:numId w:val="2"/>
        </w:numPr>
        <w:spacing w:after="80"/>
      </w:pPr>
      <w:r>
        <w:rPr>
          <w:rFonts w:ascii="Calibri" w:cs="Calibri" w:eastAsia="Calibri" w:hAnsi="Calibri"/>
          <w:color w:val="222222"/>
          <w:sz w:val="22"/>
          <w:szCs w:val="22"/>
        </w:rPr>
        <w:t xml:space="preserve">Single source of truth for consolidated P&amp;L, balance sheet, and management KPIs across 17 entities, refreshed at minimum twice daily.</w:t>
      </w:r>
    </w:p>
    <w:p>
      <w:pPr>
        <w:pStyle w:val="ListParagraph"/>
        <w:numPr>
          <w:ilvl w:val="0"/>
          <w:numId w:val="2"/>
        </w:numPr>
        <w:spacing w:after="80"/>
      </w:pPr>
      <w:r>
        <w:rPr>
          <w:rFonts w:ascii="Calibri" w:cs="Calibri" w:eastAsia="Calibri" w:hAnsi="Calibri"/>
          <w:color w:val="222222"/>
          <w:sz w:val="22"/>
          <w:szCs w:val="22"/>
        </w:rPr>
        <w:t xml:space="preserve">Reduction of month-end close consolidation effort from an estimated 8–10 business days to under 3 business days.</w:t>
      </w:r>
    </w:p>
    <w:p>
      <w:pPr>
        <w:pStyle w:val="ListParagraph"/>
        <w:numPr>
          <w:ilvl w:val="0"/>
          <w:numId w:val="2"/>
        </w:numPr>
        <w:spacing w:after="80"/>
      </w:pPr>
      <w:r>
        <w:rPr>
          <w:rFonts w:ascii="Calibri" w:cs="Calibri" w:eastAsia="Calibri" w:hAnsi="Calibri"/>
          <w:color w:val="222222"/>
          <w:sz w:val="22"/>
          <w:szCs w:val="22"/>
        </w:rPr>
        <w:t xml:space="preserve">Elimination of manual Excel-based roll-ups and the operational and compliance risk they carry.</w:t>
      </w:r>
    </w:p>
    <w:p>
      <w:pPr>
        <w:pStyle w:val="ListParagraph"/>
        <w:numPr>
          <w:ilvl w:val="0"/>
          <w:numId w:val="2"/>
        </w:numPr>
        <w:spacing w:after="80"/>
      </w:pPr>
      <w:r>
        <w:rPr>
          <w:rFonts w:ascii="Calibri" w:cs="Calibri" w:eastAsia="Calibri" w:hAnsi="Calibri"/>
          <w:color w:val="222222"/>
          <w:sz w:val="22"/>
          <w:szCs w:val="22"/>
        </w:rPr>
        <w:t xml:space="preserve">Foundation for AI/ML use cases — anomaly detection in GL postings, revenue forecasting, client-cohort profitability — enabled by a curated, governed data asset.</w:t>
      </w:r>
    </w:p>
    <w:p>
      <w:r>
        <w:br w:type="page"/>
      </w:r>
    </w:p>
    <w:p>
      <w:pPr>
        <w:pStyle w:val="Heading1"/>
        <w:spacing w:after="200" w:before="360"/>
      </w:pPr>
      <w:r>
        <w:rPr>
          <w:rFonts w:ascii="Calibri" w:cs="Calibri" w:eastAsia="Calibri" w:hAnsi="Calibri"/>
          <w:b/>
          <w:bCs/>
          <w:color w:val="1F3864"/>
          <w:sz w:val="32"/>
          <w:szCs w:val="32"/>
        </w:rPr>
        <w:t xml:space="preserve">3. Business Context &amp; Problem Statement</w:t>
      </w:r>
    </w:p>
    <w:p>
      <w:pPr>
        <w:pStyle w:val="Heading3"/>
        <w:spacing w:after="120" w:before="200"/>
      </w:pPr>
      <w:r>
        <w:rPr>
          <w:rFonts w:ascii="Calibri" w:cs="Calibri" w:eastAsia="Calibri" w:hAnsi="Calibri"/>
          <w:b/>
          <w:bCs/>
          <w:color w:val="2E75B6"/>
          <w:sz w:val="23"/>
          <w:szCs w:val="23"/>
        </w:rPr>
        <w:t xml:space="preserve">3.1  Current State</w:t>
      </w:r>
    </w:p>
    <w:p>
      <w:pPr>
        <w:spacing w:after="120"/>
      </w:pPr>
      <w:r>
        <w:rPr>
          <w:rFonts w:ascii="Calibri" w:cs="Calibri" w:eastAsia="Calibri" w:hAnsi="Calibri"/>
          <w:color w:val="222222"/>
          <w:sz w:val="22"/>
          <w:szCs w:val="22"/>
        </w:rPr>
        <w:t xml:space="preserve">Each of the 17 subsidiaries operates an independent Business Central tenant with its own chart of accounts, dimension structure, fiscal calendar alignment, and posting conventions. Consolidated reporting today is produced through a monthly Excel-based process: subsidiary controllers export trial balances and sub-ledger detail, email them to the group finance team, and a small team performs manual mapping, elimination, and aggregation in workbooks.</w:t>
      </w:r>
    </w:p>
    <w:p>
      <w:pPr>
        <w:pStyle w:val="Heading3"/>
        <w:spacing w:after="120" w:before="200"/>
      </w:pPr>
      <w:r>
        <w:rPr>
          <w:rFonts w:ascii="Calibri" w:cs="Calibri" w:eastAsia="Calibri" w:hAnsi="Calibri"/>
          <w:b/>
          <w:bCs/>
          <w:color w:val="2E75B6"/>
          <w:sz w:val="23"/>
          <w:szCs w:val="23"/>
        </w:rPr>
        <w:t xml:space="preserve">3.2  Pain Points</w:t>
      </w:r>
    </w:p>
    <w:p>
      <w:pPr>
        <w:pStyle w:val="ListParagraph"/>
        <w:numPr>
          <w:ilvl w:val="0"/>
          <w:numId w:val="2"/>
        </w:numPr>
        <w:spacing w:after="80"/>
      </w:pPr>
      <w:r>
        <w:rPr>
          <w:rFonts w:ascii="Calibri" w:cs="Calibri" w:eastAsia="Calibri" w:hAnsi="Calibri"/>
          <w:color w:val="222222"/>
          <w:sz w:val="22"/>
          <w:szCs w:val="22"/>
        </w:rPr>
        <w:t xml:space="preserve">Latency: leadership has no ability to see group-level performance between month-end cycles.</w:t>
      </w:r>
    </w:p>
    <w:p>
      <w:pPr>
        <w:pStyle w:val="ListParagraph"/>
        <w:numPr>
          <w:ilvl w:val="0"/>
          <w:numId w:val="2"/>
        </w:numPr>
        <w:spacing w:after="80"/>
      </w:pPr>
      <w:r>
        <w:rPr>
          <w:rFonts w:ascii="Calibri" w:cs="Calibri" w:eastAsia="Calibri" w:hAnsi="Calibri"/>
          <w:color w:val="222222"/>
          <w:sz w:val="22"/>
          <w:szCs w:val="22"/>
        </w:rPr>
        <w:t xml:space="preserve">Comparability: non-standard chart of accounts, dimension taxonomies, and customer master data across subsidiaries make cross-entity comparison unreliable.</w:t>
      </w:r>
    </w:p>
    <w:p>
      <w:pPr>
        <w:pStyle w:val="ListParagraph"/>
        <w:numPr>
          <w:ilvl w:val="0"/>
          <w:numId w:val="2"/>
        </w:numPr>
        <w:spacing w:after="80"/>
      </w:pPr>
      <w:r>
        <w:rPr>
          <w:rFonts w:ascii="Calibri" w:cs="Calibri" w:eastAsia="Calibri" w:hAnsi="Calibri"/>
          <w:color w:val="222222"/>
          <w:sz w:val="22"/>
          <w:szCs w:val="22"/>
        </w:rPr>
        <w:t xml:space="preserve">Auditability: manual spreadsheet consolidation fails to meet the spirit of Rule 204-2 books-and-records expectations for traceability from source to report.</w:t>
      </w:r>
    </w:p>
    <w:p>
      <w:pPr>
        <w:pStyle w:val="ListParagraph"/>
        <w:numPr>
          <w:ilvl w:val="0"/>
          <w:numId w:val="2"/>
        </w:numPr>
        <w:spacing w:after="80"/>
      </w:pPr>
      <w:r>
        <w:rPr>
          <w:rFonts w:ascii="Calibri" w:cs="Calibri" w:eastAsia="Calibri" w:hAnsi="Calibri"/>
          <w:color w:val="222222"/>
          <w:sz w:val="22"/>
          <w:szCs w:val="22"/>
        </w:rPr>
        <w:t xml:space="preserve">Scalability: adding the next acquired firm compounds manual effort linearly; the model does not scale to the firm's stated growth trajectory.</w:t>
      </w:r>
    </w:p>
    <w:p>
      <w:pPr>
        <w:pStyle w:val="ListParagraph"/>
        <w:numPr>
          <w:ilvl w:val="0"/>
          <w:numId w:val="2"/>
        </w:numPr>
        <w:spacing w:after="80"/>
      </w:pPr>
      <w:r>
        <w:rPr>
          <w:rFonts w:ascii="Calibri" w:cs="Calibri" w:eastAsia="Calibri" w:hAnsi="Calibri"/>
          <w:color w:val="222222"/>
          <w:sz w:val="22"/>
          <w:szCs w:val="22"/>
        </w:rPr>
        <w:t xml:space="preserve">Analytics: absence of a governed analytical store blocks any investment in BI, forecasting, or AI-driven insight.</w:t>
      </w:r>
    </w:p>
    <w:p>
      <w:pPr>
        <w:pStyle w:val="Heading3"/>
        <w:spacing w:after="120" w:before="200"/>
      </w:pPr>
      <w:r>
        <w:rPr>
          <w:rFonts w:ascii="Calibri" w:cs="Calibri" w:eastAsia="Calibri" w:hAnsi="Calibri"/>
          <w:b/>
          <w:bCs/>
          <w:color w:val="2E75B6"/>
          <w:sz w:val="23"/>
          <w:szCs w:val="23"/>
        </w:rPr>
        <w:t xml:space="preserve">3.3  Target State</w:t>
      </w:r>
    </w:p>
    <w:p>
      <w:pPr>
        <w:spacing w:after="120"/>
      </w:pPr>
      <w:r>
        <w:rPr>
          <w:rFonts w:ascii="Calibri" w:cs="Calibri" w:eastAsia="Calibri" w:hAnsi="Calibri"/>
          <w:color w:val="222222"/>
          <w:sz w:val="22"/>
          <w:szCs w:val="22"/>
        </w:rPr>
        <w:t xml:space="preserve">A single governed platform that ingests Business Central data from each subsidiary automatically, harmonises it into a conformed model using a canonical chart of accounts and dimension framework, applies inter-company eliminations through rule-based logic, and serves curated data products via APIs and a React application tailored to four primary personas. The platform is built on Azure Data Lake Storage Gen2 with Delta Lake table format, orchestrated through Azure Data Factory and/or Databricks Workflows, with Unity Catalog as the governance plane.</w:t>
      </w:r>
    </w:p>
    <w:p>
      <w:r>
        <w:br w:type="page"/>
      </w:r>
    </w:p>
    <w:p>
      <w:pPr>
        <w:pStyle w:val="Heading1"/>
        <w:spacing w:after="200" w:before="360"/>
      </w:pPr>
      <w:r>
        <w:rPr>
          <w:rFonts w:ascii="Calibri" w:cs="Calibri" w:eastAsia="Calibri" w:hAnsi="Calibri"/>
          <w:b/>
          <w:bCs/>
          <w:color w:val="1F3864"/>
          <w:sz w:val="32"/>
          <w:szCs w:val="32"/>
        </w:rPr>
        <w:t xml:space="preserve">4. Objectives &amp; Success Metrics</w:t>
      </w:r>
    </w:p>
    <w:p>
      <w:pPr>
        <w:pStyle w:val="Heading3"/>
        <w:spacing w:after="120" w:before="200"/>
      </w:pPr>
      <w:r>
        <w:rPr>
          <w:rFonts w:ascii="Calibri" w:cs="Calibri" w:eastAsia="Calibri" w:hAnsi="Calibri"/>
          <w:b/>
          <w:bCs/>
          <w:color w:val="2E75B6"/>
          <w:sz w:val="23"/>
          <w:szCs w:val="23"/>
        </w:rPr>
        <w:t xml:space="preserve">4.1  Strategic Objectives</w:t>
      </w:r>
    </w:p>
    <w:p>
      <w:pPr>
        <w:pStyle w:val="ListParagraph"/>
        <w:numPr>
          <w:ilvl w:val="0"/>
          <w:numId w:val="2"/>
        </w:numPr>
        <w:spacing w:after="80"/>
      </w:pPr>
      <w:r>
        <w:rPr>
          <w:rFonts w:ascii="Calibri" w:cs="Calibri" w:eastAsia="Calibri" w:hAnsi="Calibri"/>
          <w:color w:val="222222"/>
          <w:sz w:val="22"/>
          <w:szCs w:val="22"/>
        </w:rPr>
        <w:t xml:space="preserve">Establish a single, authoritative, audit-ready financial data platform for the RIA Advisory group.</w:t>
      </w:r>
    </w:p>
    <w:p>
      <w:pPr>
        <w:pStyle w:val="ListParagraph"/>
        <w:numPr>
          <w:ilvl w:val="0"/>
          <w:numId w:val="2"/>
        </w:numPr>
        <w:spacing w:after="80"/>
      </w:pPr>
      <w:r>
        <w:rPr>
          <w:rFonts w:ascii="Calibri" w:cs="Calibri" w:eastAsia="Calibri" w:hAnsi="Calibri"/>
          <w:color w:val="222222"/>
          <w:sz w:val="22"/>
          <w:szCs w:val="22"/>
        </w:rPr>
        <w:t xml:space="preserve">Enable near-real-time visibility into group performance for the CEO, CFO, and board.</w:t>
      </w:r>
    </w:p>
    <w:p>
      <w:pPr>
        <w:pStyle w:val="ListParagraph"/>
        <w:numPr>
          <w:ilvl w:val="0"/>
          <w:numId w:val="2"/>
        </w:numPr>
        <w:spacing w:after="80"/>
      </w:pPr>
      <w:r>
        <w:rPr>
          <w:rFonts w:ascii="Calibri" w:cs="Calibri" w:eastAsia="Calibri" w:hAnsi="Calibri"/>
          <w:color w:val="222222"/>
          <w:sz w:val="22"/>
          <w:szCs w:val="22"/>
        </w:rPr>
        <w:t xml:space="preserve">Reduce the unit cost and cycle time of consolidated reporting as the group scales through acquisition.</w:t>
      </w:r>
    </w:p>
    <w:p>
      <w:pPr>
        <w:pStyle w:val="ListParagraph"/>
        <w:numPr>
          <w:ilvl w:val="0"/>
          <w:numId w:val="2"/>
        </w:numPr>
        <w:spacing w:after="80"/>
      </w:pPr>
      <w:r>
        <w:rPr>
          <w:rFonts w:ascii="Calibri" w:cs="Calibri" w:eastAsia="Calibri" w:hAnsi="Calibri"/>
          <w:color w:val="222222"/>
          <w:sz w:val="22"/>
          <w:szCs w:val="22"/>
        </w:rPr>
        <w:t xml:space="preserve">Lay the groundwork for forward-looking analytics: forecasting, scenario modelling, and ML-driven insight.</w:t>
      </w:r>
    </w:p>
    <w:p>
      <w:pPr>
        <w:pStyle w:val="Heading3"/>
        <w:spacing w:after="120" w:before="200"/>
      </w:pPr>
      <w:r>
        <w:rPr>
          <w:rFonts w:ascii="Calibri" w:cs="Calibri" w:eastAsia="Calibri" w:hAnsi="Calibri"/>
          <w:b/>
          <w:bCs/>
          <w:color w:val="2E75B6"/>
          <w:sz w:val="23"/>
          <w:szCs w:val="23"/>
        </w:rPr>
        <w:t xml:space="preserve">4.2  Success Metrics (North-Star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KPI</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Baseline</w:t>
            </w:r>
          </w:p>
        </w:tc>
        <w:tc>
          <w:tcPr>
            <w:tcW w:type="dxa" w:w="2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Target (12 months post-GA)</w:t>
            </w:r>
          </w:p>
        </w:tc>
      </w:tr>
      <w:tr>
        <w:tc>
          <w:tcPr>
            <w:tcW w:type="dxa" w:w="4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Consolidated close cycle (business days)</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8–10</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 3</w:t>
            </w:r>
          </w:p>
        </w:tc>
      </w:tr>
      <w:tr>
        <w:tc>
          <w:tcPr>
            <w:tcW w:type="dxa" w:w="4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Data freshness (subsidiary → lake)</w:t>
            </w:r>
          </w:p>
        </w:tc>
        <w:tc>
          <w:tcPr>
            <w:tcW w:type="dxa" w:w="2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Monthly</w:t>
            </w:r>
          </w:p>
        </w:tc>
        <w:tc>
          <w:tcPr>
            <w:tcW w:type="dxa" w:w="27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 6 hours (twice-daily full; hourly CDC)</w:t>
            </w:r>
          </w:p>
        </w:tc>
      </w:tr>
      <w:tr>
        <w:tc>
          <w:tcPr>
            <w:tcW w:type="dxa" w:w="4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Manual consolidation effort (FTE hours / month)</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~180</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 40</w:t>
            </w:r>
          </w:p>
        </w:tc>
      </w:tr>
      <w:tr>
        <w:tc>
          <w:tcPr>
            <w:tcW w:type="dxa" w:w="4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Reporting reconciliation variance vs. source GL</w:t>
            </w:r>
          </w:p>
        </w:tc>
        <w:tc>
          <w:tcPr>
            <w:tcW w:type="dxa" w:w="2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Unmeasured</w:t>
            </w:r>
          </w:p>
        </w:tc>
        <w:tc>
          <w:tcPr>
            <w:tcW w:type="dxa" w:w="27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&lt; 0.25% absolute</w:t>
            </w:r>
          </w:p>
        </w:tc>
      </w:tr>
      <w:tr>
        <w:tc>
          <w:tcPr>
            <w:tcW w:type="dxa" w:w="4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Subsidiary onboarding time (acquisition → live on platform)</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Not defined</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 30 calendar days</w:t>
            </w:r>
          </w:p>
        </w:tc>
      </w:tr>
      <w:tr>
        <w:tc>
          <w:tcPr>
            <w:tcW w:type="dxa" w:w="4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Platform availability (business hours)</w:t>
            </w:r>
          </w:p>
        </w:tc>
        <w:tc>
          <w:tcPr>
            <w:tcW w:type="dxa" w:w="2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N/A</w:t>
            </w:r>
          </w:p>
        </w:tc>
        <w:tc>
          <w:tcPr>
            <w:tcW w:type="dxa" w:w="27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99.9%</w:t>
            </w:r>
          </w:p>
        </w:tc>
      </w:tr>
      <w:tr>
        <w:tc>
          <w:tcPr>
            <w:tcW w:type="dxa" w:w="4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Critical data quality rule pass rate</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N/A</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 99.5%</w:t>
            </w:r>
          </w:p>
        </w:tc>
      </w:tr>
    </w:tbl>
    <w:p>
      <w:r>
        <w:br w:type="page"/>
      </w:r>
    </w:p>
    <w:p>
      <w:pPr>
        <w:pStyle w:val="Heading1"/>
        <w:spacing w:after="200" w:before="360"/>
      </w:pPr>
      <w:r>
        <w:rPr>
          <w:rFonts w:ascii="Calibri" w:cs="Calibri" w:eastAsia="Calibri" w:hAnsi="Calibri"/>
          <w:b/>
          <w:bCs/>
          <w:color w:val="1F3864"/>
          <w:sz w:val="32"/>
          <w:szCs w:val="32"/>
        </w:rPr>
        <w:t xml:space="preserve">5. Scope</w:t>
      </w:r>
    </w:p>
    <w:p>
      <w:pPr>
        <w:pStyle w:val="Heading3"/>
        <w:spacing w:after="120" w:before="200"/>
      </w:pPr>
      <w:r>
        <w:rPr>
          <w:rFonts w:ascii="Calibri" w:cs="Calibri" w:eastAsia="Calibri" w:hAnsi="Calibri"/>
          <w:b/>
          <w:bCs/>
          <w:color w:val="2E75B6"/>
          <w:sz w:val="23"/>
          <w:szCs w:val="23"/>
        </w:rPr>
        <w:t xml:space="preserve">5.1  In Scope</w:t>
      </w:r>
    </w:p>
    <w:p>
      <w:pPr>
        <w:pStyle w:val="ListParagraph"/>
        <w:numPr>
          <w:ilvl w:val="0"/>
          <w:numId w:val="2"/>
        </w:numPr>
        <w:spacing w:after="80"/>
      </w:pPr>
      <w:r>
        <w:rPr>
          <w:rFonts w:ascii="Calibri" w:cs="Calibri" w:eastAsia="Calibri" w:hAnsi="Calibri"/>
          <w:color w:val="222222"/>
          <w:sz w:val="22"/>
          <w:szCs w:val="22"/>
        </w:rPr>
        <w:t xml:space="preserve">Integration with all 17 subsidiary Business Central tenants (SaaS; on-prem tenants, if any, handled via gateway).</w:t>
      </w:r>
    </w:p>
    <w:p>
      <w:pPr>
        <w:pStyle w:val="ListParagraph"/>
        <w:numPr>
          <w:ilvl w:val="0"/>
          <w:numId w:val="2"/>
        </w:numPr>
        <w:spacing w:after="80"/>
      </w:pPr>
      <w:r>
        <w:rPr>
          <w:rFonts w:ascii="Calibri" w:cs="Calibri" w:eastAsia="Calibri" w:hAnsi="Calibri"/>
          <w:color w:val="222222"/>
          <w:sz w:val="22"/>
          <w:szCs w:val="22"/>
        </w:rPr>
        <w:t xml:space="preserve">Ingestion of the following Business Central entities: General Ledger Entries, Chart of Accounts, Dimensions &amp; Dimension Values, Customers, Vendors, Items, Sales Invoices &amp; Lines, Purchase Invoices &amp; Lines, Bank Accounts, Bank Account Ledger Entries, Fixed Assets, and Currency/Exchange Rates.</w:t>
      </w:r>
    </w:p>
    <w:p>
      <w:pPr>
        <w:pStyle w:val="ListParagraph"/>
        <w:numPr>
          <w:ilvl w:val="0"/>
          <w:numId w:val="2"/>
        </w:numPr>
        <w:spacing w:after="80"/>
      </w:pPr>
      <w:r>
        <w:rPr>
          <w:rFonts w:ascii="Calibri" w:cs="Calibri" w:eastAsia="Calibri" w:hAnsi="Calibri"/>
          <w:color w:val="222222"/>
          <w:sz w:val="22"/>
          <w:szCs w:val="22"/>
        </w:rPr>
        <w:t xml:space="preserve">A governed data lakehouse with bronze (raw), silver (conformed), and gold (consumption) zones.</w:t>
      </w:r>
    </w:p>
    <w:p>
      <w:pPr>
        <w:pStyle w:val="ListParagraph"/>
        <w:numPr>
          <w:ilvl w:val="0"/>
          <w:numId w:val="2"/>
        </w:numPr>
        <w:spacing w:after="80"/>
      </w:pPr>
      <w:r>
        <w:rPr>
          <w:rFonts w:ascii="Calibri" w:cs="Calibri" w:eastAsia="Calibri" w:hAnsi="Calibri"/>
          <w:color w:val="222222"/>
          <w:sz w:val="22"/>
          <w:szCs w:val="22"/>
        </w:rPr>
        <w:t xml:space="preserve">Canonical chart of accounts and dimension mapping layer, owned by group finance.</w:t>
      </w:r>
    </w:p>
    <w:p>
      <w:pPr>
        <w:pStyle w:val="ListParagraph"/>
        <w:numPr>
          <w:ilvl w:val="0"/>
          <w:numId w:val="2"/>
        </w:numPr>
        <w:spacing w:after="80"/>
      </w:pPr>
      <w:r>
        <w:rPr>
          <w:rFonts w:ascii="Calibri" w:cs="Calibri" w:eastAsia="Calibri" w:hAnsi="Calibri"/>
          <w:color w:val="222222"/>
          <w:sz w:val="22"/>
          <w:szCs w:val="22"/>
        </w:rPr>
        <w:t xml:space="preserve">Inter-company elimination engine with configurable rules.</w:t>
      </w:r>
    </w:p>
    <w:p>
      <w:pPr>
        <w:pStyle w:val="ListParagraph"/>
        <w:numPr>
          <w:ilvl w:val="0"/>
          <w:numId w:val="2"/>
        </w:numPr>
        <w:spacing w:after="80"/>
      </w:pPr>
      <w:r>
        <w:rPr>
          <w:rFonts w:ascii="Calibri" w:cs="Calibri" w:eastAsia="Calibri" w:hAnsi="Calibri"/>
          <w:color w:val="222222"/>
          <w:sz w:val="22"/>
          <w:szCs w:val="22"/>
        </w:rPr>
        <w:t xml:space="preserve">A React-based web application for the four primary personas defined in §6.</w:t>
      </w:r>
    </w:p>
    <w:p>
      <w:pPr>
        <w:pStyle w:val="ListParagraph"/>
        <w:numPr>
          <w:ilvl w:val="0"/>
          <w:numId w:val="2"/>
        </w:numPr>
        <w:spacing w:after="80"/>
      </w:pPr>
      <w:r>
        <w:rPr>
          <w:rFonts w:ascii="Calibri" w:cs="Calibri" w:eastAsia="Calibri" w:hAnsi="Calibri"/>
          <w:color w:val="222222"/>
          <w:sz w:val="22"/>
          <w:szCs w:val="22"/>
        </w:rPr>
        <w:t xml:space="preserve">Role-based access control with row-level security by legal entity.</w:t>
      </w:r>
    </w:p>
    <w:p>
      <w:pPr>
        <w:pStyle w:val="ListParagraph"/>
        <w:numPr>
          <w:ilvl w:val="0"/>
          <w:numId w:val="2"/>
        </w:numPr>
        <w:spacing w:after="80"/>
      </w:pPr>
      <w:r>
        <w:rPr>
          <w:rFonts w:ascii="Calibri" w:cs="Calibri" w:eastAsia="Calibri" w:hAnsi="Calibri"/>
          <w:color w:val="222222"/>
          <w:sz w:val="22"/>
          <w:szCs w:val="22"/>
        </w:rPr>
        <w:t xml:space="preserve">Audit logging sufficient to support SEC Rule 204-2 and internal SOX-equivalent controls.</w:t>
      </w:r>
    </w:p>
    <w:p>
      <w:pPr>
        <w:pStyle w:val="Heading3"/>
        <w:spacing w:after="120" w:before="200"/>
      </w:pPr>
      <w:r>
        <w:rPr>
          <w:rFonts w:ascii="Calibri" w:cs="Calibri" w:eastAsia="Calibri" w:hAnsi="Calibri"/>
          <w:b/>
          <w:bCs/>
          <w:color w:val="2E75B6"/>
          <w:sz w:val="23"/>
          <w:szCs w:val="23"/>
        </w:rPr>
        <w:t xml:space="preserve">5.2  Out of Scope (Phase 1)</w:t>
      </w:r>
    </w:p>
    <w:p>
      <w:pPr>
        <w:pStyle w:val="ListParagraph"/>
        <w:numPr>
          <w:ilvl w:val="0"/>
          <w:numId w:val="2"/>
        </w:numPr>
        <w:spacing w:after="80"/>
      </w:pPr>
      <w:r>
        <w:rPr>
          <w:rFonts w:ascii="Calibri" w:cs="Calibri" w:eastAsia="Calibri" w:hAnsi="Calibri"/>
          <w:color w:val="222222"/>
          <w:sz w:val="22"/>
          <w:szCs w:val="22"/>
        </w:rPr>
        <w:t xml:space="preserve">Ingestion from non-BC systems (CRM, portfolio accounting, custodial feeds, payroll). Planned for Phase 2.</w:t>
      </w:r>
    </w:p>
    <w:p>
      <w:pPr>
        <w:pStyle w:val="ListParagraph"/>
        <w:numPr>
          <w:ilvl w:val="0"/>
          <w:numId w:val="2"/>
        </w:numPr>
        <w:spacing w:after="80"/>
      </w:pPr>
      <w:r>
        <w:rPr>
          <w:rFonts w:ascii="Calibri" w:cs="Calibri" w:eastAsia="Calibri" w:hAnsi="Calibri"/>
          <w:color w:val="222222"/>
          <w:sz w:val="22"/>
          <w:szCs w:val="22"/>
        </w:rPr>
        <w:t xml:space="preserve">Write-back from the platform into Business Central. Platform is read-only with respect to source systems.</w:t>
      </w:r>
    </w:p>
    <w:p>
      <w:pPr>
        <w:pStyle w:val="ListParagraph"/>
        <w:numPr>
          <w:ilvl w:val="0"/>
          <w:numId w:val="2"/>
        </w:numPr>
        <w:spacing w:after="80"/>
      </w:pPr>
      <w:r>
        <w:rPr>
          <w:rFonts w:ascii="Calibri" w:cs="Calibri" w:eastAsia="Calibri" w:hAnsi="Calibri"/>
          <w:color w:val="222222"/>
          <w:sz w:val="22"/>
          <w:szCs w:val="22"/>
        </w:rPr>
        <w:t xml:space="preserve">Statutory filing generation (10-K, Form ADV, etc.); the platform supplies data, not filings.</w:t>
      </w:r>
    </w:p>
    <w:p>
      <w:pPr>
        <w:pStyle w:val="ListParagraph"/>
        <w:numPr>
          <w:ilvl w:val="0"/>
          <w:numId w:val="2"/>
        </w:numPr>
        <w:spacing w:after="80"/>
      </w:pPr>
      <w:r>
        <w:rPr>
          <w:rFonts w:ascii="Calibri" w:cs="Calibri" w:eastAsia="Calibri" w:hAnsi="Calibri"/>
          <w:color w:val="222222"/>
          <w:sz w:val="22"/>
          <w:szCs w:val="22"/>
        </w:rPr>
        <w:t xml:space="preserve">Replacement of subsidiary-level operational reporting; local reports in BC remain the authoritative operational view.</w:t>
      </w:r>
    </w:p>
    <w:p>
      <w:pPr>
        <w:pStyle w:val="ListParagraph"/>
        <w:numPr>
          <w:ilvl w:val="0"/>
          <w:numId w:val="2"/>
        </w:numPr>
        <w:spacing w:after="80"/>
      </w:pPr>
      <w:r>
        <w:rPr>
          <w:rFonts w:ascii="Calibri" w:cs="Calibri" w:eastAsia="Calibri" w:hAnsi="Calibri"/>
          <w:color w:val="222222"/>
          <w:sz w:val="22"/>
          <w:szCs w:val="22"/>
        </w:rPr>
        <w:t xml:space="preserve">Mobile native applications; the React application is responsive web only in Phase 1.</w:t>
      </w:r>
    </w:p>
    <w:p>
      <w:r>
        <w:br w:type="page"/>
      </w:r>
    </w:p>
    <w:p>
      <w:pPr>
        <w:pStyle w:val="Heading1"/>
        <w:spacing w:after="200" w:before="360"/>
      </w:pPr>
      <w:r>
        <w:rPr>
          <w:rFonts w:ascii="Calibri" w:cs="Calibri" w:eastAsia="Calibri" w:hAnsi="Calibri"/>
          <w:b/>
          <w:bCs/>
          <w:color w:val="1F3864"/>
          <w:sz w:val="32"/>
          <w:szCs w:val="32"/>
        </w:rPr>
        <w:t xml:space="preserve">6. Stakeholders &amp;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3300"/>
        <w:gridCol w:w="23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Persona</w:t>
            </w:r>
          </w:p>
        </w:tc>
        <w:tc>
          <w:tcPr>
            <w:tcW w:type="dxa" w:w="1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Role</w:t>
            </w:r>
          </w:p>
        </w:tc>
        <w:tc>
          <w:tcPr>
            <w:tcW w:type="dxa" w:w="33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Primary Needs</w:t>
            </w:r>
          </w:p>
        </w:tc>
        <w:tc>
          <w:tcPr>
            <w:tcW w:type="dxa" w:w="2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Key Screens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Elena — Group CFO</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C-suite</w:t>
            </w:r>
          </w:p>
        </w:tc>
        <w:tc>
          <w:tcPr>
            <w:tcW w:type="dxa" w:w="3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Consolidated P&amp;L, cash position, variance to plan, subsidiary drill-down</w:t>
            </w:r>
          </w:p>
        </w:tc>
        <w:tc>
          <w:tcPr>
            <w:tcW w:type="dxa" w:w="2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Executive dashboard; consolidated financials; variance explorer</w:t>
            </w:r>
          </w:p>
        </w:tc>
      </w:tr>
      <w:tr>
        <w:tc>
          <w:tcPr>
            <w:tcW w:type="dxa" w:w="20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Marcus — Group Controller</w:t>
            </w:r>
          </w:p>
        </w:tc>
        <w:tc>
          <w:tcPr>
            <w:tcW w:type="dxa" w:w="17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Finance operations</w:t>
            </w:r>
          </w:p>
        </w:tc>
        <w:tc>
          <w:tcPr>
            <w:tcW w:type="dxa" w:w="33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Close status tracking, mapping exceptions, elimination controls, audit trail</w:t>
            </w:r>
          </w:p>
        </w:tc>
        <w:tc>
          <w:tcPr>
            <w:tcW w:type="dxa" w:w="23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Close cockpit; mapping workbench; audit log viewer</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Priya — Subsidiary Controller</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Subsidiary finance</w:t>
            </w:r>
          </w:p>
        </w:tc>
        <w:tc>
          <w:tcPr>
            <w:tcW w:type="dxa" w:w="3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Her entity's data quality, intercompany reconciliation, submission status</w:t>
            </w:r>
          </w:p>
        </w:tc>
        <w:tc>
          <w:tcPr>
            <w:tcW w:type="dxa" w:w="2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Entity view; DQ exceptions; IC reconciliation</w:t>
            </w:r>
          </w:p>
        </w:tc>
      </w:tr>
      <w:tr>
        <w:tc>
          <w:tcPr>
            <w:tcW w:type="dxa" w:w="20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Ravi — Head of FP&amp;A</w:t>
            </w:r>
          </w:p>
        </w:tc>
        <w:tc>
          <w:tcPr>
            <w:tcW w:type="dxa" w:w="17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Analytics</w:t>
            </w:r>
          </w:p>
        </w:tc>
        <w:tc>
          <w:tcPr>
            <w:tcW w:type="dxa" w:w="33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Trend analysis, cohort profitability, ad-hoc slicing, data export for modelling</w:t>
            </w:r>
          </w:p>
        </w:tc>
        <w:tc>
          <w:tcPr>
            <w:tcW w:type="dxa" w:w="23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Explorer; custom views; export/API access</w:t>
            </w:r>
          </w:p>
        </w:tc>
      </w:tr>
    </w:tbl>
    <w:p>
      <w:r>
        <w:br w:type="page"/>
      </w:r>
    </w:p>
    <w:p>
      <w:pPr>
        <w:pStyle w:val="Heading1"/>
        <w:spacing w:after="200" w:before="360"/>
      </w:pPr>
      <w:r>
        <w:rPr>
          <w:rFonts w:ascii="Calibri" w:cs="Calibri" w:eastAsia="Calibri" w:hAnsi="Calibri"/>
          <w:b/>
          <w:bCs/>
          <w:color w:val="1F3864"/>
          <w:sz w:val="32"/>
          <w:szCs w:val="32"/>
        </w:rPr>
        <w:t xml:space="preserve">7. Functional Requirements</w:t>
      </w:r>
    </w:p>
    <w:p>
      <w:pPr>
        <w:pStyle w:val="Heading2"/>
        <w:spacing w:after="160" w:before="260"/>
      </w:pPr>
      <w:r>
        <w:rPr>
          <w:rFonts w:ascii="Calibri" w:cs="Calibri" w:eastAsia="Calibri" w:hAnsi="Calibri"/>
          <w:b/>
          <w:bCs/>
          <w:color w:val="1F3864"/>
          <w:sz w:val="26"/>
          <w:szCs w:val="26"/>
        </w:rPr>
        <w:t xml:space="preserve">7.1  Business Central Integration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ID</w:t>
            </w:r>
          </w:p>
        </w:tc>
        <w:tc>
          <w:tcPr>
            <w:tcW w:type="dxa" w:w="6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Priority</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FR-INT-01</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Authenticate to each BC tenant via Entra ID (Azure AD) app registration using OAuth 2.0 client-credentials flow with certificate-based secrets.</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Must</w:t>
            </w:r>
          </w:p>
        </w:tc>
      </w:tr>
      <w:tr>
        <w:tc>
          <w:tcPr>
            <w:tcW w:type="dxa" w:w="1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FR-INT-02</w:t>
            </w:r>
          </w:p>
        </w:tc>
        <w:tc>
          <w:tcPr>
            <w:tcW w:type="dxa" w:w="67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Extract standard BC API v2.0 entities per §5.1 via OData with server-side filtering, pagination, and delta tokens.</w:t>
            </w:r>
          </w:p>
        </w:tc>
        <w:tc>
          <w:tcPr>
            <w:tcW w:type="dxa" w:w="1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Must</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FR-INT-03</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Support full-load initial hydration and incremental CDC-style loads using `@odata.deltaLink` or Last-Modified filtering where delta is unavailable.</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Must</w:t>
            </w:r>
          </w:p>
        </w:tc>
      </w:tr>
      <w:tr>
        <w:tc>
          <w:tcPr>
            <w:tcW w:type="dxa" w:w="1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FR-INT-04</w:t>
            </w:r>
          </w:p>
        </w:tc>
        <w:tc>
          <w:tcPr>
            <w:tcW w:type="dxa" w:w="67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Twice-daily scheduled extraction (at minimum 06:00 and 14:00 local) plus on-demand triggered runs for close events.</w:t>
            </w:r>
          </w:p>
        </w:tc>
        <w:tc>
          <w:tcPr>
            <w:tcW w:type="dxa" w:w="1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Must</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FR-INT-05</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Emit structured run metadata for every extraction: entity, rows, bytes, duration, watermark, status.</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Must</w:t>
            </w:r>
          </w:p>
        </w:tc>
      </w:tr>
      <w:tr>
        <w:tc>
          <w:tcPr>
            <w:tcW w:type="dxa" w:w="1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FR-INT-06</w:t>
            </w:r>
          </w:p>
        </w:tc>
        <w:tc>
          <w:tcPr>
            <w:tcW w:type="dxa" w:w="67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Resilience: exponential backoff with jitter, rate-limit-aware throttling (per Microsoft 429 guidance), circuit breaker after N failures.</w:t>
            </w:r>
          </w:p>
        </w:tc>
        <w:tc>
          <w:tcPr>
            <w:tcW w:type="dxa" w:w="1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Must</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FR-INT-07</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Support extraction from custom BC API pages published by subsidiaries, registered through a self-service entity-catalog configuration.</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Should</w:t>
            </w:r>
          </w:p>
        </w:tc>
      </w:tr>
      <w:tr>
        <w:tc>
          <w:tcPr>
            <w:tcW w:type="dxa" w:w="1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FR-INT-08</w:t>
            </w:r>
          </w:p>
        </w:tc>
        <w:tc>
          <w:tcPr>
            <w:tcW w:type="dxa" w:w="67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Provide a fallback ingestion path for any subsidiary temporarily unable to expose APIs (secure SFTP drop of signed trial balance + sub-ledger extracts).</w:t>
            </w:r>
          </w:p>
        </w:tc>
        <w:tc>
          <w:tcPr>
            <w:tcW w:type="dxa" w:w="1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Should</w:t>
            </w:r>
          </w:p>
        </w:tc>
      </w:tr>
    </w:tbl>
    <w:p>
      <w:pPr>
        <w:pStyle w:val="Heading2"/>
        <w:spacing w:after="160" w:before="260"/>
      </w:pPr>
      <w:r>
        <w:rPr>
          <w:rFonts w:ascii="Calibri" w:cs="Calibri" w:eastAsia="Calibri" w:hAnsi="Calibri"/>
          <w:b/>
          <w:bCs/>
          <w:color w:val="1F3864"/>
          <w:sz w:val="26"/>
          <w:szCs w:val="26"/>
        </w:rPr>
        <w:t xml:space="preserve">7.2  Data Lakehouse &amp; Harmonisation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ID</w:t>
            </w:r>
          </w:p>
        </w:tc>
        <w:tc>
          <w:tcPr>
            <w:tcW w:type="dxa" w:w="6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Priority</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FR-LAKE-01</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Land raw extracts in the Bronze zone as Delta tables, partitioned by subsidiary code and ingest date.</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Must</w:t>
            </w:r>
          </w:p>
        </w:tc>
      </w:tr>
      <w:tr>
        <w:tc>
          <w:tcPr>
            <w:tcW w:type="dxa" w:w="1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FR-LAKE-02</w:t>
            </w:r>
          </w:p>
        </w:tc>
        <w:tc>
          <w:tcPr>
            <w:tcW w:type="dxa" w:w="67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Preserve full history in Bronze — no overwrites — to support replay and audit.</w:t>
            </w:r>
          </w:p>
        </w:tc>
        <w:tc>
          <w:tcPr>
            <w:tcW w:type="dxa" w:w="1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Must</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FR-LAKE-03</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Silver layer applies type casting, schema enforcement, surrogate keys, and SCD-2 history for dimensional entities (customer, vendor, account).</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Must</w:t>
            </w:r>
          </w:p>
        </w:tc>
      </w:tr>
      <w:tr>
        <w:tc>
          <w:tcPr>
            <w:tcW w:type="dxa" w:w="1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FR-LAKE-04</w:t>
            </w:r>
          </w:p>
        </w:tc>
        <w:tc>
          <w:tcPr>
            <w:tcW w:type="dxa" w:w="67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Maintain a group-level Canonical Chart of Accounts; every subsidiary account must be mapped to exactly one canonical account.</w:t>
            </w:r>
          </w:p>
        </w:tc>
        <w:tc>
          <w:tcPr>
            <w:tcW w:type="dxa" w:w="1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Must</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FR-LAKE-05</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Maintain a canonical Dimension framework (Entity, Region, Client Segment, Service Line) mapped from each subsidiary's native dimensions.</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Must</w:t>
            </w:r>
          </w:p>
        </w:tc>
      </w:tr>
      <w:tr>
        <w:tc>
          <w:tcPr>
            <w:tcW w:type="dxa" w:w="1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FR-LAKE-06</w:t>
            </w:r>
          </w:p>
        </w:tc>
        <w:tc>
          <w:tcPr>
            <w:tcW w:type="dxa" w:w="67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Gold layer exposes conformed fact tables (fact_gl_entry, fact_ar_invoice, fact_ap_invoice) and dimension tables for consumption.</w:t>
            </w:r>
          </w:p>
        </w:tc>
        <w:tc>
          <w:tcPr>
            <w:tcW w:type="dxa" w:w="1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Must</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FR-LAKE-07</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Rule-based inter-company elimination engine operating on tagged IC accounts and partner-entity dimension values; produce both gross and eliminated views.</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Must</w:t>
            </w:r>
          </w:p>
        </w:tc>
      </w:tr>
      <w:tr>
        <w:tc>
          <w:tcPr>
            <w:tcW w:type="dxa" w:w="1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FR-LAKE-08</w:t>
            </w:r>
          </w:p>
        </w:tc>
        <w:tc>
          <w:tcPr>
            <w:tcW w:type="dxa" w:w="67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FX translation: translate all non-USD postings to USD at period-end rate (BS), average rate (IS), and historical rate (equity) per the group's stated policy.</w:t>
            </w:r>
          </w:p>
        </w:tc>
        <w:tc>
          <w:tcPr>
            <w:tcW w:type="dxa" w:w="1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Must</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FR-LAKE-09</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Enforce data quality rules with Great Expectations or equivalent; failing critical rules blocks promotion from Silver to Gold.</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Must</w:t>
            </w:r>
          </w:p>
        </w:tc>
      </w:tr>
      <w:tr>
        <w:tc>
          <w:tcPr>
            <w:tcW w:type="dxa" w:w="1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FR-LAKE-10</w:t>
            </w:r>
          </w:p>
        </w:tc>
        <w:tc>
          <w:tcPr>
            <w:tcW w:type="dxa" w:w="67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Full column-level lineage from Bronze source field to Gold consumption field, surfaced via Unity Catalog or Purview.</w:t>
            </w:r>
          </w:p>
        </w:tc>
        <w:tc>
          <w:tcPr>
            <w:tcW w:type="dxa" w:w="1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Must</w:t>
            </w:r>
          </w:p>
        </w:tc>
      </w:tr>
    </w:tbl>
    <w:p>
      <w:pPr>
        <w:pStyle w:val="Heading2"/>
        <w:spacing w:after="160" w:before="260"/>
      </w:pPr>
      <w:r>
        <w:rPr>
          <w:rFonts w:ascii="Calibri" w:cs="Calibri" w:eastAsia="Calibri" w:hAnsi="Calibri"/>
          <w:b/>
          <w:bCs/>
          <w:color w:val="1F3864"/>
          <w:sz w:val="26"/>
          <w:szCs w:val="26"/>
        </w:rPr>
        <w:t xml:space="preserve">7.3  React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ID</w:t>
            </w:r>
          </w:p>
        </w:tc>
        <w:tc>
          <w:tcPr>
            <w:tcW w:type="dxa" w:w="6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Priority</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FR-APP-01</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Single-page React application (React 18+, TypeScript, Vite build) served via Azure Front Door + Static Web Apps.</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Must</w:t>
            </w:r>
          </w:p>
        </w:tc>
      </w:tr>
      <w:tr>
        <w:tc>
          <w:tcPr>
            <w:tcW w:type="dxa" w:w="1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FR-APP-02</w:t>
            </w:r>
          </w:p>
        </w:tc>
        <w:tc>
          <w:tcPr>
            <w:tcW w:type="dxa" w:w="67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Authentication via Entra ID SSO using MSAL; session management with short-lived access tokens and refresh tokens in secure cookies.</w:t>
            </w:r>
          </w:p>
        </w:tc>
        <w:tc>
          <w:tcPr>
            <w:tcW w:type="dxa" w:w="1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Must</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FR-APP-03</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Authorisation enforced server-side; the UI respects claims but never trusts them as the authoritative check.</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Must</w:t>
            </w:r>
          </w:p>
        </w:tc>
      </w:tr>
      <w:tr>
        <w:tc>
          <w:tcPr>
            <w:tcW w:type="dxa" w:w="1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FR-APP-04</w:t>
            </w:r>
          </w:p>
        </w:tc>
        <w:tc>
          <w:tcPr>
            <w:tcW w:type="dxa" w:w="67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Executive dashboard: consolidated P&amp;L, cash, AR aging, AP aging, KPI tiles, with entity-level drill-through.</w:t>
            </w:r>
          </w:p>
        </w:tc>
        <w:tc>
          <w:tcPr>
            <w:tcW w:type="dxa" w:w="1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Must</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FR-APP-05</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Close cockpit: per-entity close status, mapping exceptions queue, elimination review, sign-off workflow with audit trail.</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Must</w:t>
            </w:r>
          </w:p>
        </w:tc>
      </w:tr>
      <w:tr>
        <w:tc>
          <w:tcPr>
            <w:tcW w:type="dxa" w:w="1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FR-APP-06</w:t>
            </w:r>
          </w:p>
        </w:tc>
        <w:tc>
          <w:tcPr>
            <w:tcW w:type="dxa" w:w="67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Entity detail view: scoped to a single subsidiary; the full detail a subsidiary controller needs for reconciliation.</w:t>
            </w:r>
          </w:p>
        </w:tc>
        <w:tc>
          <w:tcPr>
            <w:tcW w:type="dxa" w:w="1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Must</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FR-APP-07</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Explorer / ad-hoc view: pivot-style interface over Gold facts with saved views and CSV/Parquet export.</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Must</w:t>
            </w:r>
          </w:p>
        </w:tc>
      </w:tr>
      <w:tr>
        <w:tc>
          <w:tcPr>
            <w:tcW w:type="dxa" w:w="1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FR-APP-08</w:t>
            </w:r>
          </w:p>
        </w:tc>
        <w:tc>
          <w:tcPr>
            <w:tcW w:type="dxa" w:w="67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All data is served via a versioned REST + GraphQL API layer; the UI never queries the lake directly.</w:t>
            </w:r>
          </w:p>
        </w:tc>
        <w:tc>
          <w:tcPr>
            <w:tcW w:type="dxa" w:w="1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Must</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FR-APP-09</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Accessibility to WCAG 2.1 AA.</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Must</w:t>
            </w:r>
          </w:p>
        </w:tc>
      </w:tr>
      <w:tr>
        <w:tc>
          <w:tcPr>
            <w:tcW w:type="dxa" w:w="1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FR-APP-10</w:t>
            </w:r>
          </w:p>
        </w:tc>
        <w:tc>
          <w:tcPr>
            <w:tcW w:type="dxa" w:w="67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Fully responsive down to tablet (768px); mobile native is Phase 2.</w:t>
            </w:r>
          </w:p>
        </w:tc>
        <w:tc>
          <w:tcPr>
            <w:tcW w:type="dxa" w:w="1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Should</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FR-APP-11</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In-app annotations and comments on any tile or line item, with @mentions routed via email/Teams.</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Should</w:t>
            </w:r>
          </w:p>
        </w:tc>
      </w:tr>
      <w:tr>
        <w:tc>
          <w:tcPr>
            <w:tcW w:type="dxa" w:w="1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FR-APP-12</w:t>
            </w:r>
          </w:p>
        </w:tc>
        <w:tc>
          <w:tcPr>
            <w:tcW w:type="dxa" w:w="67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Embedded natural-language query pane (LLM-backed) scoped to user's authorised data, producing both the answer and the underlying SQL for audit.</w:t>
            </w:r>
          </w:p>
        </w:tc>
        <w:tc>
          <w:tcPr>
            <w:tcW w:type="dxa" w:w="1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Could</w:t>
            </w:r>
          </w:p>
        </w:tc>
      </w:tr>
    </w:tbl>
    <w:p>
      <w:pPr>
        <w:pStyle w:val="Heading2"/>
        <w:spacing w:after="160" w:before="260"/>
      </w:pPr>
      <w:r>
        <w:rPr>
          <w:rFonts w:ascii="Calibri" w:cs="Calibri" w:eastAsia="Calibri" w:hAnsi="Calibri"/>
          <w:b/>
          <w:bCs/>
          <w:color w:val="1F3864"/>
          <w:sz w:val="26"/>
          <w:szCs w:val="26"/>
        </w:rPr>
        <w:t xml:space="preserve">7.4  Administration &amp;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ID</w:t>
            </w:r>
          </w:p>
        </w:tc>
        <w:tc>
          <w:tcPr>
            <w:tcW w:type="dxa" w:w="6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Priority</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FR-ADM-01</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Self-service admin console for mapping maintenance (account, dimension, entity, customer master).</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Must</w:t>
            </w:r>
          </w:p>
        </w:tc>
      </w:tr>
      <w:tr>
        <w:tc>
          <w:tcPr>
            <w:tcW w:type="dxa" w:w="1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FR-ADM-02</w:t>
            </w:r>
          </w:p>
        </w:tc>
        <w:tc>
          <w:tcPr>
            <w:tcW w:type="dxa" w:w="67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All mapping changes pass through a two-person approval workflow with full history.</w:t>
            </w:r>
          </w:p>
        </w:tc>
        <w:tc>
          <w:tcPr>
            <w:tcW w:type="dxa" w:w="1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Must</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FR-ADM-03</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Admin console surfaces pipeline health: run status, SLA adherence, DQ rule pass rate, row counts by entity.</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Must</w:t>
            </w:r>
          </w:p>
        </w:tc>
      </w:tr>
      <w:tr>
        <w:tc>
          <w:tcPr>
            <w:tcW w:type="dxa" w:w="1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FR-ADM-04</w:t>
            </w:r>
          </w:p>
        </w:tc>
        <w:tc>
          <w:tcPr>
            <w:tcW w:type="dxa" w:w="67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Subsidiary onboarding wizard: register tenant, configure auth, map accounts/dimensions, run validation, go live — end-to-end in the console.</w:t>
            </w:r>
          </w:p>
        </w:tc>
        <w:tc>
          <w:tcPr>
            <w:tcW w:type="dxa" w:w="1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Should</w:t>
            </w:r>
          </w:p>
        </w:tc>
      </w:tr>
    </w:tbl>
    <w:p>
      <w:r>
        <w:br w:type="page"/>
      </w:r>
    </w:p>
    <w:p>
      <w:pPr>
        <w:pStyle w:val="Heading1"/>
        <w:spacing w:after="200" w:before="360"/>
      </w:pPr>
      <w:r>
        <w:rPr>
          <w:rFonts w:ascii="Calibri" w:cs="Calibri" w:eastAsia="Calibri" w:hAnsi="Calibri"/>
          <w:b/>
          <w:bCs/>
          <w:color w:val="1F3864"/>
          <w:sz w:val="32"/>
          <w:szCs w:val="32"/>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360"/>
        <w:gridCol w:w="220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Category</w:t>
            </w:r>
          </w:p>
        </w:tc>
        <w:tc>
          <w:tcPr>
            <w:tcW w:type="dxa" w:w="5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Requirement</w:t>
            </w:r>
          </w:p>
        </w:tc>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Target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Availability</w:t>
            </w:r>
          </w:p>
        </w:tc>
        <w:tc>
          <w:tcPr>
            <w:tcW w:type="dxa" w:w="5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Application availability during business hours (07:00–20:00 ET, business days)</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99.9%</w:t>
            </w:r>
          </w:p>
        </w:tc>
      </w:tr>
      <w:tr>
        <w:tc>
          <w:tcPr>
            <w:tcW w:type="dxa" w:w="18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Availability</w:t>
            </w:r>
          </w:p>
        </w:tc>
        <w:tc>
          <w:tcPr>
            <w:tcW w:type="dxa" w:w="53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Data pipeline availability (successful scheduled run rate)</w:t>
            </w:r>
          </w:p>
        </w:tc>
        <w:tc>
          <w:tcPr>
            <w:tcW w:type="dxa" w:w="2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 99.5%</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Performance</w:t>
            </w:r>
          </w:p>
        </w:tc>
        <w:tc>
          <w:tcPr>
            <w:tcW w:type="dxa" w:w="5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Executive dashboard P95 load</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&lt; 2.5 seconds</w:t>
            </w:r>
          </w:p>
        </w:tc>
      </w:tr>
      <w:tr>
        <w:tc>
          <w:tcPr>
            <w:tcW w:type="dxa" w:w="18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Performance</w:t>
            </w:r>
          </w:p>
        </w:tc>
        <w:tc>
          <w:tcPr>
            <w:tcW w:type="dxa" w:w="53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Explorer query P95 over 12 months of data</w:t>
            </w:r>
          </w:p>
        </w:tc>
        <w:tc>
          <w:tcPr>
            <w:tcW w:type="dxa" w:w="2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&lt; 6 seconds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Scalability</w:t>
            </w:r>
          </w:p>
        </w:tc>
        <w:tc>
          <w:tcPr>
            <w:tcW w:type="dxa" w:w="5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Support 17 subsidiaries at GA; architected for 40+ without redesign</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Linear scale</w:t>
            </w:r>
          </w:p>
        </w:tc>
      </w:tr>
      <w:tr>
        <w:tc>
          <w:tcPr>
            <w:tcW w:type="dxa" w:w="18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Scalability</w:t>
            </w:r>
          </w:p>
        </w:tc>
        <w:tc>
          <w:tcPr>
            <w:tcW w:type="dxa" w:w="53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Support 250 concurrent application users</w:t>
            </w:r>
          </w:p>
        </w:tc>
        <w:tc>
          <w:tcPr>
            <w:tcW w:type="dxa" w:w="2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No degradation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Recoverability</w:t>
            </w:r>
          </w:p>
        </w:tc>
        <w:tc>
          <w:tcPr>
            <w:tcW w:type="dxa" w:w="5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RPO (pipeline data)</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 6 hours</w:t>
            </w:r>
          </w:p>
        </w:tc>
      </w:tr>
      <w:tr>
        <w:tc>
          <w:tcPr>
            <w:tcW w:type="dxa" w:w="18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Recoverability</w:t>
            </w:r>
          </w:p>
        </w:tc>
        <w:tc>
          <w:tcPr>
            <w:tcW w:type="dxa" w:w="53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RTO (application)</w:t>
            </w:r>
          </w:p>
        </w:tc>
        <w:tc>
          <w:tcPr>
            <w:tcW w:type="dxa" w:w="2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 4 hours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Auditability</w:t>
            </w:r>
          </w:p>
        </w:tc>
        <w:tc>
          <w:tcPr>
            <w:tcW w:type="dxa" w:w="5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Retention of source extracts and transformation logs (SEC 204-2)</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 7 years, WORM</w:t>
            </w:r>
          </w:p>
        </w:tc>
      </w:tr>
      <w:tr>
        <w:tc>
          <w:tcPr>
            <w:tcW w:type="dxa" w:w="18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Observability</w:t>
            </w:r>
          </w:p>
        </w:tc>
        <w:tc>
          <w:tcPr>
            <w:tcW w:type="dxa" w:w="53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End-to-end trace from UI query to Gold row to Bronze source</w:t>
            </w:r>
          </w:p>
        </w:tc>
        <w:tc>
          <w:tcPr>
            <w:tcW w:type="dxa" w:w="2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Available on demand</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Maintainability</w:t>
            </w:r>
          </w:p>
        </w:tc>
        <w:tc>
          <w:tcPr>
            <w:tcW w:type="dxa" w:w="5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Infrastructure fully expressed as code (Terraform); zero manual console changes in production</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100% IaC</w:t>
            </w:r>
          </w:p>
        </w:tc>
      </w:tr>
    </w:tbl>
    <w:p>
      <w:r>
        <w:br w:type="page"/>
      </w:r>
    </w:p>
    <w:p>
      <w:pPr>
        <w:pStyle w:val="Heading1"/>
        <w:spacing w:after="200" w:before="360"/>
      </w:pPr>
      <w:r>
        <w:rPr>
          <w:rFonts w:ascii="Calibri" w:cs="Calibri" w:eastAsia="Calibri" w:hAnsi="Calibri"/>
          <w:b/>
          <w:bCs/>
          <w:color w:val="1F3864"/>
          <w:sz w:val="32"/>
          <w:szCs w:val="32"/>
        </w:rPr>
        <w:t xml:space="preserve">9. Solution Architecture (Logical)</w:t>
      </w:r>
    </w:p>
    <w:p>
      <w:pPr>
        <w:spacing w:after="120"/>
      </w:pPr>
      <w:r>
        <w:rPr>
          <w:rFonts w:ascii="Calibri" w:cs="Calibri" w:eastAsia="Calibri" w:hAnsi="Calibri"/>
          <w:color w:val="222222"/>
          <w:sz w:val="22"/>
          <w:szCs w:val="22"/>
        </w:rPr>
        <w:t xml:space="preserve">The platform is composed of six logical layers. All components are deployed in a single Azure tenant owned by RIA Advisory, with resource-group separation by environment (dev, UAT, prod) and by data sensitivity zone.</w:t>
      </w:r>
    </w:p>
    <w:p>
      <w:pPr>
        <w:pStyle w:val="Heading3"/>
        <w:spacing w:after="120" w:before="200"/>
      </w:pPr>
      <w:r>
        <w:rPr>
          <w:rFonts w:ascii="Calibri" w:cs="Calibri" w:eastAsia="Calibri" w:hAnsi="Calibri"/>
          <w:b/>
          <w:bCs/>
          <w:color w:val="2E75B6"/>
          <w:sz w:val="23"/>
          <w:szCs w:val="23"/>
        </w:rPr>
        <w:t xml:space="preserve">9.1  Layer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Layer</w:t>
            </w:r>
          </w:p>
        </w:tc>
        <w:tc>
          <w:tcPr>
            <w:tcW w:type="dxa" w:w="3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Primary Technology</w:t>
            </w:r>
          </w:p>
        </w:tc>
        <w:tc>
          <w:tcPr>
            <w:tcW w:type="dxa" w:w="4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Responsibility</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1. Source</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17 × D365 Business Central (SaaS)</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Operational system of record per subsidiary</w:t>
            </w:r>
          </w:p>
        </w:tc>
      </w:tr>
      <w:tr>
        <w:tc>
          <w:tcPr>
            <w:tcW w:type="dxa" w:w="18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2. Ingestion</w:t>
            </w:r>
          </w:p>
        </w:tc>
        <w:tc>
          <w:tcPr>
            <w:tcW w:type="dxa" w:w="3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Azure Data Factory + Databricks Auto Loader</w:t>
            </w:r>
          </w:p>
        </w:tc>
        <w:tc>
          <w:tcPr>
            <w:tcW w:type="dxa" w:w="43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OAuth-secured OData extraction, delta management, watermarking</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3. Storage</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ADLS Gen2 + Delta Lake (Bronze / Silver / Gold)</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Immutable raw, conformed, and consumption-ready layers</w:t>
            </w:r>
          </w:p>
        </w:tc>
      </w:tr>
      <w:tr>
        <w:tc>
          <w:tcPr>
            <w:tcW w:type="dxa" w:w="18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4. Processing</w:t>
            </w:r>
          </w:p>
        </w:tc>
        <w:tc>
          <w:tcPr>
            <w:tcW w:type="dxa" w:w="3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Databricks (PySpark / SQL Warehouse)</w:t>
            </w:r>
          </w:p>
        </w:tc>
        <w:tc>
          <w:tcPr>
            <w:tcW w:type="dxa" w:w="43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Transformation, mapping, elimination, FX, DQ, SCD-2 history</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5. Serving</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Databricks SQL Warehouse + FastAPI / Node API</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Low-latency SQL for the UI; versioned REST + GraphQL API</w:t>
            </w:r>
          </w:p>
        </w:tc>
      </w:tr>
      <w:tr>
        <w:tc>
          <w:tcPr>
            <w:tcW w:type="dxa" w:w="18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6. Experience</w:t>
            </w:r>
          </w:p>
        </w:tc>
        <w:tc>
          <w:tcPr>
            <w:tcW w:type="dxa" w:w="3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React 18 + TypeScript + Vite, served via Azure Front Door</w:t>
            </w:r>
          </w:p>
        </w:tc>
        <w:tc>
          <w:tcPr>
            <w:tcW w:type="dxa" w:w="43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Persona-tailored UI, SSO, RBAC, export, annotations</w:t>
            </w:r>
          </w:p>
        </w:tc>
      </w:tr>
    </w:tbl>
    <w:p>
      <w:pPr>
        <w:pStyle w:val="Heading3"/>
        <w:spacing w:after="120" w:before="200"/>
      </w:pPr>
      <w:r>
        <w:rPr>
          <w:rFonts w:ascii="Calibri" w:cs="Calibri" w:eastAsia="Calibri" w:hAnsi="Calibri"/>
          <w:b/>
          <w:bCs/>
          <w:color w:val="2E75B6"/>
          <w:sz w:val="23"/>
          <w:szCs w:val="23"/>
        </w:rPr>
        <w:t xml:space="preserve">9.2  Cross-Cutting Components</w:t>
      </w:r>
    </w:p>
    <w:p>
      <w:pPr>
        <w:pStyle w:val="ListParagraph"/>
        <w:numPr>
          <w:ilvl w:val="0"/>
          <w:numId w:val="2"/>
        </w:numPr>
        <w:spacing w:after="80"/>
      </w:pPr>
      <w:r>
        <w:rPr>
          <w:rFonts w:ascii="Calibri" w:cs="Calibri" w:eastAsia="Calibri" w:hAnsi="Calibri"/>
          <w:color w:val="222222"/>
          <w:sz w:val="22"/>
          <w:szCs w:val="22"/>
        </w:rPr>
        <w:t xml:space="preserve">Identity: Entra ID (Azure AD) as sole identity provider; Entra groups map to platform roles.</w:t>
      </w:r>
    </w:p>
    <w:p>
      <w:pPr>
        <w:pStyle w:val="ListParagraph"/>
        <w:numPr>
          <w:ilvl w:val="0"/>
          <w:numId w:val="2"/>
        </w:numPr>
        <w:spacing w:after="80"/>
      </w:pPr>
      <w:r>
        <w:rPr>
          <w:rFonts w:ascii="Calibri" w:cs="Calibri" w:eastAsia="Calibri" w:hAnsi="Calibri"/>
          <w:color w:val="222222"/>
          <w:sz w:val="22"/>
          <w:szCs w:val="22"/>
        </w:rPr>
        <w:t xml:space="preserve">Governance: Unity Catalog for table-level ownership, lineage, and audit; Microsoft Purview for broader data-catalog visibility.</w:t>
      </w:r>
    </w:p>
    <w:p>
      <w:pPr>
        <w:pStyle w:val="ListParagraph"/>
        <w:numPr>
          <w:ilvl w:val="0"/>
          <w:numId w:val="2"/>
        </w:numPr>
        <w:spacing w:after="80"/>
      </w:pPr>
      <w:r>
        <w:rPr>
          <w:rFonts w:ascii="Calibri" w:cs="Calibri" w:eastAsia="Calibri" w:hAnsi="Calibri"/>
          <w:color w:val="222222"/>
          <w:sz w:val="22"/>
          <w:szCs w:val="22"/>
        </w:rPr>
        <w:t xml:space="preserve">Secrets: Azure Key Vault; no credentials in code or config; managed identities for Azure-to-Azure auth.</w:t>
      </w:r>
    </w:p>
    <w:p>
      <w:pPr>
        <w:pStyle w:val="ListParagraph"/>
        <w:numPr>
          <w:ilvl w:val="0"/>
          <w:numId w:val="2"/>
        </w:numPr>
        <w:spacing w:after="80"/>
      </w:pPr>
      <w:r>
        <w:rPr>
          <w:rFonts w:ascii="Calibri" w:cs="Calibri" w:eastAsia="Calibri" w:hAnsi="Calibri"/>
          <w:color w:val="222222"/>
          <w:sz w:val="22"/>
          <w:szCs w:val="22"/>
        </w:rPr>
        <w:t xml:space="preserve">Observability: Azure Monitor + Log Analytics; Application Insights for the React app; Databricks system tables for workload telemetry.</w:t>
      </w:r>
    </w:p>
    <w:p>
      <w:pPr>
        <w:pStyle w:val="ListParagraph"/>
        <w:numPr>
          <w:ilvl w:val="0"/>
          <w:numId w:val="2"/>
        </w:numPr>
        <w:spacing w:after="80"/>
      </w:pPr>
      <w:r>
        <w:rPr>
          <w:rFonts w:ascii="Calibri" w:cs="Calibri" w:eastAsia="Calibri" w:hAnsi="Calibri"/>
          <w:color w:val="222222"/>
          <w:sz w:val="22"/>
          <w:szCs w:val="22"/>
        </w:rPr>
        <w:t xml:space="preserve">Orchestration: Databricks Workflows (preferred) or Azure Data Factory for pipeline scheduling; events published to Event Grid for downstream consumers.</w:t>
      </w:r>
    </w:p>
    <w:p>
      <w:pPr>
        <w:pStyle w:val="ListParagraph"/>
        <w:numPr>
          <w:ilvl w:val="0"/>
          <w:numId w:val="2"/>
        </w:numPr>
        <w:spacing w:after="80"/>
      </w:pPr>
      <w:r>
        <w:rPr>
          <w:rFonts w:ascii="Calibri" w:cs="Calibri" w:eastAsia="Calibri" w:hAnsi="Calibri"/>
          <w:color w:val="222222"/>
          <w:sz w:val="22"/>
          <w:szCs w:val="22"/>
        </w:rPr>
        <w:t xml:space="preserve">CI/CD: GitHub Actions or Azure DevOps; Terraform for infrastructure; DBT or Databricks Asset Bundles for transformation code.</w:t>
      </w:r>
    </w:p>
    <w:p>
      <w:r>
        <w:br w:type="page"/>
      </w:r>
    </w:p>
    <w:p>
      <w:pPr>
        <w:pStyle w:val="Heading1"/>
        <w:spacing w:after="200" w:before="360"/>
      </w:pPr>
      <w:r>
        <w:rPr>
          <w:rFonts w:ascii="Calibri" w:cs="Calibri" w:eastAsia="Calibri" w:hAnsi="Calibri"/>
          <w:b/>
          <w:bCs/>
          <w:color w:val="1F3864"/>
          <w:sz w:val="32"/>
          <w:szCs w:val="32"/>
        </w:rPr>
        <w:t xml:space="preserve">10. Conformed Data Model (Gold — Illustrative)</w:t>
      </w:r>
    </w:p>
    <w:p>
      <w:pPr>
        <w:pStyle w:val="Heading3"/>
        <w:spacing w:after="120" w:before="200"/>
      </w:pPr>
      <w:r>
        <w:rPr>
          <w:rFonts w:ascii="Calibri" w:cs="Calibri" w:eastAsia="Calibri" w:hAnsi="Calibri"/>
          <w:b/>
          <w:bCs/>
          <w:color w:val="2E75B6"/>
          <w:sz w:val="23"/>
          <w:szCs w:val="23"/>
        </w:rPr>
        <w:t xml:space="preserve">10.1  Fact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Table</w:t>
            </w:r>
          </w:p>
        </w:tc>
        <w:tc>
          <w:tcPr>
            <w:tcW w:type="dxa" w:w="3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Grain</w:t>
            </w:r>
          </w:p>
        </w:tc>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Key Measures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fact_gl_entry</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One row per GL posting line</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amount_lcy, amount_usd, debit_amount, credit_amount</w:t>
            </w:r>
          </w:p>
        </w:tc>
      </w:tr>
      <w:tr>
        <w:tc>
          <w:tcPr>
            <w:tcW w:type="dxa" w:w="3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fact_ar_invoice_line</w:t>
            </w:r>
          </w:p>
        </w:tc>
        <w:tc>
          <w:tcPr>
            <w:tcW w:type="dxa" w:w="31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One row per AR invoice line</w:t>
            </w:r>
          </w:p>
        </w:tc>
        <w:tc>
          <w:tcPr>
            <w:tcW w:type="dxa" w:w="30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line_amount, tax_amount, discount_amount, margin_amount</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fact_ap_invoice_line</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One row per AP invoice line</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line_amount, tax_amount, discount_amount</w:t>
            </w:r>
          </w:p>
        </w:tc>
      </w:tr>
      <w:tr>
        <w:tc>
          <w:tcPr>
            <w:tcW w:type="dxa" w:w="3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fact_bank_ledger</w:t>
            </w:r>
          </w:p>
        </w:tc>
        <w:tc>
          <w:tcPr>
            <w:tcW w:type="dxa" w:w="31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One row per bank ledger entry</w:t>
            </w:r>
          </w:p>
        </w:tc>
        <w:tc>
          <w:tcPr>
            <w:tcW w:type="dxa" w:w="30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amount_lcy, amount_usd, running_balance</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fact_fx_rate</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One row per currency / date / type</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rate</w:t>
            </w:r>
          </w:p>
        </w:tc>
      </w:tr>
    </w:tbl>
    <w:p>
      <w:pPr>
        <w:pStyle w:val="Heading3"/>
        <w:spacing w:after="120" w:before="200"/>
      </w:pPr>
      <w:r>
        <w:rPr>
          <w:rFonts w:ascii="Calibri" w:cs="Calibri" w:eastAsia="Calibri" w:hAnsi="Calibri"/>
          <w:b/>
          <w:bCs/>
          <w:color w:val="2E75B6"/>
          <w:sz w:val="23"/>
          <w:szCs w:val="23"/>
        </w:rPr>
        <w:t xml:space="preserve">10.2  Dimension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Table</w:t>
            </w:r>
          </w:p>
        </w:tc>
        <w:tc>
          <w:tcPr>
            <w:tcW w:type="dxa" w:w="4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Grain</w:t>
            </w:r>
          </w:p>
        </w:tc>
        <w:tc>
          <w:tcPr>
            <w:tcW w:type="dxa" w:w="1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SCD Type</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dim_entity</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Legal entity (subsidiary)</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SCD-2</w:t>
            </w:r>
          </w:p>
        </w:tc>
      </w:tr>
      <w:tr>
        <w:tc>
          <w:tcPr>
            <w:tcW w:type="dxa" w:w="3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dim_account_canonical</w:t>
            </w:r>
          </w:p>
        </w:tc>
        <w:tc>
          <w:tcPr>
            <w:tcW w:type="dxa" w:w="43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Canonical chart of accounts node</w:t>
            </w:r>
          </w:p>
        </w:tc>
        <w:tc>
          <w:tcPr>
            <w:tcW w:type="dxa" w:w="18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SCD-2</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dim_account_local</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Subsidiary native account, mapped to canonical</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SCD-2</w:t>
            </w:r>
          </w:p>
        </w:tc>
      </w:tr>
      <w:tr>
        <w:tc>
          <w:tcPr>
            <w:tcW w:type="dxa" w:w="3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dim_dimension_value</w:t>
            </w:r>
          </w:p>
        </w:tc>
        <w:tc>
          <w:tcPr>
            <w:tcW w:type="dxa" w:w="43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Dimension values (region, segment, service line)</w:t>
            </w:r>
          </w:p>
        </w:tc>
        <w:tc>
          <w:tcPr>
            <w:tcW w:type="dxa" w:w="18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SCD-2</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dim_customer</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Customer, group-harmonised across subsidiaries</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SCD-2</w:t>
            </w:r>
          </w:p>
        </w:tc>
      </w:tr>
      <w:tr>
        <w:tc>
          <w:tcPr>
            <w:tcW w:type="dxa" w:w="3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dim_vendor</w:t>
            </w:r>
          </w:p>
        </w:tc>
        <w:tc>
          <w:tcPr>
            <w:tcW w:type="dxa" w:w="43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Vendor, group-harmonised across subsidiaries</w:t>
            </w:r>
          </w:p>
        </w:tc>
        <w:tc>
          <w:tcPr>
            <w:tcW w:type="dxa" w:w="18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SCD-2</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dim_date</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Calendar + fiscal dates</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Static</w:t>
            </w:r>
          </w:p>
        </w:tc>
      </w:tr>
      <w:tr>
        <w:tc>
          <w:tcPr>
            <w:tcW w:type="dxa" w:w="32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dim_currency</w:t>
            </w:r>
          </w:p>
        </w:tc>
        <w:tc>
          <w:tcPr>
            <w:tcW w:type="dxa" w:w="43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ISO currencies</w:t>
            </w:r>
          </w:p>
        </w:tc>
        <w:tc>
          <w:tcPr>
            <w:tcW w:type="dxa" w:w="18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Static</w:t>
            </w:r>
          </w:p>
        </w:tc>
      </w:tr>
    </w:tbl>
    <w:p>
      <w:r>
        <w:br w:type="page"/>
      </w:r>
    </w:p>
    <w:p>
      <w:pPr>
        <w:pStyle w:val="Heading1"/>
        <w:spacing w:after="200" w:before="360"/>
      </w:pPr>
      <w:r>
        <w:rPr>
          <w:rFonts w:ascii="Calibri" w:cs="Calibri" w:eastAsia="Calibri" w:hAnsi="Calibri"/>
          <w:b/>
          <w:bCs/>
          <w:color w:val="1F3864"/>
          <w:sz w:val="32"/>
          <w:szCs w:val="32"/>
        </w:rPr>
        <w:t xml:space="preserve">11. Security, Privacy &amp; Compliance</w:t>
      </w:r>
    </w:p>
    <w:p>
      <w:pPr>
        <w:pStyle w:val="Heading3"/>
        <w:spacing w:after="120" w:before="200"/>
      </w:pPr>
      <w:r>
        <w:rPr>
          <w:rFonts w:ascii="Calibri" w:cs="Calibri" w:eastAsia="Calibri" w:hAnsi="Calibri"/>
          <w:b/>
          <w:bCs/>
          <w:color w:val="2E75B6"/>
          <w:sz w:val="23"/>
          <w:szCs w:val="23"/>
        </w:rPr>
        <w:t xml:space="preserve">11.1  Regulatory Context</w:t>
      </w:r>
    </w:p>
    <w:p>
      <w:pPr>
        <w:spacing w:after="120"/>
      </w:pPr>
      <w:r>
        <w:rPr>
          <w:rFonts w:ascii="Calibri" w:cs="Calibri" w:eastAsia="Calibri" w:hAnsi="Calibri"/>
          <w:color w:val="222222"/>
          <w:sz w:val="22"/>
          <w:szCs w:val="22"/>
        </w:rPr>
        <w:t xml:space="preserve">RIA Advisory subsidiaries are (or are assumed to be) SEC-registered investment advisers. The platform must therefore satisfy, at minimum, the following:</w:t>
      </w:r>
    </w:p>
    <w:p>
      <w:pPr>
        <w:pStyle w:val="ListParagraph"/>
        <w:numPr>
          <w:ilvl w:val="0"/>
          <w:numId w:val="2"/>
        </w:numPr>
        <w:spacing w:after="80"/>
      </w:pPr>
      <w:r>
        <w:rPr>
          <w:rFonts w:ascii="Calibri" w:cs="Calibri" w:eastAsia="Calibri" w:hAnsi="Calibri"/>
          <w:color w:val="222222"/>
          <w:sz w:val="22"/>
          <w:szCs w:val="22"/>
        </w:rPr>
        <w:t xml:space="preserve">Investment Advisers Act Rule 204-2 (books and records) — retention, accessibility, and immutability of records for at least 5 years (7 years for certain records), with the first 2 years in an easily accessible place.</w:t>
      </w:r>
    </w:p>
    <w:p>
      <w:pPr>
        <w:pStyle w:val="ListParagraph"/>
        <w:numPr>
          <w:ilvl w:val="0"/>
          <w:numId w:val="2"/>
        </w:numPr>
        <w:spacing w:after="80"/>
      </w:pPr>
      <w:r>
        <w:rPr>
          <w:rFonts w:ascii="Calibri" w:cs="Calibri" w:eastAsia="Calibri" w:hAnsi="Calibri"/>
          <w:color w:val="222222"/>
          <w:sz w:val="22"/>
          <w:szCs w:val="22"/>
        </w:rPr>
        <w:t xml:space="preserve">Regulation S-P — safeguarding customer non-public personal information; the platform must assume BC data may contain PII and treat it accordingly.</w:t>
      </w:r>
    </w:p>
    <w:p>
      <w:pPr>
        <w:pStyle w:val="ListParagraph"/>
        <w:numPr>
          <w:ilvl w:val="0"/>
          <w:numId w:val="2"/>
        </w:numPr>
        <w:spacing w:after="80"/>
      </w:pPr>
      <w:r>
        <w:rPr>
          <w:rFonts w:ascii="Calibri" w:cs="Calibri" w:eastAsia="Calibri" w:hAnsi="Calibri"/>
          <w:color w:val="222222"/>
          <w:sz w:val="22"/>
          <w:szCs w:val="22"/>
        </w:rPr>
        <w:t xml:space="preserve">Regulation S-ID — red-flag identity-theft considerations where the platform surfaces identifying data.</w:t>
      </w:r>
    </w:p>
    <w:p>
      <w:pPr>
        <w:pStyle w:val="ListParagraph"/>
        <w:numPr>
          <w:ilvl w:val="0"/>
          <w:numId w:val="2"/>
        </w:numPr>
        <w:spacing w:after="80"/>
      </w:pPr>
      <w:r>
        <w:rPr>
          <w:rFonts w:ascii="Calibri" w:cs="Calibri" w:eastAsia="Calibri" w:hAnsi="Calibri"/>
          <w:color w:val="222222"/>
          <w:sz w:val="22"/>
          <w:szCs w:val="22"/>
        </w:rPr>
        <w:t xml:space="preserve">SEC Cybersecurity Risk Management rules — policies, incident reporting posture, and access controls aligned to adopted amendments.</w:t>
      </w:r>
    </w:p>
    <w:p>
      <w:pPr>
        <w:pStyle w:val="ListParagraph"/>
        <w:numPr>
          <w:ilvl w:val="0"/>
          <w:numId w:val="2"/>
        </w:numPr>
        <w:spacing w:after="80"/>
      </w:pPr>
      <w:r>
        <w:rPr>
          <w:rFonts w:ascii="Calibri" w:cs="Calibri" w:eastAsia="Calibri" w:hAnsi="Calibri"/>
          <w:color w:val="222222"/>
          <w:sz w:val="22"/>
          <w:szCs w:val="22"/>
        </w:rPr>
        <w:t xml:space="preserve">Where applicable, state privacy regimes (e.g., California, New York SHIELD) and, for any EU data subjects, GDPR.</w:t>
      </w:r>
    </w:p>
    <w:p>
      <w:pPr>
        <w:pStyle w:val="Heading3"/>
        <w:spacing w:after="120" w:before="200"/>
      </w:pPr>
      <w:r>
        <w:rPr>
          <w:rFonts w:ascii="Calibri" w:cs="Calibri" w:eastAsia="Calibri" w:hAnsi="Calibri"/>
          <w:b/>
          <w:bCs/>
          <w:color w:val="2E75B6"/>
          <w:sz w:val="23"/>
          <w:szCs w:val="23"/>
        </w:rPr>
        <w:t xml:space="preserve">11.2  Security Controls</w:t>
      </w:r>
    </w:p>
    <w:p>
      <w:pPr>
        <w:pStyle w:val="ListParagraph"/>
        <w:numPr>
          <w:ilvl w:val="0"/>
          <w:numId w:val="2"/>
        </w:numPr>
        <w:spacing w:after="80"/>
      </w:pPr>
      <w:r>
        <w:rPr>
          <w:rFonts w:ascii="Calibri" w:cs="Calibri" w:eastAsia="Calibri" w:hAnsi="Calibri"/>
          <w:color w:val="222222"/>
          <w:sz w:val="22"/>
          <w:szCs w:val="22"/>
        </w:rPr>
        <w:t xml:space="preserve">All data encrypted at rest (CMK in Key Vault) and in transit (TLS 1.2+).</w:t>
      </w:r>
    </w:p>
    <w:p>
      <w:pPr>
        <w:pStyle w:val="ListParagraph"/>
        <w:numPr>
          <w:ilvl w:val="0"/>
          <w:numId w:val="2"/>
        </w:numPr>
        <w:spacing w:after="80"/>
      </w:pPr>
      <w:r>
        <w:rPr>
          <w:rFonts w:ascii="Calibri" w:cs="Calibri" w:eastAsia="Calibri" w:hAnsi="Calibri"/>
          <w:color w:val="222222"/>
          <w:sz w:val="22"/>
          <w:szCs w:val="22"/>
        </w:rPr>
        <w:t xml:space="preserve">No inbound public access to storage or compute; Private Link / Private Endpoints only.</w:t>
      </w:r>
    </w:p>
    <w:p>
      <w:pPr>
        <w:pStyle w:val="ListParagraph"/>
        <w:numPr>
          <w:ilvl w:val="0"/>
          <w:numId w:val="2"/>
        </w:numPr>
        <w:spacing w:after="80"/>
      </w:pPr>
      <w:r>
        <w:rPr>
          <w:rFonts w:ascii="Calibri" w:cs="Calibri" w:eastAsia="Calibri" w:hAnsi="Calibri"/>
          <w:color w:val="222222"/>
          <w:sz w:val="22"/>
          <w:szCs w:val="22"/>
        </w:rPr>
        <w:t xml:space="preserve">Row-level security enforced at the SQL Warehouse layer; users can only query entities their Entra group grants access to.</w:t>
      </w:r>
    </w:p>
    <w:p>
      <w:pPr>
        <w:pStyle w:val="ListParagraph"/>
        <w:numPr>
          <w:ilvl w:val="0"/>
          <w:numId w:val="2"/>
        </w:numPr>
        <w:spacing w:after="80"/>
      </w:pPr>
      <w:r>
        <w:rPr>
          <w:rFonts w:ascii="Calibri" w:cs="Calibri" w:eastAsia="Calibri" w:hAnsi="Calibri"/>
          <w:color w:val="222222"/>
          <w:sz w:val="22"/>
          <w:szCs w:val="22"/>
        </w:rPr>
        <w:t xml:space="preserve">Column-level masking for PII fields (customer SSN-equivalent IDs, bank account numbers) except for narrowly authorised roles.</w:t>
      </w:r>
    </w:p>
    <w:p>
      <w:pPr>
        <w:pStyle w:val="ListParagraph"/>
        <w:numPr>
          <w:ilvl w:val="0"/>
          <w:numId w:val="2"/>
        </w:numPr>
        <w:spacing w:after="80"/>
      </w:pPr>
      <w:r>
        <w:rPr>
          <w:rFonts w:ascii="Calibri" w:cs="Calibri" w:eastAsia="Calibri" w:hAnsi="Calibri"/>
          <w:color w:val="222222"/>
          <w:sz w:val="22"/>
          <w:szCs w:val="22"/>
        </w:rPr>
        <w:t xml:space="preserve">Immutability: Bronze storage uses ADLS immutable blob policy (WORM) with 7-year retention to satisfy 204-2.</w:t>
      </w:r>
    </w:p>
    <w:p>
      <w:pPr>
        <w:pStyle w:val="ListParagraph"/>
        <w:numPr>
          <w:ilvl w:val="0"/>
          <w:numId w:val="2"/>
        </w:numPr>
        <w:spacing w:after="80"/>
      </w:pPr>
      <w:r>
        <w:rPr>
          <w:rFonts w:ascii="Calibri" w:cs="Calibri" w:eastAsia="Calibri" w:hAnsi="Calibri"/>
          <w:color w:val="222222"/>
          <w:sz w:val="22"/>
          <w:szCs w:val="22"/>
        </w:rPr>
        <w:t xml:space="preserve">Audit logging of every data access — UI, API, and SQL Warehouse — retained 7 years.</w:t>
      </w:r>
    </w:p>
    <w:p>
      <w:pPr>
        <w:pStyle w:val="ListParagraph"/>
        <w:numPr>
          <w:ilvl w:val="0"/>
          <w:numId w:val="2"/>
        </w:numPr>
        <w:spacing w:after="80"/>
      </w:pPr>
      <w:r>
        <w:rPr>
          <w:rFonts w:ascii="Calibri" w:cs="Calibri" w:eastAsia="Calibri" w:hAnsi="Calibri"/>
          <w:color w:val="222222"/>
          <w:sz w:val="22"/>
          <w:szCs w:val="22"/>
        </w:rPr>
        <w:t xml:space="preserve">Annual third-party penetration test; quarterly vulnerability scanning; SAST and dependency scanning in CI.</w:t>
      </w:r>
    </w:p>
    <w:p>
      <w:pPr>
        <w:pStyle w:val="ListParagraph"/>
        <w:numPr>
          <w:ilvl w:val="0"/>
          <w:numId w:val="2"/>
        </w:numPr>
        <w:spacing w:after="80"/>
      </w:pPr>
      <w:r>
        <w:rPr>
          <w:rFonts w:ascii="Calibri" w:cs="Calibri" w:eastAsia="Calibri" w:hAnsi="Calibri"/>
          <w:color w:val="222222"/>
          <w:sz w:val="22"/>
          <w:szCs w:val="22"/>
        </w:rPr>
        <w:t xml:space="preserve">SOC 2 Type II posture from Year 2; Year 1 readiness assessment.</w:t>
      </w:r>
    </w:p>
    <w:p>
      <w:r>
        <w:br w:type="page"/>
      </w:r>
    </w:p>
    <w:p>
      <w:pPr>
        <w:pStyle w:val="Heading1"/>
        <w:spacing w:after="200" w:before="360"/>
      </w:pPr>
      <w:r>
        <w:rPr>
          <w:rFonts w:ascii="Calibri" w:cs="Calibri" w:eastAsia="Calibri" w:hAnsi="Calibri"/>
          <w:b/>
          <w:bCs/>
          <w:color w:val="1F3864"/>
          <w:sz w:val="32"/>
          <w:szCs w:val="32"/>
        </w:rPr>
        <w:t xml:space="preserve">12. Phased Rollout Plan</w:t>
      </w:r>
    </w:p>
    <w:p>
      <w:pPr>
        <w:spacing w:after="120"/>
      </w:pPr>
      <w:r>
        <w:rPr>
          <w:rFonts w:ascii="Calibri" w:cs="Calibri" w:eastAsia="Calibri" w:hAnsi="Calibri"/>
          <w:color w:val="222222"/>
          <w:sz w:val="22"/>
          <w:szCs w:val="22"/>
        </w:rPr>
        <w:t xml:space="preserve">A staged rollout de-risks the programme and allows learnings from early subsidiaries to improve later cohorts. The plan assumes a 9-month elapsed timeline to full GA across all 17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500"/>
        <w:gridCol w:w="366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Phase</w:t>
            </w:r>
          </w:p>
        </w:tc>
        <w:tc>
          <w:tcPr>
            <w:tcW w:type="dxa" w:w="1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Duration</w:t>
            </w:r>
          </w:p>
        </w:tc>
        <w:tc>
          <w:tcPr>
            <w:tcW w:type="dxa" w:w="2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Subsidiaries</w:t>
            </w:r>
          </w:p>
        </w:tc>
        <w:tc>
          <w:tcPr>
            <w:tcW w:type="dxa" w:w="36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Key Deliverables</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0. Foundation</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Month 1–2</w:t>
            </w:r>
          </w:p>
        </w:tc>
        <w:tc>
          <w:tcPr>
            <w:tcW w:type="dxa" w:w="2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None (platform only)</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Azure landing zone, Entra groups, Unity Catalog, CI/CD, ingestion framework, canonical CoA draft, security review sign-off</w:t>
            </w:r>
          </w:p>
        </w:tc>
      </w:tr>
      <w:tr>
        <w:tc>
          <w:tcPr>
            <w:tcW w:type="dxa" w:w="17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1. Pilot</w:t>
            </w:r>
          </w:p>
        </w:tc>
        <w:tc>
          <w:tcPr>
            <w:tcW w:type="dxa" w:w="15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Month 3–4</w:t>
            </w:r>
          </w:p>
        </w:tc>
        <w:tc>
          <w:tcPr>
            <w:tcW w:type="dxa" w:w="25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2 subsidiaries (1 large + 1 recently acquired)</w:t>
            </w:r>
          </w:p>
        </w:tc>
        <w:tc>
          <w:tcPr>
            <w:tcW w:type="dxa" w:w="36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End-to-end ingestion, Silver/Gold for pilot entities, executive dashboard v1, close cockpit v1</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2. First Wave</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Month 5–6</w:t>
            </w:r>
          </w:p>
        </w:tc>
        <w:tc>
          <w:tcPr>
            <w:tcW w:type="dxa" w:w="2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5 additional (total 7)</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Mapping patterns proven, onboarding runbook, DQ rule library, explorer v1</w:t>
            </w:r>
          </w:p>
        </w:tc>
      </w:tr>
      <w:tr>
        <w:tc>
          <w:tcPr>
            <w:tcW w:type="dxa" w:w="17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3. Second Wave</w:t>
            </w:r>
          </w:p>
        </w:tc>
        <w:tc>
          <w:tcPr>
            <w:tcW w:type="dxa" w:w="15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Month 7–8</w:t>
            </w:r>
          </w:p>
        </w:tc>
        <w:tc>
          <w:tcPr>
            <w:tcW w:type="dxa" w:w="25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7 additional (total 14)</w:t>
            </w:r>
          </w:p>
        </w:tc>
        <w:tc>
          <w:tcPr>
            <w:tcW w:type="dxa" w:w="36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Scale hardening, elimination engine GA, audit evidence pack</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4. Completion &amp; GA</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Month 9</w:t>
            </w:r>
          </w:p>
        </w:tc>
        <w:tc>
          <w:tcPr>
            <w:tcW w:type="dxa" w:w="2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Final 3 (total 17)</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All entities live, formal GA, ops handover, training complete</w:t>
            </w:r>
          </w:p>
        </w:tc>
      </w:tr>
    </w:tbl>
    <w:p>
      <w:r>
        <w:br w:type="page"/>
      </w:r>
    </w:p>
    <w:p>
      <w:pPr>
        <w:pStyle w:val="Heading1"/>
        <w:spacing w:after="200" w:before="360"/>
      </w:pPr>
      <w:r>
        <w:rPr>
          <w:rFonts w:ascii="Calibri" w:cs="Calibri" w:eastAsia="Calibri" w:hAnsi="Calibri"/>
          <w:b/>
          <w:bCs/>
          <w:color w:val="1F3864"/>
          <w:sz w:val="32"/>
          <w:szCs w:val="32"/>
        </w:rPr>
        <w:t xml:space="preserve">13. Risks, Assumptions &amp; Dependencies</w:t>
      </w:r>
    </w:p>
    <w:p>
      <w:pPr>
        <w:pStyle w:val="Heading3"/>
        <w:spacing w:after="120" w:before="200"/>
      </w:pPr>
      <w:r>
        <w:rPr>
          <w:rFonts w:ascii="Calibri" w:cs="Calibri" w:eastAsia="Calibri" w:hAnsi="Calibri"/>
          <w:b/>
          <w:bCs/>
          <w:color w:val="2E75B6"/>
          <w:sz w:val="23"/>
          <w:szCs w:val="23"/>
        </w:rPr>
        <w:t xml:space="preserve">13.1  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316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Risk</w:t>
            </w:r>
          </w:p>
        </w:tc>
        <w:tc>
          <w:tcPr>
            <w:tcW w:type="dxa" w:w="1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Likelihood</w:t>
            </w:r>
          </w:p>
        </w:tc>
        <w:tc>
          <w:tcPr>
            <w:tcW w:type="dxa" w:w="1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Impact</w:t>
            </w:r>
          </w:p>
        </w:tc>
        <w:tc>
          <w:tcPr>
            <w:tcW w:type="dxa" w:w="3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Mitigation</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Chart of accounts harmonisation underestimated; 17 CoAs diverge more than assumed</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High</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High</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Run CoA discovery in Month 1; assign senior finance lead with veto authority over canonical CoA</w:t>
            </w:r>
          </w:p>
        </w:tc>
      </w:tr>
      <w:tr>
        <w:tc>
          <w:tcPr>
            <w:tcW w:type="dxa" w:w="3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Subsidiary IT access and app-registration provisioning delays</w:t>
            </w:r>
          </w:p>
        </w:tc>
        <w:tc>
          <w:tcPr>
            <w:tcW w:type="dxa" w:w="1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Medium</w:t>
            </w:r>
          </w:p>
        </w:tc>
        <w:tc>
          <w:tcPr>
            <w:tcW w:type="dxa" w:w="1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High</w:t>
            </w:r>
          </w:p>
        </w:tc>
        <w:tc>
          <w:tcPr>
            <w:tcW w:type="dxa" w:w="31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Executive sponsor issues standing directive; central SecOps contact per subsidiary</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BC API rate limits constrain large historical backfills</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Medium</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Medium</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Staged backfill, off-hours scheduling, dialogue with Microsoft on tenant limits</w:t>
            </w:r>
          </w:p>
        </w:tc>
      </w:tr>
      <w:tr>
        <w:tc>
          <w:tcPr>
            <w:tcW w:type="dxa" w:w="3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Data quality in source BC tenants is weaker than assumed (unposted batches, manual journals)</w:t>
            </w:r>
          </w:p>
        </w:tc>
        <w:tc>
          <w:tcPr>
            <w:tcW w:type="dxa" w:w="1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Medium</w:t>
            </w:r>
          </w:p>
        </w:tc>
        <w:tc>
          <w:tcPr>
            <w:tcW w:type="dxa" w:w="1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High</w:t>
            </w:r>
          </w:p>
        </w:tc>
        <w:tc>
          <w:tcPr>
            <w:tcW w:type="dxa" w:w="31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DQ rule library; remediation SLA agreed with each controller; blocking rules prevent Silver→Gold promotion</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Compliance scope creep — attempt to make the platform the firm's book-of-record</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Medium</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High</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Explicit §5.2 out-of-scope; steering committee gate for scope change</w:t>
            </w:r>
          </w:p>
        </w:tc>
      </w:tr>
      <w:tr>
        <w:tc>
          <w:tcPr>
            <w:tcW w:type="dxa" w:w="3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Key-person concentration on canonical model design</w:t>
            </w:r>
          </w:p>
        </w:tc>
        <w:tc>
          <w:tcPr>
            <w:tcW w:type="dxa" w:w="1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Medium</w:t>
            </w:r>
          </w:p>
        </w:tc>
        <w:tc>
          <w:tcPr>
            <w:tcW w:type="dxa" w:w="1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Medium</w:t>
            </w:r>
          </w:p>
        </w:tc>
        <w:tc>
          <w:tcPr>
            <w:tcW w:type="dxa" w:w="31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Two-person rule on canonical mappings; documented decision log</w:t>
            </w:r>
          </w:p>
        </w:tc>
      </w:tr>
    </w:tbl>
    <w:p>
      <w:pPr>
        <w:pStyle w:val="Heading3"/>
        <w:spacing w:after="120" w:before="200"/>
      </w:pPr>
      <w:r>
        <w:rPr>
          <w:rFonts w:ascii="Calibri" w:cs="Calibri" w:eastAsia="Calibri" w:hAnsi="Calibri"/>
          <w:b/>
          <w:bCs/>
          <w:color w:val="2E75B6"/>
          <w:sz w:val="23"/>
          <w:szCs w:val="23"/>
        </w:rPr>
        <w:t xml:space="preserve">13.2  Assumptions</w:t>
      </w:r>
    </w:p>
    <w:p>
      <w:pPr>
        <w:pStyle w:val="ListParagraph"/>
        <w:numPr>
          <w:ilvl w:val="0"/>
          <w:numId w:val="2"/>
        </w:numPr>
        <w:spacing w:after="80"/>
      </w:pPr>
      <w:r>
        <w:rPr>
          <w:rFonts w:ascii="Calibri" w:cs="Calibri" w:eastAsia="Calibri" w:hAnsi="Calibri"/>
          <w:color w:val="222222"/>
          <w:sz w:val="22"/>
          <w:szCs w:val="22"/>
        </w:rPr>
        <w:t xml:space="preserve">All 17 subsidiaries run Business Central SaaS (cloud). On-prem deployments, if any, will require an Azure Self-Hosted Integration Runtime via a secure gateway.</w:t>
      </w:r>
    </w:p>
    <w:p>
      <w:pPr>
        <w:pStyle w:val="ListParagraph"/>
        <w:numPr>
          <w:ilvl w:val="0"/>
          <w:numId w:val="2"/>
        </w:numPr>
        <w:spacing w:after="80"/>
      </w:pPr>
      <w:r>
        <w:rPr>
          <w:rFonts w:ascii="Calibri" w:cs="Calibri" w:eastAsia="Calibri" w:hAnsi="Calibri"/>
          <w:color w:val="222222"/>
          <w:sz w:val="22"/>
          <w:szCs w:val="22"/>
        </w:rPr>
        <w:t xml:space="preserve">Each subsidiary will grant the programme an Entra ID app registration with read access to the scoped APIs within 10 business days of request.</w:t>
      </w:r>
    </w:p>
    <w:p>
      <w:pPr>
        <w:pStyle w:val="ListParagraph"/>
        <w:numPr>
          <w:ilvl w:val="0"/>
          <w:numId w:val="2"/>
        </w:numPr>
        <w:spacing w:after="80"/>
      </w:pPr>
      <w:r>
        <w:rPr>
          <w:rFonts w:ascii="Calibri" w:cs="Calibri" w:eastAsia="Calibri" w:hAnsi="Calibri"/>
          <w:color w:val="222222"/>
          <w:sz w:val="22"/>
          <w:szCs w:val="22"/>
        </w:rPr>
        <w:t xml:space="preserve">Group finance will own and staff the canonical CoA and dimension framework, including an accountable owner and a two-person mapping approval workflow.</w:t>
      </w:r>
    </w:p>
    <w:p>
      <w:pPr>
        <w:pStyle w:val="ListParagraph"/>
        <w:numPr>
          <w:ilvl w:val="0"/>
          <w:numId w:val="2"/>
        </w:numPr>
        <w:spacing w:after="80"/>
      </w:pPr>
      <w:r>
        <w:rPr>
          <w:rFonts w:ascii="Calibri" w:cs="Calibri" w:eastAsia="Calibri" w:hAnsi="Calibri"/>
          <w:color w:val="222222"/>
          <w:sz w:val="22"/>
          <w:szCs w:val="22"/>
        </w:rPr>
        <w:t xml:space="preserve">The legal entity structure is stable over the programme; major re-orgs will trigger re-planning.</w:t>
      </w:r>
    </w:p>
    <w:p>
      <w:pPr>
        <w:pStyle w:val="Heading3"/>
        <w:spacing w:after="120" w:before="200"/>
      </w:pPr>
      <w:r>
        <w:rPr>
          <w:rFonts w:ascii="Calibri" w:cs="Calibri" w:eastAsia="Calibri" w:hAnsi="Calibri"/>
          <w:b/>
          <w:bCs/>
          <w:color w:val="2E75B6"/>
          <w:sz w:val="23"/>
          <w:szCs w:val="23"/>
        </w:rPr>
        <w:t xml:space="preserve">13.3  Dependencies</w:t>
      </w:r>
    </w:p>
    <w:p>
      <w:pPr>
        <w:pStyle w:val="ListParagraph"/>
        <w:numPr>
          <w:ilvl w:val="0"/>
          <w:numId w:val="2"/>
        </w:numPr>
        <w:spacing w:after="80"/>
      </w:pPr>
      <w:r>
        <w:rPr>
          <w:rFonts w:ascii="Calibri" w:cs="Calibri" w:eastAsia="Calibri" w:hAnsi="Calibri"/>
          <w:color w:val="222222"/>
          <w:sz w:val="22"/>
          <w:szCs w:val="22"/>
        </w:rPr>
        <w:t xml:space="preserve">Microsoft Azure enterprise agreement with headroom for Databricks, ADLS, and Front Door consumption.</w:t>
      </w:r>
    </w:p>
    <w:p>
      <w:pPr>
        <w:pStyle w:val="ListParagraph"/>
        <w:numPr>
          <w:ilvl w:val="0"/>
          <w:numId w:val="2"/>
        </w:numPr>
        <w:spacing w:after="80"/>
      </w:pPr>
      <w:r>
        <w:rPr>
          <w:rFonts w:ascii="Calibri" w:cs="Calibri" w:eastAsia="Calibri" w:hAnsi="Calibri"/>
          <w:color w:val="222222"/>
          <w:sz w:val="22"/>
          <w:szCs w:val="22"/>
        </w:rPr>
        <w:t xml:space="preserve">Enterprise Databricks workspace with Unity Catalog enabled.</w:t>
      </w:r>
    </w:p>
    <w:p>
      <w:pPr>
        <w:pStyle w:val="ListParagraph"/>
        <w:numPr>
          <w:ilvl w:val="0"/>
          <w:numId w:val="2"/>
        </w:numPr>
        <w:spacing w:after="80"/>
      </w:pPr>
      <w:r>
        <w:rPr>
          <w:rFonts w:ascii="Calibri" w:cs="Calibri" w:eastAsia="Calibri" w:hAnsi="Calibri"/>
          <w:color w:val="222222"/>
          <w:sz w:val="22"/>
          <w:szCs w:val="22"/>
        </w:rPr>
        <w:t xml:space="preserve">Security architecture review and data-residency sign-off from CISO before pilot go-live.</w:t>
      </w:r>
    </w:p>
    <w:p>
      <w:pPr>
        <w:pStyle w:val="ListParagraph"/>
        <w:numPr>
          <w:ilvl w:val="0"/>
          <w:numId w:val="2"/>
        </w:numPr>
        <w:spacing w:after="80"/>
      </w:pPr>
      <w:r>
        <w:rPr>
          <w:rFonts w:ascii="Calibri" w:cs="Calibri" w:eastAsia="Calibri" w:hAnsi="Calibri"/>
          <w:color w:val="222222"/>
          <w:sz w:val="22"/>
          <w:szCs w:val="22"/>
        </w:rPr>
        <w:t xml:space="preserve">Finance leadership availability for canonical CoA sessions (estimated 40 hours across Months 1–2).</w:t>
      </w:r>
    </w:p>
    <w:p>
      <w:r>
        <w:br w:type="page"/>
      </w:r>
    </w:p>
    <w:p>
      <w:pPr>
        <w:pStyle w:val="Heading1"/>
        <w:spacing w:after="200" w:before="360"/>
      </w:pPr>
      <w:r>
        <w:rPr>
          <w:rFonts w:ascii="Calibri" w:cs="Calibri" w:eastAsia="Calibri" w:hAnsi="Calibri"/>
          <w:b/>
          <w:bCs/>
          <w:color w:val="1F3864"/>
          <w:sz w:val="32"/>
          <w:szCs w:val="32"/>
        </w:rPr>
        <w:t xml:space="preserve">14. Open Questions</w:t>
      </w:r>
    </w:p>
    <w:p>
      <w:pPr>
        <w:pStyle w:val="ListParagraph"/>
        <w:numPr>
          <w:ilvl w:val="0"/>
          <w:numId w:val="2"/>
        </w:numPr>
        <w:spacing w:after="80"/>
      </w:pPr>
      <w:r>
        <w:rPr>
          <w:rFonts w:ascii="Calibri" w:cs="Calibri" w:eastAsia="Calibri" w:hAnsi="Calibri"/>
          <w:color w:val="222222"/>
          <w:sz w:val="22"/>
          <w:szCs w:val="22"/>
        </w:rPr>
        <w:t xml:space="preserve">Are all 17 subsidiaries on Business Central SaaS, or are any on-prem / BC on Azure VM?</w:t>
      </w:r>
    </w:p>
    <w:p>
      <w:pPr>
        <w:pStyle w:val="ListParagraph"/>
        <w:numPr>
          <w:ilvl w:val="0"/>
          <w:numId w:val="2"/>
        </w:numPr>
        <w:spacing w:after="80"/>
      </w:pPr>
      <w:r>
        <w:rPr>
          <w:rFonts w:ascii="Calibri" w:cs="Calibri" w:eastAsia="Calibri" w:hAnsi="Calibri"/>
          <w:color w:val="222222"/>
          <w:sz w:val="22"/>
          <w:szCs w:val="22"/>
        </w:rPr>
        <w:t xml:space="preserve">What is the firm's stated FX policy (period-end, average, historical) and is there a documented rate source?</w:t>
      </w:r>
    </w:p>
    <w:p>
      <w:pPr>
        <w:pStyle w:val="ListParagraph"/>
        <w:numPr>
          <w:ilvl w:val="0"/>
          <w:numId w:val="2"/>
        </w:numPr>
        <w:spacing w:after="80"/>
      </w:pPr>
      <w:r>
        <w:rPr>
          <w:rFonts w:ascii="Calibri" w:cs="Calibri" w:eastAsia="Calibri" w:hAnsi="Calibri"/>
          <w:color w:val="222222"/>
          <w:sz w:val="22"/>
          <w:szCs w:val="22"/>
        </w:rPr>
        <w:t xml:space="preserve">Is there an existing canonical chart of accounts (even informal) or does this need to be authored from scratch?</w:t>
      </w:r>
    </w:p>
    <w:p>
      <w:pPr>
        <w:pStyle w:val="ListParagraph"/>
        <w:numPr>
          <w:ilvl w:val="0"/>
          <w:numId w:val="2"/>
        </w:numPr>
        <w:spacing w:after="80"/>
      </w:pPr>
      <w:r>
        <w:rPr>
          <w:rFonts w:ascii="Calibri" w:cs="Calibri" w:eastAsia="Calibri" w:hAnsi="Calibri"/>
          <w:color w:val="222222"/>
          <w:sz w:val="22"/>
          <w:szCs w:val="22"/>
        </w:rPr>
        <w:t xml:space="preserve">Which subsidiary is the preferred pilot candidate (typically: clean data, cooperative controller, representative complexity)?</w:t>
      </w:r>
    </w:p>
    <w:p>
      <w:pPr>
        <w:pStyle w:val="ListParagraph"/>
        <w:numPr>
          <w:ilvl w:val="0"/>
          <w:numId w:val="2"/>
        </w:numPr>
        <w:spacing w:after="80"/>
      </w:pPr>
      <w:r>
        <w:rPr>
          <w:rFonts w:ascii="Calibri" w:cs="Calibri" w:eastAsia="Calibri" w:hAnsi="Calibri"/>
          <w:color w:val="222222"/>
          <w:sz w:val="22"/>
          <w:szCs w:val="22"/>
        </w:rPr>
        <w:t xml:space="preserve">What is the group's position on on-shore-only data residency (US Azure regions only) vs. US + EU for any EU-resident subsidiaries?</w:t>
      </w:r>
    </w:p>
    <w:p>
      <w:pPr>
        <w:pStyle w:val="ListParagraph"/>
        <w:numPr>
          <w:ilvl w:val="0"/>
          <w:numId w:val="2"/>
        </w:numPr>
        <w:spacing w:after="80"/>
      </w:pPr>
      <w:r>
        <w:rPr>
          <w:rFonts w:ascii="Calibri" w:cs="Calibri" w:eastAsia="Calibri" w:hAnsi="Calibri"/>
          <w:color w:val="222222"/>
          <w:sz w:val="22"/>
          <w:szCs w:val="22"/>
        </w:rPr>
        <w:t xml:space="preserve">Does the firm have a preferred BI layer (Power BI, Tableau) that should be supported alongside the React app?</w:t>
      </w:r>
    </w:p>
    <w:p>
      <w:pPr>
        <w:pStyle w:val="ListParagraph"/>
        <w:numPr>
          <w:ilvl w:val="0"/>
          <w:numId w:val="2"/>
        </w:numPr>
        <w:spacing w:after="80"/>
      </w:pPr>
      <w:r>
        <w:rPr>
          <w:rFonts w:ascii="Calibri" w:cs="Calibri" w:eastAsia="Calibri" w:hAnsi="Calibri"/>
          <w:color w:val="222222"/>
          <w:sz w:val="22"/>
          <w:szCs w:val="22"/>
        </w:rPr>
        <w:t xml:space="preserve">What is the expected number of named users at GA, and how many will be external (e.g., auditors, board)?</w:t>
      </w:r>
    </w:p>
    <w:p>
      <w:r>
        <w:br w:type="page"/>
      </w:r>
    </w:p>
    <w:p>
      <w:pPr>
        <w:pStyle w:val="Heading1"/>
        <w:spacing w:after="200" w:before="360"/>
      </w:pPr>
      <w:r>
        <w:rPr>
          <w:rFonts w:ascii="Calibri" w:cs="Calibri" w:eastAsia="Calibri" w:hAnsi="Calibri"/>
          <w:b/>
          <w:bCs/>
          <w:color w:val="1F3864"/>
          <w:sz w:val="32"/>
          <w:szCs w:val="32"/>
        </w:rPr>
        <w:t xml:space="preserve">15. Appendix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Term</w:t>
            </w:r>
          </w:p>
        </w:tc>
        <w:tc>
          <w:tcPr>
            <w:tcW w:type="dxa" w:w="6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Definition</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RIA</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Registered Investment Adviser — an investment advisory firm registered with the SEC or state regulators under the Investment Advisers Act of 1940.</w:t>
            </w:r>
          </w:p>
        </w:tc>
      </w:tr>
      <w:tr>
        <w:tc>
          <w:tcPr>
            <w:tcW w:type="dxa" w:w="2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BC</w:t>
            </w:r>
          </w:p>
        </w:tc>
        <w:tc>
          <w:tcPr>
            <w:tcW w:type="dxa" w:w="69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Microsoft Dynamics 365 Business Central — Microsoft's mid-market ERP for SMBs.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Bronze / Silver / Gold</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Medallion architecture zones: raw, conformed, consumption.</w:t>
            </w:r>
          </w:p>
        </w:tc>
      </w:tr>
      <w:tr>
        <w:tc>
          <w:tcPr>
            <w:tcW w:type="dxa" w:w="2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SCD-2</w:t>
            </w:r>
          </w:p>
        </w:tc>
        <w:tc>
          <w:tcPr>
            <w:tcW w:type="dxa" w:w="69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Slowly Changing Dimension Type 2 — preserves full history of dimensional attributes via effective-date rows.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CDC</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Change Data Capture — identifying and propagating only changed rows since the last extract.</w:t>
            </w:r>
          </w:p>
        </w:tc>
      </w:tr>
      <w:tr>
        <w:tc>
          <w:tcPr>
            <w:tcW w:type="dxa" w:w="2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WORM</w:t>
            </w:r>
          </w:p>
        </w:tc>
        <w:tc>
          <w:tcPr>
            <w:tcW w:type="dxa" w:w="69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Write Once Read Many — immutable storage policy required for certain regulated records.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RPO / RTO</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Recovery Point Objective / Recovery Time Objective.</w:t>
            </w:r>
          </w:p>
        </w:tc>
      </w:tr>
      <w:tr>
        <w:tc>
          <w:tcPr>
            <w:tcW w:type="dxa" w:w="240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Unity Catalog</w:t>
            </w:r>
          </w:p>
        </w:tc>
        <w:tc>
          <w:tcPr>
            <w:tcW w:type="dxa" w:w="6960"/>
            <w:tcBorders>
              <w:top w:val="single" w:color="BFBFBF" w:sz="4"/>
              <w:left w:val="single" w:color="BFBFBF" w:sz="4"/>
              <w:bottom w:val="single" w:color="BFBFBF" w:sz="4"/>
              <w:right w:val="single" w:color="BFBFBF" w:sz="4"/>
            </w:tcBorders>
            <w:shd w:fill="F4F7FB"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Databricks' unified governance layer for data and AI assets.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Entra ID</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vAlign w:val="center"/>
          </w:tcPr>
          <w:p>
            <w:r>
              <w:rPr>
                <w:rFonts w:ascii="Calibri" w:cs="Calibri" w:eastAsia="Calibri" w:hAnsi="Calibri"/>
                <w:color w:val="222222"/>
                <w:sz w:val="21"/>
                <w:szCs w:val="21"/>
              </w:rPr>
              <w:t xml:space="preserve">Microsoft's identity platform, formerly Azure Active Directory.</w:t>
            </w:r>
          </w:p>
        </w:tc>
      </w:tr>
    </w:tbl>
    <w:sectPr>
      <w:headerReference w:type="default" r:id="rId7"/>
      <w:footerReference w:type="default" r:id="rId8"/>
      <w:pgSz w:w="12240" w:h="15840" w:orient="portrait"/>
      <w:pgMar w:top="1200" w:right="1200" w:bottom="1200" w:left="12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Calibri" w:cs="Calibri" w:eastAsia="Calibri" w:hAnsi="Calibri"/>
        <w:color w:val="666666"/>
        <w:sz w:val="18"/>
        <w:szCs w:val="18"/>
      </w:rPr>
      <w:t xml:space="preserve">Unified Financial Intelligence Platform — PRD</w:t>
    </w:r>
    <w:r>
      <w:rPr>
        <w:rFonts w:ascii="Calibri" w:cs="Calibri" w:eastAsia="Calibri" w:hAnsi="Calibri"/>
      </w:rPr>
      <w:t xml:space="preserve">	</w:t>
    </w:r>
    <w:r>
      <w:rPr>
        <w:rFonts w:ascii="Calibri" w:cs="Calibri" w:eastAsia="Calibri" w:hAnsi="Calibri"/>
        <w:color w:val="666666"/>
        <w:sz w:val="18"/>
        <w:szCs w:val="18"/>
      </w:rPr>
      <w:t xml:space="preserve">RIA Advisory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6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Financial Intelligence Platform — PRD</dc:title>
  <dc:creator>iSource Info Systems — Centre of Excellence</dc:creator>
  <dc:description>PRD for consolidating Business Central across 17 RIA Advisory subsidiaries</dc:description>
  <cp:lastModifiedBy>Un-named</cp:lastModifiedBy>
  <cp:revision>1</cp:revision>
  <dcterms:created xsi:type="dcterms:W3CDTF">2026-04-23T10:55:44.308Z</dcterms:created>
  <dcterms:modified xsi:type="dcterms:W3CDTF">2026-04-23T10:55:44.309Z</dcterms:modified>
</cp:coreProperties>
</file>

<file path=docProps/custom.xml><?xml version="1.0" encoding="utf-8"?>
<Properties xmlns="http://schemas.openxmlformats.org/officeDocument/2006/custom-properties" xmlns:vt="http://schemas.openxmlformats.org/officeDocument/2006/docPropsVTypes"/>
</file>