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Case Study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color w:val="3370ff"/>
          <w:sz w:val="36"/>
        </w:rPr>
        <w:t xml:space="preserve">1. </w:t>
      </w:r>
      <w:r>
        <w:rPr>
          <w:rFonts w:eastAsia="等线" w:ascii="Arial" w:cs="Arial" w:hAnsi="Arial"/>
          <w:b w:val="true"/>
          <w:sz w:val="36"/>
        </w:rPr>
        <w:t>Requirements</w:t>
      </w:r>
      <w:bookmarkEnd w:id="0"/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Scope: API + UI + DB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The expectation is for the candidate to code up a .NET core solution with React for this case study. You are free to choose the libraries that you are familiar with to solve the problem.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You are expected to upload the coded solutions (API &amp; UI) to the GIT and kindly share the link with us.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Input: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716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Output: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Design document link: </w:t>
      </w:r>
      <w:hyperlink r:id="rId6">
        <w:r>
          <w:rPr>
            <w:rFonts w:eastAsia="等线" w:ascii="Arial" w:cs="Arial" w:hAnsi="Arial"/>
            <w:color w:val="3370ff"/>
            <w:sz w:val="22"/>
          </w:rPr>
          <w:t>Case Study</w:t>
        </w:r>
      </w:hyperlink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Git link: </w:t>
      </w:r>
      <w:r>
        <w:rPr>
          <w:rFonts w:eastAsia="等线" w:ascii="Arial" w:cs="Arial" w:hAnsi="Arial"/>
          <w:sz w:val="22"/>
        </w:rPr>
        <w:t>https://github.com/dandebin/case_study</w:t>
      </w:r>
      <w:r>
        <w:rPr>
          <w:rFonts w:eastAsia="等线" w:ascii="Arial" w:cs="Arial" w:hAnsi="Arial"/>
          <w:sz w:val="22"/>
        </w:rPr>
        <w:t xml:space="preserve"> 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color w:val="3370ff"/>
          <w:sz w:val="36"/>
        </w:rPr>
        <w:t xml:space="preserve">2. </w:t>
      </w:r>
      <w:r>
        <w:rPr>
          <w:rFonts w:eastAsia="等线" w:ascii="Arial" w:cs="Arial" w:hAnsi="Arial"/>
          <w:b w:val="true"/>
          <w:sz w:val="36"/>
        </w:rPr>
        <w:t>Assumptions</w:t>
      </w:r>
      <w:bookmarkEnd w:id="1"/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Counterparty volume: &lt;10,000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Insurance items volume: &lt;10,000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ARAP JED volume: &lt;100,000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Daily reconciliation volume: &lt;100,000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color w:val="3370ff"/>
          <w:sz w:val="36"/>
        </w:rPr>
        <w:t xml:space="preserve">3. </w:t>
      </w:r>
      <w:r>
        <w:rPr>
          <w:rFonts w:eastAsia="等线" w:ascii="Arial" w:cs="Arial" w:hAnsi="Arial"/>
          <w:b w:val="true"/>
          <w:sz w:val="36"/>
        </w:rPr>
        <w:t>Techniques</w:t>
      </w:r>
      <w:bookmarkEnd w:id="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460"/>
        <w:gridCol w:w="1530"/>
        <w:gridCol w:w="4290"/>
      </w:tblGrid>
      <w:tr>
        <w:tc>
          <w:tcPr>
            <w:tcW w:w="2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Functions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Tech</w:t>
            </w:r>
          </w:p>
        </w:tc>
        <w:tc>
          <w:tcPr>
            <w:tcW w:w="4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Comments</w:t>
            </w:r>
          </w:p>
        </w:tc>
      </w:tr>
      <w:tr>
        <w:tc>
          <w:tcPr>
            <w:tcW w:w="2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Client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React Admin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Use pre-built React Admin components:</w:t>
            </w:r>
            <w:r>
              <w:rPr>
                <w:rFonts w:eastAsia="等线" w:ascii="Arial" w:cs="Arial" w:hAnsi="Arial"/>
                <w:sz w:val="22"/>
              </w:rPr>
              <w:t xml:space="preserve"> This clarifies that you'll be leveraging existing components within the React Admin framework, not building a custom template from scratch.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Integrate bespoke UI components:</w:t>
            </w:r>
            <w:r>
              <w:rPr>
                <w:rFonts w:eastAsia="等线" w:ascii="Arial" w:cs="Arial" w:hAnsi="Arial"/>
                <w:sz w:val="22"/>
              </w:rPr>
              <w:t xml:space="preserve"> "Bespoke" emphasizes the custom nature of these components, tailored to your specific needs.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Implement uniform pagination for a seamless user experience:</w:t>
            </w:r>
            <w:r>
              <w:rPr>
                <w:rFonts w:eastAsia="等线" w:ascii="Arial" w:cs="Arial" w:hAnsi="Arial"/>
                <w:sz w:val="22"/>
              </w:rPr>
              <w:t xml:space="preserve"> This highlights the focus on user-friendliness when navigating through large datasets.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Decouple the UI from backend API calls for independent development:</w:t>
            </w:r>
            <w:r>
              <w:rPr>
                <w:rFonts w:eastAsia="等线" w:ascii="Arial" w:cs="Arial" w:hAnsi="Arial"/>
                <w:sz w:val="22"/>
              </w:rPr>
              <w:t xml:space="preserve"> This emphasizes the separation of concerns and potential for parallel development of UI and backend.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Centralize backend API calls with a consistent approach:</w:t>
            </w:r>
            <w:r>
              <w:rPr>
                <w:rFonts w:eastAsia="等线" w:ascii="Arial" w:cs="Arial" w:hAnsi="Arial"/>
                <w:sz w:val="22"/>
              </w:rPr>
              <w:t xml:space="preserve"> This conveys the importance of a unified and maintainable way to interact with the backend API.</w:t>
            </w:r>
          </w:p>
        </w:tc>
      </w:tr>
      <w:tr>
        <w:tc>
          <w:tcPr>
            <w:tcW w:w="2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Service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.Net 7.0</w:t>
            </w:r>
          </w:p>
        </w:tc>
        <w:tc>
          <w:tcPr>
            <w:tcW w:w="4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Leverage Memory Cache for enhanced API performance:</w:t>
            </w:r>
            <w:r>
              <w:rPr>
                <w:rFonts w:eastAsia="等线" w:ascii="Arial" w:cs="Arial" w:hAnsi="Arial"/>
                <w:sz w:val="22"/>
              </w:rPr>
              <w:t xml:space="preserve"> This emphasizes the positive impact on response times.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Utilize Dapper for data mapping and stored procedure execution:</w:t>
            </w:r>
            <w:r>
              <w:rPr>
                <w:rFonts w:eastAsia="等线" w:ascii="Arial" w:cs="Arial" w:hAnsi="Arial"/>
                <w:sz w:val="22"/>
              </w:rPr>
              <w:t xml:space="preserve"> This clarifies the specific functionalities of Dapper in your project.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Implement a comprehensive exception handler:</w:t>
            </w:r>
            <w:r>
              <w:rPr>
                <w:rFonts w:eastAsia="等线" w:ascii="Arial" w:cs="Arial" w:hAnsi="Arial"/>
                <w:sz w:val="22"/>
              </w:rPr>
              <w:t xml:space="preserve"> This emphasizes the robustness of the system in managing errors.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Integrate logging middleware for detailed request/response tracking:</w:t>
            </w:r>
            <w:r>
              <w:rPr>
                <w:rFonts w:eastAsia="等线" w:ascii="Arial" w:cs="Arial" w:hAnsi="Arial"/>
                <w:sz w:val="22"/>
              </w:rPr>
              <w:t xml:space="preserve"> This highlights the comprehensiveness of the logging solution.</w:t>
            </w:r>
          </w:p>
        </w:tc>
      </w:tr>
      <w:tr>
        <w:tc>
          <w:tcPr>
            <w:tcW w:w="2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DB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Postgresql</w:t>
            </w:r>
          </w:p>
        </w:tc>
        <w:tc>
          <w:tcPr>
            <w:tcW w:w="4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PostgreSQL (Secure against SQL injection)</w:t>
            </w:r>
          </w:p>
        </w:tc>
      </w:tr>
      <w:tr>
        <w:tc>
          <w:tcPr>
            <w:tcW w:w="2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CICD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Git, Jira, AZure</w:t>
            </w:r>
          </w:p>
        </w:tc>
        <w:tc>
          <w:tcPr>
            <w:tcW w:w="4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Docker compose</w:t>
            </w:r>
          </w:p>
        </w:tc>
      </w:tr>
      <w:tr>
        <w:tc>
          <w:tcPr>
            <w:tcW w:w="2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UT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XUnit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Behavior Driven Development, Unit test first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Others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ChatGPT4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Gemini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Enhanced Development Support:</w:t>
            </w:r>
          </w:p>
          <w:p>
            <w:pPr>
              <w:numPr>
                <w:numId w:val="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Copilot:</w:t>
            </w:r>
            <w:r>
              <w:rPr>
                <w:rFonts w:eastAsia="等线" w:ascii="Arial" w:cs="Arial" w:hAnsi="Arial"/>
                <w:sz w:val="22"/>
              </w:rPr>
              <w:t xml:space="preserve"> Assists with code generation.</w:t>
            </w:r>
          </w:p>
          <w:p>
            <w:pPr>
              <w:numPr>
                <w:numId w:val="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Large Language Models (LLMs) like ChatGPT/Gemini:</w:t>
            </w:r>
          </w:p>
          <w:p>
            <w:pPr>
              <w:numPr>
                <w:numId w:val="9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Improved Commenting:</w:t>
            </w:r>
            <w:r>
              <w:rPr>
                <w:rFonts w:eastAsia="等线" w:ascii="Arial" w:cs="Arial" w:hAnsi="Arial"/>
                <w:sz w:val="22"/>
              </w:rPr>
              <w:t xml:space="preserve"> Generate comprehensive and informative comments explaining code functionality.</w:t>
            </w:r>
          </w:p>
          <w:p>
            <w:pPr>
              <w:numPr>
                <w:numId w:val="10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Streamlined Troubleshooting:</w:t>
            </w:r>
            <w:r>
              <w:rPr>
                <w:rFonts w:eastAsia="等线" w:ascii="Arial" w:cs="Arial" w:hAnsi="Arial"/>
                <w:sz w:val="22"/>
              </w:rPr>
              <w:t xml:space="preserve"> Assist in identifying potential issues and suggesting solutions based on code analysis.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color w:val="3370ff"/>
          <w:sz w:val="36"/>
        </w:rPr>
        <w:t xml:space="preserve">4. </w:t>
      </w:r>
      <w:r>
        <w:rPr>
          <w:rFonts w:eastAsia="等线" w:ascii="Arial" w:cs="Arial" w:hAnsi="Arial"/>
          <w:b w:val="true"/>
          <w:sz w:val="36"/>
        </w:rPr>
        <w:t>Design</w:t>
      </w:r>
      <w:bookmarkEnd w:id="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861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Service UI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28098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Client UI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28003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" w:id="4"/>
      <w:r>
        <w:rPr>
          <w:rFonts w:eastAsia="等线" w:ascii="Arial" w:cs="Arial" w:hAnsi="Arial"/>
          <w:color w:val="3370ff"/>
          <w:sz w:val="36"/>
        </w:rPr>
        <w:t xml:space="preserve">5. </w:t>
      </w:r>
      <w:r>
        <w:rPr>
          <w:rFonts w:eastAsia="等线" w:ascii="Arial" w:cs="Arial" w:hAnsi="Arial"/>
          <w:b w:val="true"/>
          <w:sz w:val="36"/>
        </w:rPr>
        <w:t>Demo</w:t>
      </w:r>
      <w:bookmarkEnd w:id="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860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860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860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860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5" w:id="5"/>
      <w:r>
        <w:rPr>
          <w:rFonts w:eastAsia="等线" w:ascii="Arial" w:cs="Arial" w:hAnsi="Arial"/>
          <w:color w:val="3370ff"/>
          <w:sz w:val="36"/>
        </w:rPr>
        <w:t xml:space="preserve">6. </w:t>
      </w:r>
      <w:r>
        <w:rPr>
          <w:rFonts w:eastAsia="等线" w:ascii="Arial" w:cs="Arial" w:hAnsi="Arial"/>
          <w:b w:val="true"/>
          <w:sz w:val="36"/>
        </w:rPr>
        <w:t xml:space="preserve">Plan </w:t>
      </w:r>
      <w:bookmarkEnd w:id="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240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6" w:id="6"/>
      <w:r>
        <w:rPr>
          <w:rFonts w:eastAsia="等线" w:ascii="Arial" w:cs="Arial" w:hAnsi="Arial"/>
          <w:color w:val="3370ff"/>
          <w:sz w:val="36"/>
        </w:rPr>
        <w:t xml:space="preserve">7. </w:t>
      </w:r>
      <w:r>
        <w:rPr>
          <w:rFonts w:eastAsia="等线" w:ascii="Arial" w:cs="Arial" w:hAnsi="Arial"/>
          <w:b w:val="true"/>
          <w:sz w:val="36"/>
        </w:rPr>
        <w:t>To-dos</w:t>
      </w:r>
      <w:bookmarkEnd w:id="6"/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UI Enhancement:</w:t>
      </w:r>
    </w:p>
    <w:p>
      <w:pPr>
        <w:numPr>
          <w:numId w:val="1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Further evaluate whether adjustments are necessary to the template and style.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Validate Assumptions:</w:t>
      </w:r>
    </w:p>
    <w:p>
      <w:pPr>
        <w:numPr>
          <w:numId w:val="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If volumes increase tenfold, adjustments will be necessary. For instance, we could implement a new service to pre-load reconciliation results. This would allow the UI to fetch data directly from the database, thereby reducing latency.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5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54567">
    <w:lvl>
      <w:numFmt w:val="bullet"/>
      <w:suff w:val="tab"/>
      <w:lvlText w:val="•"/>
      <w:rPr>
        <w:color w:val="3370ff"/>
      </w:rPr>
    </w:lvl>
  </w:abstractNum>
  <w:abstractNum w:abstractNumId="54568">
    <w:lvl>
      <w:numFmt w:val="bullet"/>
      <w:suff w:val="tab"/>
      <w:lvlText w:val="•"/>
      <w:rPr>
        <w:color w:val="3370ff"/>
      </w:rPr>
    </w:lvl>
  </w:abstractNum>
  <w:abstractNum w:abstractNumId="54569">
    <w:lvl>
      <w:numFmt w:val="bullet"/>
      <w:suff w:val="tab"/>
      <w:lvlText w:val="•"/>
      <w:rPr>
        <w:color w:val="3370ff"/>
      </w:rPr>
    </w:lvl>
  </w:abstractNum>
  <w:abstractNum w:abstractNumId="54570">
    <w:lvl>
      <w:numFmt w:val="bullet"/>
      <w:suff w:val="tab"/>
      <w:lvlText w:val="•"/>
      <w:rPr>
        <w:color w:val="3370ff"/>
      </w:rPr>
    </w:lvl>
  </w:abstractNum>
  <w:abstractNum w:abstractNumId="54571">
    <w:lvl>
      <w:numFmt w:val="bullet"/>
      <w:suff w:val="tab"/>
      <w:lvlText w:val="•"/>
      <w:rPr>
        <w:color w:val="3370ff"/>
      </w:rPr>
    </w:lvl>
  </w:abstractNum>
  <w:abstractNum w:abstractNumId="54572">
    <w:lvl>
      <w:numFmt w:val="bullet"/>
      <w:suff w:val="tab"/>
      <w:lvlText w:val="•"/>
      <w:rPr>
        <w:color w:val="3370ff"/>
      </w:rPr>
    </w:lvl>
  </w:abstractNum>
  <w:abstractNum w:abstractNumId="54573">
    <w:lvl>
      <w:numFmt w:val="bullet"/>
      <w:suff w:val="tab"/>
      <w:lvlText w:val="•"/>
      <w:rPr>
        <w:color w:val="3370ff"/>
      </w:rPr>
    </w:lvl>
  </w:abstractNum>
  <w:abstractNum w:abstractNumId="54574">
    <w:lvl>
      <w:numFmt w:val="bullet"/>
      <w:suff w:val="tab"/>
      <w:lvlText w:val="•"/>
      <w:rPr>
        <w:color w:val="3370ff"/>
      </w:rPr>
    </w:lvl>
  </w:abstractNum>
  <w:abstractNum w:abstractNumId="54575">
    <w:lvl>
      <w:numFmt w:val="bullet"/>
      <w:suff w:val="tab"/>
      <w:lvlText w:val="￮"/>
      <w:rPr>
        <w:color w:val="3370ff"/>
      </w:rPr>
    </w:lvl>
  </w:abstractNum>
  <w:abstractNum w:abstractNumId="54576">
    <w:lvl>
      <w:numFmt w:val="bullet"/>
      <w:suff w:val="tab"/>
      <w:lvlText w:val="￮"/>
      <w:rPr>
        <w:color w:val="3370ff"/>
      </w:rPr>
    </w:lvl>
  </w:abstractNum>
  <w:abstractNum w:abstractNumId="54577">
    <w:lvl>
      <w:numFmt w:val="bullet"/>
      <w:suff w:val="tab"/>
      <w:lvlText w:val="•"/>
      <w:rPr>
        <w:color w:val="3370ff"/>
      </w:rPr>
    </w:lvl>
  </w:abstractNum>
  <w:abstractNum w:abstractNumId="54578">
    <w:lvl>
      <w:numFmt w:val="bullet"/>
      <w:suff w:val="tab"/>
      <w:lvlText w:val="•"/>
      <w:rPr>
        <w:color w:val="3370ff"/>
      </w:rPr>
    </w:lvl>
  </w:abstractNum>
  <w:abstractNum w:abstractNumId="54579">
    <w:lvl>
      <w:numFmt w:val="bullet"/>
      <w:suff w:val="tab"/>
      <w:lvlText w:val="•"/>
      <w:rPr>
        <w:color w:val="3370ff"/>
      </w:rPr>
    </w:lvl>
  </w:abstractNum>
  <w:abstractNum w:abstractNumId="54580">
    <w:lvl>
      <w:numFmt w:val="bullet"/>
      <w:suff w:val="tab"/>
      <w:lvlText w:val="￮"/>
      <w:rPr>
        <w:color w:val="3370ff"/>
      </w:rPr>
    </w:lvl>
  </w:abstractNum>
  <w:abstractNum w:abstractNumId="54581">
    <w:lvl>
      <w:numFmt w:val="bullet"/>
      <w:suff w:val="tab"/>
      <w:lvlText w:val="•"/>
      <w:rPr>
        <w:color w:val="3370ff"/>
      </w:rPr>
    </w:lvl>
  </w:abstractNum>
  <w:abstractNum w:abstractNumId="54582">
    <w:lvl>
      <w:numFmt w:val="bullet"/>
      <w:suff w:val="tab"/>
      <w:lvlText w:val="￮"/>
      <w:rPr>
        <w:color w:val="3370ff"/>
      </w:rPr>
    </w:lvl>
  </w:abstractNum>
  <w:num w:numId="1">
    <w:abstractNumId w:val="54567"/>
  </w:num>
  <w:num w:numId="2">
    <w:abstractNumId w:val="54568"/>
  </w:num>
  <w:num w:numId="3">
    <w:abstractNumId w:val="54569"/>
  </w:num>
  <w:num w:numId="4">
    <w:abstractNumId w:val="54570"/>
  </w:num>
  <w:num w:numId="5">
    <w:abstractNumId w:val="54571"/>
  </w:num>
  <w:num w:numId="6">
    <w:abstractNumId w:val="54572"/>
  </w:num>
  <w:num w:numId="7">
    <w:abstractNumId w:val="54573"/>
  </w:num>
  <w:num w:numId="8">
    <w:abstractNumId w:val="54574"/>
  </w:num>
  <w:num w:numId="9">
    <w:abstractNumId w:val="54575"/>
  </w:num>
  <w:num w:numId="10">
    <w:abstractNumId w:val="54576"/>
  </w:num>
  <w:num w:numId="11">
    <w:abstractNumId w:val="54577"/>
  </w:num>
  <w:num w:numId="12">
    <w:abstractNumId w:val="54578"/>
  </w:num>
  <w:num w:numId="13">
    <w:abstractNumId w:val="54579"/>
  </w:num>
  <w:num w:numId="14">
    <w:abstractNumId w:val="54580"/>
  </w:num>
  <w:num w:numId="15">
    <w:abstractNumId w:val="54581"/>
  </w:num>
  <w:num w:numId="16">
    <w:abstractNumId w:val="5458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jpeg" Type="http://schemas.openxmlformats.org/officeDocument/2006/relationships/image"/><Relationship Id="rId15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jpeg" Type="http://schemas.openxmlformats.org/officeDocument/2006/relationships/image"/><Relationship Id="rId5" Target="numbering.xml" Type="http://schemas.openxmlformats.org/officeDocument/2006/relationships/numbering"/><Relationship Id="rId6" Target="https://atg8lg0m8r.feishu.cn/docx/NbJCdZw4NoYFfpxRCM6c1jmPnVd" TargetMode="External" Type="http://schemas.openxmlformats.org/officeDocument/2006/relationships/hyperlink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2024-04-27T14:11:13Z</dcterms:created>
  <dc:creator>Apache POI</dc:creator>
</cp:coreProperties>
</file>