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0" w:after="80"/>
        <w:jc w:val="center"/>
      </w:pPr>
      <w:r>
        <w:rPr>
          <w:rFonts w:ascii="微软雅黑" w:hAnsi="微软雅黑" w:eastAsia="微软雅黑"/>
          <w:b/>
          <w:color w:val="1F4E79"/>
          <w:sz w:val="25"/>
        </w:rPr>
        <w:t>第十一届（2026年）中国高校计算机大赛—移动应用创新赛</w:t>
      </w:r>
    </w:p>
    <w:p>
      <w:pPr>
        <w:pStyle w:val="EatWhatTitle"/>
      </w:pPr>
      <w:r>
        <w:t>初赛作品说明文档</w:t>
      </w:r>
    </w:p>
    <w:p>
      <w:pPr>
        <w:pStyle w:val="EatWhatSubtitle"/>
      </w:pPr>
      <w:r>
        <w:t>作品名称：今天吃什么 2.0｜场景：长沙师范学院安沙校区附近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B9C6D2"/>
          <w:left w:val="single" w:sz="5" w:color="B9C6D2"/>
          <w:bottom w:val="single" w:sz="5" w:color="B9C6D2"/>
          <w:right w:val="single" w:sz="5" w:color="B9C6D2"/>
          <w:insideH w:val="single" w:sz="5" w:color="B9C6D2"/>
          <w:insideV w:val="single" w:sz="5" w:color="B9C6D2"/>
        </w:tblBorders>
      </w:tblPr>
      <w:tblGrid>
        <w:gridCol w:w="1660"/>
        <w:gridCol w:w="6640"/>
      </w:tblGrid>
      <w:tr>
        <w:trPr>
          <w:tblHeader w:val="true"/>
          <w:cantSplit/>
        </w:trPr>
        <w:tc>
          <w:tcPr>
            <w:tcW w:type="dxa" w:w="1660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6640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产品定位</w:t>
            </w:r>
          </w:p>
        </w:tc>
        <w:tc>
          <w:tcPr>
            <w:tcW w:type="dxa" w:w="66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面向高校场景的吃饭决策助手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核心流程</w:t>
            </w:r>
          </w:p>
        </w:tc>
        <w:tc>
          <w:tcPr>
            <w:tcW w:type="dxa" w:w="66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回答今日问题 → 翻牌 → 推荐 → 收藏 / 换一张 / 查看详情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数据能力</w:t>
            </w:r>
          </w:p>
        </w:tc>
        <w:tc>
          <w:tcPr>
            <w:tcW w:type="dxa" w:w="66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高德真实周边餐饮 POI + 步行路线 + 自有餐饮标签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当前形态</w:t>
            </w:r>
          </w:p>
        </w:tc>
        <w:tc>
          <w:tcPr>
            <w:tcW w:type="dxa" w:w="664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网页高保真原型 + SwiftUI MVP 骨架 + Node.js 后端代理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1、问题背景与用户分析（200字）</w:t>
      </w:r>
    </w:p>
    <w:p>
      <w:pPr>
        <w:spacing w:after="160" w:line="324" w:lineRule="auto"/>
        <w:ind w:firstLine="420"/>
        <w:jc w:val="both"/>
      </w:pPr>
      <w:r>
        <w:rPr>
          <w:rFonts w:ascii="宋体" w:hAnsi="宋体" w:eastAsia="宋体"/>
          <w:b w:val="0"/>
          <w:color w:val="1F2933"/>
          <w:sz w:val="22"/>
        </w:rPr>
        <w:t>高校学生在赶课、午休、多人就餐时，常面临时间紧、预算有限、忌口不同却不知道吃什么的问题。美团、饿了么和点评类平台擅长搜索与交易，但需要用户先明确目标，海量列表反而延长选择。今天吃什么聚焦长沙师范学院安沙校区周边，把用户分为独自用餐、同学聚餐和赶时间三类高频场景，通过人数、品类、口味、当前状态及堂食/打包/外卖五个今日问题，叠加默认预算、距离和忌口等长期偏好，在数十秒内给出一个可执行选择。</w:t>
      </w:r>
    </w:p>
    <w:p>
      <w:pPr>
        <w:pStyle w:val="Heading1"/>
      </w:pPr>
      <w:r>
        <w:t>2、相关竞品分析（200字）</w:t>
      </w:r>
    </w:p>
    <w:p>
      <w:pPr>
        <w:spacing w:after="160" w:line="324" w:lineRule="auto"/>
        <w:ind w:firstLine="420"/>
        <w:jc w:val="both"/>
      </w:pPr>
      <w:r>
        <w:rPr>
          <w:rFonts w:ascii="宋体" w:hAnsi="宋体" w:eastAsia="宋体"/>
          <w:b w:val="0"/>
          <w:color w:val="1F2933"/>
          <w:sz w:val="22"/>
        </w:rPr>
        <w:t>美团、饿了么、大众点评以商家覆盖、优惠、评价和履约为优势，适合用户已经明确品类的搜索；小红书以内容种草见长，但从发现到到店链路较长；随机转盘类工具操作快，却缺少真实距离、营业状态和忌口约束。今天吃什么不与交易平台正面竞争，而占据决策前一步：先回答今日问题，再翻牌得到单一主推荐，并展示店名、品类、人均、距离、辣度、健康标签、出餐速度、营业时间及推荐理由；不满意可换一张，满意可收藏或查看路线。</w:t>
      </w:r>
    </w:p>
    <w:p>
      <w:pPr>
        <w:pStyle w:val="Heading1"/>
      </w:pPr>
      <w:r>
        <w:t>3、可行性分析（300字）</w:t>
      </w:r>
    </w:p>
    <w:p>
      <w:pPr>
        <w:spacing w:after="160" w:line="324" w:lineRule="auto"/>
        <w:ind w:firstLine="420"/>
        <w:jc w:val="both"/>
      </w:pPr>
      <w:r>
        <w:rPr>
          <w:rFonts w:ascii="宋体" w:hAnsi="宋体" w:eastAsia="宋体"/>
          <w:b w:val="0"/>
          <w:color w:val="1F2933"/>
          <w:sz w:val="22"/>
        </w:rPr>
        <w:t>产品已形成可运行的高保真原型和 SwiftUI MVP 骨架，完整覆盖“今日问题—翻牌—推荐—收藏/换一张/详情”闭环。数据层采用高德 Web 服务后端代理：/api/food/nearby 获取安沙校区周边真实餐饮 POI，/api/route/walking 返回步行距离、时间和路线步骤；密钥仅存于本地环境变量，不暴露在前端。高德字段经去重、品类归一和缺失值兜底后，与自有辣度、健康、速度和场景标签融合；接口失败时回退到本地样本，保证演示连续。规则推荐按距离、预算、品类、口味、速度和健康偏好计分。联调已验证服务健康检查、真实周边店铺返回及步行路线步骤返回，技术路径清晰、成本可控、可逐校复制。</w:t>
      </w:r>
    </w:p>
    <w:p>
      <w:pPr>
        <w:pStyle w:val="Heading1"/>
      </w:pPr>
      <w:r>
        <w:t>4、App创新点（300字）</w:t>
      </w:r>
    </w:p>
    <w:p>
      <w:pPr>
        <w:spacing w:after="160" w:line="324" w:lineRule="auto"/>
        <w:ind w:firstLine="420"/>
        <w:jc w:val="both"/>
      </w:pPr>
      <w:r>
        <w:rPr>
          <w:rFonts w:ascii="宋体" w:hAnsi="宋体" w:eastAsia="宋体"/>
          <w:b w:val="0"/>
          <w:color w:val="1F2933"/>
          <w:sz w:val="22"/>
        </w:rPr>
        <w:t>创新不在“随机抽店”，而在把模糊的吃饭需求转成可解释决策。第一，情境化问题同时覆盖人数、想吃类型、口味、当前状态和就餐方式，减少无效筛选。第二，翻牌前用问号制造轻量参与感，翻牌后只给一个主答案，避免再次陷入列表。第三，推荐卡片把真实地理数据与自有餐饮语义融合，既显示高德提供的店名、位置、距离、营业信息和路线，又补充辣度、健康标签、出餐速度及动态理由。第四，收藏、换一张、详情和“我的”长期偏好形成反馈闭环。第五，密钥后端代理、真实数据与本地样本双通道兼顾安全与演示稳定；相同架构可扩展到多人投票、校园食堂窗口、健康计划与低碳餐饮。</w:t>
      </w:r>
    </w:p>
    <w:p>
      <w:pPr>
        <w:pStyle w:val="Heading1"/>
      </w:pPr>
      <w:r>
        <w:t>5、应用前景（200字）</w:t>
      </w:r>
    </w:p>
    <w:p>
      <w:pPr>
        <w:spacing w:after="160" w:line="324" w:lineRule="auto"/>
        <w:ind w:firstLine="420"/>
        <w:jc w:val="both"/>
      </w:pPr>
      <w:r>
        <w:rPr>
          <w:rFonts w:ascii="宋体" w:hAnsi="宋体" w:eastAsia="宋体"/>
          <w:b w:val="0"/>
          <w:color w:val="1F2933"/>
          <w:sz w:val="22"/>
        </w:rPr>
        <w:t>项目适合从高校校区切入：餐饮供给集中、午晚餐决策高频、用户和商家触达成本较低。C 端基础决策功能保持免费，以使用和收藏沉淀偏好；B 端可提供门店信息核验、优惠活动、数据看板和按效果计费的推广服务。先在安沙校区验证推荐点击、收藏、换牌率和到店意向，再复制到高校及办公园区。社会层面可帮助小微餐饮获得更公平曝光，引导少油、低辣、步行可达等选择；规模化后可形成产品研发、数据维护、校园运营和商户服务岗位。</w:t>
      </w:r>
    </w:p>
    <w:p>
      <w:pPr>
        <w:pStyle w:val="Heading1"/>
      </w:pPr>
      <w:r>
        <w:t>评审维度支撑材料</w:t>
      </w:r>
    </w:p>
    <w:p>
      <w:pPr>
        <w:spacing w:before="80" w:after="160" w:line="300" w:lineRule="auto"/>
        <w:ind w:left="125" w:right="68"/>
        <w:shd w:fill="E8F4EF"/>
        <w:pBdr>
          <w:left w:val="single" w:sz="18" w:space="6" w:color="1E7A5C"/>
        </w:pBdr>
      </w:pPr>
      <w:r>
        <w:rPr>
          <w:rFonts w:ascii="微软雅黑" w:hAnsi="微软雅黑" w:eastAsia="微软雅黑"/>
          <w:b/>
          <w:color w:val="1E7A5C"/>
          <w:sz w:val="21"/>
        </w:rPr>
        <w:t>自评目标：</w:t>
      </w:r>
      <w:r>
        <w:rPr>
          <w:rFonts w:ascii="宋体" w:hAnsi="宋体" w:eastAsia="宋体"/>
          <w:b w:val="0"/>
          <w:color w:val="1F2933"/>
          <w:sz w:val="21"/>
        </w:rPr>
        <w:t>96/100。该分值用于按评审维度检查材料完整度，不代表评委最终评分；所有商业与就业数字均为情景测算，不冒充已实现收入或岗位。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B9C6D2"/>
          <w:left w:val="single" w:sz="5" w:color="B9C6D2"/>
          <w:bottom w:val="single" w:sz="5" w:color="B9C6D2"/>
          <w:right w:val="single" w:sz="5" w:color="B9C6D2"/>
          <w:insideH w:val="single" w:sz="5" w:color="B9C6D2"/>
          <w:insideV w:val="single" w:sz="5" w:color="B9C6D2"/>
        </w:tblBorders>
      </w:tblPr>
      <w:tblGrid>
        <w:gridCol w:w="1726"/>
        <w:gridCol w:w="863"/>
        <w:gridCol w:w="4980"/>
        <w:gridCol w:w="731"/>
      </w:tblGrid>
      <w:tr>
        <w:trPr>
          <w:tblHeader w:val="true"/>
          <w:cantSplit/>
        </w:trPr>
        <w:tc>
          <w:tcPr>
            <w:tcW w:type="dxa" w:w="1726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评审维度</w:t>
            </w:r>
          </w:p>
        </w:tc>
        <w:tc>
          <w:tcPr>
            <w:tcW w:type="dxa" w:w="863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满分</w:t>
            </w:r>
          </w:p>
        </w:tc>
        <w:tc>
          <w:tcPr>
            <w:tcW w:type="dxa" w:w="4980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核心证据</w:t>
            </w:r>
          </w:p>
        </w:tc>
        <w:tc>
          <w:tcPr>
            <w:tcW w:type="dxa" w:w="731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自评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作品创新性</w:t>
            </w:r>
          </w:p>
        </w:tc>
        <w:tc>
          <w:tcPr>
            <w:tcW w:type="dxa" w:w="86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35</w:t>
            </w:r>
          </w:p>
        </w:tc>
        <w:tc>
          <w:tcPr>
            <w:tcW w:type="dxa" w:w="49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问题驱动决策、单一主推荐、可解释标签、真实地图与偏好融合</w:t>
            </w:r>
          </w:p>
        </w:tc>
        <w:tc>
          <w:tcPr>
            <w:tcW w:type="dxa" w:w="7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34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商业前景</w:t>
            </w:r>
          </w:p>
        </w:tc>
        <w:tc>
          <w:tcPr>
            <w:tcW w:type="dxa" w:w="86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35</w:t>
            </w:r>
          </w:p>
        </w:tc>
        <w:tc>
          <w:tcPr>
            <w:tcW w:type="dxa" w:w="49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C 端免费获客、B 端信息/活动/数据服务、校园到园区复制</w:t>
            </w:r>
          </w:p>
        </w:tc>
        <w:tc>
          <w:tcPr>
            <w:tcW w:type="dxa" w:w="7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34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社会价值</w:t>
            </w:r>
          </w:p>
        </w:tc>
        <w:tc>
          <w:tcPr>
            <w:tcW w:type="dxa" w:w="86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20</w:t>
            </w:r>
          </w:p>
        </w:tc>
        <w:tc>
          <w:tcPr>
            <w:tcW w:type="dxa" w:w="49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降低决策成本、健康与步行引导、小微商户公平曝光、岗位测算</w:t>
            </w:r>
          </w:p>
        </w:tc>
        <w:tc>
          <w:tcPr>
            <w:tcW w:type="dxa" w:w="7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172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团队与表达</w:t>
            </w:r>
          </w:p>
        </w:tc>
        <w:tc>
          <w:tcPr>
            <w:tcW w:type="dxa" w:w="863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10</w:t>
            </w:r>
          </w:p>
        </w:tc>
        <w:tc>
          <w:tcPr>
            <w:tcW w:type="dxa" w:w="498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角色矩阵、代码与文档齐全、原型和接口联调证据</w:t>
            </w:r>
          </w:p>
        </w:tc>
        <w:tc>
          <w:tcPr>
            <w:tcW w:type="dxa" w:w="731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9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一、作品创新性（35分）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设计创新：</w:t>
      </w:r>
      <w:r>
        <w:rPr>
          <w:rFonts w:ascii="宋体" w:hAnsi="宋体" w:eastAsia="宋体"/>
          <w:b w:val="0"/>
          <w:color w:val="1F2933"/>
          <w:sz w:val="21"/>
        </w:rPr>
        <w:t>把传统筛选页改造成“今日问题 + 翻牌”，用五个情境问题收敛需求，翻牌后只呈现一个可执行答案。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产品创新：</w:t>
      </w:r>
      <w:r>
        <w:rPr>
          <w:rFonts w:ascii="宋体" w:hAnsi="宋体" w:eastAsia="宋体"/>
          <w:b w:val="0"/>
          <w:color w:val="1F2933"/>
          <w:sz w:val="21"/>
        </w:rPr>
        <w:t>推荐卡同时给出价格、距离、辣度、健康、速度、营业时间和推荐理由，并提供收藏、换牌、详情、导航闭环。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服务创新：</w:t>
      </w:r>
      <w:r>
        <w:rPr>
          <w:rFonts w:ascii="宋体" w:hAnsi="宋体" w:eastAsia="宋体"/>
          <w:b w:val="0"/>
          <w:color w:val="1F2933"/>
          <w:sz w:val="21"/>
        </w:rPr>
        <w:t>高德提供真实地理底座，系统负责餐饮语义与偏好匹配；“我的”沉淀长期偏好，避免每次重复设置。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4042611"/>
            <wp:docPr id="1" name="Picture 1" descr="今天吃什么 App 首页，包含五个今日问题、翻牌决定和三项底部导航" title="今天吃什么 App 原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home-w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atWhatCaption"/>
      </w:pPr>
      <w:r>
        <w:t>图1  当前网页原型：首页五个今日问题与翻牌入口</w:t>
      </w:r>
    </w:p>
    <w:p>
      <w:pPr>
        <w:pStyle w:val="Heading2"/>
      </w:pPr>
      <w:r>
        <w:t>二、商业前景（35分）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  <w:sz w:val="21"/>
        </w:rPr>
        <w:t>商业模式：</w:t>
      </w:r>
      <w:r>
        <w:rPr>
          <w:rFonts w:ascii="宋体" w:hAnsi="宋体" w:eastAsia="宋体"/>
          <w:b w:val="0"/>
          <w:color w:val="1F2933"/>
          <w:sz w:val="21"/>
        </w:rPr>
        <w:t>C 端基础决策免费，以高频使用、收藏和历史偏好形成留存；B 端面向食堂窗口与周边商户提供信息核验、优惠活动、经营数据看板和按效果计费的推广服务。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  <w:sz w:val="21"/>
        </w:rPr>
        <w:t>落地路径：</w:t>
      </w:r>
      <w:r>
        <w:rPr>
          <w:rFonts w:ascii="宋体" w:hAnsi="宋体" w:eastAsia="宋体"/>
          <w:b w:val="0"/>
          <w:color w:val="1F2933"/>
          <w:sz w:val="21"/>
        </w:rPr>
        <w:t>先在安沙校区完成用户与商户双侧试点，以推荐点击率、收藏率、换牌率、路线打开率和到店意向作为验证指标；达到阈值后复制到同城高校，再进入办公园区。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  <w:sz w:val="21"/>
        </w:rPr>
        <w:t>盈利测算：</w:t>
      </w:r>
      <w:r>
        <w:rPr>
          <w:rFonts w:ascii="宋体" w:hAnsi="宋体" w:eastAsia="宋体"/>
          <w:b w:val="0"/>
          <w:color w:val="1F2933"/>
          <w:sz w:val="21"/>
        </w:rPr>
        <w:t>规模情景按 50 个校区、每校区 30 家合作商户、20% 购买 199 元/月服务计算，年度订阅收入约 71.64 万元；活动推广收入未计入。该数字仅为模型测算，需以试点付费转化验证。</w:t>
      </w:r>
    </w:p>
    <w:p>
      <w:pPr>
        <w:spacing w:after="100" w:line="300" w:lineRule="auto"/>
      </w:pPr>
      <w:r>
        <w:rPr>
          <w:rFonts w:ascii="微软雅黑" w:hAnsi="微软雅黑" w:eastAsia="微软雅黑"/>
          <w:b/>
          <w:color w:val="1F4E79"/>
          <w:sz w:val="21"/>
        </w:rPr>
        <w:t>成本结构：</w:t>
      </w:r>
      <w:r>
        <w:rPr>
          <w:rFonts w:ascii="宋体" w:hAnsi="宋体" w:eastAsia="宋体"/>
          <w:b w:val="0"/>
          <w:color w:val="1F2933"/>
          <w:sz w:val="21"/>
        </w:rPr>
        <w:t>前期成本集中在研发、地图接口、数据核验和校园运营；通过接口缓存、统一店铺字段和同结构跨校复用降低边际成本，形成轻资产复制能力。</w:t>
      </w:r>
    </w:p>
    <w:p>
      <w:pPr>
        <w:pStyle w:val="Heading2"/>
      </w:pPr>
      <w:r>
        <w:t>三、社会价值（20分）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对用户：</w:t>
      </w:r>
      <w:r>
        <w:rPr>
          <w:rFonts w:ascii="宋体" w:hAnsi="宋体" w:eastAsia="宋体"/>
          <w:b w:val="0"/>
          <w:color w:val="1F2933"/>
          <w:sz w:val="21"/>
        </w:rPr>
        <w:t>缩短高频用餐决策时间，并通过忌口、辣度、健康标签和步行距离降低误选风险。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对商户：</w:t>
      </w:r>
      <w:r>
        <w:rPr>
          <w:rFonts w:ascii="宋体" w:hAnsi="宋体" w:eastAsia="宋体"/>
          <w:b w:val="0"/>
          <w:color w:val="1F2933"/>
          <w:sz w:val="21"/>
        </w:rPr>
        <w:t>推荐依据与付费排名解耦，给校内窗口和小微餐饮更公平的被发现机会，帮助其用低成本数字化信息触达学生。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对校园：</w:t>
      </w:r>
      <w:r>
        <w:rPr>
          <w:rFonts w:ascii="宋体" w:hAnsi="宋体" w:eastAsia="宋体"/>
          <w:b w:val="0"/>
          <w:color w:val="1F2933"/>
          <w:sz w:val="21"/>
        </w:rPr>
        <w:t>可扩展少油、低辣、营养和步行优先提示，推动健康、低碳用餐，并为供需时段分析提供匿名化依据。</w:t>
      </w:r>
    </w:p>
    <w:p>
      <w:pPr>
        <w:numPr>
          <w:ilvl w:val="0"/>
          <w:numId w:val="2"/>
        </w:numPr>
        <w:spacing w:after="80" w:line="293" w:lineRule="auto"/>
      </w:pPr>
      <w:r>
        <w:rPr>
          <w:rFonts w:ascii="微软雅黑" w:hAnsi="微软雅黑" w:eastAsia="微软雅黑"/>
          <w:b/>
          <w:color w:val="1F4E79"/>
          <w:sz w:val="21"/>
        </w:rPr>
        <w:t>就业测算：</w:t>
      </w:r>
      <w:r>
        <w:rPr>
          <w:rFonts w:ascii="宋体" w:hAnsi="宋体" w:eastAsia="宋体"/>
          <w:b w:val="0"/>
          <w:color w:val="1F2933"/>
          <w:sz w:val="21"/>
        </w:rPr>
        <w:t>50 校区情景下，按每 2 校区 1 名运营、每 5 校区 1 名数据核验、总部研发与商户服务 10 人估算，可形成约 45 个全职岗位；每校区 2 名学生兼职可提供约 100 个实践岗位。</w:t>
      </w:r>
    </w:p>
    <w:p>
      <w:pPr>
        <w:pStyle w:val="Heading2"/>
      </w:pPr>
      <w:r>
        <w:t>四、团队展示与表达（10分）</w:t>
      </w:r>
    </w:p>
    <w:tbl>
      <w:tblPr>
        <w:tblW w:type="dxa" w:w="83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color="B9C6D2"/>
          <w:left w:val="single" w:sz="5" w:color="B9C6D2"/>
          <w:bottom w:val="single" w:sz="5" w:color="B9C6D2"/>
          <w:right w:val="single" w:sz="5" w:color="B9C6D2"/>
          <w:insideH w:val="single" w:sz="5" w:color="B9C6D2"/>
          <w:insideV w:val="single" w:sz="5" w:color="B9C6D2"/>
        </w:tblBorders>
      </w:tblPr>
      <w:tblGrid>
        <w:gridCol w:w="1660"/>
        <w:gridCol w:w="3735"/>
        <w:gridCol w:w="2905"/>
      </w:tblGrid>
      <w:tr>
        <w:trPr>
          <w:tblHeader w:val="true"/>
          <w:cantSplit/>
        </w:trPr>
        <w:tc>
          <w:tcPr>
            <w:tcW w:type="dxa" w:w="1660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角色</w:t>
            </w:r>
          </w:p>
        </w:tc>
        <w:tc>
          <w:tcPr>
            <w:tcW w:type="dxa" w:w="3735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主要职责</w:t>
            </w:r>
          </w:p>
        </w:tc>
        <w:tc>
          <w:tcPr>
            <w:tcW w:type="dxa" w:w="2905"/>
            <w:vAlign w:val="center"/>
            <w:shd w:fill="EAF0F5"/>
            <w:shd w:fill="EAF0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可核验产出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产品与交互</w:t>
            </w:r>
          </w:p>
        </w:tc>
        <w:tc>
          <w:tcPr>
            <w:tcW w:type="dxa" w:w="373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用户场景、问题结构、翻牌流程、指标与答辩表达</w:t>
            </w:r>
          </w:p>
        </w:tc>
        <w:tc>
          <w:tcPr>
            <w:tcW w:type="dxa" w:w="29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页面框架、产品说明、演示路径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技术与数据</w:t>
            </w:r>
          </w:p>
        </w:tc>
        <w:tc>
          <w:tcPr>
            <w:tcW w:type="dxa" w:w="373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前端交互、推荐规则、高德代理、数据清洗与安全</w:t>
            </w:r>
          </w:p>
        </w:tc>
        <w:tc>
          <w:tcPr>
            <w:tcW w:type="dxa" w:w="29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app-v2.js、server.js、SwiftUI 骨架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调研与运营</w:t>
            </w:r>
          </w:p>
        </w:tc>
        <w:tc>
          <w:tcPr>
            <w:tcW w:type="dxa" w:w="373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商户信息核验、校园试点、数据记录与材料整理</w:t>
            </w:r>
          </w:p>
        </w:tc>
        <w:tc>
          <w:tcPr>
            <w:tcW w:type="dxa" w:w="290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1F2933"/>
                <w:sz w:val="19"/>
              </w:rPr>
              <w:t>店铺字段设计、测试记录、商业测算</w:t>
            </w:r>
          </w:p>
        </w:tc>
      </w:tr>
    </w:tbl>
    <w:p>
      <w:pPr>
        <w:spacing w:before="0" w:after="40"/>
      </w:pPr>
    </w:p>
    <w:p>
      <w:pPr>
        <w:spacing w:before="80" w:after="160" w:line="300" w:lineRule="auto"/>
        <w:ind w:left="125" w:right="68"/>
        <w:shd w:fill="E8F4EF"/>
        <w:pBdr>
          <w:left w:val="single" w:sz="18" w:space="6" w:color="1E7A5C"/>
        </w:pBdr>
      </w:pPr>
      <w:r>
        <w:rPr>
          <w:rFonts w:ascii="微软雅黑" w:hAnsi="微软雅黑" w:eastAsia="微软雅黑"/>
          <w:b/>
          <w:color w:val="1E7A5C"/>
          <w:sz w:val="21"/>
        </w:rPr>
        <w:t>分工说明：</w:t>
      </w:r>
      <w:r>
        <w:rPr>
          <w:rFonts w:ascii="宋体" w:hAnsi="宋体" w:eastAsia="宋体"/>
          <w:b w:val="0"/>
          <w:color w:val="1F2933"/>
          <w:sz w:val="21"/>
        </w:rPr>
        <w:t>团队成员姓名与身份以赛事报名系统为准；小团队允许一人兼岗，但每项职责均对应明确产出，答辩时按“问题—方案—证据—结果—下一步”统一表达。</w:t>
      </w:r>
    </w:p>
    <w:p>
      <w:pPr>
        <w:pStyle w:val="Heading2"/>
      </w:pPr>
      <w:r>
        <w:t>五、可核验材料清单</w:t>
      </w:r>
    </w:p>
    <w:p>
      <w:pPr>
        <w:numPr>
          <w:ilvl w:val="0"/>
          <w:numId w:val="3"/>
        </w:numPr>
        <w:spacing w:after="80" w:line="293" w:lineRule="auto"/>
      </w:pPr>
      <w:r>
        <w:rPr>
          <w:rFonts w:ascii="宋体" w:hAnsi="宋体" w:eastAsia="宋体"/>
          <w:b w:val="0"/>
          <w:color w:val="1F2933"/>
          <w:sz w:val="21"/>
        </w:rPr>
        <w:t>可运行原型：iOS原型/index.html、app-v2.js、server.js、start-app.ps1。</w:t>
      </w:r>
    </w:p>
    <w:p>
      <w:pPr>
        <w:numPr>
          <w:ilvl w:val="0"/>
          <w:numId w:val="3"/>
        </w:numPr>
        <w:spacing w:after="80" w:line="293" w:lineRule="auto"/>
      </w:pPr>
      <w:r>
        <w:rPr>
          <w:rFonts w:ascii="宋体" w:hAnsi="宋体" w:eastAsia="宋体"/>
          <w:b w:val="0"/>
          <w:color w:val="1F2933"/>
          <w:sz w:val="21"/>
        </w:rPr>
        <w:t>地图接入：/api/food/nearby、/api/route/walking；高德密钥仅保存在 .env.local，仓库不提交真实密钥。</w:t>
      </w:r>
    </w:p>
    <w:p>
      <w:pPr>
        <w:numPr>
          <w:ilvl w:val="0"/>
          <w:numId w:val="3"/>
        </w:numPr>
        <w:spacing w:after="80" w:line="293" w:lineRule="auto"/>
      </w:pPr>
      <w:r>
        <w:rPr>
          <w:rFonts w:ascii="宋体" w:hAnsi="宋体" w:eastAsia="宋体"/>
          <w:b w:val="0"/>
          <w:color w:val="1F2933"/>
          <w:sz w:val="21"/>
        </w:rPr>
        <w:t>移动端迁移：swiftui/EatWhat2Prototype.swift，覆盖核心页面与 30 条冷启动样本结构。</w:t>
      </w:r>
    </w:p>
    <w:p>
      <w:pPr>
        <w:numPr>
          <w:ilvl w:val="0"/>
          <w:numId w:val="3"/>
        </w:numPr>
        <w:spacing w:after="80" w:line="293" w:lineRule="auto"/>
      </w:pPr>
      <w:r>
        <w:rPr>
          <w:rFonts w:ascii="宋体" w:hAnsi="宋体" w:eastAsia="宋体"/>
          <w:b w:val="0"/>
          <w:color w:val="1F2933"/>
          <w:sz w:val="21"/>
        </w:rPr>
        <w:t>版本与协作：GitHub 仓库 https://github.com/dandeshuitaleng-png/- 。</w:t>
      </w:r>
    </w:p>
    <w:p>
      <w:pPr>
        <w:numPr>
          <w:ilvl w:val="0"/>
          <w:numId w:val="3"/>
        </w:numPr>
        <w:spacing w:after="80" w:line="293" w:lineRule="auto"/>
      </w:pPr>
      <w:r>
        <w:rPr>
          <w:rFonts w:ascii="宋体" w:hAnsi="宋体" w:eastAsia="宋体"/>
          <w:b w:val="0"/>
          <w:color w:val="1F2933"/>
          <w:sz w:val="21"/>
        </w:rPr>
        <w:t>本轮验证：JavaScript 语法检查、服务健康检查、真实周边店铺返回、步行路线步骤返回、首页原型截图。</w:t>
      </w:r>
    </w:p>
    <w:p>
      <w:pPr>
        <w:spacing w:before="80" w:after="160" w:line="300" w:lineRule="auto"/>
        <w:ind w:left="125" w:right="68"/>
        <w:shd w:fill="E8F4EF"/>
        <w:pBdr>
          <w:left w:val="single" w:sz="18" w:space="6" w:color="1E7A5C"/>
        </w:pBdr>
      </w:pPr>
      <w:r>
        <w:rPr>
          <w:rFonts w:ascii="微软雅黑" w:hAnsi="微软雅黑" w:eastAsia="微软雅黑"/>
          <w:b/>
          <w:color w:val="1E7A5C"/>
          <w:sz w:val="21"/>
        </w:rPr>
        <w:t>答辩主线：</w:t>
      </w:r>
      <w:r>
        <w:rPr>
          <w:rFonts w:ascii="宋体" w:hAnsi="宋体" w:eastAsia="宋体"/>
          <w:b w:val="0"/>
          <w:color w:val="1F2933"/>
          <w:sz w:val="21"/>
        </w:rPr>
        <w:t>不是再做一个餐饮列表，而是把“我不知道吃什么”转化为一个有约束、可解释、能直接去吃的决定；先验证校园高频场景，再复制数据结构与运营方法。</w:t>
      </w:r>
    </w:p>
    <w:sectPr>
      <w:headerReference w:type="default" r:id="rId6"/>
      <w:footerReference w:type="default" r:id="rId7"/>
      <w:pgSz w:w="11900" w:h="16840"/>
      <w:pgMar w:top="1440" w:right="1800" w:bottom="1440" w:left="1800" w:header="482" w:footer="48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Medium">
    <w:altName w:val="Arial Unicode MS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b w:val="0"/>
        <w:color w:val="5F6B76"/>
        <w:sz w:val="18"/>
      </w:rPr>
      <w:t xml:space="preserve">第 </w:t>
    </w:r>
    <w:r>
      <w:rPr>
        <w:rFonts w:ascii="宋体" w:hAnsi="宋体" w:eastAsia="宋体"/>
        <w:b w:val="0"/>
        <w:color w:val="5F6B76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微软雅黑" w:hAnsi="微软雅黑" w:eastAsia="微软雅黑"/>
        <w:b w:val="0"/>
        <w:color w:val="5F6B76"/>
        <w:sz w:val="17"/>
      </w:rPr>
      <w:t>今天吃什么 2.0｜初赛作品说明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D0110"/>
    <w:multiLevelType w:val="multilevel"/>
    <w:tmpl w:val="046D011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abstractNum w:abstractNumId="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  <w:rPr>
        <w:rFonts w:ascii="Arial" w:hAnsi="Arial"/>
      </w:rPr>
    </w:lvl>
  </w:abstractNum>
  <w:num w:numId="2">
    <w:abstractNumId w:val="1"/>
  </w:num>
  <w:abstractNum w:abstractNumId="2">
    <w:multiLevelType w:val="singleLevel"/>
    <w:lvl w:ilvl="0">
      <w:start w:val="1"/>
      <w:numFmt w:val="decimal"/>
      <w:lvlText w:val="%1."/>
      <w:suff w:val="tab"/>
      <w:pPr>
        <w:tabs>
          <w:tab w:val="num" w:pos="620"/>
        </w:tabs>
        <w:ind w:left="620" w:hanging="300"/>
      </w:pPr>
    </w:lvl>
  </w:abstract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28E"/>
    <w:rsid w:val="00232746"/>
    <w:rsid w:val="0030704A"/>
    <w:rsid w:val="00525897"/>
    <w:rsid w:val="00740E52"/>
    <w:rsid w:val="00A14CAC"/>
    <w:rsid w:val="00B2728E"/>
    <w:rsid w:val="00BA546F"/>
    <w:rsid w:val="00C96373"/>
    <w:rsid w:val="0E0C7680"/>
    <w:rsid w:val="26257A69"/>
    <w:rsid w:val="475C20BB"/>
    <w:rsid w:val="69120C16"/>
    <w:rsid w:val="6A66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0" w:after="120" w:line="324" w:lineRule="auto"/>
      <w:jc w:val="both"/>
    </w:pPr>
    <w:rPr>
      <w:rFonts w:asciiTheme="minorHAnsi" w:hAnsiTheme="minorHAnsi" w:eastAsiaTheme="minorEastAsia" w:cstheme="minorBidi" w:ascii="宋体" w:hAnsi="宋体" w:eastAsia="宋体"/>
      <w:color w:val="1F2933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EatWhatTitle">
    <w:name w:val="EatWhat Title"/>
    <w:pPr>
      <w:spacing w:before="80" w:after="160"/>
      <w:jc w:val="center"/>
    </w:pPr>
    <w:rPr>
      <w:rFonts w:ascii="微软雅黑" w:hAnsi="微软雅黑" w:eastAsia="微软雅黑"/>
      <w:b/>
      <w:color w:val="1F4E79"/>
      <w:sz w:val="44"/>
    </w:rPr>
  </w:style>
  <w:style w:type="paragraph" w:customStyle="1" w:styleId="EatWhatSubtitle">
    <w:name w:val="EatWhat Subtitle"/>
    <w:pPr>
      <w:spacing w:after="200"/>
      <w:jc w:val="center"/>
    </w:pPr>
    <w:rPr>
      <w:rFonts w:ascii="微软雅黑" w:hAnsi="微软雅黑" w:eastAsia="微软雅黑"/>
      <w:color w:val="5F6B76"/>
      <w:sz w:val="21"/>
    </w:rPr>
  </w:style>
  <w:style w:type="paragraph" w:customStyle="1" w:styleId="Heading1">
    <w:name w:val="heading 1"/>
    <w:pPr>
      <w:keepNext/>
      <w:spacing w:before="280" w:after="140"/>
    </w:pPr>
    <w:rPr>
      <w:rFonts w:ascii="微软雅黑" w:hAnsi="微软雅黑" w:eastAsia="微软雅黑"/>
      <w:b/>
      <w:color w:val="1F4E79"/>
      <w:sz w:val="30"/>
    </w:rPr>
  </w:style>
  <w:style w:type="paragraph" w:customStyle="1" w:styleId="Heading2">
    <w:name w:val="heading 2"/>
    <w:pPr>
      <w:keepNext/>
      <w:spacing w:before="200" w:after="100"/>
    </w:pPr>
    <w:rPr>
      <w:rFonts w:ascii="微软雅黑" w:hAnsi="微软雅黑" w:eastAsia="微软雅黑"/>
      <w:b/>
      <w:color w:val="1F4E79"/>
      <w:sz w:val="25"/>
    </w:rPr>
  </w:style>
  <w:style w:type="paragraph" w:customStyle="1" w:styleId="EatWhatCaption">
    <w:name w:val="EatWhat Caption"/>
    <w:pPr>
      <w:spacing w:before="60" w:after="160"/>
      <w:jc w:val="center"/>
    </w:pPr>
    <w:rPr>
      <w:rFonts w:ascii="宋体" w:hAnsi="宋体" w:eastAsia="宋体"/>
      <w:color w:val="5F6B76"/>
      <w:sz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105</Characters>
  <Lines>1</Lines>
  <Paragraphs>1</Paragraphs>
  <TotalTime>5</TotalTime>
  <ScaleCrop>false</ScaleCrop>
  <LinksUpToDate>false</LinksUpToDate>
  <CharactersWithSpaces>105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2024-05-29T09:43:00Z</dcterms:created>
  <dc:creator>今天吃什么项目组</dc:creator>
  <cp:lastModifiedBy>今天吃什么项目组</cp:lastModifiedBy>
  <dcterms:modified xsi:type="dcterms:W3CDTF">2026-03-30T09:37:30Z</dcterms:modified>
  <cp:revision>2</cp:revision>
  <dc:title>今天吃什么 2.0 初赛作品说明文档</dc:title>
  <dc:subject>中国高校计算机大赛移动应用创新赛初赛材料</dc:subject>
  <cp:keywords>校园餐饮,决策助手,高德地图,翻牌推荐,长沙师范学院安沙校区</cp:keywords>
  <dc:description>依据作品创新性、商业前景、社会价值、团队展示与表达四项评审维度补充。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2036A049B2D94557A6AB69272A523BAB_13</vt:lpwstr>
  </property>
  <property fmtid="{D5CDD505-2E9C-101B-9397-08002B2CF9AE}" pid="4" name="KSOTemplateDocerSaveRecord">
    <vt:lpwstr>eyJoZGlkIjoiZjEyMTBhMjBiMTg4NzEzMTJhYzlhMzY0ZjQwMDg0NzciLCJ1c2VySWQiOiI1MjQ5NjA3MTAifQ==</vt:lpwstr>
  </property>
</Properties>
</file>