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D"/>
          <w:sz w:val="42"/>
        </w:rPr>
        <w:t>BARANGAY iSERVE</w:t>
      </w:r>
    </w:p>
    <w:p>
      <w:pPr>
        <w:jc w:val="center"/>
      </w:pPr>
      <w:r>
        <w:rPr>
          <w:b/>
          <w:color w:val="17365D"/>
          <w:sz w:val="26"/>
        </w:rPr>
        <w:t>UNIFIED PLATFORM</w:t>
      </w:r>
    </w:p>
    <w:p>
      <w:pPr>
        <w:jc w:val="center"/>
      </w:pPr>
      <w:r>
        <w:rPr>
          <w:b/>
          <w:color w:val="16794A"/>
          <w:sz w:val="24"/>
        </w:rPr>
        <w:t>UP-SA-01</w:t>
      </w:r>
    </w:p>
    <w:p>
      <w:pPr>
        <w:pStyle w:val="Title"/>
        <w:jc w:val="center"/>
      </w:pPr>
      <w:r>
        <w:t>Shared Platform Baseline, Scope, and Operating Model</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Document Control Item</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Value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Version</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v0.1a</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Status</w:t>
            </w:r>
          </w:p>
        </w:tc>
        <w:tc>
          <w:tcPr>
            <w:tcW w:type="dxa" w:w="4946"/>
            <w:vAlign w:val="center"/>
            <w:tcBorders>
              <w:top w:val="single" w:sz="4" w:color="B7C7BD"/>
              <w:left w:val="single" w:sz="4" w:color="B7C7BD"/>
              <w:bottom w:val="single" w:sz="4" w:color="B7C7BD"/>
              <w:right w:val="single" w:sz="4" w:color="B7C7BD"/>
            </w:tcBorders>
          </w:tcPr>
          <w:p>
            <w:r/>
            <w:r>
              <w:rPr>
                <w:b w:val="0"/>
                <w:sz w:val="18"/>
              </w:rPr>
              <w:t>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Prepared</w:t>
            </w:r>
          </w:p>
        </w:tc>
        <w:tc>
          <w:tcPr>
            <w:tcW w:type="dxa" w:w="4946"/>
            <w:vAlign w:val="center"/>
            <w:tcBorders>
              <w:top w:val="single" w:sz="4" w:color="B7C7BD"/>
              <w:left w:val="single" w:sz="4" w:color="B7C7BD"/>
              <w:bottom w:val="single" w:sz="4" w:color="B7C7BD"/>
              <w:right w:val="single" w:sz="4" w:color="B7C7BD"/>
            </w:tcBorders>
            <w:shd w:fill="EAF4EE"/>
          </w:tcPr>
          <w:p>
            <w:r/>
            <w:r>
              <w:rPr>
                <w:b w:val="0"/>
                <w:sz w:val="18"/>
              </w:rPr>
              <w:t>2 August 2026</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Program authority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UP-PM-00, UP-PM-01 and UP-PM-02 v0.1a — 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Repository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dandomser-hub/iserve-unified-platform</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Repository branch</w:t>
            </w:r>
          </w:p>
        </w:tc>
        <w:tc>
          <w:tcPr>
            <w:tcW w:type="dxa" w:w="4946"/>
            <w:vAlign w:val="center"/>
            <w:tcBorders>
              <w:top w:val="single" w:sz="4" w:color="B7C7BD"/>
              <w:left w:val="single" w:sz="4" w:color="B7C7BD"/>
              <w:bottom w:val="single" w:sz="4" w:color="B7C7BD"/>
              <w:right w:val="single" w:sz="4" w:color="B7C7BD"/>
            </w:tcBorders>
          </w:tcPr>
          <w:p>
            <w:r/>
            <w:r>
              <w:rPr>
                <w:b w:val="0"/>
                <w:sz w:val="18"/>
              </w:rPr>
              <w:t>main; updated artifact package not yet committed</w:t>
            </w:r>
          </w:p>
        </w:tc>
      </w:tr>
    </w:tbl>
    <w:p>
      <w:pPr>
        <w:pStyle w:val="Heading2"/>
      </w:pPr>
      <w:r>
        <w:t>CONTROL NOTE</w:t>
      </w:r>
    </w:p>
    <w:p>
      <w:r>
        <w:t>This controlled minor revision records formal approval of the Shared Platform baseline, scope and operating model. It introduces no substantive scope change and does not by itself authorize implementation.</w:t>
      </w:r>
    </w:p>
    <w:p>
      <w:pPr>
        <w:pStyle w:val="Heading1"/>
      </w:pPr>
      <w:r>
        <w:t>1. Purpose</w:t>
      </w:r>
    </w:p>
    <w:p>
      <w:r>
        <w:t>This artifact defines what belongs to the Shared Platform, what remains owned by each business system, how the platform operates for one pilot barangay, and how future scale is preserved without expanding the MVP prematurely.</w:t>
      </w:r>
    </w:p>
    <w:p>
      <w:pPr>
        <w:pStyle w:val="Heading1"/>
      </w:pPr>
      <w:r>
        <w:t>2. Shared Platform Mission</w:t>
      </w:r>
    </w:p>
    <w:p>
      <w:r>
        <w:t>Provide one controlled digital entry point, one identity and access experience, consistent shared master data and common cross-cutting services so that DRRM, GAD, Barangay Governance and Citizens can operate independently while remaining interoperable, secure, auditable and understandable to barangay users.</w:t>
      </w:r>
    </w:p>
    <w:p>
      <w:pPr>
        <w:pStyle w:val="Heading1"/>
      </w:pPr>
      <w:r>
        <w:t>3. In-Scope Shared Capabilities</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Capability</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Shared-platform responsibility</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Public Landing and System Portal</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Public information, approved advisories, service discovery and authentication entry.</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Unified Dashboard</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Authorized system launcher, tasks, approvals, alerts, compliance status and cross-system summaries.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Identity and Access</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Accounts, authentication, sessions, role assignments, scopes, policies/gates and access audit.</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Resident/Household Master Reference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Authoritative reusable reference owned by Governance registry; shared access is purpose-limited.</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Barangay and Geographic Reference Data</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Barangay profile, purok/sitio, offices, roles, categories and configuration.</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Workflow Infrastructure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Common task, approval, return, reason, notification and status-pattern support.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Files and Templates</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Storage, classification, versions, signed access, retention metadata and malware/type/size controls.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Notifications</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Queued in-app and approved external delivery with status evidence.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Audit and Security Events</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Append-oriented operational, approval, access, export and administrative evidence.</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Reporting Infrastructure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Controlled extract, versioning, lineage, package generation and submission support.</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Search and Public Verification</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Authorization-aware search and minimal token/QR verification.</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Configuration and Operations</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Feature flags, settings history, queues, scheduler, monitoring, backup and recovery support.</w:t>
            </w:r>
          </w:p>
        </w:tc>
      </w:tr>
    </w:tbl>
    <w:p>
      <w:pPr>
        <w:pStyle w:val="Heading1"/>
      </w:pPr>
      <w:r>
        <w:t>4. Explicitly Out of Shared-Platform Scope</w:t>
      </w:r>
    </w:p>
    <w:p>
      <w:pPr>
        <w:pStyle w:val="ListBullet"/>
      </w:pPr>
      <w:r>
        <w:t>DRRM event operations, SitRep, DANA, evacuation, displacement, relief and DRRM resources.</w:t>
      </w:r>
    </w:p>
    <w:p>
      <w:pPr>
        <w:pStyle w:val="ListBullet"/>
      </w:pPr>
      <w:r>
        <w:t>GAD plans, budgets, PPAs, participants, indicators, MOVs and accomplishment reporting.</w:t>
      </w:r>
    </w:p>
    <w:p>
      <w:pPr>
        <w:pStyle w:val="ListBullet"/>
      </w:pPr>
      <w:r>
        <w:t>Governance-owned resident transactions, documents, collections, blotter/KP, legislative records, personnel, assets and inventory.</w:t>
      </w:r>
    </w:p>
    <w:p>
      <w:pPr>
        <w:pStyle w:val="ListBullet"/>
      </w:pPr>
      <w:r>
        <w:t>Citizen-owned requests, feedback, participation and personal account interactions beyond common identity services.</w:t>
      </w:r>
    </w:p>
    <w:p>
      <w:pPr>
        <w:pStyle w:val="ListBullet"/>
      </w:pPr>
      <w:r>
        <w:t>Full accounting, payment gateway, fund custody, VAWC/BCPC restricted case management, direct national integration, native mobile, AI and blockchain unless separately approved.</w:t>
      </w:r>
    </w:p>
    <w:p>
      <w:pPr>
        <w:pStyle w:val="Heading1"/>
      </w:pPr>
      <w:r>
        <w:t>5. Operating Model</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Operating concern</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Pilot context</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One pilot barangay within one municipality/city cluster.</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System independence</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Each system has its own navigation, workflows, permissions, data ownership and reports.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Integration</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Controlled internal services, APIs, events or approved aggregates; no uncontrolled database access.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Common entry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Users enter through the public Dashboard or Identity Portal, then receive role-scoped system access.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Data ownership</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One authoritative owner per record family; consumers receive only approved fields and purpose.</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Operational continuity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Online MVP with backup and recovery; only a later narrow DRRM subset may support offline capture.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Future scale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Multi-barangay and municipality/city readiness through scope fields, tenancy-aware design and API contracts, not immediate federation.</w:t>
            </w:r>
          </w:p>
        </w:tc>
      </w:tr>
    </w:tbl>
    <w:p>
      <w:pPr>
        <w:pStyle w:val="Heading1"/>
      </w:pPr>
      <w:r>
        <w:t>6. Responsibility Boundary Matrix</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Area</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Shared Platform</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Business System</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Authentication</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Owns identity/session lifecycle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Defines role needs and permission assignments</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Authorization</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Provides enforcement framework</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Owns domain permission and record-scope rules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Master data</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Publishes controlled references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Owns authoritative transactional records</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Dashboard</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Aggregates summaries and tasks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Publishes approved metrics and task feeds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Files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Provides secure storage service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Defines classification, purpose and retention rule</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Audit</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Provides append-oriented facility</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Defines domain events that must be audited</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Reporting</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Provides generation/package infrastructure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Owns report semantics, approval and release</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Integration</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Provides adapters/contracts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Owns business meaning and release authority</w:t>
            </w:r>
          </w:p>
        </w:tc>
      </w:tr>
    </w:tbl>
    <w:p>
      <w:pPr>
        <w:pStyle w:val="Heading1"/>
      </w:pPr>
      <w:r>
        <w:t>7. Acceptance Criteria</w:t>
      </w:r>
    </w:p>
    <w:p>
      <w:pPr>
        <w:pStyle w:val="ListBullet"/>
      </w:pPr>
      <w:r>
        <w:t>Every capability is assigned either to Shared Platform or a named system owner.</w:t>
      </w:r>
    </w:p>
    <w:p>
      <w:pPr>
        <w:pStyle w:val="ListBullet"/>
      </w:pPr>
      <w:r>
        <w:t>No shared capability silently takes over domain transactions.</w:t>
      </w:r>
    </w:p>
    <w:p>
      <w:pPr>
        <w:pStyle w:val="ListBullet"/>
      </w:pPr>
      <w:r>
        <w:t>Cross-system access is purpose-limited, least-privilege and auditable.</w:t>
      </w:r>
    </w:p>
    <w:p>
      <w:pPr>
        <w:pStyle w:val="ListBullet"/>
      </w:pPr>
      <w:r>
        <w:t>Pilot and future-scale assumptions are clearly separated.</w:t>
      </w:r>
    </w:p>
    <w:p>
      <w:pPr>
        <w:pStyle w:val="ListBullet"/>
      </w:pPr>
      <w:r>
        <w:t>Deferred capabilities are explicitly identified and not implied as implemented.</w:t>
      </w:r>
    </w:p>
    <w:p>
      <w:pPr>
        <w:pStyle w:val="Heading1"/>
      </w:pPr>
      <w:r>
        <w:t>8. Version History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Version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Date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Change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Status</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v0.1</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29 July 2026</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Initial scope and operating-model baseline.</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Draft for Review and Approval</w:t>
            </w:r>
          </w:p>
        </w:tc>
      </w:tr>
      <w:tr>
        <w:tc>
          <w:tcPr>
            <w:tcW w:type="dxa" w:w="2473"/>
            <w:vAlign w:val="center"/>
          </w:tcPr>
          <w:p>
            <w:r/>
            <w:r>
              <w:rPr>
                <w:b w:val="0"/>
                <w:sz w:val="18"/>
              </w:rPr>
              <w:t>v0.1a</w:t>
            </w:r>
          </w:p>
        </w:tc>
        <w:tc>
          <w:tcPr>
            <w:tcW w:type="dxa" w:w="2473"/>
            <w:vAlign w:val="center"/>
          </w:tcPr>
          <w:p>
            <w:r/>
            <w:r>
              <w:rPr>
                <w:b w:val="0"/>
                <w:sz w:val="18"/>
              </w:rPr>
              <w:t>2 August 2026</w:t>
            </w:r>
          </w:p>
        </w:tc>
        <w:tc>
          <w:tcPr>
            <w:tcW w:type="dxa" w:w="2473"/>
            <w:vAlign w:val="center"/>
          </w:tcPr>
          <w:p>
            <w:r/>
            <w:r>
              <w:rPr>
                <w:b w:val="0"/>
                <w:sz w:val="18"/>
              </w:rPr>
              <w:t>Recorded formal approval; no substantive scope or operating-model change.</w:t>
            </w:r>
          </w:p>
        </w:tc>
        <w:tc>
          <w:tcPr>
            <w:tcW w:type="dxa" w:w="2473"/>
            <w:vAlign w:val="center"/>
          </w:tcPr>
          <w:p>
            <w:r/>
            <w:r>
              <w:rPr>
                <w:b w:val="0"/>
                <w:sz w:val="18"/>
              </w:rPr>
              <w:t>Approved Baseline</w:t>
            </w:r>
          </w:p>
        </w:tc>
      </w:tr>
    </w:tbl>
    <w:sectPr w:rsidR="00FC693F" w:rsidRPr="0006063C" w:rsidSect="00034616">
      <w:headerReference w:type="default" r:id="rId9"/>
      <w:footerReference w:type="default" r:id="rId10"/>
      <w:pgSz w:w="11909" w:h="16834"/>
      <w:pgMar w:top="1296" w:right="864" w:bottom="720" w:left="1152" w:header="54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UP-SA-01 | Approved Baseline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Barangay iSERVE Unified Platform | UP-SA-01 | v0.1a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6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6B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