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3D"/>
          <w:sz w:val="42"/>
        </w:rPr>
        <w:t>BARANGAY iSERVE</w:t>
      </w:r>
    </w:p>
    <w:p>
      <w:pPr>
        <w:jc w:val="center"/>
      </w:pPr>
      <w:r>
        <w:rPr>
          <w:b/>
          <w:color w:val="17365D"/>
          <w:sz w:val="26"/>
        </w:rPr>
        <w:t>UNIFIED PLATFORM</w:t>
      </w:r>
    </w:p>
    <w:p>
      <w:pPr>
        <w:jc w:val="center"/>
      </w:pPr>
      <w:r>
        <w:rPr>
          <w:b/>
          <w:color w:val="16794A"/>
          <w:sz w:val="24"/>
        </w:rPr>
        <w:t>UP-SA-03</w:t>
      </w:r>
    </w:p>
    <w:p>
      <w:pPr>
        <w:pStyle w:val="Title"/>
        <w:jc w:val="center"/>
      </w:pPr>
      <w:r>
        <w:t>Shared Identity, Authentication, Roles, and Access Requirements</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Document Control Item</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Value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Version</w:t>
            </w:r>
          </w:p>
        </w:tc>
        <w:tc>
          <w:tcPr>
            <w:tcW w:type="dxa" w:w="4946"/>
            <w:vAlign w:val="center"/>
            <w:tcBorders>
              <w:top w:val="single" w:sz="4" w:color="B7C7BD"/>
              <w:left w:val="single" w:sz="4" w:color="B7C7BD"/>
              <w:bottom w:val="single" w:sz="4" w:color="B7C7BD"/>
              <w:right w:val="single" w:sz="4" w:color="B7C7BD"/>
            </w:tcBorders>
            <w:shd w:fill="EAF4EE"/>
          </w:tcPr>
          <w:p>
            <w:r>
              <w:t>v0.1a</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Status</w:t>
            </w:r>
          </w:p>
        </w:tc>
        <w:tc>
          <w:tcPr>
            <w:tcW w:type="dxa" w:w="4946"/>
            <w:vAlign w:val="center"/>
            <w:tcBorders>
              <w:top w:val="single" w:sz="4" w:color="B7C7BD"/>
              <w:left w:val="single" w:sz="4" w:color="B7C7BD"/>
              <w:bottom w:val="single" w:sz="4" w:color="B7C7BD"/>
              <w:right w:val="single" w:sz="4" w:color="B7C7BD"/>
            </w:tcBorders>
          </w:tcPr>
          <w:p>
            <w:r>
              <w:t>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Prepared</w:t>
            </w:r>
          </w:p>
        </w:tc>
        <w:tc>
          <w:tcPr>
            <w:tcW w:type="dxa" w:w="4946"/>
            <w:vAlign w:val="center"/>
            <w:tcBorders>
              <w:top w:val="single" w:sz="4" w:color="B7C7BD"/>
              <w:left w:val="single" w:sz="4" w:color="B7C7BD"/>
              <w:bottom w:val="single" w:sz="4" w:color="B7C7BD"/>
              <w:right w:val="single" w:sz="4" w:color="B7C7BD"/>
            </w:tcBorders>
            <w:shd w:fill="EAF4EE"/>
          </w:tcPr>
          <w:p>
            <w:r>
              <w:t>2 August 2026</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Program authority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UP-PM-00, UP-PM-01 and UP-PM-02 v0.1a — 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Repository</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dandomser-hub/iserve-unified-platform</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Repository branch</w:t>
            </w:r>
          </w:p>
        </w:tc>
        <w:tc>
          <w:tcPr>
            <w:tcW w:type="dxa" w:w="4946"/>
            <w:vAlign w:val="center"/>
            <w:tcBorders>
              <w:top w:val="single" w:sz="4" w:color="B7C7BD"/>
              <w:left w:val="single" w:sz="4" w:color="B7C7BD"/>
              <w:bottom w:val="single" w:sz="4" w:color="B7C7BD"/>
              <w:right w:val="single" w:sz="4" w:color="B7C7BD"/>
            </w:tcBorders>
          </w:tcPr>
          <w:p>
            <w:r>
              <w:t>main; approved package pending controlled GitHub commit and merge</w:t>
            </w:r>
          </w:p>
        </w:tc>
      </w:tr>
    </w:tbl>
    <w:p>
      <w:pPr>
        <w:pStyle w:val="Heading2"/>
      </w:pPr>
      <w:r>
        <w:t>CONTROL NOTE</w:t>
      </w:r>
    </w:p>
    <w:p>
      <w:r>
        <w:t>This controlled minor revision records formal approval of the artifact as part of Shared Platform Foundation Package 1. It preserves the approved Unified Platform program foundation and Legacy MVP Baseline. It introduces no implementation or runtime change; repository publication remains subject to the controlled GitHub commit and merge gate.</w:t>
      </w:r>
    </w:p>
    <w:p>
      <w:pPr>
        <w:pStyle w:val="Heading1"/>
      </w:pPr>
      <w:r>
        <w:t>1. Purpose</w:t>
      </w:r>
    </w:p>
    <w:p>
      <w:r>
        <w:t>This artifact defines common identity, authentication, session, role, permission, scope, access-review and audit requirements for the Unified Platform. It preserves centralized sign-in while ensuring each system retains domain-specific authorization.</w:t>
      </w:r>
    </w:p>
    <w:p>
      <w:pPr>
        <w:pStyle w:val="Heading1"/>
      </w:pPr>
      <w:r>
        <w:t>2. Identity Baseline</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Requirement area</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Identity source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One Unified Platform user account per person for MVP; duplicate-account detection and controlled merge process required.</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Authentication</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Laravel Auth for MVP and early implementation; later Keycloak migration/federation readiness.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Sign-in experience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The preserved former landing/auth page becomes the dedicated Identity and Access Portal.</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System access</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Successful authentication creates a common session; access to each system still requires role, permission and scope.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Citizen identity</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Citizen accounts are separate from staff authority and require controlled resident-account linking when introduced.</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Technical admins</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Administrative privileges do not imply operational or restricted-record access.</w:t>
            </w:r>
          </w:p>
        </w:tc>
      </w:tr>
    </w:tbl>
    <w:p>
      <w:pPr>
        <w:pStyle w:val="Heading1"/>
      </w:pPr>
      <w:r>
        <w:t>3. Authentication Requirements</w:t>
      </w:r>
    </w:p>
    <w:p>
      <w:pPr>
        <w:pStyle w:val="ListBullet"/>
      </w:pPr>
      <w:r>
        <w:t>Use secure password hashing, password policy, throttling, lockout and session regeneration.</w:t>
      </w:r>
    </w:p>
    <w:p>
      <w:pPr>
        <w:pStyle w:val="ListBullet"/>
      </w:pPr>
      <w:r>
        <w:t>Record successful and failed authentication events with actor/account, timestamp, source and result.</w:t>
      </w:r>
    </w:p>
    <w:p>
      <w:pPr>
        <w:pStyle w:val="ListBullet"/>
      </w:pPr>
      <w:r>
        <w:t>Support account activation, suspension, forced password reset, session revocation and authorized recovery.</w:t>
      </w:r>
    </w:p>
    <w:p>
      <w:pPr>
        <w:pStyle w:val="ListBullet"/>
      </w:pPr>
      <w:r>
        <w:t>Provide configurable session timeout and stronger controls for privileged roles.</w:t>
      </w:r>
    </w:p>
    <w:p>
      <w:pPr>
        <w:pStyle w:val="ListBullet"/>
      </w:pPr>
      <w:r>
        <w:t>Keep MFA readiness in the design; activation may be phased based on pilot risk and operational readiness.</w:t>
      </w:r>
    </w:p>
    <w:p>
      <w:pPr>
        <w:pStyle w:val="ListBullet"/>
      </w:pPr>
      <w:r>
        <w:t>Never reveal whether a sensitive account exists through public error messages.</w:t>
      </w:r>
    </w:p>
    <w:p>
      <w:pPr>
        <w:pStyle w:val="Heading1"/>
      </w:pPr>
      <w:r>
        <w:t>4. Authorization Model</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Layer</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Requirement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Role assignment</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Assign platform and system roles separately; roles may be scoped to barangay, office, system or function.</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Permission</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Authorize explicit actions such as view, create, edit, validate, approve, issue, export, configure and audit.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Record scope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Apply assignment, barangay, office, sensitivity, ownership, case type, event and purpose rules.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Workflow state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Actions depend on current status and separation-of-duties constraints.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Field/output minimization</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Hide or mask unauthorized fields, attachments, reports and export columns.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Re-authorization</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Every route, API, background job, report, export and public verification response enforces policy independently.</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Denied action audit</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Record unauthorized attempts without exposing restricted content in the audit message.</w:t>
            </w:r>
          </w:p>
        </w:tc>
      </w:tr>
    </w:tbl>
    <w:p>
      <w:pPr>
        <w:pStyle w:val="Heading1"/>
      </w:pPr>
      <w:r>
        <w:t>5. Initial Common Role Families</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Role family</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Common platform authority</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Restrictions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Platform User</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Authenticate, view assigned systems and own profile.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No implied domain permission.</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Punong Barangay / Executive Approver</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Role-scoped approvals and executive views.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Cannot bypass required preparer/validator separation.</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Secretary / Governance Operator</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Core operations based on assigned permissions.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No automatic DRRM, GAD or restricted-case authority.</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Treasurer / Financial Reference Operator</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Reference-only collection functions and approved summaries.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No fund custody or full accounting authority implied.</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DRRM Focal / Operator</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Authorized DRRM events, reports and operations.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Person-level data limited to operational necessity.</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GAD Focal / Operator</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GAD planning, budgeting, PPA, evidence and reporting.</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No general access to restricted VAWC/BCPC records.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Reviewer / Auditor</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Read-only review, comments, evidence and approved audit scope.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Cannot edit source records unless explicitly authorized.</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System Administrator</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Accounts, roles, configuration, health and technical operations.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No blanket access to resident, case or report content.</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Citizen</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Own requests, profile linkage and public services.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No internal-system search or other-person access.</w:t>
            </w:r>
          </w:p>
        </w:tc>
      </w:tr>
    </w:tbl>
    <w:p>
      <w:pPr>
        <w:pStyle w:val="Heading1"/>
      </w:pPr>
      <w:r>
        <w:t>6. Access Lifecycle</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Stage</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Required controls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Request</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Named sponsor/authority, requested role, scope, reason and effective date.</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Approval</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Authorized approver verifies official function and least privilege.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Provisioning</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Create/enable account, assign role/scope, notify user and record audit.</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Review</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Periodic access review and event-driven review after role/office changes.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Suspension/Revocation</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Immediate disable or scope removal with active-session revocation.</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Separation/Transfer</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Remove obsolete roles, preserve audit history and reassess data access.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Emergency Access</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Time-bound, approved, logged and reviewed; not a standing blanket role.</w:t>
            </w:r>
          </w:p>
        </w:tc>
      </w:tr>
    </w:tbl>
    <w:p>
      <w:pPr>
        <w:pStyle w:val="Heading1"/>
      </w:pPr>
      <w:r>
        <w:t>7. Acceptance Criteria</w:t>
      </w:r>
    </w:p>
    <w:p>
      <w:pPr>
        <w:pStyle w:val="ListBullet"/>
      </w:pPr>
      <w:r>
        <w:t>One sign-in does not produce blanket access across systems.</w:t>
      </w:r>
    </w:p>
    <w:p>
      <w:pPr>
        <w:pStyle w:val="ListBullet"/>
      </w:pPr>
      <w:r>
        <w:t>Every permission has a named business purpose and scope.</w:t>
      </w:r>
    </w:p>
    <w:p>
      <w:pPr>
        <w:pStyle w:val="ListBullet"/>
      </w:pPr>
      <w:r>
        <w:t>System Administrator is technically powerful but operationally restricted.</w:t>
      </w:r>
    </w:p>
    <w:p>
      <w:pPr>
        <w:pStyle w:val="ListBullet"/>
      </w:pPr>
      <w:r>
        <w:t>Citizen and staff identities cannot be conflated without controlled linking.</w:t>
      </w:r>
    </w:p>
    <w:p>
      <w:pPr>
        <w:pStyle w:val="ListBullet"/>
      </w:pPr>
      <w:r>
        <w:t>Authentication, authorization changes and denied attempts are auditable.</w:t>
      </w:r>
    </w:p>
    <w:p>
      <w:pPr>
        <w:pStyle w:val="ListBullet"/>
      </w:pPr>
      <w:r>
        <w:t>Keycloak migration readiness does not change the MVP Laravel Auth baseline.</w:t>
      </w:r>
    </w:p>
    <w:p>
      <w:pPr>
        <w:pStyle w:val="Heading1"/>
      </w:pPr>
      <w:r>
        <w:t>8. Version History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Version</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Date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Change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Status</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v0.1</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29 July 2026</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Initial shared identity and access requirements.</w:t>
            </w:r>
          </w:p>
        </w:tc>
        <w:tc>
          <w:tcPr>
            <w:tcW w:type="dxa" w:w="2473"/>
            <w:vAlign w:val="center"/>
            <w:tcBorders>
              <w:top w:val="single" w:sz="4" w:color="B7C7BD"/>
              <w:left w:val="single" w:sz="4" w:color="B7C7BD"/>
              <w:bottom w:val="single" w:sz="4" w:color="B7C7BD"/>
              <w:right w:val="single" w:sz="4" w:color="B7C7BD"/>
            </w:tcBorders>
            <w:shd w:fill="EAF4EE"/>
          </w:tcPr>
          <w:p>
            <w:r>
              <w:t>Superseded by v0.1a</w:t>
            </w:r>
          </w:p>
        </w:tc>
      </w:tr>
      <w:tr>
        <w:tc>
          <w:tcPr>
            <w:tcW w:type="dxa" w:w="2473"/>
          </w:tcPr>
          <w:p>
            <w:r>
              <w:t>v0.1a</w:t>
            </w:r>
          </w:p>
        </w:tc>
        <w:tc>
          <w:tcPr>
            <w:tcW w:type="dxa" w:w="2473"/>
          </w:tcPr>
          <w:p>
            <w:r>
              <w:t>2 August 2026</w:t>
            </w:r>
          </w:p>
        </w:tc>
        <w:tc>
          <w:tcPr>
            <w:tcW w:type="dxa" w:w="2473"/>
          </w:tcPr>
          <w:p>
            <w:r>
              <w:t>Recorded formal approval; no substantive identity or access change.</w:t>
            </w:r>
          </w:p>
        </w:tc>
        <w:tc>
          <w:tcPr>
            <w:tcW w:type="dxa" w:w="2473"/>
          </w:tcPr>
          <w:p>
            <w:r>
              <w:t>Approved Baseline</w:t>
            </w:r>
          </w:p>
        </w:tc>
      </w:tr>
    </w:tbl>
    <w:sectPr w:rsidR="00FC693F" w:rsidRPr="0006063C" w:rsidSect="00034616">
      <w:headerReference w:type="default" r:id="rId9"/>
      <w:footerReference w:type="default" r:id="rId10"/>
      <w:pgSz w:w="11909" w:h="16834"/>
      <w:pgMar w:top="1296" w:right="864" w:bottom="720" w:left="1152" w:header="54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UP-SA-03 | Approved Baseline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Barangay iSERVE Unified Platform | UP-SA-03 | v0.1a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6B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7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6B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