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B3D"/>
          <w:sz w:val="42"/>
        </w:rPr>
        <w:t>BARANGAY iSERVE</w:t>
      </w:r>
    </w:p>
    <w:p>
      <w:pPr>
        <w:jc w:val="center"/>
      </w:pPr>
      <w:r>
        <w:rPr>
          <w:b/>
          <w:color w:val="17365D"/>
          <w:sz w:val="26"/>
        </w:rPr>
        <w:t>UNIFIED PLATFORM</w:t>
      </w:r>
    </w:p>
    <w:p>
      <w:pPr>
        <w:jc w:val="center"/>
      </w:pPr>
      <w:r>
        <w:rPr>
          <w:b/>
          <w:color w:val="16794A"/>
          <w:sz w:val="24"/>
        </w:rPr>
        <w:t>UP-SA-04</w:t>
      </w:r>
    </w:p>
    <w:p>
      <w:pPr>
        <w:pStyle w:val="Title"/>
        <w:jc w:val="center"/>
      </w:pPr>
      <w:r>
        <w:t>Shared Master Data, Data Ownership, and Cross-System Responsibility Matrix</w:t>
      </w:r>
    </w:p>
    <w:tbl>
      <w:tblPr>
        <w:tblStyle w:val="TableGrid"/>
        <w:tblW w:type="auto" w:w="0"/>
        <w:jc w:val="center"/>
        <w:tblLook w:firstColumn="1" w:firstRow="1" w:lastColumn="0" w:lastRow="0" w:noHBand="0" w:noVBand="1" w:val="04A0"/>
      </w:tblPr>
      <w:tblGrid>
        <w:gridCol w:w="4946"/>
        <w:gridCol w:w="4946"/>
      </w:tblGrid>
      <w:tr>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Document Control Item</w:t>
            </w:r>
          </w:p>
        </w:tc>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Value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Version</w:t>
            </w:r>
          </w:p>
        </w:tc>
        <w:tc>
          <w:tcPr>
            <w:tcW w:type="dxa" w:w="4946"/>
            <w:vAlign w:val="center"/>
            <w:tcBorders>
              <w:top w:val="single" w:sz="4" w:color="B7C7BD"/>
              <w:left w:val="single" w:sz="4" w:color="B7C7BD"/>
              <w:bottom w:val="single" w:sz="4" w:color="B7C7BD"/>
              <w:right w:val="single" w:sz="4" w:color="B7C7BD"/>
            </w:tcBorders>
            <w:shd w:fill="EAF4EE"/>
          </w:tcPr>
          <w:p>
            <w:r/>
            <w:r>
              <w:rPr>
                <w:b w:val="0"/>
                <w:sz w:val="18"/>
              </w:rPr>
              <w:t>v0.1a</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Status</w:t>
            </w:r>
          </w:p>
        </w:tc>
        <w:tc>
          <w:tcPr>
            <w:tcW w:type="dxa" w:w="4946"/>
            <w:vAlign w:val="center"/>
            <w:tcBorders>
              <w:top w:val="single" w:sz="4" w:color="B7C7BD"/>
              <w:left w:val="single" w:sz="4" w:color="B7C7BD"/>
              <w:bottom w:val="single" w:sz="4" w:color="B7C7BD"/>
              <w:right w:val="single" w:sz="4" w:color="B7C7BD"/>
            </w:tcBorders>
          </w:tcPr>
          <w:p>
            <w:r>
              <w:t>Approved Baseline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Prepared</w:t>
            </w:r>
          </w:p>
        </w:tc>
        <w:tc>
          <w:tcPr>
            <w:tcW w:type="dxa" w:w="4946"/>
            <w:vAlign w:val="center"/>
            <w:tcBorders>
              <w:top w:val="single" w:sz="4" w:color="B7C7BD"/>
              <w:left w:val="single" w:sz="4" w:color="B7C7BD"/>
              <w:bottom w:val="single" w:sz="4" w:color="B7C7BD"/>
              <w:right w:val="single" w:sz="4" w:color="B7C7BD"/>
            </w:tcBorders>
            <w:shd w:fill="EAF4EE"/>
          </w:tcPr>
          <w:p>
            <w:r/>
            <w:r>
              <w:rPr>
                <w:b w:val="0"/>
                <w:sz w:val="18"/>
              </w:rPr>
              <w:t>2 August 2026</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Program authority</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UP-PM-00, UP-PM-01 and UP-PM-02 v0.1a — Approved Baseline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Repository</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dandomser-hub/iserve-unified-platform</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Repository branch</w:t>
            </w:r>
          </w:p>
        </w:tc>
        <w:tc>
          <w:tcPr>
            <w:tcW w:type="dxa" w:w="4946"/>
            <w:vAlign w:val="center"/>
            <w:tcBorders>
              <w:top w:val="single" w:sz="4" w:color="B7C7BD"/>
              <w:left w:val="single" w:sz="4" w:color="B7C7BD"/>
              <w:bottom w:val="single" w:sz="4" w:color="B7C7BD"/>
              <w:right w:val="single" w:sz="4" w:color="B7C7BD"/>
            </w:tcBorders>
          </w:tcPr>
          <w:p>
            <w:r>
              <w:t>main; approved package pending controlled GitHub commit and merge</w:t>
            </w:r>
          </w:p>
        </w:tc>
      </w:tr>
    </w:tbl>
    <w:p>
      <w:pPr>
        <w:pStyle w:val="Heading2"/>
      </w:pPr>
      <w:r>
        <w:t>CONTROL NOTE</w:t>
      </w:r>
    </w:p>
    <w:p>
      <w:r>
        <w:t>This controlled minor revision incorporates and closes approved decisions UP-SA-04-D01 through D05. The artifact is now an Approved Baseline. Retention rules and the detailed Dashboard Metric Catalog remain controlled living areas subject to later policy-aligned refinement.</w:t>
      </w:r>
    </w:p>
    <w:p>
      <w:pPr>
        <w:pStyle w:val="Heading1"/>
      </w:pPr>
      <w:r>
        <w:t>1. Purpose</w:t>
      </w:r>
    </w:p>
    <w:p>
      <w:r>
        <w:t>This artifact identifies authoritative owners, approved consumers, sharing rules, classifications and responsibilities for common data used across the Unified Platform. It prevents silent duplication, uncontrolled access and conflicting definitions.</w:t>
      </w:r>
    </w:p>
    <w:p>
      <w:pPr>
        <w:pStyle w:val="Heading1"/>
      </w:pPr>
      <w:r>
        <w:t>2. Data Ownership Principles</w:t>
      </w:r>
    </w:p>
    <w:p>
      <w:pPr>
        <w:pStyle w:val="ListBullet"/>
      </w:pPr>
      <w:r>
        <w:t>Every record family has one authoritative owner responsible for meaning, quality, lifecycle and correction.</w:t>
      </w:r>
    </w:p>
    <w:p>
      <w:pPr>
        <w:pStyle w:val="ListBullet"/>
      </w:pPr>
      <w:r>
        <w:t>Consumers receive only the minimum fields needed for an approved purpose.</w:t>
      </w:r>
    </w:p>
    <w:p>
      <w:pPr>
        <w:pStyle w:val="ListBullet"/>
      </w:pPr>
      <w:r>
        <w:t>Cross-system access uses controlled services, APIs, events, approved views or aggregates; direct table access is not a business contract.</w:t>
      </w:r>
    </w:p>
    <w:p>
      <w:pPr>
        <w:pStyle w:val="ListBullet"/>
      </w:pPr>
      <w:r>
        <w:t>Copies used for reports or performance may not become competing master records.</w:t>
      </w:r>
    </w:p>
    <w:p>
      <w:pPr>
        <w:pStyle w:val="ListBullet"/>
      </w:pPr>
      <w:r>
        <w:t>Provenance, source version, timestamps, classification and audit evidence must be preserved.</w:t>
      </w:r>
    </w:p>
    <w:p>
      <w:pPr>
        <w:pStyle w:val="ListBullet"/>
      </w:pPr>
      <w:r>
        <w:t>Correction occurs at the authoritative source and propagates through approved synchronization or refreshed read models.</w:t>
      </w:r>
    </w:p>
    <w:p>
      <w:pPr>
        <w:pStyle w:val="Heading1"/>
      </w:pPr>
      <w:r>
        <w:t>3. Shared Master Data Ownership Matrix</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Record family</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Authoritative owner</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Approved consumers</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Baseline classification / rule</w:t>
            </w:r>
          </w:p>
        </w:tc>
      </w:tr>
      <w:tr>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User Account and Session</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Shared Identity</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All systems</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Confidential; access by account administration and security purpose.</w:t>
            </w:r>
          </w:p>
        </w:tc>
      </w:tr>
      <w:tr>
        <w:tc>
          <w:tcPr>
            <w:tcW w:type="dxa" w:w="2473"/>
            <w:vAlign w:val="center"/>
            <w:tcBorders>
              <w:top w:val="single" w:sz="4" w:color="B7C7BD"/>
              <w:left w:val="single" w:sz="4" w:color="B7C7BD"/>
              <w:bottom w:val="single" w:sz="4" w:color="B7C7BD"/>
              <w:right w:val="single" w:sz="4" w:color="B7C7BD"/>
            </w:tcBorders>
          </w:tcPr>
          <w:p>
            <w:pPr>
              <w:spacing w:after="0"/>
            </w:pPr>
            <w:r>
              <w:rPr>
                <w:sz w:val="19"/>
              </w:rPr>
              <w:t>Role and Permission Assignment</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Shared Identity + system owner</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Dashboard and applicable system</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Confidential; changes require approval and audit.</w:t>
            </w:r>
          </w:p>
        </w:tc>
      </w:tr>
      <w:tr>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Barangay Profile</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Shared Configuration</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All systems and public landing subset</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Internal with approved public fields.</w:t>
            </w:r>
          </w:p>
        </w:tc>
      </w:tr>
      <w:tr>
        <w:tc>
          <w:tcPr>
            <w:tcW w:type="dxa" w:w="2473"/>
            <w:vAlign w:val="center"/>
            <w:tcBorders>
              <w:top w:val="single" w:sz="4" w:color="B7C7BD"/>
              <w:left w:val="single" w:sz="4" w:color="B7C7BD"/>
              <w:bottom w:val="single" w:sz="4" w:color="B7C7BD"/>
              <w:right w:val="single" w:sz="4" w:color="B7C7BD"/>
            </w:tcBorders>
          </w:tcPr>
          <w:p>
            <w:pPr>
              <w:spacing w:after="0"/>
            </w:pPr>
            <w:r>
              <w:rPr>
                <w:sz w:val="19"/>
              </w:rPr>
              <w:t>Purok/Sitio and Geographic References</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Shared Configuration / Governance</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All systems</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Internal reference; public use only where approved.</w:t>
            </w:r>
          </w:p>
        </w:tc>
      </w:tr>
      <w:tr>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Resident Master Record</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Governance - Resident Registry</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Documents, DRRM, GAD, Citizens and reports as purpose permits</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Confidential; no unrestricted cross-system search.</w:t>
            </w:r>
          </w:p>
        </w:tc>
      </w:tr>
      <w:tr>
        <w:tc>
          <w:tcPr>
            <w:tcW w:type="dxa" w:w="2473"/>
            <w:vAlign w:val="center"/>
            <w:tcBorders>
              <w:top w:val="single" w:sz="4" w:color="B7C7BD"/>
              <w:left w:val="single" w:sz="4" w:color="B7C7BD"/>
              <w:bottom w:val="single" w:sz="4" w:color="B7C7BD"/>
              <w:right w:val="single" w:sz="4" w:color="B7C7BD"/>
            </w:tcBorders>
          </w:tcPr>
          <w:p>
            <w:pPr>
              <w:spacing w:after="0"/>
            </w:pPr>
            <w:r>
              <w:rPr>
                <w:sz w:val="19"/>
              </w:rPr>
              <w:t>Household and Membership History</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Governance - Resident Registry</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DRRM, GAD aggregates, Citizens own linkage</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Confidential; person-level sharing strictly purpose-limited.</w:t>
            </w:r>
          </w:p>
        </w:tc>
      </w:tr>
      <w:tr>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Document Type and Template Metadata</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Governance - Document Services</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Citizens catalog, Dashboard, verification</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Internal; approved service metadata may be public.</w:t>
            </w:r>
          </w:p>
        </w:tc>
      </w:tr>
      <w:tr>
        <w:tc>
          <w:tcPr>
            <w:tcW w:type="dxa" w:w="2473"/>
            <w:vAlign w:val="center"/>
            <w:tcBorders>
              <w:top w:val="single" w:sz="4" w:color="B7C7BD"/>
              <w:left w:val="single" w:sz="4" w:color="B7C7BD"/>
              <w:bottom w:val="single" w:sz="4" w:color="B7C7BD"/>
              <w:right w:val="single" w:sz="4" w:color="B7C7BD"/>
            </w:tcBorders>
          </w:tcPr>
          <w:p>
            <w:pPr>
              <w:spacing w:after="0"/>
            </w:pPr>
            <w:r>
              <w:rPr>
                <w:sz w:val="19"/>
              </w:rPr>
              <w:t>Disaster Event and Operational Period</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DRRM</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Dashboard, Citizens public advisory subset, Governance resource linkage</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Internal/operational; public fields only after approval.</w:t>
            </w:r>
          </w:p>
        </w:tc>
      </w:tr>
      <w:tr>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GAD PPA, Budget and Report Records</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GAD</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Dashboard, Governance compliance and approved public summaries</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Internal; public release after approval.</w:t>
            </w:r>
          </w:p>
        </w:tc>
      </w:tr>
      <w:tr>
        <w:tc>
          <w:tcPr>
            <w:tcW w:type="dxa" w:w="2473"/>
            <w:vAlign w:val="center"/>
            <w:tcBorders>
              <w:top w:val="single" w:sz="4" w:color="B7C7BD"/>
              <w:left w:val="single" w:sz="4" w:color="B7C7BD"/>
              <w:bottom w:val="single" w:sz="4" w:color="B7C7BD"/>
              <w:right w:val="single" w:sz="4" w:color="B7C7BD"/>
            </w:tcBorders>
          </w:tcPr>
          <w:p>
            <w:pPr>
              <w:spacing w:after="0"/>
            </w:pPr>
            <w:r>
              <w:rPr>
                <w:sz w:val="19"/>
              </w:rPr>
              <w:t>Asset and Inventory Records</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Governance - Assets and Inventory</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DRRM for deployable-resource references, Dashboard</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Internal; sensitive locations/quantities restricted as needed.</w:t>
            </w:r>
          </w:p>
        </w:tc>
      </w:tr>
      <w:tr>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Citizen Account and Request</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Citizens</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Owning service system and Identity</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Confidential; account holder sees only own authorized data.</w:t>
            </w:r>
          </w:p>
        </w:tc>
      </w:tr>
      <w:tr>
        <w:tc>
          <w:tcPr>
            <w:tcW w:type="dxa" w:w="2473"/>
            <w:vAlign w:val="center"/>
            <w:tcBorders>
              <w:top w:val="single" w:sz="4" w:color="B7C7BD"/>
              <w:left w:val="single" w:sz="4" w:color="B7C7BD"/>
              <w:bottom w:val="single" w:sz="4" w:color="B7C7BD"/>
              <w:right w:val="single" w:sz="4" w:color="B7C7BD"/>
            </w:tcBorders>
          </w:tcPr>
          <w:p>
            <w:pPr>
              <w:spacing w:after="0"/>
            </w:pPr>
            <w:r>
              <w:rPr>
                <w:sz w:val="19"/>
              </w:rPr>
              <w:t>Audit Event</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Shared Audit</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Authorized auditor, security and owning system</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Confidential/security; append-oriented and retention-controlled.</w:t>
            </w:r>
          </w:p>
        </w:tc>
      </w:tr>
      <w:tr>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File/Attachment Metadata</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Shared Files + owning system</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Only authorized workflow participants</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Classification inherits source record; signed access and retention required.</w:t>
            </w:r>
          </w:p>
        </w:tc>
      </w:tr>
      <w:tr>
        <w:tc>
          <w:tcPr>
            <w:tcW w:type="dxa" w:w="2473"/>
            <w:vAlign w:val="center"/>
            <w:tcBorders>
              <w:top w:val="single" w:sz="4" w:color="B7C7BD"/>
              <w:left w:val="single" w:sz="4" w:color="B7C7BD"/>
              <w:bottom w:val="single" w:sz="4" w:color="B7C7BD"/>
              <w:right w:val="single" w:sz="4" w:color="B7C7BD"/>
            </w:tcBorders>
          </w:tcPr>
          <w:p>
            <w:pPr>
              <w:spacing w:after="0"/>
            </w:pPr>
            <w:r>
              <w:rPr>
                <w:sz w:val="19"/>
              </w:rPr>
              <w:t>Notification Delivery Record</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Shared Notifications</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Recipient, owning system and authorized support</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Internal/confidential depending on message content.</w:t>
            </w:r>
          </w:p>
        </w:tc>
      </w:tr>
      <w:tr>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Report Package and Submission Receipt</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Owning system + shared reporting infrastructure</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Authorized reviewers and auditors</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Classification follows report; immutable versions and lineage required.</w:t>
            </w:r>
          </w:p>
        </w:tc>
      </w:tr>
    </w:tbl>
    <w:p>
      <w:pPr>
        <w:pStyle w:val="Heading1"/>
      </w:pPr>
      <w:r>
        <w:t>4. Cross-System Responsibility Matrix</w:t>
      </w:r>
    </w:p>
    <w:tbl>
      <w:tblPr>
        <w:tblStyle w:val="TableGrid"/>
        <w:tblW w:type="auto" w:w="0"/>
        <w:jc w:val="center"/>
        <w:tblLook w:firstColumn="1" w:firstRow="1" w:lastColumn="0" w:lastRow="0" w:noHBand="0" w:noVBand="1" w:val="04A0"/>
      </w:tblPr>
      <w:tblGrid>
        <w:gridCol w:w="1979"/>
        <w:gridCol w:w="1979"/>
        <w:gridCol w:w="1979"/>
        <w:gridCol w:w="1979"/>
        <w:gridCol w:w="1979"/>
      </w:tblGrid>
      <w:tr>
        <w:tc>
          <w:tcPr>
            <w:tcW w:type="dxa" w:w="1979"/>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Activity</w:t>
            </w:r>
          </w:p>
        </w:tc>
        <w:tc>
          <w:tcPr>
            <w:tcW w:type="dxa" w:w="1979"/>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Responsible</w:t>
            </w:r>
          </w:p>
        </w:tc>
        <w:tc>
          <w:tcPr>
            <w:tcW w:type="dxa" w:w="1979"/>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Accountable</w:t>
            </w:r>
          </w:p>
        </w:tc>
        <w:tc>
          <w:tcPr>
            <w:tcW w:type="dxa" w:w="1979"/>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Consulted</w:t>
            </w:r>
          </w:p>
        </w:tc>
        <w:tc>
          <w:tcPr>
            <w:tcW w:type="dxa" w:w="1979"/>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Informed</w:t>
            </w:r>
          </w:p>
        </w:tc>
      </w:tr>
      <w:tr>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Create/correct resident master data</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Governance Registry Operator</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Barangay Secretary / designated data owner</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DPO/privacy reviewer as needed</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Authorized consuming systems</w:t>
            </w:r>
          </w:p>
        </w:tc>
      </w:tr>
      <w:tr>
        <w:tc>
          <w:tcPr>
            <w:tcW w:type="dxa" w:w="1979"/>
            <w:vAlign w:val="center"/>
            <w:tcBorders>
              <w:top w:val="single" w:sz="4" w:color="B7C7BD"/>
              <w:left w:val="single" w:sz="4" w:color="B7C7BD"/>
              <w:bottom w:val="single" w:sz="4" w:color="B7C7BD"/>
              <w:right w:val="single" w:sz="4" w:color="B7C7BD"/>
            </w:tcBorders>
          </w:tcPr>
          <w:p>
            <w:pPr>
              <w:spacing w:after="0"/>
            </w:pPr>
            <w:r>
              <w:rPr>
                <w:sz w:val="19"/>
              </w:rPr>
              <w:t>Assign platform/system access</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Identity Administrator</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Authorized approving official</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System owner / security reviewer</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User and auditor</w:t>
            </w:r>
          </w:p>
        </w:tc>
      </w:tr>
      <w:tr>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Publish Dashboard metric</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Owning system report service</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Owning system functional owner</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Shared Dashboard team</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Authorized viewers</w:t>
            </w:r>
          </w:p>
        </w:tc>
      </w:tr>
      <w:tr>
        <w:tc>
          <w:tcPr>
            <w:tcW w:type="dxa" w:w="1979"/>
            <w:vAlign w:val="center"/>
            <w:tcBorders>
              <w:top w:val="single" w:sz="4" w:color="B7C7BD"/>
              <w:left w:val="single" w:sz="4" w:color="B7C7BD"/>
              <w:bottom w:val="single" w:sz="4" w:color="B7C7BD"/>
              <w:right w:val="single" w:sz="4" w:color="B7C7BD"/>
            </w:tcBorders>
          </w:tcPr>
          <w:p>
            <w:pPr>
              <w:spacing w:after="0"/>
            </w:pPr>
            <w:r>
              <w:rPr>
                <w:sz w:val="19"/>
              </w:rPr>
              <w:t>Release public advisory</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DRRM/GAD/Governance authorized preparer</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Authorized approving official</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Communications / legal / privacy as applicable</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Public</w:t>
            </w:r>
          </w:p>
        </w:tc>
      </w:tr>
      <w:tr>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Provide citizen-linked data</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Owning system through controlled API</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Owning system data owner</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Identity/Citizens team and privacy reviewer</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Citizen</w:t>
            </w:r>
          </w:p>
        </w:tc>
      </w:tr>
      <w:tr>
        <w:tc>
          <w:tcPr>
            <w:tcW w:type="dxa" w:w="1979"/>
            <w:vAlign w:val="center"/>
            <w:tcBorders>
              <w:top w:val="single" w:sz="4" w:color="B7C7BD"/>
              <w:left w:val="single" w:sz="4" w:color="B7C7BD"/>
              <w:bottom w:val="single" w:sz="4" w:color="B7C7BD"/>
              <w:right w:val="single" w:sz="4" w:color="B7C7BD"/>
            </w:tcBorders>
          </w:tcPr>
          <w:p>
            <w:pPr>
              <w:spacing w:after="0"/>
            </w:pPr>
            <w:r>
              <w:rPr>
                <w:sz w:val="19"/>
              </w:rPr>
              <w:t>Correct cross-system inconsistency</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Authoritative system owner</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Data owner</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Affected consumers and technical team</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Auditor if material</w:t>
            </w:r>
          </w:p>
        </w:tc>
      </w:tr>
      <w:tr>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Define retention/disposal</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Owning data owner</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PIC/DPO and legal/records authority</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System owner and operations</w:t>
            </w:r>
          </w:p>
        </w:tc>
        <w:tc>
          <w:tcPr>
            <w:tcW w:type="dxa" w:w="1979"/>
            <w:vAlign w:val="center"/>
            <w:tcBorders>
              <w:top w:val="single" w:sz="4" w:color="B7C7BD"/>
              <w:left w:val="single" w:sz="4" w:color="B7C7BD"/>
              <w:bottom w:val="single" w:sz="4" w:color="B7C7BD"/>
              <w:right w:val="single" w:sz="4" w:color="B7C7BD"/>
            </w:tcBorders>
            <w:shd w:fill="EAF4EE"/>
          </w:tcPr>
          <w:p>
            <w:pPr>
              <w:spacing w:after="0"/>
            </w:pPr>
            <w:r>
              <w:rPr>
                <w:sz w:val="19"/>
              </w:rPr>
              <w:t>Affected users</w:t>
            </w:r>
          </w:p>
        </w:tc>
      </w:tr>
      <w:tr>
        <w:tc>
          <w:tcPr>
            <w:tcW w:type="dxa" w:w="1979"/>
            <w:vAlign w:val="center"/>
            <w:tcBorders>
              <w:top w:val="single" w:sz="4" w:color="B7C7BD"/>
              <w:left w:val="single" w:sz="4" w:color="B7C7BD"/>
              <w:bottom w:val="single" w:sz="4" w:color="B7C7BD"/>
              <w:right w:val="single" w:sz="4" w:color="B7C7BD"/>
            </w:tcBorders>
          </w:tcPr>
          <w:p>
            <w:pPr>
              <w:spacing w:after="0"/>
            </w:pPr>
            <w:r>
              <w:rPr>
                <w:sz w:val="19"/>
              </w:rPr>
              <w:t>Generate submission package</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Owning system</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Authorized approver</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Shared reporting infrastructure</w:t>
            </w:r>
          </w:p>
        </w:tc>
        <w:tc>
          <w:tcPr>
            <w:tcW w:type="dxa" w:w="1979"/>
            <w:vAlign w:val="center"/>
            <w:tcBorders>
              <w:top w:val="single" w:sz="4" w:color="B7C7BD"/>
              <w:left w:val="single" w:sz="4" w:color="B7C7BD"/>
              <w:bottom w:val="single" w:sz="4" w:color="B7C7BD"/>
              <w:right w:val="single" w:sz="4" w:color="B7C7BD"/>
            </w:tcBorders>
          </w:tcPr>
          <w:p>
            <w:pPr>
              <w:spacing w:after="0"/>
            </w:pPr>
            <w:r>
              <w:rPr>
                <w:sz w:val="19"/>
              </w:rPr>
              <w:t>Reviewer/auditor</w:t>
            </w:r>
          </w:p>
        </w:tc>
      </w:tr>
    </w:tbl>
    <w:p>
      <w:pPr>
        <w:pStyle w:val="Heading1"/>
      </w:pPr>
      <w:r>
        <w:t>5. Sharing and Minimization Rules</w:t>
      </w:r>
    </w:p>
    <w:tbl>
      <w:tblPr>
        <w:tblStyle w:val="TableGrid"/>
        <w:tblW w:type="auto" w:w="0"/>
        <w:jc w:val="center"/>
        <w:tblLook w:firstColumn="1" w:firstRow="1" w:lastColumn="0" w:lastRow="0" w:noHBand="0" w:noVBand="1" w:val="04A0"/>
      </w:tblPr>
      <w:tblGrid>
        <w:gridCol w:w="3298"/>
        <w:gridCol w:w="3298"/>
        <w:gridCol w:w="3298"/>
      </w:tblGrid>
      <w:tr>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Consumer</w:t>
            </w:r>
          </w:p>
        </w:tc>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Permitted baseline</w:t>
            </w:r>
          </w:p>
        </w:tc>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Prohibited baseline</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DRRM</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Operational resident/household data required for affected/displaced tracking and response.</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General resident browsing unrelated to an event or purpose.</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GAD</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Approved aggregates or purpose-limited participant data for PPAs and sex-disaggregated reporting.</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Unrestricted resident profiles or restricted protection cases.</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Governance</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Authoritative resident, document, collection, blotter, legislative, personnel and asset operations.</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Using shared identity authority to bypass domain controls.</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Citizens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Own account, own authorized requests, public information and explicitly released personal records.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Other residents, households, internal reports, draft data or restricted operations.</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Dashboard</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Approved metrics, task summaries and alerts with drill-down authorization.</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Owning or editing source transactions.</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External reviewers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Fixed, versioned, read-only packages and comments as authorized.</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Editing barangay source data or accessing unrelated records.</w:t>
            </w:r>
          </w:p>
        </w:tc>
      </w:tr>
    </w:tbl>
    <w:p>
      <w:pPr>
        <w:pStyle w:val="Heading1"/>
      </w:pPr>
      <w:r>
        <w:t>6. Data Quality and Reconciliation Requirements</w:t>
      </w:r>
    </w:p>
    <w:p>
      <w:pPr>
        <w:pStyle w:val="ListBullet"/>
      </w:pPr>
      <w:r>
        <w:t>Use stable canonical identifiers and controlled references.</w:t>
      </w:r>
    </w:p>
    <w:p>
      <w:pPr>
        <w:pStyle w:val="ListBullet"/>
      </w:pPr>
      <w:r>
        <w:t>Validate required fields, formats, uniqueness, lifecycle and relationship constraints at the authoritative source.</w:t>
      </w:r>
    </w:p>
    <w:p>
      <w:pPr>
        <w:pStyle w:val="ListBullet"/>
      </w:pPr>
      <w:r>
        <w:t>Record source, collector, verifier, timestamps and last-confirmed information where operationally needed.</w:t>
      </w:r>
    </w:p>
    <w:p>
      <w:pPr>
        <w:pStyle w:val="ListBullet"/>
      </w:pPr>
      <w:r>
        <w:t>Detect duplicates, stale records, invalid state combinations and cross-system total mismatches.</w:t>
      </w:r>
    </w:p>
    <w:p>
      <w:pPr>
        <w:pStyle w:val="ListBullet"/>
      </w:pPr>
      <w:r>
        <w:t>Reconcile Dashboard metrics and reports to source snapshots and versions.</w:t>
      </w:r>
    </w:p>
    <w:p>
      <w:pPr>
        <w:pStyle w:val="ListBullet"/>
      </w:pPr>
      <w:r>
        <w:t>Preserve correction history and avoid destructive overwrite where auditability is required.</w:t>
      </w:r>
    </w:p>
    <w:p>
      <w:pPr>
        <w:pStyle w:val="Heading1"/>
      </w:pPr>
      <w:r>
        <w:t>7. Closed Decisions and Approved Governance Baselines</w:t>
      </w:r>
    </w:p>
    <w:tbl>
      <w:tblPr>
        <w:tblStyle w:val="TableGrid"/>
        <w:tblW w:type="auto" w:w="0"/>
        <w:jc w:val="center"/>
        <w:tblLook w:firstColumn="1" w:firstRow="1" w:lastColumn="0" w:lastRow="0" w:noHBand="0" w:noVBand="1" w:val="04A0"/>
      </w:tblPr>
      <w:tblGrid>
        <w:gridCol w:w="4946"/>
        <w:gridCol w:w="4946"/>
      </w:tblGrid>
      <w:tr>
        <w:tc>
          <w:tcPr>
            <w:tcW w:type="dxa" w:w="4946"/>
            <w:vAlign w:val="center"/>
            <w:tcBorders>
              <w:top w:val="single" w:sz="4" w:color="B7C7BD"/>
              <w:left w:val="single" w:sz="4" w:color="B7C7BD"/>
              <w:bottom w:val="single" w:sz="4" w:color="B7C7BD"/>
              <w:right w:val="single" w:sz="4" w:color="B7C7BD"/>
            </w:tcBorders>
            <w:shd w:fill="0F6B3D"/>
          </w:tcPr>
          <w:p>
            <w:r/>
            <w:r>
              <w:rPr>
                <w:b/>
                <w:sz w:val="18"/>
              </w:rPr>
              <w:t>Decision ID</w:t>
            </w:r>
          </w:p>
        </w:tc>
        <w:tc>
          <w:tcPr>
            <w:tcW w:type="dxa" w:w="4946"/>
            <w:vAlign w:val="center"/>
            <w:tcBorders>
              <w:top w:val="single" w:sz="4" w:color="B7C7BD"/>
              <w:left w:val="single" w:sz="4" w:color="B7C7BD"/>
              <w:bottom w:val="single" w:sz="4" w:color="B7C7BD"/>
              <w:right w:val="single" w:sz="4" w:color="B7C7BD"/>
            </w:tcBorders>
            <w:shd w:fill="0F6B3D"/>
          </w:tcPr>
          <w:p>
            <w:r/>
            <w:r>
              <w:rPr>
                <w:b/>
                <w:sz w:val="18"/>
              </w:rPr>
              <w:t>Approved decision</w:t>
            </w:r>
          </w:p>
        </w:tc>
      </w:tr>
      <w:tr>
        <w:tc>
          <w:tcPr>
            <w:tcW w:type="dxa" w:w="4946"/>
            <w:vAlign w:val="center"/>
          </w:tcPr>
          <w:p>
            <w:r/>
            <w:r>
              <w:rPr>
                <w:b w:val="0"/>
                <w:sz w:val="18"/>
              </w:rPr>
              <w:t>UP-SA-04-D01</w:t>
            </w:r>
          </w:p>
        </w:tc>
        <w:tc>
          <w:tcPr>
            <w:tcW w:type="dxa" w:w="4946"/>
            <w:vAlign w:val="center"/>
          </w:tcPr>
          <w:p>
            <w:r/>
            <w:r>
              <w:rPr>
                <w:b w:val="0"/>
                <w:sz w:val="18"/>
              </w:rPr>
              <w:t>Resident field-sharing profiles approved. DRRM receives event- and purpose-scoped minimum necessary resident/household data; GAD uses approved aggregates by default and person-level PPA data only for documented purposes; Citizens accesses only own verified linked data, own transactions, and explicitly public or released information. Restricted protection-case records remain excluded unless separately approved.</w:t>
            </w:r>
          </w:p>
        </w:tc>
      </w:tr>
      <w:tr>
        <w:tc>
          <w:tcPr>
            <w:tcW w:type="dxa" w:w="4946"/>
            <w:vAlign w:val="center"/>
          </w:tcPr>
          <w:p>
            <w:r/>
            <w:r>
              <w:rPr>
                <w:b w:val="0"/>
                <w:sz w:val="18"/>
              </w:rPr>
              <w:t>UP-SA-04-D02</w:t>
            </w:r>
          </w:p>
        </w:tc>
        <w:tc>
          <w:tcPr>
            <w:tcW w:type="dxa" w:w="4946"/>
            <w:vAlign w:val="center"/>
          </w:tcPr>
          <w:p>
            <w:r/>
            <w:r>
              <w:rPr>
                <w:b w:val="0"/>
                <w:sz w:val="18"/>
              </w:rPr>
              <w:t>Public barangay profile fields approved. Official identity, jurisdiction, office address, authorized public contacts, office hours, elected-official names/designations, service directories, approved announcements, assembly schedules, emergency hotlines, advisories, activity notices, privacy notices, feedback channels and verification access may be public. Personal contacts, signatures, credentials, resident data, restricted records, sensitive operations, security configuration and unapproved drafts are not public by default.</w:t>
            </w:r>
          </w:p>
        </w:tc>
      </w:tr>
      <w:tr>
        <w:tc>
          <w:tcPr>
            <w:tcW w:type="dxa" w:w="4946"/>
            <w:vAlign w:val="center"/>
          </w:tcPr>
          <w:p>
            <w:r/>
            <w:r>
              <w:rPr>
                <w:b w:val="0"/>
                <w:sz w:val="18"/>
              </w:rPr>
              <w:t>UP-SA-04-D03</w:t>
            </w:r>
          </w:p>
        </w:tc>
        <w:tc>
          <w:tcPr>
            <w:tcW w:type="dxa" w:w="4946"/>
            <w:vAlign w:val="center"/>
          </w:tcPr>
          <w:p>
            <w:r/>
            <w:r>
              <w:rPr>
                <w:b w:val="0"/>
                <w:sz w:val="18"/>
              </w:rPr>
              <w:t>Retention and legal-hold governance approved as an interim, refinable baseline. Record-class schedules are approved by the Project Owner or authorized barangay authority, administered by the Barangay Secretary or records custodian, and privacy-reviewed. Technical administrators execute but do not independently decide retention. Authorized legal holds suspend deletion, anonymization and backup expiration until formally released. Exact periods shall be finalized before pilot data and refined as policies mature.</w:t>
            </w:r>
          </w:p>
        </w:tc>
      </w:tr>
      <w:tr>
        <w:tc>
          <w:tcPr>
            <w:tcW w:type="dxa" w:w="4946"/>
            <w:vAlign w:val="center"/>
          </w:tcPr>
          <w:p>
            <w:r/>
            <w:r>
              <w:rPr>
                <w:b w:val="0"/>
                <w:sz w:val="18"/>
              </w:rPr>
              <w:t>UP-SA-04-D04</w:t>
            </w:r>
          </w:p>
        </w:tc>
        <w:tc>
          <w:tcPr>
            <w:tcW w:type="dxa" w:w="4946"/>
            <w:vAlign w:val="center"/>
          </w:tcPr>
          <w:p>
            <w:r/>
            <w:r>
              <w:rPr>
                <w:b w:val="0"/>
                <w:sz w:val="18"/>
              </w:rPr>
              <w:t>Cross-system identifier and jurisdiction-scope model approved. Every authoritative record uses an immutable non-sequential technical identifier, preferably ULID or UUID. Barangay-owned records carry an immutable PSGC-based barangay scope key when available. Human-readable references use {SYSTEM}-{RECORD-TYPE}-{BARANGAY-SHORT-CODE}-{YEAR}-{SEQUENCE} and never replace the technical ID. Cross-system links use technical ID plus scope key.</w:t>
            </w:r>
          </w:p>
        </w:tc>
      </w:tr>
      <w:tr>
        <w:tc>
          <w:tcPr>
            <w:tcW w:type="dxa" w:w="4946"/>
            <w:vAlign w:val="center"/>
          </w:tcPr>
          <w:p>
            <w:r/>
            <w:r>
              <w:rPr>
                <w:b w:val="0"/>
                <w:sz w:val="18"/>
              </w:rPr>
              <w:t>UP-SA-04-D05</w:t>
            </w:r>
          </w:p>
        </w:tc>
        <w:tc>
          <w:tcPr>
            <w:tcW w:type="dxa" w:w="4946"/>
            <w:vAlign w:val="center"/>
          </w:tcPr>
          <w:p>
            <w:r/>
            <w:r>
              <w:rPr>
                <w:b w:val="0"/>
                <w:sz w:val="18"/>
              </w:rPr>
              <w:t>Dashboard metric governance approved. Every metric has a controlled definition, code, source owner, calculation, filters, period, classification, visibility, refresh target, cutoff, reconciliation and drill-down rule. Critical indicators use event-driven or near-real-time updates where feasible; routine indicators refresh within fifteen minutes; management/compliance aggregates may refresh hourly or on approved change. Official and certified totals require zero unexplained variance. The detailed Dashboard Metric Catalog is a controlled living artifact.</w:t>
            </w:r>
          </w:p>
        </w:tc>
      </w:tr>
    </w:tbl>
    <w:p>
      <w:r>
        <w:rPr>
          <w:b/>
          <w:sz w:val="22"/>
        </w:rPr>
        <w:t>7.6 Dashboard metric living-artifact rule</w:t>
      </w:r>
    </w:p>
    <w:p>
      <w:r>
        <w:t>A separate controlled Dashboard Metric Catalog shall progressively define metric codes, formulas, dimensions, owners, visibility, refresh behavior, stale-state treatment, reconciliation thresholds and drill-down routes. Changes consistent with UP-SA-04-D05 may be approved as controlled catalog updates without reopening this artifact.</w:t>
      </w:r>
    </w:p>
    <w:p>
      <w:r>
        <w:rPr>
          <w:b/>
          <w:sz w:val="22"/>
        </w:rPr>
        <w:t>7.5 Identifier implementation rule</w:t>
      </w:r>
    </w:p>
    <w:p>
      <w:r>
        <w:t>Internal database/API identity shall be ULID or UUID. The authoritative barangay scope key follows BRGY-{PSGC_CODE} when configured. Non-production placeholders must be clearly controlled and must not become production identifiers. Municipality/city and higher-level scope references remain available for future consolidation.</w:t>
      </w:r>
    </w:p>
    <w:p>
      <w:r>
        <w:rPr>
          <w:b/>
          <w:sz w:val="22"/>
        </w:rPr>
        <w:t>7.4 Retention and legal-hold refinement rule</w:t>
      </w:r>
    </w:p>
    <w:p>
      <w:r>
        <w:t>Retention schedules shall be record-class specific and aligned with applicable government records, audit, legal, DRRM, GAD, privacy and security requirements. Refinements require controlled revision. Legal holds must state authority, purpose, scope, affected classes, start date and custodian; preserve metadata, attachments and audit history; and be formally released.</w:t>
      </w:r>
    </w:p>
    <w:p>
      <w:r>
        <w:rPr>
          <w:b/>
          <w:sz w:val="22"/>
        </w:rPr>
        <w:t>7.3 Approved Citizens field-sharing profile</w:t>
      </w:r>
    </w:p>
    <w:p>
      <w:r>
        <w:t>Citizen account identifier, linked resident identifier and verification status, own basic profile, explicitly authorized household relationship summary, own requests/uploads/notifications/released records and public information. Cross-resident search, household browsing, restricted records and internal operational data are prohibited.</w:t>
      </w:r>
    </w:p>
    <w:p>
      <w:r>
        <w:rPr>
          <w:b/>
          <w:sz w:val="22"/>
        </w:rPr>
        <w:t>7.2 Approved GAD field-sharing profile</w:t>
      </w:r>
    </w:p>
    <w:p>
      <w:r>
        <w:t>Aggregate-first sex-disaggregated counts, age bands, geographic grouping and approved sector indicators. Person-level participant identifiers are allowed only when required for attendance, duplication checks, benefit tracking or approved reporting. Names, contacts, full resident profiles and restricted protection records are not shared by default.</w:t>
      </w:r>
    </w:p>
    <w:p>
      <w:r>
        <w:rPr>
          <w:b/>
          <w:sz w:val="22"/>
        </w:rPr>
        <w:t>7.1 Approved DRRM field-sharing profile</w:t>
      </w:r>
    </w:p>
    <w:p>
      <w:r>
        <w:t>Canonical resident/household identifiers; name only when operationally necessary; sex; date of birth or age band; household membership/head; purok/sitio and address reference; response contact; relevant vulnerability indicators; evacuation/displacement status; emergency contact; and verification/provenance metadata. Unrelated service, financial, account-security, GAD and restricted-case data are excluded.</w:t>
      </w:r>
    </w:p>
    <w:p>
      <w:pPr>
        <w:pStyle w:val="Heading1"/>
      </w:pPr>
      <w:r>
        <w:t>8. Version History</w:t>
      </w:r>
    </w:p>
    <w:tbl>
      <w:tblPr>
        <w:tblStyle w:val="TableGrid"/>
        <w:tblW w:type="auto" w:w="0"/>
        <w:jc w:val="center"/>
        <w:tblLook w:firstColumn="1" w:firstRow="1" w:lastColumn="0" w:lastRow="0" w:noHBand="0" w:noVBand="1" w:val="04A0"/>
      </w:tblPr>
      <w:tblGrid>
        <w:gridCol w:w="2473"/>
        <w:gridCol w:w="2473"/>
        <w:gridCol w:w="2473"/>
        <w:gridCol w:w="2473"/>
      </w:tblGrid>
      <w:tr>
        <w:trPr>
          <w:cantSplit/>
        </w:trPr>
        <w:tc>
          <w:tcPr>
            <w:tcW w:type="dxa" w:w="2473"/>
            <w:vAlign w:val="center"/>
            <w:tcBorders>
              <w:top w:val="single" w:sz="4" w:color="B7C7BD"/>
              <w:left w:val="single" w:sz="4" w:color="B7C7BD"/>
              <w:bottom w:val="single" w:sz="4" w:color="B7C7BD"/>
              <w:right w:val="single" w:sz="4" w:color="B7C7BD"/>
            </w:tcBorders>
            <w:shd w:fill="0F6B3D"/>
          </w:tcPr>
          <w:p>
            <w:pPr>
              <w:spacing w:after="0" w:before="0" w:line="240" w:lineRule="auto"/>
              <w:jc w:val="center"/>
            </w:pPr>
            <w:r>
              <w:rPr>
                <w:b/>
                <w:color w:val="FFFFFF"/>
                <w:sz w:val="16"/>
              </w:rPr>
              <w:t>Version</w:t>
            </w:r>
          </w:p>
        </w:tc>
        <w:tc>
          <w:tcPr>
            <w:tcW w:type="dxa" w:w="2473"/>
            <w:vAlign w:val="center"/>
            <w:tcBorders>
              <w:top w:val="single" w:sz="4" w:color="B7C7BD"/>
              <w:left w:val="single" w:sz="4" w:color="B7C7BD"/>
              <w:bottom w:val="single" w:sz="4" w:color="B7C7BD"/>
              <w:right w:val="single" w:sz="4" w:color="B7C7BD"/>
            </w:tcBorders>
            <w:shd w:fill="0F6B3D"/>
          </w:tcPr>
          <w:p>
            <w:pPr>
              <w:spacing w:after="0" w:before="0" w:line="240" w:lineRule="auto"/>
              <w:jc w:val="center"/>
            </w:pPr>
            <w:r>
              <w:rPr>
                <w:b/>
                <w:color w:val="FFFFFF"/>
                <w:sz w:val="16"/>
              </w:rPr>
              <w:t>Date</w:t>
            </w:r>
          </w:p>
        </w:tc>
        <w:tc>
          <w:tcPr>
            <w:tcW w:type="dxa" w:w="2473"/>
            <w:vAlign w:val="center"/>
            <w:tcBorders>
              <w:top w:val="single" w:sz="4" w:color="B7C7BD"/>
              <w:left w:val="single" w:sz="4" w:color="B7C7BD"/>
              <w:bottom w:val="single" w:sz="4" w:color="B7C7BD"/>
              <w:right w:val="single" w:sz="4" w:color="B7C7BD"/>
            </w:tcBorders>
            <w:shd w:fill="0F6B3D"/>
          </w:tcPr>
          <w:p>
            <w:pPr>
              <w:spacing w:after="0" w:before="0" w:line="240" w:lineRule="auto"/>
              <w:jc w:val="center"/>
            </w:pPr>
            <w:r>
              <w:rPr>
                <w:b/>
                <w:color w:val="FFFFFF"/>
                <w:sz w:val="16"/>
              </w:rPr>
              <w:t>Change</w:t>
            </w:r>
          </w:p>
        </w:tc>
        <w:tc>
          <w:tcPr>
            <w:tcW w:type="dxa" w:w="2473"/>
            <w:vAlign w:val="center"/>
            <w:tcBorders>
              <w:top w:val="single" w:sz="4" w:color="B7C7BD"/>
              <w:left w:val="single" w:sz="4" w:color="B7C7BD"/>
              <w:bottom w:val="single" w:sz="4" w:color="B7C7BD"/>
              <w:right w:val="single" w:sz="4" w:color="B7C7BD"/>
            </w:tcBorders>
            <w:shd w:fill="0F6B3D"/>
          </w:tcPr>
          <w:p>
            <w:pPr>
              <w:spacing w:after="0" w:before="0" w:line="240" w:lineRule="auto"/>
              <w:jc w:val="center"/>
            </w:pPr>
            <w:r>
              <w:rPr>
                <w:b/>
                <w:color w:val="FFFFFF"/>
                <w:sz w:val="16"/>
              </w:rPr>
              <w:t>Status</w:t>
            </w:r>
          </w:p>
        </w:tc>
      </w:tr>
      <w:tr>
        <w:trPr>
          <w:cantSplit/>
        </w:trPr>
        <w:tc>
          <w:tcPr>
            <w:tcW w:type="dxa" w:w="2473"/>
            <w:vAlign w:val="center"/>
            <w:tcBorders>
              <w:top w:val="single" w:sz="4" w:color="B7C7BD"/>
              <w:left w:val="single" w:sz="4" w:color="B7C7BD"/>
              <w:bottom w:val="single" w:sz="4" w:color="B7C7BD"/>
              <w:right w:val="single" w:sz="4" w:color="B7C7BD"/>
            </w:tcBorders>
            <w:shd w:fill="EAF4EE"/>
          </w:tcPr>
          <w:p>
            <w:pPr>
              <w:spacing w:after="0" w:before="0" w:line="240" w:lineRule="auto"/>
            </w:pPr>
            <w:r>
              <w:rPr>
                <w:sz w:val="16"/>
              </w:rPr>
              <w:t>v0.1</w:t>
            </w:r>
          </w:p>
        </w:tc>
        <w:tc>
          <w:tcPr>
            <w:tcW w:type="dxa" w:w="2473"/>
            <w:vAlign w:val="center"/>
            <w:tcBorders>
              <w:top w:val="single" w:sz="4" w:color="B7C7BD"/>
              <w:left w:val="single" w:sz="4" w:color="B7C7BD"/>
              <w:bottom w:val="single" w:sz="4" w:color="B7C7BD"/>
              <w:right w:val="single" w:sz="4" w:color="B7C7BD"/>
            </w:tcBorders>
            <w:shd w:fill="EAF4EE"/>
          </w:tcPr>
          <w:p>
            <w:pPr>
              <w:spacing w:after="0" w:before="0" w:line="240" w:lineRule="auto"/>
            </w:pPr>
            <w:r>
              <w:rPr>
                <w:sz w:val="16"/>
              </w:rPr>
              <w:t>29 July 2026</w:t>
            </w:r>
          </w:p>
        </w:tc>
        <w:tc>
          <w:tcPr>
            <w:tcW w:type="dxa" w:w="2473"/>
            <w:vAlign w:val="center"/>
            <w:tcBorders>
              <w:top w:val="single" w:sz="4" w:color="B7C7BD"/>
              <w:left w:val="single" w:sz="4" w:color="B7C7BD"/>
              <w:bottom w:val="single" w:sz="4" w:color="B7C7BD"/>
              <w:right w:val="single" w:sz="4" w:color="B7C7BD"/>
            </w:tcBorders>
            <w:shd w:fill="EAF4EE"/>
          </w:tcPr>
          <w:p>
            <w:pPr>
              <w:spacing w:after="0" w:before="0" w:line="240" w:lineRule="auto"/>
            </w:pPr>
            <w:r>
              <w:rPr>
                <w:sz w:val="16"/>
              </w:rPr>
              <w:t>Initial shared master-data ownership and responsibility baseline.</w:t>
            </w:r>
          </w:p>
        </w:tc>
        <w:tc>
          <w:tcPr>
            <w:tcW w:type="dxa" w:w="2473"/>
            <w:vAlign w:val="center"/>
            <w:tcBorders>
              <w:top w:val="single" w:sz="4" w:color="B7C7BD"/>
              <w:left w:val="single" w:sz="4" w:color="B7C7BD"/>
              <w:bottom w:val="single" w:sz="4" w:color="B7C7BD"/>
              <w:right w:val="single" w:sz="4" w:color="B7C7BD"/>
            </w:tcBorders>
            <w:shd w:fill="EAF4EE"/>
          </w:tcPr>
          <w:p>
            <w:pPr>
              <w:spacing w:after="0" w:before="0" w:line="240" w:lineRule="auto"/>
            </w:pPr>
            <w:r>
              <w:rPr>
                <w:sz w:val="16"/>
              </w:rPr>
              <w:t>Draft for Review and Approval</w:t>
            </w:r>
          </w:p>
        </w:tc>
      </w:tr>
      <w:tr>
        <w:trPr>
          <w:cantSplit/>
        </w:trPr>
        <w:tc>
          <w:tcPr>
            <w:tcW w:type="dxa" w:w="2473"/>
            <w:vAlign w:val="center"/>
          </w:tcPr>
          <w:p>
            <w:pPr>
              <w:spacing w:before="0" w:after="0" w:line="240" w:lineRule="auto"/>
            </w:pPr>
            <w:r>
              <w:rPr>
                <w:sz w:val="16"/>
              </w:rPr>
            </w:r>
            <w:r>
              <w:rPr>
                <w:b w:val="0"/>
                <w:sz w:val="16"/>
              </w:rPr>
              <w:t>v0.1a</w:t>
            </w:r>
          </w:p>
        </w:tc>
        <w:tc>
          <w:tcPr>
            <w:tcW w:type="dxa" w:w="2473"/>
            <w:vAlign w:val="center"/>
          </w:tcPr>
          <w:p>
            <w:pPr>
              <w:spacing w:before="0" w:after="0" w:line="240" w:lineRule="auto"/>
            </w:pPr>
            <w:r>
              <w:rPr>
                <w:sz w:val="16"/>
              </w:rPr>
            </w:r>
            <w:r>
              <w:rPr>
                <w:b w:val="0"/>
                <w:sz w:val="16"/>
              </w:rPr>
              <w:t>2 August 2026</w:t>
            </w:r>
          </w:p>
        </w:tc>
        <w:tc>
          <w:tcPr>
            <w:tcW w:type="dxa" w:w="2473"/>
            <w:vAlign w:val="center"/>
          </w:tcPr>
          <w:p>
            <w:pPr>
              <w:spacing w:before="0" w:after="0" w:line="240" w:lineRule="auto"/>
            </w:pPr>
            <w:r>
              <w:rPr>
                <w:sz w:val="16"/>
              </w:rPr>
              <w:t>Incorporated approved decisions D01-D05.</w:t>
            </w:r>
          </w:p>
        </w:tc>
        <w:tc>
          <w:tcPr>
            <w:tcW w:type="dxa" w:w="2473"/>
            <w:vAlign w:val="center"/>
          </w:tcPr>
          <w:p>
            <w:pPr>
              <w:spacing w:before="0" w:after="0" w:line="240" w:lineRule="auto"/>
            </w:pPr>
            <w:r>
              <w:rPr>
                <w:sz w:val="16"/>
              </w:rPr>
              <w:t>Approved Baseline</w:t>
            </w:r>
          </w:p>
        </w:tc>
      </w:tr>
    </w:tbl>
    <w:sectPr w:rsidR="00FC693F" w:rsidRPr="0006063C" w:rsidSect="00034616">
      <w:headerReference w:type="default" r:id="rId9"/>
      <w:footerReference w:type="default" r:id="rId10"/>
      <w:pgSz w:w="11909" w:h="16834"/>
      <w:pgMar w:top="1296" w:right="864" w:bottom="720" w:left="1152" w:header="54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UP-SA-04 | Approved Baseline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Barangay iSERVE Unified Platform | UP-SA-04 | v0.1a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6B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679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6B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