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3D"/>
          <w:sz w:val="42"/>
        </w:rPr>
        <w:t>BARANGAY iSERVE</w:t>
      </w:r>
    </w:p>
    <w:p>
      <w:pPr>
        <w:jc w:val="center"/>
      </w:pPr>
      <w:r>
        <w:rPr>
          <w:b/>
          <w:color w:val="17365D"/>
          <w:sz w:val="26"/>
        </w:rPr>
        <w:t>UNIFIED PLATFORM</w:t>
      </w:r>
    </w:p>
    <w:p>
      <w:pPr>
        <w:jc w:val="center"/>
      </w:pPr>
      <w:r>
        <w:rPr>
          <w:b/>
          <w:color w:val="16794A"/>
          <w:sz w:val="24"/>
        </w:rPr>
        <w:t>UP-ARCH-00</w:t>
      </w:r>
    </w:p>
    <w:p>
      <w:pPr>
        <w:pStyle w:val="Title"/>
        <w:jc w:val="center"/>
      </w:pPr>
      <w:r>
        <w:t>Shared Platform System Design and Architecture Memory Register and Decision Log</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Document Control Item</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Value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Version</w:t>
            </w:r>
          </w:p>
        </w:tc>
        <w:tc>
          <w:tcPr>
            <w:tcW w:type="dxa" w:w="4946"/>
            <w:vAlign w:val="center"/>
            <w:tcBorders>
              <w:top w:val="single" w:sz="4" w:color="B7C7BD"/>
              <w:left w:val="single" w:sz="4" w:color="B7C7BD"/>
              <w:bottom w:val="single" w:sz="4" w:color="B7C7BD"/>
              <w:right w:val="single" w:sz="4" w:color="B7C7BD"/>
            </w:tcBorders>
            <w:shd w:fill="EAF4EE"/>
          </w:tcPr>
          <w:p>
            <w:r/>
            <w:r>
              <w:rPr>
                <w:b w:val="0"/>
                <w:sz w:val="18"/>
              </w:rPr>
              <w:t>v0.1a</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Status</w:t>
            </w:r>
          </w:p>
        </w:tc>
        <w:tc>
          <w:tcPr>
            <w:tcW w:type="dxa" w:w="4946"/>
            <w:vAlign w:val="center"/>
            <w:tcBorders>
              <w:top w:val="single" w:sz="4" w:color="B7C7BD"/>
              <w:left w:val="single" w:sz="4" w:color="B7C7BD"/>
              <w:bottom w:val="single" w:sz="4" w:color="B7C7BD"/>
              <w:right w:val="single" w:sz="4" w:color="B7C7BD"/>
            </w:tcBorders>
          </w:tcPr>
          <w:p>
            <w:r/>
            <w:r>
              <w:rPr>
                <w:b w:val="0"/>
                <w:sz w:val="18"/>
              </w:rPr>
              <w:t>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Prepared</w:t>
            </w:r>
          </w:p>
        </w:tc>
        <w:tc>
          <w:tcPr>
            <w:tcW w:type="dxa" w:w="4946"/>
            <w:vAlign w:val="center"/>
            <w:tcBorders>
              <w:top w:val="single" w:sz="4" w:color="B7C7BD"/>
              <w:left w:val="single" w:sz="4" w:color="B7C7BD"/>
              <w:bottom w:val="single" w:sz="4" w:color="B7C7BD"/>
              <w:right w:val="single" w:sz="4" w:color="B7C7BD"/>
            </w:tcBorders>
            <w:shd w:fill="EAF4EE"/>
          </w:tcPr>
          <w:p>
            <w:r/>
            <w:r>
              <w:rPr>
                <w:b w:val="0"/>
                <w:sz w:val="18"/>
              </w:rPr>
              <w:t>2 August 2026</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Program authority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UP-PM-00, UP-PM-01 and UP-PM-02 v0.1a — 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Repository</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dandomser-hub/iserve-unified-platform</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Repository branch</w:t>
            </w:r>
          </w:p>
        </w:tc>
        <w:tc>
          <w:tcPr>
            <w:tcW w:type="dxa" w:w="4946"/>
            <w:vAlign w:val="center"/>
            <w:tcBorders>
              <w:top w:val="single" w:sz="4" w:color="B7C7BD"/>
              <w:left w:val="single" w:sz="4" w:color="B7C7BD"/>
              <w:bottom w:val="single" w:sz="4" w:color="B7C7BD"/>
              <w:right w:val="single" w:sz="4" w:color="B7C7BD"/>
            </w:tcBorders>
          </w:tcPr>
          <w:p>
            <w:r/>
            <w:r>
              <w:rPr>
                <w:b w:val="0"/>
                <w:sz w:val="18"/>
              </w:rPr>
              <w:t>main; updated artifact package not yet committed</w:t>
            </w:r>
          </w:p>
        </w:tc>
      </w:tr>
    </w:tbl>
    <w:p>
      <w:pPr>
        <w:pStyle w:val="Heading2"/>
      </w:pPr>
      <w:r>
        <w:t>CONTROL NOTE</w:t>
      </w:r>
    </w:p>
    <w:p>
      <w:r>
        <w:t>This controlled minor revision records formal approval of UP-ARCH-00. Section 3, Planned Architecture Artifact Register, is an extensible planning baseline and may be expanded, reorganized or supplemented through controlled revision as additional diagrams and architecture artifacts become necessary during analysis, design, implementation, integration, security review, deployment or operational maturation.</w:t>
      </w:r>
    </w:p>
    <w:p>
      <w:pPr>
        <w:pStyle w:val="Heading1"/>
      </w:pPr>
      <w:r>
        <w:t>1. Purpose and Control Function</w:t>
      </w:r>
    </w:p>
    <w:p>
      <w:r>
        <w:t>This register controls Shared Platform architecture decisions, diagrams, technical standards, supersession history, implementation alignment, security/privacy boundaries, integration contracts, deployment direction, and developer/DevOps handoff for the Unified Platform common foundation.</w:t>
      </w:r>
    </w:p>
    <w:p>
      <w:pPr>
        <w:pStyle w:val="Heading1"/>
      </w:pPr>
      <w:r>
        <w:t>2. Locked Architecture Strategy</w:t>
      </w:r>
    </w:p>
    <w:p>
      <w:pPr>
        <w:pStyle w:val="ListBullet"/>
      </w:pPr>
      <w:r>
        <w:t>The MVP is a Laravel modular monolith with logical bounded systems and shared platform modules, not premature microservices.</w:t>
      </w:r>
    </w:p>
    <w:p>
      <w:pPr>
        <w:pStyle w:val="ListBullet"/>
      </w:pPr>
      <w:r>
        <w:t>PostgreSQL is the structured data store; S3-compatible object storage holds templates, attachments, generated outputs, evidence and report packages.</w:t>
      </w:r>
    </w:p>
    <w:p>
      <w:pPr>
        <w:pStyle w:val="ListBullet"/>
      </w:pPr>
      <w:r>
        <w:t>The responsive web application serves the public landing page, authenticated Dashboard, Identity Portal and system workspaces.</w:t>
      </w:r>
    </w:p>
    <w:p>
      <w:pPr>
        <w:pStyle w:val="ListBullet"/>
      </w:pPr>
      <w:r>
        <w:t>Laravel Auth supplies centralized MVP identity; Policies/Gates, middleware and record-level scope enforce authorization; Keycloak is later.</w:t>
      </w:r>
    </w:p>
    <w:p>
      <w:pPr>
        <w:pStyle w:val="ListBullet"/>
      </w:pPr>
      <w:r>
        <w:t>Queues and scheduler handle notifications, report generation, maintenance and integration jobs; append-oriented audit evidence is mandatory.</w:t>
      </w:r>
    </w:p>
    <w:p>
      <w:pPr>
        <w:pStyle w:val="ListBullet"/>
      </w:pPr>
      <w:r>
        <w:t>APIs and internal service contracts are version-ready and authorization-aware. Direct database coupling across bounded systems is prohibited.</w:t>
      </w:r>
    </w:p>
    <w:p>
      <w:pPr>
        <w:pStyle w:val="ListBullet"/>
      </w:pPr>
      <w:r>
        <w:t>Render remains the practical MVP deployment target; GitHub and CI/CD remain the source-control and delivery baseline.</w:t>
      </w:r>
    </w:p>
    <w:p>
      <w:pPr>
        <w:pStyle w:val="Heading1"/>
      </w:pPr>
      <w:r>
        <w:t>3. Planned Architecture Artifact Register</w:t>
      </w:r>
    </w:p>
    <w:p>
      <w:r>
        <w:rPr>
          <w:i/>
        </w:rPr>
        <w:t>Extensibility note: The register below is the approved initial sequence, not an exhaustive closed list. New views may be added through controlled revision when required for traceability, security, data, integration, deployment, operations or implementation handoff.</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Artifact</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Title</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Planned status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UP-ARCH-00</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Architecture Memory Register and Decision Log</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Current draft</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UP-ARCH-01</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Shared Platform Visual Stack Master Map</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Next package</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UP-ARCH-02</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C4 System Landscape Diagram</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Next package</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UP-ARCH-03</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C4 Level 1 System Context Diagram</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Next package</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UP-ARCH-04</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C4 Level 2 Container Diagram</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After context approval</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UP-ARCH-05-A</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Unified Dashboard Component Architecture</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Planned</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UP-ARCH-05-B</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Identity and Access Component Architecture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Planned</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UP-ARCH-05-C</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Shared Platform Services Component Architecture</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Planned</w:t>
            </w:r>
          </w:p>
        </w:tc>
      </w:tr>
    </w:tbl>
    <w:p>
      <w:pPr>
        <w:pStyle w:val="Heading1"/>
      </w:pPr>
      <w:r>
        <w:t>4. Initial Architecture Decisions</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Decision ID</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Decision</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Architectural effect</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Status</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UP-ARCH-D-001</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Keep the systems as bounded modules in one modular monolith for MVP.</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One deployable application with explicit module contracts and isolated responsibilities.</w:t>
            </w:r>
          </w:p>
        </w:tc>
        <w:tc>
          <w:tcPr>
            <w:tcW w:type="dxa" w:w="2473"/>
            <w:vAlign w:val="center"/>
            <w:tcBorders>
              <w:top w:val="single" w:sz="4" w:color="B7C7BD"/>
              <w:left w:val="single" w:sz="4" w:color="B7C7BD"/>
              <w:bottom w:val="single" w:sz="4" w:color="B7C7BD"/>
              <w:right w:val="single" w:sz="4" w:color="B7C7BD"/>
            </w:tcBorders>
            <w:shd w:fill="EAF4EE"/>
          </w:tcPr>
          <w:p>
            <w:r/>
            <w:r>
              <w:rPr>
                <w:b w:val="0"/>
                <w:sz w:val="18"/>
              </w:rPr>
              <w:t>Accepted</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UP-ARCH-D-002</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Use a common Identity module and session.</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One authentication lifecycle; system authorization remains scoped.</w:t>
            </w:r>
          </w:p>
        </w:tc>
        <w:tc>
          <w:tcPr>
            <w:tcW w:type="dxa" w:w="2473"/>
            <w:vAlign w:val="center"/>
            <w:tcBorders>
              <w:top w:val="single" w:sz="4" w:color="B7C7BD"/>
              <w:left w:val="single" w:sz="4" w:color="B7C7BD"/>
              <w:bottom w:val="single" w:sz="4" w:color="B7C7BD"/>
              <w:right w:val="single" w:sz="4" w:color="B7C7BD"/>
            </w:tcBorders>
          </w:tcPr>
          <w:p>
            <w:r/>
            <w:r>
              <w:rPr>
                <w:b w:val="0"/>
                <w:sz w:val="18"/>
              </w:rPr>
              <w:t>Accepted</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UP-ARCH-D-003</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Expose Dashboard data through read models or controlled queries.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Prevents Dashboard from owning transactional state.</w:t>
            </w:r>
          </w:p>
        </w:tc>
        <w:tc>
          <w:tcPr>
            <w:tcW w:type="dxa" w:w="2473"/>
            <w:vAlign w:val="center"/>
            <w:tcBorders>
              <w:top w:val="single" w:sz="4" w:color="B7C7BD"/>
              <w:left w:val="single" w:sz="4" w:color="B7C7BD"/>
              <w:bottom w:val="single" w:sz="4" w:color="B7C7BD"/>
              <w:right w:val="single" w:sz="4" w:color="B7C7BD"/>
            </w:tcBorders>
            <w:shd w:fill="EAF4EE"/>
          </w:tcPr>
          <w:p>
            <w:r/>
            <w:r>
              <w:rPr>
                <w:b w:val="0"/>
                <w:sz w:val="18"/>
              </w:rPr>
              <w:t>Accepted</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UP-ARCH-D-004</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Use shared services for audit, notifications, files, reporting infrastructure and configuration.</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Consistent cross-system controls and reduced duplication.</w:t>
            </w:r>
          </w:p>
        </w:tc>
        <w:tc>
          <w:tcPr>
            <w:tcW w:type="dxa" w:w="2473"/>
            <w:vAlign w:val="center"/>
            <w:tcBorders>
              <w:top w:val="single" w:sz="4" w:color="B7C7BD"/>
              <w:left w:val="single" w:sz="4" w:color="B7C7BD"/>
              <w:bottom w:val="single" w:sz="4" w:color="B7C7BD"/>
              <w:right w:val="single" w:sz="4" w:color="B7C7BD"/>
            </w:tcBorders>
          </w:tcPr>
          <w:p>
            <w:r/>
            <w:r>
              <w:rPr>
                <w:b w:val="0"/>
                <w:sz w:val="18"/>
              </w:rPr>
              <w:t>Accepted</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UP-ARCH-D-005</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Preserve API readiness and domain-event contracts.</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Allows later service separation or external integration without redesigning core semantics.</w:t>
            </w:r>
          </w:p>
        </w:tc>
        <w:tc>
          <w:tcPr>
            <w:tcW w:type="dxa" w:w="2473"/>
            <w:vAlign w:val="center"/>
            <w:tcBorders>
              <w:top w:val="single" w:sz="4" w:color="B7C7BD"/>
              <w:left w:val="single" w:sz="4" w:color="B7C7BD"/>
              <w:bottom w:val="single" w:sz="4" w:color="B7C7BD"/>
              <w:right w:val="single" w:sz="4" w:color="B7C7BD"/>
            </w:tcBorders>
            <w:shd w:fill="EAF4EE"/>
          </w:tcPr>
          <w:p>
            <w:r/>
            <w:r>
              <w:rPr>
                <w:b w:val="0"/>
                <w:sz w:val="18"/>
              </w:rPr>
              <w:t>Accepted</w:t>
            </w:r>
          </w:p>
        </w:tc>
      </w:tr>
      <w:tr>
        <w:tc>
          <w:tcPr>
            <w:tcW w:type="dxa" w:w="2473"/>
            <w:vAlign w:val="center"/>
            <w:tcBorders>
              <w:top w:val="single" w:sz="4" w:color="B7C7BD"/>
              <w:left w:val="single" w:sz="4" w:color="B7C7BD"/>
              <w:bottom w:val="single" w:sz="4" w:color="B7C7BD"/>
              <w:right w:val="single" w:sz="4" w:color="B7C7BD"/>
            </w:tcBorders>
          </w:tcPr>
          <w:p>
            <w:pPr>
              <w:spacing w:after="0"/>
            </w:pPr>
            <w:r>
              <w:rPr>
                <w:sz w:val="19"/>
              </w:rPr>
              <w:t>UP-ARCH-D-006</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Use institutional green master identity with controlled system accents.</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Consistent design system across public and authenticated surfaces.</w:t>
            </w:r>
          </w:p>
        </w:tc>
        <w:tc>
          <w:tcPr>
            <w:tcW w:type="dxa" w:w="2473"/>
            <w:vAlign w:val="center"/>
            <w:tcBorders>
              <w:top w:val="single" w:sz="4" w:color="B7C7BD"/>
              <w:left w:val="single" w:sz="4" w:color="B7C7BD"/>
              <w:bottom w:val="single" w:sz="4" w:color="B7C7BD"/>
              <w:right w:val="single" w:sz="4" w:color="B7C7BD"/>
            </w:tcBorders>
          </w:tcPr>
          <w:p>
            <w:pPr>
              <w:spacing w:after="0"/>
            </w:pPr>
            <w:r>
              <w:rPr>
                <w:sz w:val="19"/>
              </w:rPr>
              <w:t>Approved program baseline</w:t>
            </w:r>
          </w:p>
        </w:tc>
      </w:tr>
    </w:tbl>
    <w:p>
      <w:pPr>
        <w:pStyle w:val="Heading1"/>
      </w:pPr>
      <w:r>
        <w:t>5. Architecture Quality Gates</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Gate</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Requirement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Boundary gate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Every shared capability has a defined owner and prohibited responsibilities.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Security gate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Authentication, authorization, data classification, audit and export controls are explicit.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Data gate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No cross-system data duplication without approved ownership, synchronization and reconciliation design.</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API gate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Contracts identify actor, scope, request/response, errors, idempotency where needed and audit effect.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Operations gate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Environment separation, migrations, secrets, monitoring, backup/restore and rollback are defined.</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Traceability gate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Architecture decisions map to approved analysis requirements and later implementation evidence.</w:t>
            </w:r>
          </w:p>
        </w:tc>
      </w:tr>
    </w:tbl>
    <w:p>
      <w:pPr>
        <w:pStyle w:val="Heading1"/>
      </w:pPr>
      <w:r>
        <w:t>6. Version History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Version</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Date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Change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Status</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v0.1</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29 July 2026</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Initial Shared Platform architecture control baseline.</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Draft for Review and Approval</w:t>
            </w:r>
          </w:p>
        </w:tc>
      </w:tr>
      <w:tr>
        <w:tc>
          <w:tcPr>
            <w:tcW w:type="dxa" w:w="2473"/>
            <w:vAlign w:val="center"/>
          </w:tcPr>
          <w:p>
            <w:r/>
            <w:r>
              <w:rPr>
                <w:b w:val="0"/>
                <w:sz w:val="18"/>
              </w:rPr>
              <w:t>v0.1a</w:t>
            </w:r>
          </w:p>
        </w:tc>
        <w:tc>
          <w:tcPr>
            <w:tcW w:type="dxa" w:w="2473"/>
            <w:vAlign w:val="center"/>
          </w:tcPr>
          <w:p>
            <w:r/>
            <w:r>
              <w:rPr>
                <w:b w:val="0"/>
                <w:sz w:val="18"/>
              </w:rPr>
              <w:t>2 August 2026</w:t>
            </w:r>
          </w:p>
        </w:tc>
        <w:tc>
          <w:tcPr>
            <w:tcW w:type="dxa" w:w="2473"/>
            <w:vAlign w:val="center"/>
          </w:tcPr>
          <w:p>
            <w:r/>
            <w:r>
              <w:rPr>
                <w:b w:val="0"/>
                <w:sz w:val="18"/>
              </w:rPr>
              <w:t>Recorded formal approval and clarified that the planned architecture artifact register is extensible through controlled revision.</w:t>
            </w:r>
          </w:p>
        </w:tc>
        <w:tc>
          <w:tcPr>
            <w:tcW w:type="dxa" w:w="2473"/>
            <w:vAlign w:val="center"/>
          </w:tcPr>
          <w:p>
            <w:r/>
            <w:r>
              <w:rPr>
                <w:b w:val="0"/>
                <w:sz w:val="18"/>
              </w:rPr>
              <w:t>Approved Baseline</w:t>
            </w:r>
          </w:p>
        </w:tc>
      </w:tr>
    </w:tbl>
    <w:sectPr w:rsidR="00FC693F" w:rsidRPr="0006063C" w:rsidSect="00034616">
      <w:headerReference w:type="default" r:id="rId9"/>
      <w:footerReference w:type="default" r:id="rId10"/>
      <w:pgSz w:w="11909" w:h="16834"/>
      <w:pgMar w:top="1296" w:right="864" w:bottom="720" w:left="1152" w:header="54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UP-ARCH-00 | Approved Baseline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Barangay iSERVE Unified Platform | UP-ARCH-00 | v0.1a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6B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7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6B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