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6B3D"/>
          <w:sz w:val="42"/>
        </w:rPr>
        <w:t>BARANGAY iSERVE</w:t>
      </w:r>
    </w:p>
    <w:p>
      <w:pPr>
        <w:jc w:val="center"/>
      </w:pPr>
      <w:r>
        <w:rPr>
          <w:b/>
          <w:color w:val="17365D"/>
          <w:sz w:val="26"/>
        </w:rPr>
        <w:t>UNIFIED PLATFORM</w:t>
      </w:r>
    </w:p>
    <w:p>
      <w:pPr>
        <w:jc w:val="center"/>
      </w:pPr>
      <w:r>
        <w:rPr>
          <w:b/>
          <w:color w:val="16794A"/>
          <w:sz w:val="24"/>
        </w:rPr>
        <w:t>UP-SA-02</w:t>
      </w:r>
    </w:p>
    <w:p>
      <w:pPr>
        <w:pStyle w:val="Title"/>
        <w:jc w:val="center"/>
      </w:pPr>
      <w:r>
        <w:t>Unified Dashboard and System Portal Framework</w:t>
      </w:r>
    </w:p>
    <w:tbl>
      <w:tblPr>
        <w:tblStyle w:val="TableGrid"/>
        <w:tblW w:type="auto" w:w="0"/>
        <w:jc w:val="center"/>
        <w:tblLook w:firstColumn="1" w:firstRow="1" w:lastColumn="0" w:lastRow="0" w:noHBand="0" w:noVBand="1" w:val="04A0"/>
      </w:tblPr>
      <w:tblGrid>
        <w:gridCol w:w="4946"/>
        <w:gridCol w:w="4946"/>
      </w:tblGrid>
      <w:tr>
        <w:tc>
          <w:tcPr>
            <w:tcW w:type="dxa" w:w="4946"/>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Document Control Item</w:t>
            </w:r>
          </w:p>
        </w:tc>
        <w:tc>
          <w:tcPr>
            <w:tcW w:type="dxa" w:w="4946"/>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Value</w:t>
            </w:r>
          </w:p>
        </w:tc>
      </w:tr>
      <w:tr>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Version</w:t>
            </w:r>
          </w:p>
        </w:tc>
        <w:tc>
          <w:tcPr>
            <w:tcW w:type="dxa" w:w="4946"/>
            <w:vAlign w:val="center"/>
            <w:tcBorders>
              <w:top w:val="single" w:sz="4" w:color="B7C7BD"/>
              <w:left w:val="single" w:sz="4" w:color="B7C7BD"/>
              <w:bottom w:val="single" w:sz="4" w:color="B7C7BD"/>
              <w:right w:val="single" w:sz="4" w:color="B7C7BD"/>
            </w:tcBorders>
            <w:shd w:fill="EAF4EE"/>
          </w:tcPr>
          <w:p>
            <w:r>
              <w:t>v0.1a</w:t>
            </w:r>
          </w:p>
        </w:tc>
      </w:tr>
      <w:tr>
        <w:tc>
          <w:tcPr>
            <w:tcW w:type="dxa" w:w="4946"/>
            <w:vAlign w:val="center"/>
            <w:tcBorders>
              <w:top w:val="single" w:sz="4" w:color="B7C7BD"/>
              <w:left w:val="single" w:sz="4" w:color="B7C7BD"/>
              <w:bottom w:val="single" w:sz="4" w:color="B7C7BD"/>
              <w:right w:val="single" w:sz="4" w:color="B7C7BD"/>
            </w:tcBorders>
          </w:tcPr>
          <w:p>
            <w:pPr>
              <w:spacing w:after="0"/>
            </w:pPr>
            <w:r>
              <w:rPr>
                <w:sz w:val="19"/>
              </w:rPr>
              <w:t>Status</w:t>
            </w:r>
          </w:p>
        </w:tc>
        <w:tc>
          <w:tcPr>
            <w:tcW w:type="dxa" w:w="4946"/>
            <w:vAlign w:val="center"/>
            <w:tcBorders>
              <w:top w:val="single" w:sz="4" w:color="B7C7BD"/>
              <w:left w:val="single" w:sz="4" w:color="B7C7BD"/>
              <w:bottom w:val="single" w:sz="4" w:color="B7C7BD"/>
              <w:right w:val="single" w:sz="4" w:color="B7C7BD"/>
            </w:tcBorders>
          </w:tcPr>
          <w:p>
            <w:r>
              <w:t>Approved Baseline</w:t>
            </w:r>
          </w:p>
        </w:tc>
      </w:tr>
      <w:tr>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Prepared</w:t>
            </w:r>
          </w:p>
        </w:tc>
        <w:tc>
          <w:tcPr>
            <w:tcW w:type="dxa" w:w="4946"/>
            <w:vAlign w:val="center"/>
            <w:tcBorders>
              <w:top w:val="single" w:sz="4" w:color="B7C7BD"/>
              <w:left w:val="single" w:sz="4" w:color="B7C7BD"/>
              <w:bottom w:val="single" w:sz="4" w:color="B7C7BD"/>
              <w:right w:val="single" w:sz="4" w:color="B7C7BD"/>
            </w:tcBorders>
            <w:shd w:fill="EAF4EE"/>
          </w:tcPr>
          <w:p>
            <w:r>
              <w:t>2 August 2026</w:t>
            </w:r>
          </w:p>
        </w:tc>
      </w:tr>
      <w:tr>
        <w:tc>
          <w:tcPr>
            <w:tcW w:type="dxa" w:w="4946"/>
            <w:vAlign w:val="center"/>
            <w:tcBorders>
              <w:top w:val="single" w:sz="4" w:color="B7C7BD"/>
              <w:left w:val="single" w:sz="4" w:color="B7C7BD"/>
              <w:bottom w:val="single" w:sz="4" w:color="B7C7BD"/>
              <w:right w:val="single" w:sz="4" w:color="B7C7BD"/>
            </w:tcBorders>
          </w:tcPr>
          <w:p>
            <w:pPr>
              <w:spacing w:after="0"/>
            </w:pPr>
            <w:r>
              <w:rPr>
                <w:sz w:val="19"/>
              </w:rPr>
              <w:t>Program authority</w:t>
            </w:r>
          </w:p>
        </w:tc>
        <w:tc>
          <w:tcPr>
            <w:tcW w:type="dxa" w:w="4946"/>
            <w:vAlign w:val="center"/>
            <w:tcBorders>
              <w:top w:val="single" w:sz="4" w:color="B7C7BD"/>
              <w:left w:val="single" w:sz="4" w:color="B7C7BD"/>
              <w:bottom w:val="single" w:sz="4" w:color="B7C7BD"/>
              <w:right w:val="single" w:sz="4" w:color="B7C7BD"/>
            </w:tcBorders>
          </w:tcPr>
          <w:p>
            <w:pPr>
              <w:spacing w:after="0"/>
            </w:pPr>
            <w:r>
              <w:rPr>
                <w:sz w:val="19"/>
              </w:rPr>
              <w:t>UP-PM-00, UP-PM-01 and UP-PM-02 v0.1a — Approved Baseline</w:t>
            </w:r>
          </w:p>
        </w:tc>
      </w:tr>
      <w:tr>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Repository</w:t>
            </w:r>
          </w:p>
        </w:tc>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dandomser-hub/iserve-unified-platform</w:t>
            </w:r>
          </w:p>
        </w:tc>
      </w:tr>
      <w:tr>
        <w:tc>
          <w:tcPr>
            <w:tcW w:type="dxa" w:w="4946"/>
            <w:vAlign w:val="center"/>
            <w:tcBorders>
              <w:top w:val="single" w:sz="4" w:color="B7C7BD"/>
              <w:left w:val="single" w:sz="4" w:color="B7C7BD"/>
              <w:bottom w:val="single" w:sz="4" w:color="B7C7BD"/>
              <w:right w:val="single" w:sz="4" w:color="B7C7BD"/>
            </w:tcBorders>
          </w:tcPr>
          <w:p>
            <w:pPr>
              <w:spacing w:after="0"/>
            </w:pPr>
            <w:r>
              <w:rPr>
                <w:sz w:val="19"/>
              </w:rPr>
              <w:t>Repository branch</w:t>
            </w:r>
          </w:p>
        </w:tc>
        <w:tc>
          <w:tcPr>
            <w:tcW w:type="dxa" w:w="4946"/>
            <w:vAlign w:val="center"/>
            <w:tcBorders>
              <w:top w:val="single" w:sz="4" w:color="B7C7BD"/>
              <w:left w:val="single" w:sz="4" w:color="B7C7BD"/>
              <w:bottom w:val="single" w:sz="4" w:color="B7C7BD"/>
              <w:right w:val="single" w:sz="4" w:color="B7C7BD"/>
            </w:tcBorders>
          </w:tcPr>
          <w:p>
            <w:r>
              <w:t>main; approved package pending controlled GitHub commit and merge</w:t>
            </w:r>
          </w:p>
        </w:tc>
      </w:tr>
    </w:tbl>
    <w:p>
      <w:pPr>
        <w:pStyle w:val="Heading2"/>
      </w:pPr>
      <w:r>
        <w:t>CONTROL NOTE</w:t>
      </w:r>
    </w:p>
    <w:p>
      <w:r>
        <w:t>This controlled minor revision records formal approval of the artifact as part of Shared Platform Foundation Package 1. It preserves the approved Unified Platform program foundation and Legacy MVP Baseline. It introduces no implementation or runtime change; repository publication remains subject to the controlled GitHub commit and merge gate.</w:t>
      </w:r>
    </w:p>
    <w:p>
      <w:pPr>
        <w:pStyle w:val="Heading1"/>
      </w:pPr>
      <w:r>
        <w:t>1. Purpose</w:t>
      </w:r>
    </w:p>
    <w:p>
      <w:r>
        <w:t>This artifact defines the functional framework for the new Barangay iSERVE landing page and authenticated Unified Dashboard. It specifies public and authenticated states, system launching, role-scoped content, cross-system summaries and boundaries against transactional systems.</w:t>
      </w:r>
    </w:p>
    <w:p>
      <w:pPr>
        <w:pStyle w:val="Heading1"/>
      </w:pPr>
      <w:r>
        <w:t>2. Experience States</w:t>
      </w:r>
    </w:p>
    <w:tbl>
      <w:tblPr>
        <w:tblStyle w:val="TableGrid"/>
        <w:tblW w:type="auto" w:w="0"/>
        <w:jc w:val="center"/>
        <w:tblLook w:firstColumn="1" w:firstRow="1" w:lastColumn="0" w:lastRow="0" w:noHBand="0" w:noVBand="1" w:val="04A0"/>
      </w:tblPr>
      <w:tblGrid>
        <w:gridCol w:w="3298"/>
        <w:gridCol w:w="3298"/>
        <w:gridCol w:w="3298"/>
      </w:tblGrid>
      <w:tr>
        <w:tc>
          <w:tcPr>
            <w:tcW w:type="dxa" w:w="3298"/>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State</w:t>
            </w:r>
          </w:p>
        </w:tc>
        <w:tc>
          <w:tcPr>
            <w:tcW w:type="dxa" w:w="3298"/>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Audience</w:t>
            </w:r>
          </w:p>
        </w:tc>
        <w:tc>
          <w:tcPr>
            <w:tcW w:type="dxa" w:w="3298"/>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Primary content</w:t>
            </w:r>
          </w:p>
        </w:tc>
      </w:tr>
      <w:tr>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Public Landing</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Unauthenticated public</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Barangay identity, approved announcements/advisories, service discovery, document verification and sign-in entry.</w:t>
            </w:r>
          </w:p>
        </w:tc>
      </w:tr>
      <w:tr>
        <w:tc>
          <w:tcPr>
            <w:tcW w:type="dxa" w:w="3298"/>
            <w:vAlign w:val="center"/>
            <w:tcBorders>
              <w:top w:val="single" w:sz="4" w:color="B7C7BD"/>
              <w:left w:val="single" w:sz="4" w:color="B7C7BD"/>
              <w:bottom w:val="single" w:sz="4" w:color="B7C7BD"/>
              <w:right w:val="single" w:sz="4" w:color="B7C7BD"/>
            </w:tcBorders>
          </w:tcPr>
          <w:p>
            <w:pPr>
              <w:spacing w:after="0"/>
            </w:pPr>
            <w:r>
              <w:rPr>
                <w:sz w:val="19"/>
              </w:rPr>
              <w:t>Authentication Entry</w:t>
            </w:r>
          </w:p>
        </w:tc>
        <w:tc>
          <w:tcPr>
            <w:tcW w:type="dxa" w:w="3298"/>
            <w:vAlign w:val="center"/>
            <w:tcBorders>
              <w:top w:val="single" w:sz="4" w:color="B7C7BD"/>
              <w:left w:val="single" w:sz="4" w:color="B7C7BD"/>
              <w:bottom w:val="single" w:sz="4" w:color="B7C7BD"/>
              <w:right w:val="single" w:sz="4" w:color="B7C7BD"/>
            </w:tcBorders>
          </w:tcPr>
          <w:p>
            <w:pPr>
              <w:spacing w:after="0"/>
            </w:pPr>
            <w:r>
              <w:rPr>
                <w:sz w:val="19"/>
              </w:rPr>
              <w:t>Users needing account access</w:t>
            </w:r>
          </w:p>
        </w:tc>
        <w:tc>
          <w:tcPr>
            <w:tcW w:type="dxa" w:w="3298"/>
            <w:vAlign w:val="center"/>
            <w:tcBorders>
              <w:top w:val="single" w:sz="4" w:color="B7C7BD"/>
              <w:left w:val="single" w:sz="4" w:color="B7C7BD"/>
              <w:bottom w:val="single" w:sz="4" w:color="B7C7BD"/>
              <w:right w:val="single" w:sz="4" w:color="B7C7BD"/>
            </w:tcBorders>
          </w:tcPr>
          <w:p>
            <w:pPr>
              <w:spacing w:after="0"/>
            </w:pPr>
            <w:r>
              <w:rPr>
                <w:sz w:val="19"/>
              </w:rPr>
              <w:t>Dedicated Identity Portal using the preserved former auth-page design.</w:t>
            </w:r>
          </w:p>
        </w:tc>
      </w:tr>
      <w:tr>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Authenticated Dashboard</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Authorized users</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System launcher, assigned tasks, pending approvals, alerts, compliance status and approved cross-system indicators.</w:t>
            </w:r>
          </w:p>
        </w:tc>
      </w:tr>
      <w:tr>
        <w:tc>
          <w:tcPr>
            <w:tcW w:type="dxa" w:w="3298"/>
            <w:vAlign w:val="center"/>
            <w:tcBorders>
              <w:top w:val="single" w:sz="4" w:color="B7C7BD"/>
              <w:left w:val="single" w:sz="4" w:color="B7C7BD"/>
              <w:bottom w:val="single" w:sz="4" w:color="B7C7BD"/>
              <w:right w:val="single" w:sz="4" w:color="B7C7BD"/>
            </w:tcBorders>
          </w:tcPr>
          <w:p>
            <w:pPr>
              <w:spacing w:after="0"/>
            </w:pPr>
            <w:r>
              <w:rPr>
                <w:sz w:val="19"/>
              </w:rPr>
              <w:t>System Workspace</w:t>
            </w:r>
          </w:p>
        </w:tc>
        <w:tc>
          <w:tcPr>
            <w:tcW w:type="dxa" w:w="3298"/>
            <w:vAlign w:val="center"/>
            <w:tcBorders>
              <w:top w:val="single" w:sz="4" w:color="B7C7BD"/>
              <w:left w:val="single" w:sz="4" w:color="B7C7BD"/>
              <w:bottom w:val="single" w:sz="4" w:color="B7C7BD"/>
              <w:right w:val="single" w:sz="4" w:color="B7C7BD"/>
            </w:tcBorders>
          </w:tcPr>
          <w:p>
            <w:pPr>
              <w:spacing w:after="0"/>
            </w:pPr>
            <w:r>
              <w:rPr>
                <w:sz w:val="19"/>
              </w:rPr>
              <w:t>Authorized system users</w:t>
            </w:r>
          </w:p>
        </w:tc>
        <w:tc>
          <w:tcPr>
            <w:tcW w:type="dxa" w:w="3298"/>
            <w:vAlign w:val="center"/>
            <w:tcBorders>
              <w:top w:val="single" w:sz="4" w:color="B7C7BD"/>
              <w:left w:val="single" w:sz="4" w:color="B7C7BD"/>
              <w:bottom w:val="single" w:sz="4" w:color="B7C7BD"/>
              <w:right w:val="single" w:sz="4" w:color="B7C7BD"/>
            </w:tcBorders>
          </w:tcPr>
          <w:p>
            <w:pPr>
              <w:spacing w:after="0"/>
            </w:pPr>
            <w:r>
              <w:rPr>
                <w:sz w:val="19"/>
              </w:rPr>
              <w:t>Full system-specific navigation and transactional workflows owned by DRRM, GAD, Governance or Citizens.</w:t>
            </w:r>
          </w:p>
        </w:tc>
      </w:tr>
      <w:tr>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Public Verification</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External verifier</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Minimal validity/reference response only; no resident or source-record exposure.</w:t>
            </w:r>
          </w:p>
        </w:tc>
      </w:tr>
    </w:tbl>
    <w:p>
      <w:pPr>
        <w:pStyle w:val="Heading1"/>
      </w:pPr>
      <w:r>
        <w:t>3. Public Landing Requirements</w:t>
      </w:r>
    </w:p>
    <w:p>
      <w:pPr>
        <w:pStyle w:val="ListBullet"/>
      </w:pPr>
      <w:r>
        <w:t>Display configurable barangay name, seal/branding, contact information and service hours.</w:t>
      </w:r>
    </w:p>
    <w:p>
      <w:pPr>
        <w:pStyle w:val="ListBullet"/>
      </w:pPr>
      <w:r>
        <w:t>Present approved announcements, DRRM advisories, GAD information and public-service links without exposing drafts or internal records.</w:t>
      </w:r>
    </w:p>
    <w:p>
      <w:pPr>
        <w:pStyle w:val="ListBullet"/>
      </w:pPr>
      <w:r>
        <w:t>Provide clear sign-in, service catalog and document-verification entry points.</w:t>
      </w:r>
    </w:p>
    <w:p>
      <w:pPr>
        <w:pStyle w:val="ListBullet"/>
      </w:pPr>
      <w:r>
        <w:t>Be responsive, keyboard-accessible, readable on low-bandwidth devices and compliant with approved visual identity.</w:t>
      </w:r>
    </w:p>
    <w:p>
      <w:pPr>
        <w:pStyle w:val="ListBullet"/>
      </w:pPr>
      <w:r>
        <w:t>Do not show internal metrics, operational DRRM details, resident search, restricted records or administrative controls.</w:t>
      </w:r>
    </w:p>
    <w:p>
      <w:pPr>
        <w:pStyle w:val="Heading1"/>
      </w:pPr>
      <w:r>
        <w:t>4. Authenticated Dashboard Requirements</w:t>
      </w:r>
    </w:p>
    <w:tbl>
      <w:tblPr>
        <w:tblStyle w:val="TableGrid"/>
        <w:tblW w:type="auto" w:w="0"/>
        <w:jc w:val="center"/>
        <w:tblLook w:firstColumn="1" w:firstRow="1" w:lastColumn="0" w:lastRow="0" w:noHBand="0" w:noVBand="1" w:val="04A0"/>
      </w:tblPr>
      <w:tblGrid>
        <w:gridCol w:w="3298"/>
        <w:gridCol w:w="3298"/>
        <w:gridCol w:w="3298"/>
      </w:tblGrid>
      <w:tr>
        <w:tc>
          <w:tcPr>
            <w:tcW w:type="dxa" w:w="3298"/>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Widget family</w:t>
            </w:r>
          </w:p>
        </w:tc>
        <w:tc>
          <w:tcPr>
            <w:tcW w:type="dxa" w:w="3298"/>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Requirement</w:t>
            </w:r>
          </w:p>
        </w:tc>
        <w:tc>
          <w:tcPr>
            <w:tcW w:type="dxa" w:w="3298"/>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Source owner</w:t>
            </w:r>
          </w:p>
        </w:tc>
      </w:tr>
      <w:tr>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System Launcher</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Show only systems and modules authorized for the current user and scope.</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Identity + each system role assignment</w:t>
            </w:r>
          </w:p>
        </w:tc>
      </w:tr>
      <w:tr>
        <w:tc>
          <w:tcPr>
            <w:tcW w:type="dxa" w:w="3298"/>
            <w:vAlign w:val="center"/>
            <w:tcBorders>
              <w:top w:val="single" w:sz="4" w:color="B7C7BD"/>
              <w:left w:val="single" w:sz="4" w:color="B7C7BD"/>
              <w:bottom w:val="single" w:sz="4" w:color="B7C7BD"/>
              <w:right w:val="single" w:sz="4" w:color="B7C7BD"/>
            </w:tcBorders>
          </w:tcPr>
          <w:p>
            <w:pPr>
              <w:spacing w:after="0"/>
            </w:pPr>
            <w:r>
              <w:rPr>
                <w:sz w:val="19"/>
              </w:rPr>
              <w:t>My Tasks</w:t>
            </w:r>
          </w:p>
        </w:tc>
        <w:tc>
          <w:tcPr>
            <w:tcW w:type="dxa" w:w="3298"/>
            <w:vAlign w:val="center"/>
            <w:tcBorders>
              <w:top w:val="single" w:sz="4" w:color="B7C7BD"/>
              <w:left w:val="single" w:sz="4" w:color="B7C7BD"/>
              <w:bottom w:val="single" w:sz="4" w:color="B7C7BD"/>
              <w:right w:val="single" w:sz="4" w:color="B7C7BD"/>
            </w:tcBorders>
          </w:tcPr>
          <w:p>
            <w:pPr>
              <w:spacing w:after="0"/>
            </w:pPr>
            <w:r>
              <w:rPr>
                <w:sz w:val="19"/>
              </w:rPr>
              <w:t>Display assigned, due, returned or escalated workflow tasks.</w:t>
            </w:r>
          </w:p>
        </w:tc>
        <w:tc>
          <w:tcPr>
            <w:tcW w:type="dxa" w:w="3298"/>
            <w:vAlign w:val="center"/>
            <w:tcBorders>
              <w:top w:val="single" w:sz="4" w:color="B7C7BD"/>
              <w:left w:val="single" w:sz="4" w:color="B7C7BD"/>
              <w:bottom w:val="single" w:sz="4" w:color="B7C7BD"/>
              <w:right w:val="single" w:sz="4" w:color="B7C7BD"/>
            </w:tcBorders>
          </w:tcPr>
          <w:p>
            <w:pPr>
              <w:spacing w:after="0"/>
            </w:pPr>
            <w:r>
              <w:rPr>
                <w:sz w:val="19"/>
              </w:rPr>
              <w:t>Owning system workflow service</w:t>
            </w:r>
          </w:p>
        </w:tc>
      </w:tr>
      <w:tr>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Approvals</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Show pending approvals with system, record label, due date and action link.</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Owning system</w:t>
            </w:r>
          </w:p>
        </w:tc>
      </w:tr>
      <w:tr>
        <w:tc>
          <w:tcPr>
            <w:tcW w:type="dxa" w:w="3298"/>
            <w:vAlign w:val="center"/>
            <w:tcBorders>
              <w:top w:val="single" w:sz="4" w:color="B7C7BD"/>
              <w:left w:val="single" w:sz="4" w:color="B7C7BD"/>
              <w:bottom w:val="single" w:sz="4" w:color="B7C7BD"/>
              <w:right w:val="single" w:sz="4" w:color="B7C7BD"/>
            </w:tcBorders>
          </w:tcPr>
          <w:p>
            <w:pPr>
              <w:spacing w:after="0"/>
            </w:pPr>
            <w:r>
              <w:rPr>
                <w:sz w:val="19"/>
              </w:rPr>
              <w:t>Alerts</w:t>
            </w:r>
          </w:p>
        </w:tc>
        <w:tc>
          <w:tcPr>
            <w:tcW w:type="dxa" w:w="3298"/>
            <w:vAlign w:val="center"/>
            <w:tcBorders>
              <w:top w:val="single" w:sz="4" w:color="B7C7BD"/>
              <w:left w:val="single" w:sz="4" w:color="B7C7BD"/>
              <w:bottom w:val="single" w:sz="4" w:color="B7C7BD"/>
              <w:right w:val="single" w:sz="4" w:color="B7C7BD"/>
            </w:tcBorders>
          </w:tcPr>
          <w:p>
            <w:pPr>
              <w:spacing w:after="0"/>
            </w:pPr>
            <w:r>
              <w:rPr>
                <w:sz w:val="19"/>
              </w:rPr>
              <w:t>Show security, operational and approved DRRM alerts according to role.</w:t>
            </w:r>
          </w:p>
        </w:tc>
        <w:tc>
          <w:tcPr>
            <w:tcW w:type="dxa" w:w="3298"/>
            <w:vAlign w:val="center"/>
            <w:tcBorders>
              <w:top w:val="single" w:sz="4" w:color="B7C7BD"/>
              <w:left w:val="single" w:sz="4" w:color="B7C7BD"/>
              <w:bottom w:val="single" w:sz="4" w:color="B7C7BD"/>
              <w:right w:val="single" w:sz="4" w:color="B7C7BD"/>
            </w:tcBorders>
          </w:tcPr>
          <w:p>
            <w:pPr>
              <w:spacing w:after="0"/>
            </w:pPr>
            <w:r>
              <w:rPr>
                <w:sz w:val="19"/>
              </w:rPr>
              <w:t>Shared notifications / DRRM</w:t>
            </w:r>
          </w:p>
        </w:tc>
      </w:tr>
      <w:tr>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Compliance Status</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Show approved status summaries, not editable source data.</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GAD, Governance, DRRM</w:t>
            </w:r>
          </w:p>
        </w:tc>
      </w:tr>
      <w:tr>
        <w:tc>
          <w:tcPr>
            <w:tcW w:type="dxa" w:w="3298"/>
            <w:vAlign w:val="center"/>
            <w:tcBorders>
              <w:top w:val="single" w:sz="4" w:color="B7C7BD"/>
              <w:left w:val="single" w:sz="4" w:color="B7C7BD"/>
              <w:bottom w:val="single" w:sz="4" w:color="B7C7BD"/>
              <w:right w:val="single" w:sz="4" w:color="B7C7BD"/>
            </w:tcBorders>
          </w:tcPr>
          <w:p>
            <w:pPr>
              <w:spacing w:after="0"/>
            </w:pPr>
            <w:r>
              <w:rPr>
                <w:sz w:val="19"/>
              </w:rPr>
              <w:t>Executive Indicators</w:t>
            </w:r>
          </w:p>
        </w:tc>
        <w:tc>
          <w:tcPr>
            <w:tcW w:type="dxa" w:w="3298"/>
            <w:vAlign w:val="center"/>
            <w:tcBorders>
              <w:top w:val="single" w:sz="4" w:color="B7C7BD"/>
              <w:left w:val="single" w:sz="4" w:color="B7C7BD"/>
              <w:bottom w:val="single" w:sz="4" w:color="B7C7BD"/>
              <w:right w:val="single" w:sz="4" w:color="B7C7BD"/>
            </w:tcBorders>
          </w:tcPr>
          <w:p>
            <w:pPr>
              <w:spacing w:after="0"/>
            </w:pPr>
            <w:r>
              <w:rPr>
                <w:sz w:val="19"/>
              </w:rPr>
              <w:t>Use controlled, role-scoped read models with timestamps and drill-down links.</w:t>
            </w:r>
          </w:p>
        </w:tc>
        <w:tc>
          <w:tcPr>
            <w:tcW w:type="dxa" w:w="3298"/>
            <w:vAlign w:val="center"/>
            <w:tcBorders>
              <w:top w:val="single" w:sz="4" w:color="B7C7BD"/>
              <w:left w:val="single" w:sz="4" w:color="B7C7BD"/>
              <w:bottom w:val="single" w:sz="4" w:color="B7C7BD"/>
              <w:right w:val="single" w:sz="4" w:color="B7C7BD"/>
            </w:tcBorders>
          </w:tcPr>
          <w:p>
            <w:pPr>
              <w:spacing w:after="0"/>
            </w:pPr>
            <w:r>
              <w:rPr>
                <w:sz w:val="19"/>
              </w:rPr>
              <w:t>Owning system reports</w:t>
            </w:r>
          </w:p>
        </w:tc>
      </w:tr>
      <w:tr>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Recent Activity</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Show audit-visible actions relevant to the user without leaking restricted data.</w:t>
            </w:r>
          </w:p>
        </w:tc>
        <w:tc>
          <w:tcPr>
            <w:tcW w:type="dxa" w:w="3298"/>
            <w:vAlign w:val="center"/>
            <w:tcBorders>
              <w:top w:val="single" w:sz="4" w:color="B7C7BD"/>
              <w:left w:val="single" w:sz="4" w:color="B7C7BD"/>
              <w:bottom w:val="single" w:sz="4" w:color="B7C7BD"/>
              <w:right w:val="single" w:sz="4" w:color="B7C7BD"/>
            </w:tcBorders>
            <w:shd w:fill="EAF4EE"/>
          </w:tcPr>
          <w:p>
            <w:pPr>
              <w:spacing w:after="0"/>
            </w:pPr>
            <w:r>
              <w:rPr>
                <w:sz w:val="19"/>
              </w:rPr>
              <w:t>Shared audit</w:t>
            </w:r>
          </w:p>
        </w:tc>
      </w:tr>
      <w:tr>
        <w:tc>
          <w:tcPr>
            <w:tcW w:type="dxa" w:w="3298"/>
            <w:vAlign w:val="center"/>
            <w:tcBorders>
              <w:top w:val="single" w:sz="4" w:color="B7C7BD"/>
              <w:left w:val="single" w:sz="4" w:color="B7C7BD"/>
              <w:bottom w:val="single" w:sz="4" w:color="B7C7BD"/>
              <w:right w:val="single" w:sz="4" w:color="B7C7BD"/>
            </w:tcBorders>
          </w:tcPr>
          <w:p>
            <w:pPr>
              <w:spacing w:after="0"/>
            </w:pPr>
            <w:r>
              <w:rPr>
                <w:sz w:val="19"/>
              </w:rPr>
              <w:t>Quick Actions</w:t>
            </w:r>
          </w:p>
        </w:tc>
        <w:tc>
          <w:tcPr>
            <w:tcW w:type="dxa" w:w="3298"/>
            <w:vAlign w:val="center"/>
            <w:tcBorders>
              <w:top w:val="single" w:sz="4" w:color="B7C7BD"/>
              <w:left w:val="single" w:sz="4" w:color="B7C7BD"/>
              <w:bottom w:val="single" w:sz="4" w:color="B7C7BD"/>
              <w:right w:val="single" w:sz="4" w:color="B7C7BD"/>
            </w:tcBorders>
          </w:tcPr>
          <w:p>
            <w:pPr>
              <w:spacing w:after="0"/>
            </w:pPr>
            <w:r>
              <w:rPr>
                <w:sz w:val="19"/>
              </w:rPr>
              <w:t>Offer authorized shortcuts such as create request, register incident or open report.</w:t>
            </w:r>
          </w:p>
        </w:tc>
        <w:tc>
          <w:tcPr>
            <w:tcW w:type="dxa" w:w="3298"/>
            <w:vAlign w:val="center"/>
            <w:tcBorders>
              <w:top w:val="single" w:sz="4" w:color="B7C7BD"/>
              <w:left w:val="single" w:sz="4" w:color="B7C7BD"/>
              <w:bottom w:val="single" w:sz="4" w:color="B7C7BD"/>
              <w:right w:val="single" w:sz="4" w:color="B7C7BD"/>
            </w:tcBorders>
          </w:tcPr>
          <w:p>
            <w:pPr>
              <w:spacing w:after="0"/>
            </w:pPr>
            <w:r>
              <w:rPr>
                <w:sz w:val="19"/>
              </w:rPr>
              <w:t>Owning system permissions</w:t>
            </w:r>
          </w:p>
        </w:tc>
      </w:tr>
    </w:tbl>
    <w:p>
      <w:pPr>
        <w:pStyle w:val="Heading1"/>
      </w:pPr>
      <w:r>
        <w:t>5. Role-Scoped Dashboard Profiles</w:t>
      </w:r>
    </w:p>
    <w:tbl>
      <w:tblPr>
        <w:tblStyle w:val="TableGrid"/>
        <w:tblW w:type="auto" w:w="0"/>
        <w:jc w:val="center"/>
        <w:tblLook w:firstColumn="1" w:firstRow="1" w:lastColumn="0" w:lastRow="0" w:noHBand="0" w:noVBand="1" w:val="04A0"/>
      </w:tblPr>
      <w:tblGrid>
        <w:gridCol w:w="4946"/>
        <w:gridCol w:w="4946"/>
      </w:tblGrid>
      <w:tr>
        <w:tc>
          <w:tcPr>
            <w:tcW w:type="dxa" w:w="4946"/>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Role profile</w:t>
            </w:r>
          </w:p>
        </w:tc>
        <w:tc>
          <w:tcPr>
            <w:tcW w:type="dxa" w:w="4946"/>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Typical dashboard emphasis</w:t>
            </w:r>
          </w:p>
        </w:tc>
      </w:tr>
      <w:tr>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Punong Barangay / Executive</w:t>
            </w:r>
          </w:p>
        </w:tc>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Approvals, compliance, high-level operations, alerts and cross-system indicators.</w:t>
            </w:r>
          </w:p>
        </w:tc>
      </w:tr>
      <w:tr>
        <w:tc>
          <w:tcPr>
            <w:tcW w:type="dxa" w:w="4946"/>
            <w:vAlign w:val="center"/>
            <w:tcBorders>
              <w:top w:val="single" w:sz="4" w:color="B7C7BD"/>
              <w:left w:val="single" w:sz="4" w:color="B7C7BD"/>
              <w:bottom w:val="single" w:sz="4" w:color="B7C7BD"/>
              <w:right w:val="single" w:sz="4" w:color="B7C7BD"/>
            </w:tcBorders>
          </w:tcPr>
          <w:p>
            <w:pPr>
              <w:spacing w:after="0"/>
            </w:pPr>
            <w:r>
              <w:rPr>
                <w:sz w:val="19"/>
              </w:rPr>
              <w:t>Secretary / Core Operations</w:t>
            </w:r>
          </w:p>
        </w:tc>
        <w:tc>
          <w:tcPr>
            <w:tcW w:type="dxa" w:w="4946"/>
            <w:vAlign w:val="center"/>
            <w:tcBorders>
              <w:top w:val="single" w:sz="4" w:color="B7C7BD"/>
              <w:left w:val="single" w:sz="4" w:color="B7C7BD"/>
              <w:bottom w:val="single" w:sz="4" w:color="B7C7BD"/>
              <w:right w:val="single" w:sz="4" w:color="B7C7BD"/>
            </w:tcBorders>
          </w:tcPr>
          <w:p>
            <w:pPr>
              <w:spacing w:after="0"/>
            </w:pPr>
            <w:r>
              <w:rPr>
                <w:sz w:val="19"/>
              </w:rPr>
              <w:t>Resident/document queues, blotter/KP tasks, legislative records and service timing.</w:t>
            </w:r>
          </w:p>
        </w:tc>
      </w:tr>
      <w:tr>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Treasurer</w:t>
            </w:r>
          </w:p>
        </w:tc>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Reference-only collection certification, transparency tasks and approved summaries.</w:t>
            </w:r>
          </w:p>
        </w:tc>
      </w:tr>
      <w:tr>
        <w:tc>
          <w:tcPr>
            <w:tcW w:type="dxa" w:w="4946"/>
            <w:vAlign w:val="center"/>
            <w:tcBorders>
              <w:top w:val="single" w:sz="4" w:color="B7C7BD"/>
              <w:left w:val="single" w:sz="4" w:color="B7C7BD"/>
              <w:bottom w:val="single" w:sz="4" w:color="B7C7BD"/>
              <w:right w:val="single" w:sz="4" w:color="B7C7BD"/>
            </w:tcBorders>
          </w:tcPr>
          <w:p>
            <w:pPr>
              <w:spacing w:after="0"/>
            </w:pPr>
            <w:r>
              <w:rPr>
                <w:sz w:val="19"/>
              </w:rPr>
              <w:t>DRRM Focal</w:t>
            </w:r>
          </w:p>
        </w:tc>
        <w:tc>
          <w:tcPr>
            <w:tcW w:type="dxa" w:w="4946"/>
            <w:vAlign w:val="center"/>
            <w:tcBorders>
              <w:top w:val="single" w:sz="4" w:color="B7C7BD"/>
              <w:left w:val="single" w:sz="4" w:color="B7C7BD"/>
              <w:bottom w:val="single" w:sz="4" w:color="B7C7BD"/>
              <w:right w:val="single" w:sz="4" w:color="B7C7BD"/>
            </w:tcBorders>
          </w:tcPr>
          <w:p>
            <w:pPr>
              <w:spacing w:after="0"/>
            </w:pPr>
            <w:r>
              <w:rPr>
                <w:sz w:val="19"/>
              </w:rPr>
              <w:t>Events, operational periods, reports, evacuation/displacement and resource readiness.</w:t>
            </w:r>
          </w:p>
        </w:tc>
      </w:tr>
      <w:tr>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GAD Focal</w:t>
            </w:r>
          </w:p>
        </w:tc>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GPB/GAD AR status, PPAs, budget use, MOV completeness and deadlines.</w:t>
            </w:r>
          </w:p>
        </w:tc>
      </w:tr>
      <w:tr>
        <w:tc>
          <w:tcPr>
            <w:tcW w:type="dxa" w:w="4946"/>
            <w:vAlign w:val="center"/>
            <w:tcBorders>
              <w:top w:val="single" w:sz="4" w:color="B7C7BD"/>
              <w:left w:val="single" w:sz="4" w:color="B7C7BD"/>
              <w:bottom w:val="single" w:sz="4" w:color="B7C7BD"/>
              <w:right w:val="single" w:sz="4" w:color="B7C7BD"/>
            </w:tcBorders>
          </w:tcPr>
          <w:p>
            <w:pPr>
              <w:spacing w:after="0"/>
            </w:pPr>
            <w:r>
              <w:rPr>
                <w:sz w:val="19"/>
              </w:rPr>
              <w:t>Reviewer / Auditor</w:t>
            </w:r>
          </w:p>
        </w:tc>
        <w:tc>
          <w:tcPr>
            <w:tcW w:type="dxa" w:w="4946"/>
            <w:vAlign w:val="center"/>
            <w:tcBorders>
              <w:top w:val="single" w:sz="4" w:color="B7C7BD"/>
              <w:left w:val="single" w:sz="4" w:color="B7C7BD"/>
              <w:bottom w:val="single" w:sz="4" w:color="B7C7BD"/>
              <w:right w:val="single" w:sz="4" w:color="B7C7BD"/>
            </w:tcBorders>
          </w:tcPr>
          <w:p>
            <w:pPr>
              <w:spacing w:after="0"/>
            </w:pPr>
            <w:r>
              <w:rPr>
                <w:sz w:val="19"/>
              </w:rPr>
              <w:t>Read-only submissions, comments, evidence, audit and exception indicators.</w:t>
            </w:r>
          </w:p>
        </w:tc>
      </w:tr>
      <w:tr>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System Administrator</w:t>
            </w:r>
          </w:p>
        </w:tc>
        <w:tc>
          <w:tcPr>
            <w:tcW w:type="dxa" w:w="4946"/>
            <w:vAlign w:val="center"/>
            <w:tcBorders>
              <w:top w:val="single" w:sz="4" w:color="B7C7BD"/>
              <w:left w:val="single" w:sz="4" w:color="B7C7BD"/>
              <w:bottom w:val="single" w:sz="4" w:color="B7C7BD"/>
              <w:right w:val="single" w:sz="4" w:color="B7C7BD"/>
            </w:tcBorders>
            <w:shd w:fill="EAF4EE"/>
          </w:tcPr>
          <w:p>
            <w:pPr>
              <w:spacing w:after="0"/>
            </w:pPr>
            <w:r>
              <w:rPr>
                <w:sz w:val="19"/>
              </w:rPr>
              <w:t>Accounts, configurations, technical health and security events; no blanket operational access.</w:t>
            </w:r>
          </w:p>
        </w:tc>
      </w:tr>
      <w:tr>
        <w:tc>
          <w:tcPr>
            <w:tcW w:type="dxa" w:w="4946"/>
            <w:vAlign w:val="center"/>
            <w:tcBorders>
              <w:top w:val="single" w:sz="4" w:color="B7C7BD"/>
              <w:left w:val="single" w:sz="4" w:color="B7C7BD"/>
              <w:bottom w:val="single" w:sz="4" w:color="B7C7BD"/>
              <w:right w:val="single" w:sz="4" w:color="B7C7BD"/>
            </w:tcBorders>
          </w:tcPr>
          <w:p>
            <w:pPr>
              <w:spacing w:after="0"/>
            </w:pPr>
            <w:r>
              <w:rPr>
                <w:sz w:val="19"/>
              </w:rPr>
              <w:t>Citizen</w:t>
            </w:r>
          </w:p>
        </w:tc>
        <w:tc>
          <w:tcPr>
            <w:tcW w:type="dxa" w:w="4946"/>
            <w:vAlign w:val="center"/>
            <w:tcBorders>
              <w:top w:val="single" w:sz="4" w:color="B7C7BD"/>
              <w:left w:val="single" w:sz="4" w:color="B7C7BD"/>
              <w:bottom w:val="single" w:sz="4" w:color="B7C7BD"/>
              <w:right w:val="single" w:sz="4" w:color="B7C7BD"/>
            </w:tcBorders>
          </w:tcPr>
          <w:p>
            <w:pPr>
              <w:spacing w:after="0"/>
            </w:pPr>
            <w:r>
              <w:rPr>
                <w:sz w:val="19"/>
              </w:rPr>
              <w:t>Personal requests, notifications, public alerts, participation and verification only.</w:t>
            </w:r>
          </w:p>
        </w:tc>
      </w:tr>
    </w:tbl>
    <w:p>
      <w:pPr>
        <w:pStyle w:val="Heading1"/>
      </w:pPr>
      <w:r>
        <w:t>6. Dashboard Control Rules</w:t>
      </w:r>
    </w:p>
    <w:p>
      <w:pPr>
        <w:pStyle w:val="ListBullet"/>
      </w:pPr>
      <w:r>
        <w:t>Every widget identifies its owning system, refresh timestamp and scope.</w:t>
      </w:r>
    </w:p>
    <w:p>
      <w:pPr>
        <w:pStyle w:val="ListBullet"/>
      </w:pPr>
      <w:r>
        <w:t>Dashboard values are read-only unless an explicit action opens the owning system workflow.</w:t>
      </w:r>
    </w:p>
    <w:p>
      <w:pPr>
        <w:pStyle w:val="ListBullet"/>
      </w:pPr>
      <w:r>
        <w:t>Counts and indicators must reconcile to approved source records and filters.</w:t>
      </w:r>
    </w:p>
    <w:p>
      <w:pPr>
        <w:pStyle w:val="ListBullet"/>
      </w:pPr>
      <w:r>
        <w:t>Empty, loading, stale, unavailable, denied and error states must be designed and tested.</w:t>
      </w:r>
    </w:p>
    <w:p>
      <w:pPr>
        <w:pStyle w:val="ListBullet"/>
      </w:pPr>
      <w:r>
        <w:t>No widget may reveal restricted case details, another citizen account, unauthorized household data or internal security information.</w:t>
      </w:r>
    </w:p>
    <w:p>
      <w:pPr>
        <w:pStyle w:val="ListBullet"/>
      </w:pPr>
      <w:r>
        <w:t>All drill-downs are re-authorized at the target route and record.</w:t>
      </w:r>
    </w:p>
    <w:p>
      <w:pPr>
        <w:pStyle w:val="Heading1"/>
      </w:pPr>
      <w:r>
        <w:t>7. Acceptance Criteria</w:t>
      </w:r>
    </w:p>
    <w:p>
      <w:pPr>
        <w:pStyle w:val="ListBullet"/>
      </w:pPr>
      <w:r>
        <w:t>Public and authenticated experiences are visibly distinct.</w:t>
      </w:r>
    </w:p>
    <w:p>
      <w:pPr>
        <w:pStyle w:val="ListBullet"/>
      </w:pPr>
      <w:r>
        <w:t>Users see only authorized systems, widgets and records.</w:t>
      </w:r>
    </w:p>
    <w:p>
      <w:pPr>
        <w:pStyle w:val="ListBullet"/>
      </w:pPr>
      <w:r>
        <w:t>Every summary has a named source owner and timestamp.</w:t>
      </w:r>
    </w:p>
    <w:p>
      <w:pPr>
        <w:pStyle w:val="ListBullet"/>
      </w:pPr>
      <w:r>
        <w:t>Dashboard actions route to system-owned workflows rather than duplicating them.</w:t>
      </w:r>
    </w:p>
    <w:p>
      <w:pPr>
        <w:pStyle w:val="ListBullet"/>
      </w:pPr>
      <w:r>
        <w:t>Responsive and accessibility behavior is validated for desktop, tablet and mobile layouts.</w:t>
      </w:r>
    </w:p>
    <w:p>
      <w:pPr>
        <w:pStyle w:val="Heading1"/>
      </w:pPr>
      <w:r>
        <w:t>8. Version History</w:t>
      </w:r>
    </w:p>
    <w:tbl>
      <w:tblPr>
        <w:tblStyle w:val="TableGrid"/>
        <w:tblW w:type="auto" w:w="0"/>
        <w:jc w:val="center"/>
        <w:tblLook w:firstColumn="1" w:firstRow="1" w:lastColumn="0" w:lastRow="0" w:noHBand="0" w:noVBand="1" w:val="04A0"/>
      </w:tblPr>
      <w:tblGrid>
        <w:gridCol w:w="2473"/>
        <w:gridCol w:w="2473"/>
        <w:gridCol w:w="2473"/>
        <w:gridCol w:w="2473"/>
      </w:tblGrid>
      <w:tr>
        <w:tc>
          <w:tcPr>
            <w:tcW w:type="dxa" w:w="2473"/>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Version</w:t>
            </w:r>
          </w:p>
        </w:tc>
        <w:tc>
          <w:tcPr>
            <w:tcW w:type="dxa" w:w="2473"/>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Date</w:t>
            </w:r>
          </w:p>
        </w:tc>
        <w:tc>
          <w:tcPr>
            <w:tcW w:type="dxa" w:w="2473"/>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Change</w:t>
            </w:r>
          </w:p>
        </w:tc>
        <w:tc>
          <w:tcPr>
            <w:tcW w:type="dxa" w:w="2473"/>
            <w:vAlign w:val="center"/>
            <w:tcBorders>
              <w:top w:val="single" w:sz="4" w:color="B7C7BD"/>
              <w:left w:val="single" w:sz="4" w:color="B7C7BD"/>
              <w:bottom w:val="single" w:sz="4" w:color="B7C7BD"/>
              <w:right w:val="single" w:sz="4" w:color="B7C7BD"/>
            </w:tcBorders>
            <w:shd w:fill="0F6B3D"/>
          </w:tcPr>
          <w:p>
            <w:pPr>
              <w:spacing w:after="0"/>
              <w:jc w:val="center"/>
            </w:pPr>
            <w:r>
              <w:rPr>
                <w:b/>
                <w:color w:val="FFFFFF"/>
                <w:sz w:val="19"/>
              </w:rPr>
              <w:t>Status</w:t>
            </w:r>
          </w:p>
        </w:tc>
      </w:tr>
      <w:tr>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v0.1</w:t>
            </w:r>
          </w:p>
        </w:tc>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29 July 2026</w:t>
            </w:r>
          </w:p>
        </w:tc>
        <w:tc>
          <w:tcPr>
            <w:tcW w:type="dxa" w:w="2473"/>
            <w:vAlign w:val="center"/>
            <w:tcBorders>
              <w:top w:val="single" w:sz="4" w:color="B7C7BD"/>
              <w:left w:val="single" w:sz="4" w:color="B7C7BD"/>
              <w:bottom w:val="single" w:sz="4" w:color="B7C7BD"/>
              <w:right w:val="single" w:sz="4" w:color="B7C7BD"/>
            </w:tcBorders>
            <w:shd w:fill="EAF4EE"/>
          </w:tcPr>
          <w:p>
            <w:pPr>
              <w:spacing w:after="0"/>
            </w:pPr>
            <w:r>
              <w:rPr>
                <w:sz w:val="19"/>
              </w:rPr>
              <w:t>Initial Unified Dashboard and System Portal framework.</w:t>
            </w:r>
          </w:p>
        </w:tc>
        <w:tc>
          <w:tcPr>
            <w:tcW w:type="dxa" w:w="2473"/>
            <w:vAlign w:val="center"/>
            <w:tcBorders>
              <w:top w:val="single" w:sz="4" w:color="B7C7BD"/>
              <w:left w:val="single" w:sz="4" w:color="B7C7BD"/>
              <w:bottom w:val="single" w:sz="4" w:color="B7C7BD"/>
              <w:right w:val="single" w:sz="4" w:color="B7C7BD"/>
            </w:tcBorders>
            <w:shd w:fill="EAF4EE"/>
          </w:tcPr>
          <w:p>
            <w:r>
              <w:t>Superseded by v0.1a</w:t>
            </w:r>
          </w:p>
        </w:tc>
      </w:tr>
      <w:tr>
        <w:tc>
          <w:tcPr>
            <w:tcW w:type="dxa" w:w="2473"/>
          </w:tcPr>
          <w:p>
            <w:r>
              <w:t>v0.1a</w:t>
            </w:r>
          </w:p>
        </w:tc>
        <w:tc>
          <w:tcPr>
            <w:tcW w:type="dxa" w:w="2473"/>
          </w:tcPr>
          <w:p>
            <w:r>
              <w:t>2 August 2026</w:t>
            </w:r>
          </w:p>
        </w:tc>
        <w:tc>
          <w:tcPr>
            <w:tcW w:type="dxa" w:w="2473"/>
          </w:tcPr>
          <w:p>
            <w:r>
              <w:t>Recorded formal approval; no substantive functional change.</w:t>
            </w:r>
          </w:p>
        </w:tc>
        <w:tc>
          <w:tcPr>
            <w:tcW w:type="dxa" w:w="2473"/>
          </w:tcPr>
          <w:p>
            <w:r>
              <w:t>Approved Baseline</w:t>
            </w:r>
          </w:p>
        </w:tc>
      </w:tr>
    </w:tbl>
    <w:sectPr w:rsidR="00FC693F" w:rsidRPr="0006063C" w:rsidSect="00034616">
      <w:headerReference w:type="default" r:id="rId9"/>
      <w:footerReference w:type="default" r:id="rId10"/>
      <w:pgSz w:w="11909" w:h="16834"/>
      <w:pgMar w:top="1296" w:right="864" w:bottom="720" w:left="1152" w:header="547"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UP-SA-02 | Approved Baseline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Barangay iSERVE Unified Platform | UP-SA-02 | v0.1a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F6B3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679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F6B3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