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1F3A5F"/>
          <w:sz w:val="72"/>
          <w:szCs w:val="72"/>
        </w:rPr>
        <w:t xml:space="preserve">AI DevSchool</w:t>
      </w:r>
    </w:p>
    <w:p>
      <w:pPr>
        <w:spacing w:after="0" w:before="160"/>
        <w:jc w:val="center"/>
      </w:pPr>
      <w:r>
        <w:rPr>
          <w:rFonts w:ascii="Arial" w:cs="Arial" w:eastAsia="Arial" w:hAnsi="Arial"/>
          <w:color w:val="2E6DA4"/>
          <w:sz w:val="36"/>
          <w:szCs w:val="36"/>
        </w:rPr>
        <w:t xml:space="preserve">Ecosystem Overview</w:t>
      </w:r>
    </w:p>
    <w:p>
      <w:pPr>
        <w:spacing w:after="0" w:before="120"/>
        <w:jc w:val="center"/>
      </w:pPr>
      <w:r>
        <w:rPr>
          <w:i/>
          <w:iCs/>
          <w:color w:val="555555"/>
          <w:sz w:val="24"/>
          <w:szCs w:val="24"/>
        </w:rPr>
        <w:t xml:space="preserve">A continuous, multi-agent software-engineering school</w:t>
      </w:r>
    </w:p>
    <w:p>
      <w:pPr>
        <w:spacing w:after="0" w:before="2000"/>
        <w:jc w:val="center"/>
      </w:pPr>
      <w:r>
        <w:rPr>
          <w:color w:val="555555"/>
          <w:sz w:val="20"/>
          <w:szCs w:val="20"/>
        </w:rPr>
        <w:t xml:space="preserve">Standalone companion to the in-repo handbook (docs/handbook/)</w:t>
      </w:r>
    </w:p>
    <w:p>
      <w:pPr>
        <w:spacing w:after="0" w:before="120"/>
        <w:jc w:val="center"/>
      </w:pPr>
      <w:r>
        <w:rPr>
          <w:color w:val="555555"/>
          <w:sz w:val="20"/>
          <w:szCs w:val="20"/>
        </w:rPr>
        <w:t xml:space="preserve">Generated 2026-06-28 · from a full read of the codebase</w:t>
      </w:r>
    </w:p>
    <w:p>
      <w:r>
        <w:br w:type="page"/>
      </w:r>
    </w:p>
    <w:p>
      <w:pPr>
        <w:pStyle w:val="Heading1"/>
      </w:pPr>
      <w:r>
        <w:t xml:space="preserve">Contents</w:t>
      </w:r>
    </w:p>
    <w:p>
      <w:pPr>
        <w:tabs>
          <w:tab w:val="right" w:pos="9360" w:leader="dot"/>
        </w:tabs>
        <w:spacing w:after="80"/>
      </w:pPr>
      <w:r>
        <w:rPr>
          <w:b/>
          <w:bCs/>
          <w:color w:val="1F3A5F"/>
          <w:sz w:val="22"/>
          <w:szCs w:val="22"/>
        </w:rPr>
        <w:t xml:space="preserve">1.  What AI DevSchool is</w:t>
      </w:r>
      <w:r>
        <w:rPr>
          <w:color w:val="555555"/>
          <w:sz w:val="22"/>
          <w:szCs w:val="22"/>
        </w:rPr>
        <w:t xml:space="preserve">	3</w:t>
      </w:r>
    </w:p>
    <w:p>
      <w:pPr>
        <w:tabs>
          <w:tab w:val="right" w:pos="9360" w:leader="dot"/>
        </w:tabs>
        <w:spacing w:after="80"/>
      </w:pPr>
      <w:r>
        <w:rPr>
          <w:b/>
          <w:bCs/>
          <w:color w:val="1F3A5F"/>
          <w:sz w:val="22"/>
          <w:szCs w:val="22"/>
        </w:rPr>
        <w:t xml:space="preserve">2.  The five golden rules</w:t>
      </w:r>
      <w:r>
        <w:rPr>
          <w:color w:val="555555"/>
          <w:sz w:val="22"/>
          <w:szCs w:val="22"/>
        </w:rPr>
        <w:t xml:space="preserve">	3</w:t>
      </w:r>
    </w:p>
    <w:p>
      <w:pPr>
        <w:tabs>
          <w:tab w:val="right" w:pos="9360" w:leader="dot"/>
        </w:tabs>
        <w:spacing w:after="80"/>
      </w:pPr>
      <w:r>
        <w:rPr>
          <w:b/>
          <w:bCs/>
          <w:color w:val="1F3A5F"/>
          <w:sz w:val="22"/>
          <w:szCs w:val="22"/>
        </w:rPr>
        <w:t xml:space="preserve">3.  Architecture at a glance</w:t>
      </w:r>
      <w:r>
        <w:rPr>
          <w:color w:val="555555"/>
          <w:sz w:val="22"/>
          <w:szCs w:val="22"/>
        </w:rPr>
        <w:t xml:space="preserve">	3</w:t>
      </w:r>
    </w:p>
    <w:p>
      <w:pPr>
        <w:tabs>
          <w:tab w:val="right" w:pos="9360" w:leader="dot"/>
        </w:tabs>
        <w:spacing w:after="40"/>
        <w:ind w:left="360"/>
      </w:pPr>
      <w:r>
        <w:rPr>
          <w:b w:val="false"/>
          <w:bCs w:val="false"/>
          <w:sz w:val="22"/>
          <w:szCs w:val="22"/>
        </w:rPr>
        <w:t xml:space="preserve">3.1  The four engines</w:t>
      </w:r>
      <w:r>
        <w:rPr>
          <w:color w:val="555555"/>
          <w:sz w:val="22"/>
          <w:szCs w:val="22"/>
        </w:rPr>
        <w:t xml:space="preserve">	4</w:t>
      </w:r>
    </w:p>
    <w:p>
      <w:pPr>
        <w:tabs>
          <w:tab w:val="right" w:pos="9360" w:leader="dot"/>
        </w:tabs>
        <w:spacing w:after="80"/>
      </w:pPr>
      <w:r>
        <w:rPr>
          <w:b/>
          <w:bCs/>
          <w:color w:val="1F3A5F"/>
          <w:sz w:val="22"/>
          <w:szCs w:val="22"/>
        </w:rPr>
        <w:t xml:space="preserve">4.  The two interlocking loops</w:t>
      </w:r>
      <w:r>
        <w:rPr>
          <w:color w:val="555555"/>
          <w:sz w:val="22"/>
          <w:szCs w:val="22"/>
        </w:rPr>
        <w:t xml:space="preserve">	5</w:t>
      </w:r>
    </w:p>
    <w:p>
      <w:pPr>
        <w:tabs>
          <w:tab w:val="right" w:pos="9360" w:leader="dot"/>
        </w:tabs>
        <w:spacing w:after="40"/>
        <w:ind w:left="360"/>
      </w:pPr>
      <w:r>
        <w:rPr>
          <w:b w:val="false"/>
          <w:bCs w:val="false"/>
          <w:sz w:val="22"/>
          <w:szCs w:val="22"/>
        </w:rPr>
        <w:t xml:space="preserve">4.1  The software cycle — 5 phases</w:t>
      </w:r>
      <w:r>
        <w:rPr>
          <w:color w:val="555555"/>
          <w:sz w:val="22"/>
          <w:szCs w:val="22"/>
        </w:rPr>
        <w:t xml:space="preserve">	5</w:t>
      </w:r>
    </w:p>
    <w:p>
      <w:pPr>
        <w:tabs>
          <w:tab w:val="right" w:pos="9360" w:leader="dot"/>
        </w:tabs>
        <w:spacing w:after="40"/>
        <w:ind w:left="360"/>
      </w:pPr>
      <w:r>
        <w:rPr>
          <w:b w:val="false"/>
          <w:bCs w:val="false"/>
          <w:sz w:val="22"/>
          <w:szCs w:val="22"/>
        </w:rPr>
        <w:t xml:space="preserve">4.2  The learning gate — per unit</w:t>
      </w:r>
      <w:r>
        <w:rPr>
          <w:color w:val="555555"/>
          <w:sz w:val="22"/>
          <w:szCs w:val="22"/>
        </w:rPr>
        <w:t xml:space="preserve">	5</w:t>
      </w:r>
    </w:p>
    <w:p>
      <w:pPr>
        <w:tabs>
          <w:tab w:val="right" w:pos="9360" w:leader="dot"/>
        </w:tabs>
        <w:spacing w:after="80"/>
      </w:pPr>
      <w:r>
        <w:rPr>
          <w:b/>
          <w:bCs/>
          <w:color w:val="1F3A5F"/>
          <w:sz w:val="22"/>
          <w:szCs w:val="22"/>
        </w:rPr>
        <w:t xml:space="preserve">5.  The empirical gates</w:t>
      </w:r>
      <w:r>
        <w:rPr>
          <w:color w:val="555555"/>
          <w:sz w:val="22"/>
          <w:szCs w:val="22"/>
        </w:rPr>
        <w:t xml:space="preserve">	5</w:t>
      </w:r>
    </w:p>
    <w:p>
      <w:pPr>
        <w:tabs>
          <w:tab w:val="right" w:pos="9360" w:leader="dot"/>
        </w:tabs>
        <w:spacing w:after="80"/>
      </w:pPr>
      <w:r>
        <w:rPr>
          <w:b/>
          <w:bCs/>
          <w:color w:val="1F3A5F"/>
          <w:sz w:val="22"/>
          <w:szCs w:val="22"/>
        </w:rPr>
        <w:t xml:space="preserve">6.  The engines in detail</w:t>
      </w:r>
      <w:r>
        <w:rPr>
          <w:color w:val="555555"/>
          <w:sz w:val="22"/>
          <w:szCs w:val="22"/>
        </w:rPr>
        <w:t xml:space="preserve">	7</w:t>
      </w:r>
    </w:p>
    <w:p>
      <w:pPr>
        <w:tabs>
          <w:tab w:val="right" w:pos="9360" w:leader="dot"/>
        </w:tabs>
        <w:spacing w:after="40"/>
        <w:ind w:left="360"/>
      </w:pPr>
      <w:r>
        <w:rPr>
          <w:b w:val="false"/>
          <w:bCs w:val="false"/>
          <w:sz w:val="22"/>
          <w:szCs w:val="22"/>
        </w:rPr>
        <w:t xml:space="preserve">6.1  codexDojo — the dashboard</w:t>
      </w:r>
      <w:r>
        <w:rPr>
          <w:color w:val="555555"/>
          <w:sz w:val="22"/>
          <w:szCs w:val="22"/>
        </w:rPr>
        <w:t xml:space="preserve">	7</w:t>
      </w:r>
    </w:p>
    <w:p>
      <w:pPr>
        <w:tabs>
          <w:tab w:val="right" w:pos="9360" w:leader="dot"/>
        </w:tabs>
        <w:spacing w:after="40"/>
        <w:ind w:left="360"/>
      </w:pPr>
      <w:r>
        <w:rPr>
          <w:b w:val="false"/>
          <w:bCs w:val="false"/>
          <w:sz w:val="22"/>
          <w:szCs w:val="22"/>
        </w:rPr>
        <w:t xml:space="preserve">6.2  pixelDojo — the teaching game</w:t>
      </w:r>
      <w:r>
        <w:rPr>
          <w:color w:val="555555"/>
          <w:sz w:val="22"/>
          <w:szCs w:val="22"/>
        </w:rPr>
        <w:t xml:space="preserve">	7</w:t>
      </w:r>
    </w:p>
    <w:p>
      <w:pPr>
        <w:tabs>
          <w:tab w:val="right" w:pos="9360" w:leader="dot"/>
        </w:tabs>
        <w:spacing w:after="40"/>
        <w:ind w:left="360"/>
      </w:pPr>
      <w:r>
        <w:rPr>
          <w:b w:val="false"/>
          <w:bCs w:val="false"/>
          <w:sz w:val="22"/>
          <w:szCs w:val="22"/>
        </w:rPr>
        <w:t xml:space="preserve">6.3  minimaxDojo — the 14-agent tutoring core</w:t>
      </w:r>
      <w:r>
        <w:rPr>
          <w:color w:val="555555"/>
          <w:sz w:val="22"/>
          <w:szCs w:val="22"/>
        </w:rPr>
        <w:t xml:space="preserve">	7</w:t>
      </w:r>
    </w:p>
    <w:p>
      <w:pPr>
        <w:tabs>
          <w:tab w:val="right" w:pos="9360" w:leader="dot"/>
        </w:tabs>
        <w:spacing w:after="40"/>
        <w:ind w:left="360"/>
      </w:pPr>
      <w:r>
        <w:rPr>
          <w:b w:val="false"/>
          <w:bCs w:val="false"/>
          <w:sz w:val="22"/>
          <w:szCs w:val="22"/>
        </w:rPr>
        <w:t xml:space="preserve">6.4  miniMaxEvolutionEngine — the Claude Code motor</w:t>
      </w:r>
      <w:r>
        <w:rPr>
          <w:color w:val="555555"/>
          <w:sz w:val="22"/>
          <w:szCs w:val="22"/>
        </w:rPr>
        <w:t xml:space="preserve">	8</w:t>
      </w:r>
    </w:p>
    <w:p>
      <w:pPr>
        <w:tabs>
          <w:tab w:val="right" w:pos="9360" w:leader="dot"/>
        </w:tabs>
        <w:spacing w:after="80"/>
      </w:pPr>
      <w:r>
        <w:rPr>
          <w:b/>
          <w:bCs/>
          <w:color w:val="1F3A5F"/>
          <w:sz w:val="22"/>
          <w:szCs w:val="22"/>
        </w:rPr>
        <w:t xml:space="preserve">7.  The curriculum</w:t>
      </w:r>
      <w:r>
        <w:rPr>
          <w:color w:val="555555"/>
          <w:sz w:val="22"/>
          <w:szCs w:val="22"/>
        </w:rPr>
        <w:t xml:space="preserve">	9</w:t>
      </w:r>
    </w:p>
    <w:p>
      <w:pPr>
        <w:tabs>
          <w:tab w:val="right" w:pos="9360" w:leader="dot"/>
        </w:tabs>
        <w:spacing w:after="80"/>
      </w:pPr>
      <w:r>
        <w:rPr>
          <w:b/>
          <w:bCs/>
          <w:color w:val="1F3A5F"/>
          <w:sz w:val="22"/>
          <w:szCs w:val="22"/>
        </w:rPr>
        <w:t xml:space="preserve">8.  The learner substrate and data flow</w:t>
      </w:r>
      <w:r>
        <w:rPr>
          <w:color w:val="555555"/>
          <w:sz w:val="22"/>
          <w:szCs w:val="22"/>
        </w:rPr>
        <w:t xml:space="preserve">	9</w:t>
      </w:r>
    </w:p>
    <w:p>
      <w:pPr>
        <w:tabs>
          <w:tab w:val="right" w:pos="9360" w:leader="dot"/>
        </w:tabs>
        <w:spacing w:after="80"/>
      </w:pPr>
      <w:r>
        <w:rPr>
          <w:b/>
          <w:bCs/>
          <w:color w:val="1F3A5F"/>
          <w:sz w:val="22"/>
          <w:szCs w:val="22"/>
        </w:rPr>
        <w:t xml:space="preserve">9.  The day-to-day workflow</w:t>
      </w:r>
      <w:r>
        <w:rPr>
          <w:color w:val="555555"/>
          <w:sz w:val="22"/>
          <w:szCs w:val="22"/>
        </w:rPr>
        <w:t xml:space="preserve">	10</w:t>
      </w:r>
    </w:p>
    <w:p>
      <w:pPr>
        <w:tabs>
          <w:tab w:val="right" w:pos="9360" w:leader="dot"/>
        </w:tabs>
        <w:spacing w:after="80"/>
      </w:pPr>
      <w:r>
        <w:rPr>
          <w:b/>
          <w:bCs/>
          <w:color w:val="1F3A5F"/>
          <w:sz w:val="22"/>
          <w:szCs w:val="22"/>
        </w:rPr>
        <w:t xml:space="preserve">10.  Where to go next</w:t>
      </w:r>
      <w:r>
        <w:rPr>
          <w:color w:val="555555"/>
          <w:sz w:val="22"/>
          <w:szCs w:val="22"/>
        </w:rPr>
        <w:t xml:space="preserve">	10</w:t>
      </w:r>
    </w:p>
    <w:p>
      <w:r>
        <w:br w:type="page"/>
      </w:r>
    </w:p>
    <w:p>
      <w:pPr>
        <w:pStyle w:val="Heading1"/>
      </w:pPr>
      <w:r>
        <w:t xml:space="preserve">1. What AI DevSchool is</w:t>
      </w:r>
    </w:p>
    <w:p>
      <w:pPr>
        <w:spacing w:after="140" w:line="276"/>
      </w:pPr>
      <w:r>
        <w:t xml:space="preserve">AI DevSchool (the aidevschool repository) is a continuous, multi-agent software-engineering school. Its job is to take one learner from “I program, but my code isn’t robust” to “I write, review, and verify professional-quality code autonomously” — without creating dependency on the AI.</w:t>
      </w:r>
    </w:p>
    <w:p>
      <w:pPr>
        <w:spacing w:after="140" w:line="276"/>
      </w:pPr>
      <w:r>
        <w:t xml:space="preserve">It does this by having the learner build real projects, test them, review them, compare languages, measure outcomes, and update a living learning plan — all driven by a team of AI agents that </w:t>
      </w:r>
      <w:r>
        <w:rPr>
          <w:b/>
          <w:bCs/>
        </w:rPr>
        <w:t xml:space="preserve">propose</w:t>
      </w:r>
      <w:r>
        <w:t xml:space="preserve">, while a deterministic state machine and executable gates </w:t>
      </w:r>
      <w:r>
        <w:rPr>
          <w:b/>
          <w:bCs/>
        </w:rPr>
        <w:t xml:space="preserve">dispose</w:t>
      </w:r>
      <w:r>
        <w:t xml:space="preserve">.</w:t>
      </w:r>
    </w:p>
    <w:p>
      <w:pPr>
        <w:spacing w:after="140" w:line="276"/>
      </w:pPr>
      <w:r>
        <w:rPr>
          <w:b/>
          <w:bCs/>
        </w:rPr>
        <w:t xml:space="preserve">Guiding principle: </w:t>
      </w:r>
      <w:r>
        <w:t xml:space="preserve">one learner, one curriculum, many engines.</w:t>
      </w:r>
    </w:p>
    <w:p>
      <w:pPr>
        <w:spacing w:after="60"/>
      </w:pPr>
    </w:p>
    <w:p>
      <w:pPr>
        <w:pBdr>
          <w:left w:val="single" w:color="D9A441" w:sz="18" w:space="12"/>
        </w:pBdr>
        <w:shd w:fill="FBF3D5" w:val="clear"/>
        <w:spacing w:after="160" w:before="80" w:line="290"/>
      </w:pPr>
      <w:r>
        <w:rPr>
          <w:b/>
          <w:bCs/>
        </w:rPr>
        <w:t xml:space="preserve">The one rule everything follows.  </w:t>
      </w:r>
      <w:r>
        <w:t xml:space="preserve">Completion certainty never lives in the language model. A concept is marked </w:t>
      </w:r>
      <w:r>
        <w:rPr>
          <w:rFonts w:ascii="Consolas" w:cs="Consolas" w:eastAsia="Consolas" w:hAnsi="Consolas"/>
          <w:sz w:val="20"/>
          <w:szCs w:val="20"/>
        </w:rPr>
        <w:t xml:space="preserve">mastered</w:t>
      </w:r>
      <w:r>
        <w:t xml:space="preserve"> only after the learner attempts it AND a separate verifier produces executable evidence. No amount of explanation, review, or shipped code shortcuts this.</w:t>
      </w:r>
    </w:p>
    <w:p>
      <w:pPr>
        <w:spacing w:after="140" w:line="276"/>
      </w:pPr>
      <w:r>
        <w:t xml:space="preserve">The repository root is an ecosystem umbrella, not a single application. There is no root package.json; you never run npm install or pnpm install at the root. Each engine is installed and run on its own.</w:t>
      </w:r>
    </w:p>
    <w:p>
      <w:pPr>
        <w:pStyle w:val="Heading1"/>
      </w:pPr>
      <w:r>
        <w:t xml:space="preserve">2. The five golden rules</w:t>
      </w:r>
    </w:p>
    <w:p>
      <w:pPr>
        <w:pStyle w:val="ListParagraph"/>
        <w:numPr>
          <w:ilvl w:val="0"/>
          <w:numId w:val="2"/>
        </w:numPr>
        <w:spacing w:after="60" w:line="270"/>
      </w:pPr>
      <w:r>
        <w:rPr>
          <w:b/>
          <w:bCs/>
        </w:rPr>
        <w:t xml:space="preserve">Learning gate. </w:t>
      </w:r>
      <w:r>
        <w:t xml:space="preserve">The learner attempts and is evaluated with executable evidence before the AI marks anything mastered.</w:t>
      </w:r>
    </w:p>
    <w:p>
      <w:pPr>
        <w:pStyle w:val="ListParagraph"/>
        <w:numPr>
          <w:ilvl w:val="0"/>
          <w:numId w:val="2"/>
        </w:numPr>
        <w:spacing w:after="60" w:line="270"/>
      </w:pPr>
      <w:r>
        <w:rPr>
          <w:b/>
          <w:bCs/>
        </w:rPr>
        <w:t xml:space="preserve">Producer ≠ verifier. </w:t>
      </w:r>
      <w:r>
        <w:t xml:space="preserve">Nothing verifies its own output; the verifier works from an isolated context.</w:t>
      </w:r>
    </w:p>
    <w:p>
      <w:pPr>
        <w:pStyle w:val="ListParagraph"/>
        <w:numPr>
          <w:ilvl w:val="0"/>
          <w:numId w:val="2"/>
        </w:numPr>
        <w:spacing w:after="60" w:line="270"/>
      </w:pPr>
      <w:r>
        <w:rPr>
          <w:b/>
          <w:bCs/>
        </w:rPr>
        <w:t xml:space="preserve">No claims without evidence. </w:t>
      </w:r>
      <w:r>
        <w:t xml:space="preserve">Mastery, parity, benchmark superiority, and robustness all require executable proof.</w:t>
      </w:r>
    </w:p>
    <w:p>
      <w:pPr>
        <w:pStyle w:val="ListParagraph"/>
        <w:numPr>
          <w:ilvl w:val="0"/>
          <w:numId w:val="2"/>
        </w:numPr>
        <w:spacing w:after="60" w:line="270"/>
      </w:pPr>
      <w:r>
        <w:rPr>
          <w:b/>
          <w:bCs/>
        </w:rPr>
        <w:t xml:space="preserve">The filesystem is the source of truth. </w:t>
      </w:r>
      <w:r>
        <w:t xml:space="preserve">State is auditable Markdown, YAML, and NDJSON. There is no database.</w:t>
      </w:r>
    </w:p>
    <w:p>
      <w:pPr>
        <w:pStyle w:val="ListParagraph"/>
        <w:numPr>
          <w:ilvl w:val="0"/>
          <w:numId w:val="2"/>
        </w:numPr>
        <w:spacing w:after="60" w:line="270"/>
      </w:pPr>
      <w:r>
        <w:rPr>
          <w:b/>
          <w:bCs/>
        </w:rPr>
        <w:t xml:space="preserve">Simplify before commit. </w:t>
      </w:r>
      <w:r>
        <w:t xml:space="preserve">Run /simplify on the diff, apply the recommendations, then commit.</w:t>
      </w:r>
    </w:p>
    <w:p>
      <w:pPr>
        <w:pStyle w:val="Heading1"/>
      </w:pPr>
      <w:r>
        <w:t xml:space="preserve">3. Architecture at a glance</w:t>
      </w:r>
    </w:p>
    <w:p>
      <w:pPr>
        <w:spacing w:after="140" w:line="276"/>
      </w:pPr>
      <w:r>
        <w:t xml:space="preserve">The ecosystem is layered. A product surface (the apps a human touches) sits on top of an orchestration layer (the agent logic), which sits on a shared substrate (the single source of truth). The filesystem underpins all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Layer</w:t>
            </w:r>
          </w:p>
        </w:tc>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Members</w:t>
            </w:r>
          </w:p>
        </w:tc>
        <w:tc>
          <w:tcPr>
            <w:tcW w:type="dxa" w:w="4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Responsibility</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Product surface</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codexDojo, pixelDojo</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What a human sees and touches. Both render learner state read-only; neither marks mastery.</w:t>
            </w:r>
          </w:p>
        </w:tc>
      </w:tr>
      <w:tr>
        <w:tc>
          <w:tcPr>
            <w:tcW w:type="dxa" w:w="22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Orchestration / tutoring</w:t>
            </w:r>
          </w:p>
        </w:tc>
        <w:tc>
          <w:tcPr>
            <w:tcW w:type="dxa" w:w="26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miniMaxEvolutionEngine, minimaxDojo</w:t>
            </w:r>
          </w:p>
        </w:tc>
        <w:tc>
          <w:tcPr>
            <w:tcW w:type="dxa" w:w="45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The agent logic: the 5-phase software loop and the learning gate. One is a runnable Claude Code motor; the other is the prompt/spec rendering of the same protocol.</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Shared substrate</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learner/, curriculum/</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The single source of truth. Canonical state in human-readable files; derived views regenerated from it.</w:t>
            </w:r>
          </w:p>
        </w:tc>
      </w:tr>
    </w:tbl>
    <w:p>
      <w:pPr>
        <w:spacing w:after="60"/>
      </w:pPr>
    </w:p>
    <w:p>
      <w:pPr>
        <w:pStyle w:val="Heading2"/>
      </w:pPr>
      <w:r>
        <w:t xml:space="preserve">3.1 The four engines</w:t>
      </w:r>
    </w:p>
    <w:p>
      <w:pPr>
        <w:spacing w:after="140" w:line="276"/>
      </w:pPr>
      <w:r>
        <w:t xml:space="preserve">Each engine is a separate project. Two are runnable apps; two are agent cores. They share one curriculum and one learner — never duplicated, only referenced via symlinks or root-relative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5160"/>
      </w:tblGrid>
      <w:tr>
        <w:trPr>
          <w:tblHeader/>
        </w:trPr>
        <w:tc>
          <w:tcPr>
            <w:tcW w:type="dxa" w:w="2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Engine</w:t>
            </w:r>
          </w:p>
        </w:tc>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Type</w:t>
            </w:r>
          </w:p>
        </w:tc>
        <w:tc>
          <w:tcPr>
            <w:tcW w:type="dxa" w:w="5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What it is</w:t>
            </w:r>
          </w:p>
        </w:tc>
      </w:tr>
      <w:tr>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codexDojo</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Runnable app</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The user-facing dashboard — a Vite/TypeScript SPA showing the learner snapshot, agent roster, the cycle, and the 18-project roadmap.</w:t>
            </w:r>
          </w:p>
        </w:tc>
      </w:tr>
      <w:tr>
        <w:tc>
          <w:tcPr>
            <w:tcW w:type="dxa" w:w="25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pixelDojo</w:t>
            </w:r>
          </w:p>
        </w:tc>
        <w:tc>
          <w:tcPr>
            <w:tcW w:type="dxa" w:w="17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Runnable app</w:t>
            </w:r>
          </w:p>
        </w:tc>
        <w:tc>
          <w:tcPr>
            <w:tcW w:type="dxa" w:w="51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8-bit teaching games. The canonical game pixel-quest turns one curriculum concept into one arcade mechanic and emits executable evidence when a level is cleared.</w:t>
            </w:r>
          </w:p>
        </w:tc>
      </w:tr>
      <w:tr>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minimaxDojo</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Agent core</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The 14-agent “Ágora Continuum” tutoring core — state machine, gates, prompts, governance, and a Python reference implementation. Runs on the MiniMax Agent Team.</w:t>
            </w:r>
          </w:p>
        </w:tc>
      </w:tr>
      <w:tr>
        <w:tc>
          <w:tcPr>
            <w:tcW w:type="dxa" w:w="25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miniMaxEvolutionEngine</w:t>
            </w:r>
          </w:p>
        </w:tc>
        <w:tc>
          <w:tcPr>
            <w:tcW w:type="dxa" w:w="17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Agent core</w:t>
            </w:r>
          </w:p>
        </w:tc>
        <w:tc>
          <w:tcPr>
            <w:tcW w:type="dxa" w:w="51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The runnable Claude Code orchestration motor: the 5-phase loop, implemented as .claude subagents and /devschool-* slash commands.</w:t>
            </w:r>
          </w:p>
        </w:tc>
      </w:tr>
    </w:tbl>
    <w:p>
      <w:pPr>
        <w:spacing w:after="60"/>
      </w:pPr>
    </w:p>
    <w:p>
      <w:pPr>
        <w:spacing w:after="140" w:line="276"/>
      </w:pPr>
      <w:r>
        <w:rPr>
          <w:b/>
          <w:bCs/>
        </w:rPr>
        <w:t xml:space="preserve">Why two agent cores?  </w:t>
      </w:r>
      <w:r>
        <w:t xml:space="preserve">minimaxDojo and miniMaxEvolutionEngine implement the same protocol — the same state machine, verifier, empirical gate, and agent roles — on different platforms. minimaxDojo is the spec/prompt layer (you “run” it by pasting bootstrap prompts) and holds the canonical numeric thresholds plus a Python reference implementation. miniMaxEvolutionEngine is the runnable Claude Code motor. Both are forbidden from forking global learner state.</w:t>
      </w:r>
    </w:p>
    <w:p>
      <w:r>
        <w:br w:type="page"/>
      </w:r>
    </w:p>
    <w:p>
      <w:pPr>
        <w:pStyle w:val="Heading1"/>
      </w:pPr>
      <w:r>
        <w:t xml:space="preserve">4. The two interlocking loops</w:t>
      </w:r>
    </w:p>
    <w:p>
      <w:pPr>
        <w:spacing w:after="140" w:line="276"/>
      </w:pPr>
      <w:r>
        <w:t xml:space="preserve">Understanding the system means keeping two loops distinct: the software cycle (how a project is built) and the learning gate (how a learner earns mastery). They meet at the diagnostic.</w:t>
      </w:r>
    </w:p>
    <w:p>
      <w:pPr>
        <w:pStyle w:val="Heading2"/>
      </w:pPr>
      <w:r>
        <w:t xml:space="preserve">4.1 The software cycle — 5 phases</w:t>
      </w:r>
    </w:p>
    <w:p>
      <w:pPr>
        <w:spacing w:after="140" w:line="276"/>
      </w:pPr>
      <w:r>
        <w:t xml:space="preserve">Tracked in learner/pipeline_status.md. Producers create artifacts; a verifier gates each transition. Status advances to the next phase only after the verifier returns PASS; on FAIL the orchestrator wakes the producer with concrete feedback and retries.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Phase</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Producer</w:t>
            </w:r>
          </w:p>
        </w:tc>
        <w:tc>
          <w:tcPr>
            <w:tcW w:type="dxa" w:w="3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Key artifacts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1 — Spec &amp; Architecture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curator</w:t>
            </w:r>
          </w:p>
        </w:tc>
        <w:tc>
          <w:tcPr>
            <w:tcW w:type="dxa" w:w="3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spec.md</w:t>
            </w:r>
          </w:p>
        </w:tc>
      </w:tr>
      <w:tr>
        <w:tc>
          <w:tcPr>
            <w:tcW w:type="dxa" w:w="27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2 — Polyglot Implementation</w:t>
            </w:r>
          </w:p>
        </w:tc>
        <w:tc>
          <w:tcPr>
            <w:tcW w:type="dxa" w:w="32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dev-go, dev-rust, dev-node (parallel)</w:t>
            </w:r>
          </w:p>
        </w:tc>
        <w:tc>
          <w:tcPr>
            <w:tcW w:type="dxa" w:w="34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go-impl/, rust-impl/, node-impl/</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3 — Review &amp; Pedagogy</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reviewer</w:t>
            </w:r>
          </w:p>
        </w:tc>
        <w:tc>
          <w:tcPr>
            <w:tcW w:type="dxa" w:w="3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code_review.md, learning_notes.md, quiz.md</w:t>
            </w:r>
          </w:p>
        </w:tc>
      </w:tr>
      <w:tr>
        <w:tc>
          <w:tcPr>
            <w:tcW w:type="dxa" w:w="27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4 — Benchmark &amp; Profiling</w:t>
            </w:r>
          </w:p>
        </w:tc>
        <w:tc>
          <w:tcPr>
            <w:tcW w:type="dxa" w:w="32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benchmarker</w:t>
            </w:r>
          </w:p>
        </w:tc>
        <w:tc>
          <w:tcPr>
            <w:tcW w:type="dxa" w:w="34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benchmark_results.md, benchmarks/results/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5 — Evolution &amp; Scale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optimizer</w:t>
            </w:r>
          </w:p>
        </w:tc>
        <w:tc>
          <w:tcPr>
            <w:tcW w:type="dxa" w:w="3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evolution_report.md</w:t>
            </w:r>
          </w:p>
        </w:tc>
      </w:tr>
    </w:tbl>
    <w:p>
      <w:pPr>
        <w:spacing w:after="60"/>
      </w:pPr>
    </w:p>
    <w:p>
      <w:pPr>
        <w:pStyle w:val="Heading2"/>
      </w:pPr>
      <w:r>
        <w:t xml:space="preserve">4.2 The learning gate — per unit</w:t>
      </w:r>
    </w:p>
    <w:p>
      <w:pPr>
        <w:spacing w:after="140" w:line="276"/>
      </w:pPr>
      <w:r>
        <w:t xml:space="preserve">Tracked in learner/learning_state.yaml. While gate.implementation_blocked is true, the AI will not implement the unit. The learner must attempt the diagnostic first, and that attempt must be evaluated with executable evidence. The unit walks through these states:</w:t>
      </w:r>
    </w:p>
    <w:p>
      <w:pPr>
        <w:pStyle w:val="ListParagraph"/>
        <w:numPr>
          <w:ilvl w:val="0"/>
          <w:numId w:val="3"/>
        </w:numPr>
        <w:spacing w:after="60" w:line="270"/>
      </w:pPr>
      <w:r>
        <w:rPr>
          <w:rFonts w:ascii="Consolas" w:cs="Consolas" w:eastAsia="Consolas" w:hAnsi="Consolas"/>
          <w:sz w:val="20"/>
          <w:szCs w:val="20"/>
        </w:rPr>
        <w:t xml:space="preserve">presenting</w:t>
      </w:r>
      <w:r>
        <w:t xml:space="preserve"> → the unit is presented to the learner.</w:t>
      </w:r>
    </w:p>
    <w:p>
      <w:pPr>
        <w:pStyle w:val="ListParagraph"/>
        <w:numPr>
          <w:ilvl w:val="0"/>
          <w:numId w:val="3"/>
        </w:numPr>
        <w:spacing w:after="60" w:line="270"/>
      </w:pPr>
      <w:r>
        <w:rPr>
          <w:rFonts w:ascii="Consolas" w:cs="Consolas" w:eastAsia="Consolas" w:hAnsi="Consolas"/>
          <w:sz w:val="20"/>
          <w:szCs w:val="20"/>
        </w:rPr>
        <w:t xml:space="preserve">practicing</w:t>
      </w:r>
      <w:r>
        <w:t xml:space="preserve"> → the learner attempts it (writes the first line).</w:t>
      </w:r>
    </w:p>
    <w:p>
      <w:pPr>
        <w:pStyle w:val="ListParagraph"/>
        <w:numPr>
          <w:ilvl w:val="0"/>
          <w:numId w:val="3"/>
        </w:numPr>
        <w:spacing w:after="60" w:line="270"/>
      </w:pPr>
      <w:r>
        <w:rPr>
          <w:rFonts w:ascii="Consolas" w:cs="Consolas" w:eastAsia="Consolas" w:hAnsi="Consolas"/>
          <w:sz w:val="20"/>
          <w:szCs w:val="20"/>
        </w:rPr>
        <w:t xml:space="preserve">evaluating</w:t>
      </w:r>
      <w:r>
        <w:t xml:space="preserve"> → the verifier judges the work from an isolated context.</w:t>
      </w:r>
    </w:p>
    <w:p>
      <w:pPr>
        <w:pStyle w:val="ListParagraph"/>
        <w:numPr>
          <w:ilvl w:val="0"/>
          <w:numId w:val="3"/>
        </w:numPr>
        <w:spacing w:after="60" w:line="270"/>
      </w:pPr>
      <w:r>
        <w:rPr>
          <w:rFonts w:ascii="Consolas" w:cs="Consolas" w:eastAsia="Consolas" w:hAnsi="Consolas"/>
          <w:sz w:val="20"/>
          <w:szCs w:val="20"/>
        </w:rPr>
        <w:t xml:space="preserve">mastered</w:t>
      </w:r>
      <w:r>
        <w:t xml:space="preserve"> → reached only on verifier PASS with executable evidence.</w:t>
      </w:r>
    </w:p>
    <w:p>
      <w:pPr>
        <w:spacing w:after="140" w:line="276"/>
      </w:pPr>
      <w:r>
        <w:t xml:space="preserve">Failure with retries remaining generates a variation and returns to presenting; after 3 retries it escalates to governance (Sêneca) with a 24-hour SLA. The two loops meet at each project’s docs/diagnostic.md: the learner writes an attempt, the sonda agent grades it, and only then does implementation_blocked flip to false. A unit never becomes mastered from a diagnostic alone — mastery requires Phase-2 verifier evidence.</w:t>
      </w:r>
    </w:p>
    <w:p>
      <w:pPr>
        <w:pStyle w:val="Heading1"/>
      </w:pPr>
      <w:r>
        <w:t xml:space="preserve">5. The empirical gates</w:t>
      </w:r>
    </w:p>
    <w:p>
      <w:pPr>
        <w:spacing w:after="140" w:line="276"/>
      </w:pPr>
      <w:r>
        <w:t xml:space="preserve">“Executable evidence” is concrete and numeric. The thresholds live in two canonical seams (learner/learning_state.yaml for the runnable apps, and minimaxDojo/config/learner.yaml for the tutoring core) and are referenced symbolically elsewhere.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Gate</w:t>
            </w:r>
          </w:p>
        </w:tc>
        <w:tc>
          <w:tcPr>
            <w:tcW w:type="dxa" w:w="6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Threshold</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Core coverage</w:t>
            </w:r>
          </w:p>
        </w:tc>
        <w:tc>
          <w:tcPr>
            <w:tcW w:type="dxa" w:w="6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 80%</w:t>
            </w:r>
          </w:p>
        </w:tc>
      </w:tr>
      <w:tr>
        <w:tc>
          <w:tcPr>
            <w:tcW w:type="dxa" w:w="32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Mutation score</w:t>
            </w:r>
          </w:p>
        </w:tc>
        <w:tc>
          <w:tcPr>
            <w:tcW w:type="dxa" w:w="61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 60% (minimaxDojo pins 65%)</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Benchmark stability</w:t>
            </w:r>
          </w:p>
        </w:tc>
        <w:tc>
          <w:tcPr>
            <w:tcW w:type="dxa" w:w="6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 10 samples + warmup; block speed claims when CV ≥ 20%</w:t>
            </w:r>
          </w:p>
        </w:tc>
      </w:tr>
      <w:tr>
        <w:tc>
          <w:tcPr>
            <w:tcW w:type="dxa" w:w="32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Test suite</w:t>
            </w:r>
          </w:p>
        </w:tc>
        <w:tc>
          <w:tcPr>
            <w:tcW w:type="dxa" w:w="61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100% green</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Lints</w:t>
            </w:r>
          </w:p>
        </w:tc>
        <w:tc>
          <w:tcPr>
            <w:tcW w:type="dxa" w:w="6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0 errors / 0 warnings</w:t>
            </w:r>
          </w:p>
        </w:tc>
      </w:tr>
      <w:tr>
        <w:tc>
          <w:tcPr>
            <w:tcW w:type="dxa" w:w="32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Retry budget</w:t>
            </w:r>
          </w:p>
        </w:tc>
        <w:tc>
          <w:tcPr>
            <w:tcW w:type="dxa" w:w="61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 3 per unit, then escalate to governance</w:t>
            </w:r>
          </w:p>
        </w:tc>
      </w:tr>
    </w:tbl>
    <w:p>
      <w:pPr>
        <w:spacing w:after="60"/>
      </w:pPr>
    </w:p>
    <w:p>
      <w:pPr>
        <w:spacing w:after="140" w:line="276"/>
      </w:pPr>
      <w:r>
        <w:rPr>
          <w:b/>
          <w:bCs/>
        </w:rPr>
        <w:t xml:space="preserve">The ⟨config: path⟩ convention.  </w:t>
      </w:r>
      <w:r>
        <w:t xml:space="preserve">Prompts and docs reference these numbers symbolically (for example ⟨config: gates.mutation_score_min⟩) instead of hardcoding them, so the seam stays in one place.</w:t>
      </w:r>
    </w:p>
    <w:p>
      <w:r>
        <w:br w:type="page"/>
      </w:r>
    </w:p>
    <w:p>
      <w:pPr>
        <w:pStyle w:val="Heading1"/>
      </w:pPr>
      <w:r>
        <w:t xml:space="preserve">6. The engines in detail</w:t>
      </w:r>
    </w:p>
    <w:p>
      <w:pPr>
        <w:pStyle w:val="Heading2"/>
      </w:pPr>
      <w:r>
        <w:t xml:space="preserve">6.1 codexDojo — the dashboard</w:t>
      </w:r>
    </w:p>
    <w:p>
      <w:pPr>
        <w:spacing w:after="140" w:line="276"/>
      </w:pPr>
      <w:r>
        <w:t xml:space="preserve">A Vite + TypeScript (strict) single-page app with zero runtime dependencies — vanilla DOM rendering via HTML template strings, driven by a tiny unidirectional reducer loop. It is the control surface for the whole school and is read-only with respect to learner state.</w:t>
      </w:r>
    </w:p>
    <w:p>
      <w:pPr>
        <w:spacing w:after="140" w:line="276"/>
      </w:pPr>
      <w:r>
        <w:rPr>
          <w:b/>
          <w:bCs/>
        </w:rPr>
        <w:t xml:space="preserve">Views: </w:t>
      </w:r>
      <w:r>
        <w:t xml:space="preserve">Painel (overview), Learner, Agentes, Ciclo, Roadmap.  </w:t>
      </w:r>
    </w:p>
    <w:p>
      <w:pPr>
        <w:spacing w:after="140" w:line="276"/>
      </w:pPr>
      <w:r>
        <w:rPr>
          <w:b/>
          <w:bCs/>
        </w:rPr>
        <w:t xml:space="preserve">Run: </w:t>
      </w:r>
      <w:r>
        <w:rPr>
          <w:rFonts w:ascii="Consolas" w:cs="Consolas" w:eastAsia="Consolas" w:hAnsi="Consolas"/>
          <w:sz w:val="20"/>
          <w:szCs w:val="20"/>
        </w:rPr>
        <w:t xml:space="preserve">cd engines/codexDojo &amp;&amp; pnpm install &amp;&amp; pnpm run dev</w:t>
      </w:r>
      <w:r>
        <w:t xml:space="preserve">  →  http://127.0.0.1:5173/</w:t>
      </w:r>
    </w:p>
    <w:p>
      <w:pPr>
        <w:spacing w:after="140" w:line="276"/>
      </w:pPr>
      <w:r>
        <w:t xml:space="preserve">The learner data it shows (src/data/learner.ts) is auto-generated by the Python substrate and carries a DO NOT EDIT BY HAND header. It also carries the product-facing ecosystem contracts under ecosystem/ (MANIFEST, OPERATING_MODEL, AGENT_PROMPTS, and more).</w:t>
      </w:r>
    </w:p>
    <w:p>
      <w:pPr>
        <w:pStyle w:val="Heading2"/>
      </w:pPr>
      <w:r>
        <w:t xml:space="preserve">6.2 pixelDojo — the teaching game</w:t>
      </w:r>
    </w:p>
    <w:p>
      <w:pPr>
        <w:spacing w:after="140" w:line="276"/>
      </w:pPr>
      <w:r>
        <w:t xml:space="preserve">8-bit teaching games where each game maps one curriculum concept to one arcade mechanic. The canonical implementation, pixel-quest, is a top-down RPG built on Vite + TypeScript + Three.js. Clearing a level emits executable evidence (a validated record on window.__pixelQuestEvidence plus an EVIDENCE &lt;json&gt; console line).</w:t>
      </w:r>
    </w:p>
    <w:p>
      <w:pPr>
        <w:spacing w:after="140" w:line="276"/>
      </w:pPr>
      <w:r>
        <w:rPr>
          <w:b/>
          <w:bCs/>
        </w:rPr>
        <w:t xml:space="preserve">Run: </w:t>
      </w:r>
      <w:r>
        <w:rPr>
          <w:rFonts w:ascii="Consolas" w:cs="Consolas" w:eastAsia="Consolas" w:hAnsi="Consolas"/>
          <w:sz w:val="20"/>
          <w:szCs w:val="20"/>
        </w:rPr>
        <w:t xml:space="preserve">cd engines/pixelDojo/pixel-quest &amp;&amp; pnpm install &amp;&amp; pnpm run dev</w:t>
      </w:r>
      <w:r>
        <w:t xml:space="preserve">  ;  </w:t>
      </w:r>
      <w:r>
        <w:rPr>
          <w:rFonts w:ascii="Consolas" w:cs="Consolas" w:eastAsia="Consolas" w:hAnsi="Consolas"/>
          <w:sz w:val="20"/>
          <w:szCs w:val="20"/>
        </w:rPr>
        <w:t xml:space="preserve">pnpm run smoke</w:t>
      </w:r>
      <w:r>
        <w:t xml:space="preserve"> runs the Playwright evidence contract.</w:t>
      </w:r>
    </w:p>
    <w:p>
      <w:pPr>
        <w:spacing w:after="140" w:line="276"/>
      </w:pPr>
      <w:r>
        <w:t xml:space="preserve">The game is purely the attempt surface. It never writes learner state, never appends the units log, never sets mastered, and never uses localStorage as evidence — the Playwright smoke test asserts these absences explicitly. A separate verifier reads the evidence and owns the mastery transition.</w:t>
      </w:r>
    </w:p>
    <w:p>
      <w:pPr>
        <w:pStyle w:val="Heading2"/>
      </w:pPr>
      <w:r>
        <w:t xml:space="preserve">6.3 minimaxDojo — the 14-agent tutoring core</w:t>
      </w:r>
    </w:p>
    <w:p>
      <w:pPr>
        <w:spacing w:after="140" w:line="276"/>
      </w:pPr>
      <w:r>
        <w:t xml:space="preserve">The Ágora Continuum: 14 tutoring agents organized into five layers (leadership, pedagogy, quality &amp; metrics, memory/evolution, governance). The certainty of completion lives in empirical gates judged by an adversarial verifier (Prometor) that starts from zero, not in the LLM. It ships a Python reference implementation of the state machine, gates, and memory under core/, exercised by ~813 lines of contract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Layer</w:t>
            </w:r>
          </w:p>
        </w:tc>
        <w:tc>
          <w:tcPr>
            <w:tcW w:type="dxa" w:w="6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Agents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Leadership</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Maestro (leader), Cronos (scheduler)</w:t>
            </w:r>
          </w:p>
        </w:tc>
      </w:tr>
      <w:tr>
        <w:tc>
          <w:tcPr>
            <w:tcW w:type="dxa" w:w="26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Pedagogy</w:t>
            </w:r>
          </w:p>
        </w:tc>
        <w:tc>
          <w:tcPr>
            <w:tcW w:type="dxa" w:w="67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Sonda, Cartógrafo, Mestre-Conteúdo, Sócrates, Mneme</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Quality &amp; Metrics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Prometor (verifier), Crítico (reviewer), Galileu (benchmark/architecture), Atena (metrics)</w:t>
            </w:r>
          </w:p>
        </w:tc>
      </w:tr>
      <w:tr>
        <w:tc>
          <w:tcPr>
            <w:tcW w:type="dxa" w:w="26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Memory / Governance</w:t>
            </w:r>
          </w:p>
        </w:tc>
        <w:tc>
          <w:tcPr>
            <w:tcW w:type="dxa" w:w="67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Mnemosyne (memory), Ouroboros (self-improvement), Sêneca (HITL governance)</w:t>
            </w:r>
          </w:p>
        </w:tc>
      </w:tr>
    </w:tbl>
    <w:p>
      <w:pPr>
        <w:pStyle w:val="Heading2"/>
      </w:pPr>
      <w:r>
        <w:t xml:space="preserve">6.4 miniMaxEvolutionEngine — the Claude Code motor</w:t>
      </w:r>
    </w:p>
    <w:p>
      <w:pPr>
        <w:spacing w:after="140" w:line="276"/>
      </w:pPr>
      <w:r>
        <w:t xml:space="preserve">The runnable motor for the same protocol on Claude Code. The main loop is the Orchestrator; it delegates to 17 subagents and runs the verifier gate between phases, never writing implementation code itself. The 5-phase loop becomes 18 /devschool-* slash commands plus a PhaseRunner protocol and a SessionStart hook. The verifier subagent has no write tools by design and starts from a clean, anti-anchored context; a second verifier-haiku runs the same contract at a different model tier, and disagreement escalates to governance.</w:t>
      </w:r>
    </w:p>
    <w:p>
      <w:pPr>
        <w:spacing w:after="140" w:line="276"/>
      </w:pPr>
      <w:r>
        <w:rPr>
          <w:b/>
          <w:bCs/>
        </w:rPr>
        <w:t xml:space="preserve">Run: </w:t>
      </w:r>
      <w:r>
        <w:t xml:space="preserve">open Claude Code rooted at engines/miniMaxEvolutionEngine/, then </w:t>
      </w:r>
      <w:r>
        <w:rPr>
          <w:rFonts w:ascii="Consolas" w:cs="Consolas" w:eastAsia="Consolas" w:hAnsi="Consolas"/>
          <w:sz w:val="20"/>
          <w:szCs w:val="20"/>
        </w:rPr>
        <w:t xml:space="preserve">/devschool-status</w:t>
      </w:r>
      <w:r>
        <w:t xml:space="preserve"> → </w:t>
      </w:r>
      <w:r>
        <w:rPr>
          <w:rFonts w:ascii="Consolas" w:cs="Consolas" w:eastAsia="Consolas" w:hAnsi="Consolas"/>
          <w:sz w:val="20"/>
          <w:szCs w:val="20"/>
        </w:rPr>
        <w:t xml:space="preserve">/devschool-diagnose</w:t>
      </w:r>
      <w:r>
        <w:t xml:space="preserve"> → </w:t>
      </w:r>
      <w:r>
        <w:rPr>
          <w:rFonts w:ascii="Consolas" w:cs="Consolas" w:eastAsia="Consolas" w:hAnsi="Consolas"/>
          <w:sz w:val="20"/>
          <w:szCs w:val="20"/>
        </w:rPr>
        <w:t xml:space="preserve">/devschool-cycle</w:t>
      </w:r>
      <w:r>
        <w:t xml:space="preserve">.</w:t>
      </w:r>
    </w:p>
    <w:p>
      <w:r>
        <w:br w:type="page"/>
      </w:r>
    </w:p>
    <w:p>
      <w:pPr>
        <w:pStyle w:val="Heading1"/>
      </w:pPr>
      <w:r>
        <w:t xml:space="preserve">7. The curriculum</w:t>
      </w:r>
    </w:p>
    <w:p>
      <w:pPr>
        <w:spacing w:after="140" w:line="276"/>
      </w:pPr>
      <w:r>
        <w:t xml:space="preserve">18 coding challenges, each implemented polyglot in Go, Rust, and Node/TypeScript from one shared spec, arranged as a 6-level progression from fundamentals to complex distributed systems. The canonical list is curriculum/catalog.md (18 total, 1 implemented: Project 01). Every project follows: spec → polyglot implementation → code review → benchmark (N≥3) → evolution →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Level</w:t>
            </w:r>
          </w:p>
        </w:tc>
        <w:tc>
          <w:tcPr>
            <w:tcW w:type="dxa" w:w="6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Projects</w:t>
            </w:r>
          </w:p>
        </w:tc>
      </w:tr>
      <w:tr>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1 — Fundamentals</w:t>
            </w:r>
          </w:p>
        </w:tc>
        <w:tc>
          <w:tcPr>
            <w:tcW w:type="dxa" w:w="6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01 Rate Limiter · 02 Key-Value Store · 03 URL Shortener</w:t>
            </w:r>
          </w:p>
        </w:tc>
      </w:tr>
      <w:tr>
        <w:tc>
          <w:tcPr>
            <w:tcW w:type="dxa" w:w="29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2 — Concurrency &amp; Performance</w:t>
            </w:r>
          </w:p>
        </w:tc>
        <w:tc>
          <w:tcPr>
            <w:tcW w:type="dxa" w:w="64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04 Concurrent Task Queue · 05 WebSocket Chat · 06 File Upload Pipeline</w:t>
            </w:r>
          </w:p>
        </w:tc>
      </w:tr>
      <w:tr>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3 — Architecture &amp; Patterns</w:t>
            </w:r>
          </w:p>
        </w:tc>
        <w:tc>
          <w:tcPr>
            <w:tcW w:type="dxa" w:w="6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07 REST API with Auth · 08 Event-Driven Order System · 09 Plugin System</w:t>
            </w:r>
          </w:p>
        </w:tc>
      </w:tr>
      <w:tr>
        <w:tc>
          <w:tcPr>
            <w:tcW w:type="dxa" w:w="29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4 — Scalability &amp; Distribution</w:t>
            </w:r>
          </w:p>
        </w:tc>
        <w:tc>
          <w:tcPr>
            <w:tcW w:type="dxa" w:w="64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10 Distributed Cache · 11 Load Balancer · 12 Distributed Job Scheduler</w:t>
            </w:r>
          </w:p>
        </w:tc>
      </w:tr>
      <w:tr>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5 — Resilience &amp; Observability</w:t>
            </w:r>
          </w:p>
        </w:tc>
        <w:tc>
          <w:tcPr>
            <w:tcW w:type="dxa" w:w="6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13 API Gateway + Circuit Breaker · 14 Log Aggregator · 15 Metrics Collector</w:t>
            </w:r>
          </w:p>
        </w:tc>
      </w:tr>
      <w:tr>
        <w:tc>
          <w:tcPr>
            <w:tcW w:type="dxa" w:w="29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6 — Complex Systems</w:t>
            </w:r>
          </w:p>
        </w:tc>
        <w:tc>
          <w:tcPr>
            <w:tcW w:type="dxa" w:w="64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16 Mini Message Queue · 17 Distributed Config Service · 18 Search Engine</w:t>
            </w:r>
          </w:p>
        </w:tc>
      </w:tr>
    </w:tbl>
    <w:p>
      <w:pPr>
        <w:spacing w:after="60"/>
      </w:pPr>
    </w:p>
    <w:p>
      <w:pPr>
        <w:spacing w:after="140" w:line="276"/>
      </w:pPr>
      <w:r>
        <w:t xml:space="preserve">Each project directory follows the same pattern: a shared docs/spec.md, three implementations (go-impl/, rust-impl/, node-impl/), reviews and benchmarks, and a docs/diagnostic.md that is the learning-gate challenge. Executable evidence comes from per-language tests and coverage, mutation testing (proving the suite catches faults, not just executes lines), statistically rigorous benchmarks, and a Polyglot Arena that stays locked until the learner commits a prediction for all three languages.</w:t>
      </w:r>
    </w:p>
    <w:p>
      <w:pPr>
        <w:pStyle w:val="Heading1"/>
      </w:pPr>
      <w:r>
        <w:t xml:space="preserve">8. The learner substrate and data flow</w:t>
      </w:r>
    </w:p>
    <w:p>
      <w:pPr>
        <w:spacing w:after="140" w:line="276"/>
      </w:pPr>
      <w:r>
        <w:t xml:space="preserve">learner/learning_state.yaml is canonical. Everything else that displays learner state is generated from it by the Python substrate. You always edit the canonical YAML, then run one command to regenerate the rest:</w:t>
      </w:r>
    </w:p>
    <w:p>
      <w:pPr>
        <w:shd w:fill="F4F4F4" w:val="clear"/>
        <w:spacing w:after="60" w:before="60"/>
      </w:pPr>
      <w:r>
        <w:rPr>
          <w:rFonts w:ascii="Consolas" w:cs="Consolas" w:eastAsia="Consolas" w:hAnsi="Consolas"/>
          <w:sz w:val="20"/>
          <w:szCs w:val="20"/>
        </w:rPr>
        <w:t xml:space="preserve">python3 -m learner.substrate</w:t>
      </w:r>
    </w:p>
    <w:p>
      <w:pPr>
        <w:spacing w:after="140" w:line="276"/>
      </w:pPr>
      <w:r>
        <w:t xml:space="preserve">That command validates the canonical state first (so a sync on invalid state raises), then regenerates four derived targets:</w:t>
      </w:r>
    </w:p>
    <w:p>
      <w:pPr>
        <w:pStyle w:val="ListParagraph"/>
        <w:numPr>
          <w:ilvl w:val="0"/>
          <w:numId w:val="3"/>
        </w:numPr>
        <w:spacing w:after="60" w:line="270"/>
      </w:pPr>
      <w:r>
        <w:t xml:space="preserve">.mavis/learning_state.yaml (the Mavis planner view).</w:t>
      </w:r>
    </w:p>
    <w:p>
      <w:pPr>
        <w:pStyle w:val="ListParagraph"/>
        <w:numPr>
          <w:ilvl w:val="0"/>
          <w:numId w:val="3"/>
        </w:numPr>
        <w:spacing w:after="60" w:line="270"/>
      </w:pPr>
      <w:r>
        <w:t xml:space="preserve">minimaxDojo/whiteboard/ (profile.yaml, learner_profile.md, trail.md).</w:t>
      </w:r>
    </w:p>
    <w:p>
      <w:pPr>
        <w:pStyle w:val="ListParagraph"/>
        <w:numPr>
          <w:ilvl w:val="0"/>
          <w:numId w:val="3"/>
        </w:numPr>
        <w:spacing w:after="60" w:line="270"/>
      </w:pPr>
      <w:r>
        <w:t xml:space="preserve">codexDojo/src/data/learner.ts (the dashboard snapshot).</w:t>
      </w:r>
    </w:p>
    <w:p>
      <w:pPr>
        <w:pStyle w:val="ListParagraph"/>
        <w:numPr>
          <w:ilvl w:val="0"/>
          <w:numId w:val="3"/>
        </w:numPr>
        <w:spacing w:after="60" w:line="270"/>
      </w:pPr>
      <w:r>
        <w:t xml:space="preserve">pixelDojo/pixel-quest/src/content/reviewSlice.ts (the game’s review slice).</w:t>
      </w:r>
    </w:p>
    <w:p>
      <w:pPr>
        <w:spacing w:after="60"/>
      </w:pPr>
    </w:p>
    <w:p>
      <w:pPr>
        <w:spacing w:after="140" w:line="276"/>
      </w:pPr>
      <w:r>
        <w:rPr>
          <w:b/>
          <w:bCs/>
        </w:rPr>
        <w:t xml:space="preserve">Spaced repetition (FSRS). </w:t>
      </w:r>
      <w:r>
        <w:t xml:space="preserve">The scheduler bridges the executable-evidence gate to concept re-exposure. Its non-negotiable rule: the rating that feeds the scheduler comes only from gate outcomes, never from learner self-report. A failed gate does not break the streak — the gate, not the attempt, is the scarcity. Validation enforces that a unit cannot be mastered without at least one gate review.</w:t>
      </w:r>
    </w:p>
    <w:p>
      <w:pPr>
        <w:pStyle w:val="Heading1"/>
      </w:pPr>
      <w:r>
        <w:t xml:space="preserve">9. The day-to-day workflow</w:t>
      </w:r>
    </w:p>
    <w:p>
      <w:pPr>
        <w:pStyle w:val="ListParagraph"/>
        <w:numPr>
          <w:ilvl w:val="0"/>
          <w:numId w:val="2"/>
        </w:numPr>
        <w:spacing w:after="60" w:line="270"/>
      </w:pPr>
      <w:r>
        <w:rPr>
          <w:b/>
          <w:bCs/>
        </w:rPr>
        <w:t xml:space="preserve">The learner attempts the unit first. </w:t>
      </w:r>
      <w:r>
        <w:t xml:space="preserve">The learning gate blocks AI implementation until a real attempt exists.</w:t>
      </w:r>
    </w:p>
    <w:p>
      <w:pPr>
        <w:pStyle w:val="ListParagraph"/>
        <w:numPr>
          <w:ilvl w:val="0"/>
          <w:numId w:val="2"/>
        </w:numPr>
        <w:spacing w:after="60" w:line="270"/>
      </w:pPr>
      <w:r>
        <w:rPr>
          <w:b/>
          <w:bCs/>
        </w:rPr>
        <w:t xml:space="preserve">Agents generate or review artifacts </w:t>
      </w:r>
      <w:r>
        <w:t xml:space="preserve">— specs, polyglot implementations, reviews, benchmarks.</w:t>
      </w:r>
    </w:p>
    <w:p>
      <w:pPr>
        <w:pStyle w:val="ListParagraph"/>
        <w:numPr>
          <w:ilvl w:val="0"/>
          <w:numId w:val="2"/>
        </w:numPr>
        <w:spacing w:after="60" w:line="270"/>
      </w:pPr>
      <w:r>
        <w:rPr>
          <w:b/>
          <w:bCs/>
        </w:rPr>
        <w:t xml:space="preserve">A separate verifier runs executable checks from zero context </w:t>
      </w:r>
      <w:r>
        <w:t xml:space="preserve">— it tries to refute the work. The producer never verifies its own output.</w:t>
      </w:r>
    </w:p>
    <w:p>
      <w:pPr>
        <w:pStyle w:val="ListParagraph"/>
        <w:numPr>
          <w:ilvl w:val="0"/>
          <w:numId w:val="2"/>
        </w:numPr>
        <w:spacing w:after="60" w:line="270"/>
      </w:pPr>
      <w:r>
        <w:rPr>
          <w:b/>
          <w:bCs/>
        </w:rPr>
        <w:t xml:space="preserve">Metrics and review findings are recorded </w:t>
      </w:r>
      <w:r>
        <w:t xml:space="preserve">— coverage, mutation score, benchmark CV.</w:t>
      </w:r>
    </w:p>
    <w:p>
      <w:pPr>
        <w:pStyle w:val="ListParagraph"/>
        <w:numPr>
          <w:ilvl w:val="0"/>
          <w:numId w:val="2"/>
        </w:numPr>
        <w:spacing w:after="60" w:line="270"/>
      </w:pPr>
      <w:r>
        <w:rPr>
          <w:b/>
          <w:bCs/>
        </w:rPr>
        <w:t xml:space="preserve">Memory updates the profile, journal, and pitfalls </w:t>
      </w:r>
      <w:r>
        <w:t xml:space="preserve">and schedules the next review.</w:t>
      </w:r>
    </w:p>
    <w:p>
      <w:pPr>
        <w:spacing w:after="60"/>
      </w:pPr>
    </w:p>
    <w:p>
      <w:pPr>
        <w:spacing w:after="140" w:line="276"/>
      </w:pPr>
      <w:r>
        <w:rPr>
          <w:b/>
          <w:bCs/>
        </w:rPr>
        <w:t xml:space="preserve">Anti-dependency by design. </w:t>
      </w:r>
      <w:r>
        <w:t xml:space="preserve">Direct answers arrive only after an attempt is evaluated. Hints (Sócrates) are graded and budgeted at 15 per day, and the learner must state the exact point of confusion before receiving one.</w:t>
      </w:r>
    </w:p>
    <w:p>
      <w:pPr>
        <w:pStyle w:val="Heading1"/>
      </w:pPr>
      <w:r>
        <w:t xml:space="preserve">10. Where to go next</w:t>
      </w:r>
    </w:p>
    <w:p>
      <w:pPr>
        <w:spacing w:after="140" w:line="276"/>
      </w:pPr>
      <w:r>
        <w:t xml:space="preserve">This document is a standalone overview. The full, code-referenced detail lives in the in-repo handbook, which is the maintained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For…</w:t>
            </w:r>
          </w:p>
        </w:tc>
        <w:tc>
          <w:tcPr>
            <w:tcW w:type="dxa" w:w="50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b/>
                <w:bCs/>
                <w:color w:val="1F3A5F"/>
              </w:rPr>
              <w:t xml:space="preserve">Read</w:t>
            </w:r>
          </w:p>
        </w:tc>
      </w:tr>
      <w:tr>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The complete handbook index</w:t>
            </w:r>
          </w:p>
        </w:tc>
        <w:tc>
          <w:tcPr>
            <w:tcW w:type="dxa" w:w="50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docs/handbook/README.md</w:t>
            </w:r>
          </w:p>
        </w:tc>
      </w:tr>
      <w:tr>
        <w:tc>
          <w:tcPr>
            <w:tcW w:type="dxa" w:w="43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Architecture &amp; the two loops (with diagrams)</w:t>
            </w:r>
          </w:p>
        </w:tc>
        <w:tc>
          <w:tcPr>
            <w:tcW w:type="dxa" w:w="50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docs/handbook/01_architecture.md</w:t>
            </w:r>
          </w:p>
        </w:tc>
      </w:tr>
      <w:tr>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Setup &amp; onboarding</w:t>
            </w:r>
          </w:p>
        </w:tc>
        <w:tc>
          <w:tcPr>
            <w:tcW w:type="dxa" w:w="50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docs/handbook/02_onboarding.md</w:t>
            </w:r>
          </w:p>
        </w:tc>
      </w:tr>
      <w:tr>
        <w:tc>
          <w:tcPr>
            <w:tcW w:type="dxa" w:w="43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Each engine in depth</w:t>
            </w:r>
          </w:p>
        </w:tc>
        <w:tc>
          <w:tcPr>
            <w:tcW w:type="dxa" w:w="50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docs/handbook/03..06_engine_*.md</w:t>
            </w:r>
          </w:p>
        </w:tc>
      </w:tr>
      <w:tr>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Curriculum &amp; learner substrate</w:t>
            </w:r>
          </w:p>
        </w:tc>
        <w:tc>
          <w:tcPr>
            <w:tcW w:type="dxa" w:w="50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docs/handbook/07_curriculum.md, 08_learner_substrate.md</w:t>
            </w:r>
          </w:p>
        </w:tc>
      </w:tr>
      <w:tr>
        <w:tc>
          <w:tcPr>
            <w:tcW w:type="dxa" w:w="43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Glossary (pt/en terms, agent names, states)</w:t>
            </w:r>
          </w:p>
        </w:tc>
        <w:tc>
          <w:tcPr>
            <w:tcW w:type="dxa" w:w="50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docs/handbook/09_glossary.md</w:t>
            </w:r>
          </w:p>
        </w:tc>
      </w:tr>
      <w:tr>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Canonical project list</w:t>
            </w:r>
          </w:p>
        </w:tc>
        <w:tc>
          <w:tcPr>
            <w:tcW w:type="dxa" w:w="50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curriculum/catalog.md</w:t>
            </w:r>
          </w:p>
        </w:tc>
      </w:tr>
      <w:tr>
        <w:tc>
          <w:tcPr>
            <w:tcW w:type="dxa" w:w="430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Canonical learner state</w:t>
            </w:r>
          </w:p>
        </w:tc>
        <w:tc>
          <w:tcPr>
            <w:tcW w:type="dxa" w:w="50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vAlign w:val="center"/>
          </w:tcPr>
          <w:p>
            <w:pPr>
              <w:jc w:val="left"/>
            </w:pPr>
            <w:r>
              <w:rPr>
                <w:b w:val="false"/>
                <w:bCs w:val="false"/>
              </w:rPr>
              <w:t xml:space="preserve">learner/learning_state.yaml</w:t>
            </w:r>
          </w:p>
        </w:tc>
      </w:tr>
      <w:tr>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Ecosystem conventions &amp; rules</w:t>
            </w:r>
          </w:p>
        </w:tc>
        <w:tc>
          <w:tcPr>
            <w:tcW w:type="dxa" w:w="50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b w:val="false"/>
                <w:bCs w:val="false"/>
              </w:rPr>
              <w:t xml:space="preserve">AGENTS.md</w:t>
            </w:r>
          </w:p>
        </w:tc>
      </w:tr>
    </w:tbl>
    <w:p>
      <w:pPr>
        <w:spacing w:after="60"/>
      </w:pPr>
    </w:p>
    <w:p>
      <w:pPr>
        <w:spacing w:before="120"/>
      </w:pPr>
      <w:r>
        <w:rPr>
          <w:i/>
          <w:iCs/>
          <w:color w:val="555555"/>
          <w:sz w:val="20"/>
          <w:szCs w:val="20"/>
        </w:rPr>
        <w:t xml:space="preserve">When code and docs disagree, the code wins — please open a fix. This overview was generated 2026-06-28 from a full read of the codebase.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5D5" w:sz="4" w:space="4"/>
      </w:pBdr>
      <w:tabs>
        <w:tab w:val="right" w:pos="9026"/>
      </w:tabs>
    </w:pPr>
    <w:r>
      <w:rPr>
        <w:color w:val="555555"/>
        <w:sz w:val="18"/>
        <w:szCs w:val="18"/>
      </w:rPr>
      <w:t xml:space="preserve">Generated 2026-06-28</w:t>
    </w:r>
    <w:r>
      <w:rPr>
        <w:color w:val="555555"/>
        <w:sz w:val="18"/>
        <w:szCs w:val="18"/>
      </w:rPr>
      <w:t xml:space="preserve">	Page </w:t>
    </w:r>
    <w:r>
      <w:rPr>
        <w:color w:val="555555"/>
        <w:sz w:val="18"/>
        <w:szCs w:val="18"/>
      </w:rPr>
      <w:fldChar w:fldCharType="begin"/>
      <w:instrText xml:space="preserve">PAGE</w:instrText>
      <w:fldChar w:fldCharType="separate"/>
      <w:fldChar w:fldCharType="end"/>
    </w:r>
    <w:r>
      <w:rPr>
        <w:color w:val="555555"/>
        <w:sz w:val="18"/>
        <w:szCs w:val="18"/>
      </w:rPr>
      <w:t xml:space="preserve"> of </w:t>
    </w:r>
    <w:r>
      <w:rPr>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5D5" w:sz="4" w:space="4"/>
      </w:pBdr>
      <w:jc w:val="right"/>
    </w:pPr>
    <w:r>
      <w:rPr>
        <w:color w:val="555555"/>
        <w:sz w:val="18"/>
        <w:szCs w:val="18"/>
      </w:rPr>
      <w:t xml:space="preserve">AI DevSchool — Ecosystem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5D5D5" w:sz="6" w:space="6"/>
      </w:pBdr>
      <w:spacing w:after="160" w:before="280"/>
      <w:outlineLvl w:val="0"/>
    </w:pPr>
    <w:rPr>
      <w:rFonts w:ascii="Arial" w:cs="Arial" w:eastAsia="Arial" w:hAnsi="Arial"/>
      <w:b/>
      <w:bCs/>
      <w:color w:val="1F3A5F"/>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6DA4"/>
      <w:sz w:val="26"/>
      <w:szCs w:val="26"/>
    </w:rPr>
  </w:style>
  <w:style w:type="paragraph" w:styleId="Heading3">
    <w:name w:val="Heading 3"/>
    <w:basedOn w:val="Normal"/>
    <w:next w:val="Normal"/>
    <w:qFormat/>
    <w:pPr>
      <w:spacing w:after="80" w:before="160"/>
      <w:outlineLvl w:val="2"/>
    </w:pPr>
    <w:rPr>
      <w:rFonts w:ascii="Arial" w:cs="Arial" w:eastAsia="Arial" w:hAnsi="Arial"/>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DevSchool — Ecosystem Overview</dc:title>
  <dc:creator>AI DevSchool</dc:creator>
  <cp:lastModifiedBy>Un-named</cp:lastModifiedBy>
  <cp:revision>1</cp:revision>
  <dcterms:created xsi:type="dcterms:W3CDTF">2026-06-28T22:24:34.986Z</dcterms:created>
  <dcterms:modified xsi:type="dcterms:W3CDTF">2026-06-28T22:24:34.986Z</dcterms:modified>
</cp:coreProperties>
</file>

<file path=docProps/custom.xml><?xml version="1.0" encoding="utf-8"?>
<Properties xmlns="http://schemas.openxmlformats.org/officeDocument/2006/custom-properties" xmlns:vt="http://schemas.openxmlformats.org/officeDocument/2006/docPropsVTypes"/>
</file>