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840" w:line="300" w:lineRule="auto"/>
        <w:jc w:val="left"/>
      </w:pPr>
      <w:r>
        <w:rPr>
          <w:rFonts w:ascii="Calibri" w:hAnsi="Calibri"/>
          <w:b w:val="0"/>
          <w:i w:val="0"/>
          <w:color w:val="24313A"/>
          <w:sz w:val="22"/>
        </w:rPr>
      </w:r>
    </w:p>
    <w:p>
      <w:pPr>
        <w:spacing w:before="0" w:after="360" w:line="300" w:lineRule="auto"/>
        <w:jc w:val="center"/>
      </w:pPr>
      <w:r>
        <w:rPr>
          <w:rFonts w:ascii="Calibri" w:hAnsi="Calibri"/>
          <w:b/>
          <w:i w:val="0"/>
          <w:color w:val="C5943A"/>
          <w:sz w:val="21"/>
        </w:rPr>
        <w:t>AI DEVSCHOOL</w:t>
      </w:r>
    </w:p>
    <w:p>
      <w:pPr>
        <w:pStyle w:val="Title"/>
        <w:spacing w:after="200"/>
        <w:jc w:val="center"/>
      </w:pPr>
      <w:r>
        <w:t>IA para todos,</w:t>
        <w:br/>
        <w:t>com prática e evidência</w:t>
      </w:r>
    </w:p>
    <w:p>
      <w:pPr>
        <w:pStyle w:val="Subtitle"/>
        <w:jc w:val="center"/>
      </w:pPr>
      <w:r>
        <w:t>Microlições para pessoas não técnicas e programadores</w:t>
      </w:r>
    </w:p>
    <w:p>
      <w:pPr>
        <w:spacing w:before="0" w:after="1720" w:line="300" w:lineRule="auto"/>
        <w:jc w:val="center"/>
      </w:pPr>
      <w:r>
        <w:rPr>
          <w:rFonts w:ascii="Calibri" w:hAnsi="Calibri"/>
          <w:b w:val="0"/>
          <w:i w:val="0"/>
          <w:color w:val="C5943A"/>
          <w:sz w:val="21"/>
        </w:rPr>
        <w:t>—  uma pequena lição por vez  —</w:t>
      </w:r>
    </w:p>
    <w:p>
      <w:pPr>
        <w:spacing w:before="0" w:after="80" w:line="300" w:lineRule="auto"/>
        <w:jc w:val="center"/>
      </w:pPr>
      <w:r>
        <w:rPr>
          <w:rFonts w:ascii="Calibri" w:hAnsi="Calibri"/>
          <w:b/>
          <w:i w:val="0"/>
          <w:color w:val="203748"/>
          <w:sz w:val="24"/>
        </w:rPr>
        <w:t>Visão de produto + mapa do ecossistema</w:t>
      </w:r>
    </w:p>
    <w:p>
      <w:pPr>
        <w:spacing w:before="0" w:after="80" w:line="300" w:lineRule="auto"/>
        <w:jc w:val="center"/>
      </w:pPr>
      <w:r>
        <w:rPr>
          <w:rFonts w:ascii="Calibri" w:hAnsi="Calibri"/>
          <w:b w:val="0"/>
          <w:i/>
          <w:color w:val="5D6870"/>
          <w:sz w:val="19"/>
        </w:rPr>
        <w:t>Revisado em 19 de julho de 2026</w:t>
      </w:r>
    </w:p>
    <w:p>
      <w:r>
        <w:br w:type="page"/>
      </w:r>
    </w:p>
    <w:p>
      <w:pPr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C5943A"/>
          <w:sz w:val="19"/>
        </w:rPr>
        <w:t>A PROMESSA</w:t>
      </w:r>
    </w:p>
    <w:p>
      <w:pPr>
        <w:pStyle w:val="Heading1"/>
      </w:pPr>
      <w:r>
        <w:t>Uma escola, dois caminhos</w:t>
      </w:r>
    </w:p>
    <w:p>
      <w:pPr>
        <w:spacing w:before="0" w:after="240" w:line="300" w:lineRule="auto"/>
        <w:jc w:val="left"/>
      </w:pPr>
      <w:r>
        <w:rPr>
          <w:rFonts w:ascii="Calibri" w:hAnsi="Calibri"/>
          <w:b w:val="0"/>
          <w:i w:val="0"/>
          <w:color w:val="203748"/>
          <w:sz w:val="24"/>
        </w:rPr>
        <w:t>O AI DevSchool democratiza o conhecimento e a aplicação de IA por meio de lições curtas, práticas e verificáveis. A atividade muda conforme a pessoa; o ciclo de aprendizagem não muda.</w:t>
      </w:r>
    </w:p>
    <w:p>
      <w:pPr>
        <w:keepLines/>
        <w:spacing w:before="140" w:after="180" w:line="288" w:lineRule="auto"/>
        <w:ind w:left="202" w:right="115"/>
        <w:shd w:fill="E7F2F1"/>
        <w:pBdr>
          <w:left w:val="single" w:sz="20" w:space="7" w:color="2A7F83"/>
        </w:pBdr>
      </w:pPr>
      <w:r>
        <w:rPr>
          <w:rFonts w:ascii="Calibri" w:hAnsi="Calibri"/>
          <w:b/>
          <w:color w:val="1F4D78"/>
          <w:sz w:val="21"/>
        </w:rPr>
        <w:t xml:space="preserve">NORTE  </w:t>
      </w:r>
      <w:r>
        <w:rPr>
          <w:rFonts w:ascii="Calibri" w:hAnsi="Calibri"/>
          <w:color w:val="24313A"/>
          <w:sz w:val="21"/>
        </w:rPr>
        <w:t>Objetivo → tentativa → feedback → dica e nova tentativa → evidência → revisão.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80"/>
        <w:gridCol w:w="3000"/>
        <w:gridCol w:w="4280"/>
      </w:tblGrid>
      <w:tr>
        <w:trPr>
          <w:tblHeader w:val="true"/>
          <w:cantSplit/>
        </w:trPr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Quero…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Entrada</w:t>
            </w:r>
          </w:p>
        </w:tc>
        <w:tc>
          <w:tcPr>
            <w:tcW w:type="dxa" w:w="4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Onde verificar</w:t>
            </w:r>
            <w:r>
              <w:rPr>
                <w:rFonts w:ascii="Calibri" w:hAnsi="Calibri"/>
                <w:b/>
                <w:color w:val="1F4D78"/>
                <w:sz w:val="19"/>
              </w:rPr>
            </w:r>
          </w:p>
        </w:tc>
      </w:tr>
      <w:tr>
        <w:trPr>
          <w:cantSplit/>
        </w:trPr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24313A"/>
                <w:sz w:val="19"/>
              </w:rPr>
              <w:t>Aplicar IA sem programar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LiteracyDojo + currículo AI Literacy</w:t>
            </w:r>
            <w:r>
              <w:rPr>
                <w:rFonts w:ascii="Calibri" w:hAnsi="Calibri"/>
                <w:b w:val="0"/>
                <w:color w:val="24313A"/>
                <w:sz w:val="19"/>
              </w:rPr>
            </w:r>
          </w:p>
        </w:tc>
        <w:tc>
          <w:tcPr>
            <w:tcW w:type="dxa" w:w="4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O currículo mantém o conteúdo; o README do engine mantém implementação e release.</w:t>
            </w:r>
            <w:r>
              <w:rPr>
                <w:rFonts w:ascii="Calibri" w:hAnsi="Calibr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24313A"/>
                <w:sz w:val="19"/>
              </w:rPr>
              <w:t>Construir software com IA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24313A"/>
                <w:sz w:val="19"/>
              </w:rPr>
              <w:t>Projetos 01–18 + codexDojo e jogos</w:t>
            </w:r>
          </w:p>
        </w:tc>
        <w:tc>
          <w:tcPr>
            <w:tcW w:type="dxa" w:w="4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24313A"/>
                <w:sz w:val="19"/>
              </w:rPr>
              <w:t>Status e evidência variam por projeto; o catálogo canônico é a autoridade.</w:t>
            </w:r>
          </w:p>
        </w:tc>
      </w:tr>
      <w:tr>
        <w:trPr>
          <w:cantSplit/>
        </w:trPr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24313A"/>
                <w:sz w:val="19"/>
              </w:rPr>
              <w:t>Explorar antes de estudar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24313A"/>
                <w:sz w:val="19"/>
              </w:rPr>
              <w:t>miniTown</w:t>
            </w:r>
          </w:p>
        </w:tc>
        <w:tc>
          <w:tcPr>
            <w:tcW w:type="dxa" w:w="4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Experiência local e sem código; não contém a trilha AI Literacy nem marca domínio.</w:t>
            </w:r>
            <w:r>
              <w:rPr>
                <w:rFonts w:ascii="Calibri" w:hAnsi="Calibri"/>
                <w:b w:val="0"/>
                <w:color w:val="24313A"/>
                <w:sz w:val="19"/>
              </w:rPr>
            </w:r>
          </w:p>
        </w:tc>
      </w:tr>
    </w:tbl>
    <w:p>
      <w:pPr>
        <w:spacing w:before="200" w:after="0" w:line="300" w:lineRule="auto"/>
        <w:jc w:val="left"/>
      </w:pPr>
      <w:r>
        <w:rPr>
          <w:rFonts w:ascii="Calibri" w:hAnsi="Calibri"/>
          <w:b w:val="0"/>
          <w:i/>
          <w:color w:val="5D6870"/>
          <w:sz w:val="21"/>
        </w:rPr>
        <w:t>Limite atual: ainda não existe um link público oficial em que uma nova pessoa apenas abra o navegador e comece a aprender.</w:t>
      </w:r>
    </w:p>
    <w:p>
      <w:r>
        <w:br w:type="page"/>
      </w:r>
    </w:p>
    <w:p>
      <w:pPr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C5943A"/>
          <w:sz w:val="19"/>
        </w:rPr>
        <w:t>EXPERIÊNCIA</w:t>
      </w:r>
    </w:p>
    <w:p>
      <w:pPr>
        <w:pStyle w:val="Heading1"/>
      </w:pPr>
      <w:r>
        <w:t>A anatomia de uma microlição</w:t>
      </w:r>
    </w:p>
    <w:p>
      <w:pPr>
        <w:spacing w:before="0" w:after="200" w:line="300" w:lineRule="auto"/>
        <w:jc w:val="left"/>
      </w:pPr>
      <w:r>
        <w:rPr>
          <w:rFonts w:ascii="Calibri" w:hAnsi="Calibri"/>
          <w:b w:val="0"/>
          <w:i w:val="0"/>
          <w:color w:val="24313A"/>
          <w:sz w:val="22"/>
        </w:rPr>
        <w:t>Uma lição busca caber em 3–5 minutos quando a atividade permitir, introduz um conceito principal e termina com um próximo passo claro.</w:t>
      </w:r>
    </w:p>
    <w:p>
      <w:pPr>
        <w:keepLines/>
        <w:numPr>
          <w:ilvl w:val="0"/>
          <w:numId w:val="10"/>
        </w:numPr>
        <w:spacing w:after="80" w:line="300" w:lineRule="auto"/>
      </w:pPr>
      <w:r>
        <w:rPr>
          <w:b/>
          <w:color w:val="1F4D78"/>
        </w:rPr>
        <w:t xml:space="preserve">Objetivo. </w:t>
      </w:r>
      <w:r>
        <w:rPr>
          <w:color w:val="24313A"/>
        </w:rPr>
        <w:t>Uma habilidade observável, escrita sem jargão.</w:t>
      </w:r>
    </w:p>
    <w:p>
      <w:pPr>
        <w:keepLines/>
        <w:numPr>
          <w:ilvl w:val="0"/>
          <w:numId w:val="10"/>
        </w:numPr>
        <w:spacing w:after="80" w:line="300" w:lineRule="auto"/>
      </w:pPr>
      <w:r>
        <w:rPr>
          <w:b/>
          <w:color w:val="1F4D78"/>
        </w:rPr>
        <w:t xml:space="preserve">Tentativa. </w:t>
      </w:r>
      <w:r>
        <w:rPr>
          <w:color w:val="24313A"/>
        </w:rPr>
        <w:t>A pessoa faz algo antes de receber a solução completa.</w:t>
      </w:r>
    </w:p>
    <w:p>
      <w:pPr>
        <w:keepLines/>
        <w:numPr>
          <w:ilvl w:val="0"/>
          <w:numId w:val="10"/>
        </w:numPr>
        <w:spacing w:after="80" w:line="300" w:lineRule="auto"/>
      </w:pPr>
      <w:r>
        <w:rPr>
          <w:b/>
          <w:color w:val="1F4D78"/>
        </w:rPr>
        <w:t xml:space="preserve">Feedback imediato. </w:t>
      </w:r>
      <w:r>
        <w:rPr>
          <w:color w:val="24313A"/>
        </w:rPr>
        <w:t>O app mostra o que passou, o que faltou e por quê.</w:t>
      </w:r>
    </w:p>
    <w:p>
      <w:pPr>
        <w:keepLines/>
        <w:numPr>
          <w:ilvl w:val="0"/>
          <w:numId w:val="10"/>
        </w:numPr>
        <w:spacing w:after="80" w:line="300" w:lineRule="auto"/>
      </w:pPr>
      <w:r>
        <w:rPr>
          <w:b/>
          <w:color w:val="1F4D78"/>
        </w:rPr>
        <w:t xml:space="preserve">Dica progressiva. </w:t>
      </w:r>
      <w:r>
        <w:rPr>
          <w:color w:val="24313A"/>
        </w:rPr>
        <w:t>A ajuda reduz a dificuldade sem substituir o raciocínio.</w:t>
      </w:r>
    </w:p>
    <w:p>
      <w:pPr>
        <w:keepLines/>
        <w:numPr>
          <w:ilvl w:val="0"/>
          <w:numId w:val="10"/>
        </w:numPr>
        <w:spacing w:after="80" w:line="300" w:lineRule="auto"/>
      </w:pPr>
      <w:r>
        <w:rPr>
          <w:b/>
          <w:color w:val="1F4D78"/>
        </w:rPr>
        <w:t xml:space="preserve">Nova tentativa. </w:t>
      </w:r>
      <w:r>
        <w:rPr>
          <w:color w:val="24313A"/>
        </w:rPr>
        <w:t>Falhar abre um caminho de correção, não um beco sem saída.</w:t>
      </w:r>
    </w:p>
    <w:p>
      <w:pPr>
        <w:keepLines/>
        <w:numPr>
          <w:ilvl w:val="0"/>
          <w:numId w:val="10"/>
        </w:numPr>
        <w:spacing w:after="80" w:line="300" w:lineRule="auto"/>
      </w:pPr>
      <w:r>
        <w:rPr>
          <w:b/>
          <w:color w:val="1F4D78"/>
        </w:rPr>
        <w:t xml:space="preserve">Evidência bruta. </w:t>
      </w:r>
      <w:r>
        <w:rPr>
          <w:color w:val="24313A"/>
        </w:rPr>
        <w:t>A tentativa gera um registro estruturado e auditável.</w:t>
      </w:r>
    </w:p>
    <w:p>
      <w:pPr>
        <w:keepLines/>
        <w:numPr>
          <w:ilvl w:val="0"/>
          <w:numId w:val="10"/>
        </w:numPr>
        <w:spacing w:after="80" w:line="300" w:lineRule="auto"/>
      </w:pPr>
      <w:r>
        <w:rPr>
          <w:b/>
          <w:color w:val="1F4D78"/>
        </w:rPr>
        <w:t xml:space="preserve">Progresso e revisão. </w:t>
      </w:r>
      <w:r>
        <w:rPr>
          <w:color w:val="24313A"/>
        </w:rPr>
        <w:t>A experiência agenda retorno e mostra continuidade.</w:t>
      </w:r>
    </w:p>
    <w:p>
      <w:pPr>
        <w:keepLines/>
        <w:numPr>
          <w:ilvl w:val="0"/>
          <w:numId w:val="10"/>
        </w:numPr>
        <w:spacing w:after="80" w:line="300" w:lineRule="auto"/>
      </w:pPr>
      <w:r>
        <w:rPr>
          <w:b/>
          <w:color w:val="1F4D78"/>
        </w:rPr>
        <w:t xml:space="preserve">Verificação. </w:t>
      </w:r>
      <w:r>
        <w:rPr>
          <w:color w:val="24313A"/>
        </w:rPr>
        <w:t>Somente um contexto independente pode declarar mastery.</w:t>
      </w:r>
    </w:p>
    <w:p>
      <w:pPr>
        <w:keepLines/>
        <w:spacing w:before="140" w:after="180" w:line="288" w:lineRule="auto"/>
        <w:ind w:left="202" w:right="115"/>
        <w:shd w:fill="F7F0DF"/>
        <w:pBdr>
          <w:left w:val="single" w:sz="20" w:space="7" w:color="2A7F83"/>
        </w:pBdr>
      </w:pPr>
      <w:r>
        <w:rPr>
          <w:rFonts w:ascii="Calibri" w:hAnsi="Calibri"/>
          <w:b/>
          <w:color w:val="1F4D78"/>
          <w:sz w:val="21"/>
        </w:rPr>
        <w:t xml:space="preserve">PEGADA DUOLINGO  </w:t>
      </w:r>
      <w:r>
        <w:rPr>
          <w:rFonts w:ascii="Calibri" w:hAnsi="Calibri"/>
          <w:color w:val="24313A"/>
          <w:sz w:val="21"/>
        </w:rPr>
        <w:t>Lição pequena, ação clara, feedback rápido, retry e retorno. Streak, XP e conquistas motivam; nunca substituem evidência nem promovem mastery.</w:t>
      </w:r>
    </w:p>
    <w:p>
      <w:r>
        <w:br w:type="page"/>
      </w:r>
    </w:p>
    <w:p>
      <w:pPr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C5943A"/>
          <w:sz w:val="19"/>
        </w:rPr>
        <w:t>ESTADO VERIFICÁVEL</w:t>
      </w:r>
    </w:p>
    <w:p>
      <w:pPr>
        <w:pStyle w:val="Heading1"/>
      </w:pPr>
      <w:r>
        <w:t>O que existe hoje</w:t>
      </w:r>
    </w:p>
    <w:p>
      <w:pPr>
        <w:spacing w:before="0" w:after="200" w:line="300" w:lineRule="auto"/>
        <w:jc w:val="left"/>
      </w:pPr>
      <w:r>
        <w:rPr>
          <w:rFonts w:ascii="Calibri" w:hAnsi="Calibri"/>
          <w:b w:val="0"/>
          <w:i w:val="0"/>
          <w:color w:val="24313A"/>
          <w:sz w:val="22"/>
        </w:rPr>
        <w:t>Os termos abaixo não são sinônimos. A documentação separa conteúdo pronto, software verificado, progresso local e competência comprovada.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450"/>
        <w:gridCol w:w="3710"/>
      </w:tblGrid>
      <w:tr>
        <w:trPr>
          <w:tblHeader w:val="true"/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Superfície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Fonte vigente</w:t>
            </w:r>
            <w:r>
              <w:rPr>
                <w:rFonts w:ascii="Calibri" w:hAnsi="Calibri"/>
                <w:b/>
                <w:color w:val="1F4D78"/>
                <w:sz w:val="19"/>
              </w:rPr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Não significa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24313A"/>
                <w:sz w:val="19"/>
              </w:rPr>
              <w:t>AI Literacy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curriculum/ai-literacy/README.md + catalog.yaml</w:t>
            </w:r>
            <w:r>
              <w:rPr>
                <w:rFonts w:ascii="Calibri" w:hAnsi="Calibri"/>
                <w:b w:val="0"/>
                <w:color w:val="24313A"/>
                <w:sz w:val="19"/>
              </w:rPr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24313A"/>
                <w:sz w:val="19"/>
              </w:rPr>
              <w:t>Release do app ou mastery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24313A"/>
                <w:sz w:val="19"/>
              </w:rPr>
              <w:t>LiteracyDojo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engines/literacyDojo/README.md</w:t>
            </w:r>
            <w:r>
              <w:rPr>
                <w:rFonts w:ascii="Calibri" w:hAnsi="Calibri"/>
                <w:b w:val="0"/>
                <w:color w:val="24313A"/>
                <w:sz w:val="19"/>
              </w:rPr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Conteúdo ready ou progresso local completed</w:t>
            </w:r>
            <w:r>
              <w:rPr>
                <w:rFonts w:ascii="Calibri" w:hAnsi="Calibr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24313A"/>
                <w:sz w:val="19"/>
              </w:rPr>
              <w:t>miniTown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24313A"/>
                <w:sz w:val="19"/>
              </w:rPr>
              <w:t>MVP local de exploração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24313A"/>
                <w:sz w:val="19"/>
              </w:rPr>
              <w:t>Player das lições ou evidência de domínio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24313A"/>
                <w:sz w:val="19"/>
              </w:rPr>
              <w:t>Catálogo numerado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24313A"/>
                <w:sz w:val="19"/>
              </w:rPr>
              <w:t>19 entradas: 00–18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24313A"/>
                <w:sz w:val="19"/>
              </w:rPr>
              <w:t>19 projetos de programação; são 18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24313A"/>
                <w:sz w:val="19"/>
              </w:rPr>
              <w:t>codexDojo / OS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24313A"/>
                <w:sz w:val="19"/>
              </w:rPr>
              <w:t>Projeções geradas e read-only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24313A"/>
                <w:sz w:val="19"/>
              </w:rPr>
              <w:t>Autoridade para alterar mastery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24313A"/>
                <w:sz w:val="19"/>
              </w:rPr>
              <w:t>Learner Journey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24313A"/>
                <w:sz w:val="19"/>
              </w:rPr>
              <w:t>YAML canônico + verificador independente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24313A"/>
                <w:sz w:val="19"/>
              </w:rPr>
              <w:t>Autoavaliação ou opinião de modelo</w:t>
            </w:r>
          </w:p>
        </w:tc>
      </w:tr>
    </w:tbl>
    <w:p>
      <w:pPr>
        <w:keepLines/>
        <w:spacing w:before="140" w:after="180" w:line="288" w:lineRule="auto"/>
        <w:ind w:left="202" w:right="115"/>
        <w:shd w:fill="E7F2F1"/>
        <w:pBdr>
          <w:left w:val="single" w:sz="20" w:space="7" w:color="2A7F83"/>
        </w:pBdr>
      </w:pPr>
      <w:r>
        <w:rPr>
          <w:rFonts w:ascii="Calibri" w:hAnsi="Calibri"/>
          <w:b/>
          <w:color w:val="1F4D78"/>
          <w:sz w:val="21"/>
        </w:rPr>
        <w:t xml:space="preserve">REGRA DE LEITURA  </w:t>
      </w:r>
      <w:r>
        <w:rPr>
          <w:rFonts w:ascii="Calibri" w:hAnsi="Calibri"/>
          <w:color w:val="24313A"/>
          <w:sz w:val="21"/>
        </w:rPr>
        <w:t>ready ≠ release; generated ≠ autoral; completed ≠ mastered.</w:t>
      </w:r>
    </w:p>
    <w:p>
      <w:r>
        <w:br w:type="page"/>
      </w:r>
    </w:p>
    <w:p>
      <w:pPr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C5943A"/>
          <w:sz w:val="19"/>
        </w:rPr>
        <w:t>ARQUITETURA</w:t>
      </w:r>
    </w:p>
    <w:p>
      <w:pPr>
        <w:pStyle w:val="Heading1"/>
      </w:pPr>
      <w:r>
        <w:t>Como o ecossistema preserva a aprendizagem</w:t>
      </w:r>
    </w:p>
    <w:p>
      <w:pPr>
        <w:keepLines/>
        <w:numPr>
          <w:ilvl w:val="0"/>
          <w:numId w:val="11"/>
        </w:numPr>
        <w:spacing w:after="80" w:line="300" w:lineRule="auto"/>
      </w:pPr>
      <w:r>
        <w:rPr>
          <w:b/>
          <w:color w:val="1F4D78"/>
        </w:rPr>
        <w:t xml:space="preserve">Fontes canônicas. </w:t>
      </w:r>
      <w:r>
        <w:rPr>
          <w:color w:val="24313A"/>
        </w:rPr>
        <w:t>O conteúdo nasce em curriculum/; o estado compartilhado nasce em learner/.</w:t>
      </w:r>
    </w:p>
    <w:p>
      <w:pPr>
        <w:keepLines/>
        <w:numPr>
          <w:ilvl w:val="0"/>
          <w:numId w:val="11"/>
        </w:numPr>
        <w:spacing w:after="80" w:line="300" w:lineRule="auto"/>
      </w:pPr>
      <w:r>
        <w:rPr>
          <w:b/>
          <w:color w:val="1F4D78"/>
        </w:rPr>
        <w:t xml:space="preserve">Superfícies de tentativa. </w:t>
      </w:r>
      <w:r>
        <w:rPr>
          <w:color w:val="24313A"/>
        </w:rPr>
        <w:t>LiteracyDojo, Pixel, Voxel e demais experiências apresentam a atividade.</w:t>
      </w:r>
    </w:p>
    <w:p>
      <w:pPr>
        <w:keepLines/>
        <w:numPr>
          <w:ilvl w:val="0"/>
          <w:numId w:val="11"/>
        </w:numPr>
        <w:spacing w:after="80" w:line="300" w:lineRule="auto"/>
      </w:pPr>
      <w:r>
        <w:rPr>
          <w:b/>
          <w:color w:val="1F4D78"/>
        </w:rPr>
        <w:t xml:space="preserve">Feedback. </w:t>
      </w:r>
      <w:r>
        <w:rPr>
          <w:color w:val="24313A"/>
        </w:rPr>
        <w:t>O caminho crítico usa critérios determinísticos sempre que possível.</w:t>
      </w:r>
    </w:p>
    <w:p>
      <w:pPr>
        <w:keepLines/>
        <w:numPr>
          <w:ilvl w:val="0"/>
          <w:numId w:val="11"/>
        </w:numPr>
        <w:spacing w:after="80" w:line="300" w:lineRule="auto"/>
      </w:pPr>
      <w:r>
        <w:rPr>
          <w:b/>
          <w:color w:val="1F4D78"/>
        </w:rPr>
        <w:t xml:space="preserve">Evidência. </w:t>
      </w:r>
      <w:r>
        <w:rPr>
          <w:color w:val="24313A"/>
        </w:rPr>
        <w:t>A superfície emite dados brutos e não aprova o próprio trabalho.</w:t>
      </w:r>
    </w:p>
    <w:p>
      <w:pPr>
        <w:keepLines/>
        <w:numPr>
          <w:ilvl w:val="0"/>
          <w:numId w:val="11"/>
        </w:numPr>
        <w:spacing w:after="80" w:line="300" w:lineRule="auto"/>
      </w:pPr>
      <w:r>
        <w:rPr>
          <w:b/>
          <w:color w:val="1F4D78"/>
        </w:rPr>
        <w:t xml:space="preserve">Verificador independente. </w:t>
      </w:r>
      <w:r>
        <w:rPr>
          <w:color w:val="24313A"/>
        </w:rPr>
        <w:t>Outro contexto reavalia a evidência antes de qualquer mastery.</w:t>
      </w:r>
    </w:p>
    <w:p>
      <w:pPr>
        <w:keepLines/>
        <w:numPr>
          <w:ilvl w:val="0"/>
          <w:numId w:val="11"/>
        </w:numPr>
        <w:spacing w:after="80" w:line="300" w:lineRule="auto"/>
      </w:pPr>
      <w:r>
        <w:rPr>
          <w:b/>
          <w:color w:val="1F4D78"/>
        </w:rPr>
        <w:t xml:space="preserve">Projeções. </w:t>
      </w:r>
      <w:r>
        <w:rPr>
          <w:color w:val="24313A"/>
        </w:rPr>
        <w:t>Dashboards e engines recebem views geradas; não reescrevem a fonte.</w:t>
      </w:r>
    </w:p>
    <w:p>
      <w:pPr>
        <w:pStyle w:val="Heading2"/>
      </w:pPr>
      <w:r>
        <w:t>Limites que não devem ser apagados</w:t>
      </w:r>
    </w:p>
    <w:p>
      <w:pPr>
        <w:keepLines/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24313A"/>
          <w:sz w:val="22"/>
        </w:rPr>
        <w:t>AI Literacy e teaching games compartilham princípios, não um único schema.</w:t>
      </w:r>
    </w:p>
    <w:p>
      <w:pPr>
        <w:keepLines/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24313A"/>
          <w:sz w:val="22"/>
        </w:rPr>
        <w:t>LiteracyDojo registra no máximo completed no navegador.</w:t>
      </w:r>
    </w:p>
    <w:p>
      <w:pPr>
        <w:keepLines/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24313A"/>
          <w:sz w:val="22"/>
        </w:rPr>
        <w:t>miniTown é exploração: estado de runtime não é evidência de aprendizagem.</w:t>
      </w:r>
    </w:p>
    <w:p>
      <w:pPr>
        <w:keepLines/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24313A"/>
          <w:sz w:val="22"/>
        </w:rPr>
        <w:t>codexDojo e o OS apresentam projeções; não inventam progresso.</w:t>
      </w:r>
    </w:p>
    <w:p>
      <w:pPr>
        <w:keepLines/>
        <w:spacing w:before="140" w:after="180" w:line="288" w:lineRule="auto"/>
        <w:ind w:left="202" w:right="115"/>
        <w:shd w:fill="F7F0DF"/>
        <w:pBdr>
          <w:left w:val="single" w:sz="20" w:space="7" w:color="2A7F83"/>
        </w:pBdr>
      </w:pPr>
      <w:r>
        <w:rPr>
          <w:rFonts w:ascii="Calibri" w:hAnsi="Calibri"/>
          <w:b/>
          <w:color w:val="1F4D78"/>
          <w:sz w:val="21"/>
        </w:rPr>
        <w:t xml:space="preserve">REGRA DE OURO  </w:t>
      </w:r>
      <w:r>
        <w:rPr>
          <w:rFonts w:ascii="Calibri" w:hAnsi="Calibri"/>
          <w:color w:val="24313A"/>
          <w:sz w:val="21"/>
        </w:rPr>
        <w:t>A certeza de conclusão nunca vive no modelo de linguagem nem na superfície que produziu a tentativa.</w:t>
      </w:r>
    </w:p>
    <w:p>
      <w:r>
        <w:br w:type="page"/>
      </w:r>
    </w:p>
    <w:p>
      <w:pPr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C5943A"/>
          <w:sz w:val="19"/>
        </w:rPr>
        <w:t>ROTAS LOCAIS</w:t>
      </w:r>
    </w:p>
    <w:p>
      <w:pPr>
        <w:pStyle w:val="Heading1"/>
      </w:pPr>
      <w:r>
        <w:t>Como começar hoje</w:t>
      </w:r>
    </w:p>
    <w:p>
      <w:pPr>
        <w:spacing w:before="0" w:after="200" w:line="300" w:lineRule="auto"/>
        <w:jc w:val="left"/>
      </w:pPr>
      <w:r>
        <w:rPr>
          <w:rFonts w:ascii="Calibri" w:hAnsi="Calibri"/>
          <w:b w:val="0"/>
          <w:i w:val="0"/>
          <w:color w:val="24313A"/>
          <w:sz w:val="22"/>
        </w:rPr>
        <w:t>As experiências ainda exigem setup local. Para uma pessoa não técnica, um facilitador pode executar os comandos e entregar apenas o navegador.</w:t>
      </w:r>
    </w:p>
    <w:p>
      <w:pPr>
        <w:pStyle w:val="Heading2"/>
      </w:pPr>
      <w:r>
        <w:t>Microlições guiadas</w:t>
      </w:r>
    </w:p>
    <w:p>
      <w:pPr>
        <w:spacing w:before="0" w:after="60" w:line="300" w:lineRule="auto"/>
        <w:jc w:val="left"/>
      </w:pPr>
      <w:r>
        <w:rPr>
          <w:rFonts w:ascii="Calibri" w:hAnsi="Calibri"/>
          <w:b w:val="0"/>
          <w:i w:val="0"/>
          <w:color w:val="5D6870"/>
          <w:sz w:val="20"/>
        </w:rPr>
        <w:t>Ponto de partida: engines/literacyDojo</w:t>
      </w:r>
    </w:p>
    <w:p>
      <w:pPr>
        <w:spacing w:after="120" w:line="264" w:lineRule="auto"/>
        <w:ind w:left="360" w:right="360"/>
        <w:shd w:fill="F3F5F7"/>
      </w:pPr>
      <w:r>
        <w:rPr>
          <w:rFonts w:ascii="Courier New" w:hAnsi="Courier New"/>
          <w:color w:val="24313A"/>
          <w:sz w:val="19"/>
        </w:rPr>
        <w:t>npm install</w:t>
        <w:br/>
        <w:t>npm run gen:content</w:t>
        <w:br/>
        <w:t>npm run dev</w:t>
      </w:r>
    </w:p>
    <w:p>
      <w:pPr>
        <w:pStyle w:val="Heading2"/>
      </w:pPr>
      <w:r>
        <w:t>Exploração sem tarefa de código</w:t>
      </w:r>
    </w:p>
    <w:p>
      <w:pPr>
        <w:spacing w:before="0" w:after="60" w:line="300" w:lineRule="auto"/>
        <w:jc w:val="left"/>
      </w:pPr>
      <w:r>
        <w:rPr>
          <w:rFonts w:ascii="Calibri" w:hAnsi="Calibri"/>
          <w:b w:val="0"/>
          <w:i w:val="0"/>
          <w:color w:val="5D6870"/>
          <w:sz w:val="20"/>
        </w:rPr>
        <w:t>Ponto de partida: raiz do repositório</w:t>
      </w:r>
    </w:p>
    <w:p>
      <w:pPr>
        <w:spacing w:after="120" w:line="264" w:lineRule="auto"/>
        <w:ind w:left="360" w:right="360"/>
        <w:shd w:fill="F3F5F7"/>
      </w:pPr>
      <w:r>
        <w:rPr>
          <w:rFonts w:ascii="Courier New" w:hAnsi="Courier New"/>
          <w:color w:val="24313A"/>
          <w:sz w:val="19"/>
        </w:rPr>
        <w:t>./setup.sh onboard</w:t>
        <w:br/>
        <w:t>cd engines/miniTown</w:t>
        <w:br/>
        <w:t>pnpm run dev</w:t>
      </w:r>
    </w:p>
    <w:p>
      <w:pPr>
        <w:pStyle w:val="Heading2"/>
      </w:pPr>
      <w:r>
        <w:t>Trilha de programação</w:t>
      </w:r>
    </w:p>
    <w:p>
      <w:pPr>
        <w:spacing w:before="0" w:after="60" w:line="300" w:lineRule="auto"/>
        <w:jc w:val="left"/>
      </w:pPr>
      <w:r>
        <w:rPr>
          <w:rFonts w:ascii="Calibri" w:hAnsi="Calibri"/>
          <w:b w:val="0"/>
          <w:i w:val="0"/>
          <w:color w:val="5D6870"/>
          <w:sz w:val="20"/>
        </w:rPr>
        <w:t>Ponto de partida: engines/codexDojo</w:t>
      </w:r>
    </w:p>
    <w:p>
      <w:pPr>
        <w:spacing w:after="120" w:line="264" w:lineRule="auto"/>
        <w:ind w:left="360" w:right="360"/>
        <w:shd w:fill="F3F5F7"/>
      </w:pPr>
      <w:r>
        <w:rPr>
          <w:rFonts w:ascii="Courier New" w:hAnsi="Courier New"/>
          <w:color w:val="24313A"/>
          <w:sz w:val="19"/>
        </w:rPr>
        <w:t>pnpm install</w:t>
        <w:br/>
        <w:t>pnpm run dev</w:t>
      </w:r>
    </w:p>
    <w:p>
      <w:pPr>
        <w:spacing w:before="120" w:after="120" w:line="300" w:lineRule="auto"/>
        <w:jc w:val="left"/>
      </w:pPr>
      <w:r>
        <w:rPr>
          <w:rFonts w:ascii="Calibri" w:hAnsi="Calibri"/>
          <w:b w:val="0"/>
          <w:i/>
          <w:color w:val="5D6870"/>
          <w:sz w:val="21"/>
        </w:rPr>
        <w:t>Antes de publicar qualquer engine, rode os comandos de lint, testes, build e E2E definidos em seu README local.</w:t>
      </w:r>
    </w:p>
    <w:p>
      <w:r>
        <w:br w:type="page"/>
      </w:r>
    </w:p>
    <w:p>
      <w:pPr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C5943A"/>
          <w:sz w:val="19"/>
        </w:rPr>
        <w:t>PRÓXIMOS MARCOS</w:t>
      </w:r>
    </w:p>
    <w:p>
      <w:pPr>
        <w:pStyle w:val="Heading1"/>
      </w:pPr>
      <w:r>
        <w:t>O que falta para a visão se cumprir</w:t>
      </w:r>
    </w:p>
    <w:p>
      <w:pPr>
        <w:keepLines/>
        <w:numPr>
          <w:ilvl w:val="0"/>
          <w:numId w:val="13"/>
        </w:numPr>
        <w:spacing w:after="80" w:line="300" w:lineRule="auto"/>
      </w:pPr>
      <w:r>
        <w:rPr>
          <w:b/>
          <w:color w:val="1F4D78"/>
        </w:rPr>
        <w:t xml:space="preserve">Entrada pública. </w:t>
      </w:r>
      <w:r>
        <w:rPr>
          <w:color w:val="24313A"/>
        </w:rPr>
        <w:t>Publicar uma rota oficial que abra no navegador sem setup local.</w:t>
      </w:r>
    </w:p>
    <w:p>
      <w:pPr>
        <w:keepLines/>
        <w:numPr>
          <w:ilvl w:val="0"/>
          <w:numId w:val="13"/>
        </w:numPr>
        <w:spacing w:after="80" w:line="300" w:lineRule="auto"/>
      </w:pPr>
      <w:r>
        <w:rPr>
          <w:b/>
          <w:color w:val="1F4D78"/>
        </w:rPr>
        <w:t>Release do LiteracyDojo.</w:t>
      </w:r>
      <w:r>
        <w:rPr>
          <w:color w:val="24313A"/>
        </w:rPr>
        <w:t xml:space="preserve"> Cumprir, no mesmo estado, todos os critérios mantidos no README do engine.</w:t>
      </w:r>
    </w:p>
    <w:p>
      <w:pPr>
        <w:keepLines/>
        <w:numPr>
          <w:ilvl w:val="0"/>
          <w:numId w:val="13"/>
        </w:numPr>
        <w:spacing w:after="80" w:line="300" w:lineRule="auto"/>
      </w:pPr>
      <w:r>
        <w:rPr>
          <w:b/>
          <w:color w:val="1F4D78"/>
        </w:rPr>
        <w:t>Verificação no-code.</w:t>
      </w:r>
      <w:r>
        <w:rPr>
          <w:color w:val="24313A"/>
        </w:rPr>
        <w:t xml:space="preserve"> Conectar o progresso local a um verificador independente adequado, sem promover completed automaticamente.</w:t>
      </w:r>
    </w:p>
    <w:p>
      <w:pPr>
        <w:keepLines/>
        <w:numPr>
          <w:ilvl w:val="0"/>
          <w:numId w:val="13"/>
        </w:numPr>
        <w:spacing w:after="80" w:line="300" w:lineRule="auto"/>
      </w:pPr>
      <w:r>
        <w:rPr>
          <w:b/>
          <w:color w:val="1F4D78"/>
        </w:rPr>
        <w:t xml:space="preserve">Replicação. </w:t>
      </w:r>
      <w:r>
        <w:rPr>
          <w:color w:val="24313A"/>
        </w:rPr>
        <w:t>Criar uma nova instância de aprendiz sem operação manual especializada.</w:t>
      </w:r>
    </w:p>
    <w:p>
      <w:pPr>
        <w:pStyle w:val="Heading2"/>
      </w:pPr>
      <w:r>
        <w:t>Fontes para continuar</w:t>
      </w:r>
    </w:p>
    <w:p>
      <w:pPr>
        <w:keepLines/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24313A"/>
          <w:sz w:val="22"/>
        </w:rPr>
        <w:t>docs/VISION.md — intenção de produto e lacunas</w:t>
      </w:r>
    </w:p>
    <w:p>
      <w:pPr>
        <w:keepLines/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24313A"/>
          <w:sz w:val="22"/>
        </w:rPr>
        <w:t>docs/design/micro-lesson-contract.md — ciclo pedagógico mínimo</w:t>
      </w:r>
    </w:p>
    <w:p>
      <w:pPr>
        <w:keepLines/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24313A"/>
          <w:sz w:val="22"/>
        </w:rPr>
        <w:t>docs/DOCUMENTATION.md — mapa canônico de leitura</w:t>
      </w:r>
    </w:p>
    <w:p>
      <w:pPr>
        <w:keepLines/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24313A"/>
          <w:sz w:val="22"/>
        </w:rPr>
        <w:t>curriculum/ai-literacy/README.md — conteúdo e validação</w:t>
      </w:r>
    </w:p>
    <w:p>
      <w:pPr>
        <w:keepLines/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24313A"/>
          <w:sz w:val="22"/>
        </w:rPr>
        <w:t>engines/literacyDojo/README.md — setup, invariantes e release gate</w:t>
      </w:r>
    </w:p>
    <w:p>
      <w:pPr>
        <w:keepLines/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24313A"/>
          <w:sz w:val="22"/>
        </w:rPr>
        <w:t>learner/learning_state.yaml — estado compartilhado canônico</w:t>
      </w:r>
    </w:p>
    <w:p>
      <w:pPr>
        <w:keepLines/>
        <w:spacing w:before="140" w:after="180" w:line="288" w:lineRule="auto"/>
        <w:ind w:left="202" w:right="115"/>
        <w:shd w:fill="E7F2F1"/>
        <w:pBdr>
          <w:left w:val="single" w:sz="20" w:space="7" w:color="2A7F83"/>
        </w:pBdr>
      </w:pPr>
      <w:r>
        <w:rPr>
          <w:rFonts w:ascii="Calibri" w:hAnsi="Calibri"/>
          <w:b/>
          <w:color w:val="1F4D78"/>
          <w:sz w:val="21"/>
        </w:rPr>
        <w:t xml:space="preserve">TESTE DA VISÃO  </w:t>
      </w:r>
      <w:r>
        <w:rPr>
          <w:rFonts w:ascii="Calibri" w:hAnsi="Calibri"/>
          <w:color w:val="24313A"/>
          <w:sz w:val="21"/>
        </w:rPr>
        <w:t>Uma nova pessoa consegue completar uma lição útil, entender o feedback e saber o que sua evidência prova — sem precisar aprender a programar.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6" w:space="5" w:color="D7DBE2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6" w:space="5" w:color="D7DBE2"/>
      </w:pBdr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</w:lvl>
  </w:abstractNum>
  <w:abstractNum w:abstractNumId="11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</w:lvl>
  </w:abstractNum>
  <w:abstractNum w:abstractNumId="12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</w:lvl>
  </w:abstractNum>
  <w:abstractNum w:abstractNumId="13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431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0374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/>
    </w:pPr>
    <w:rPr>
      <w:rFonts w:asciiTheme="majorHAnsi" w:eastAsiaTheme="majorEastAsia" w:hAnsiTheme="majorHAnsi" w:cstheme="majorBidi" w:ascii="Calibri" w:hAnsi="Calibri"/>
      <w:i/>
      <w:iCs/>
      <w:color w:val="1F4D7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DevSchool — IA para todos, com prática e evidência</dc:title>
  <dc:subject>Visão de produto e mapa do ecossistema</dc:subject>
  <dc:creator>AI DevSchool</dc:creator>
  <cp:keywords>AI, educação, microaprendizagem, LiteracyDojo, evidência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