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i w:val="false"/>
          <w:iCs w:val="false"/>
          <w:color w:val="1F3864"/>
          <w:sz w:val="48"/>
          <w:szCs w:val="48"/>
        </w:rPr>
        <w:t xml:space="preserve">株式運用月次レポート</w:t>
      </w:r>
    </w:p>
    <w:p>
      <w:pPr>
        <w:pBdr>
          <w:bottom w:val="single" w:color="2E75B6" w:sz="8" w:space="8"/>
        </w:pBdr>
        <w:spacing w:before="0" w:after="80"/>
        <w:jc w:val="center"/>
      </w:pPr>
      <w:r>
        <w:rPr>
          <w:rFonts w:ascii="Arial" w:cs="Arial" w:eastAsia="Arial" w:hAnsi="Arial"/>
          <w:b w:val="false"/>
          <w:bCs w:val="false"/>
          <w:i w:val="false"/>
          <w:iCs w:val="false"/>
          <w:color w:val="2E75B6"/>
          <w:sz w:val="30"/>
          <w:szCs w:val="30"/>
        </w:rPr>
        <w:t xml:space="preserve">2026年3月（初回試作版）</w:t>
      </w:r>
    </w:p>
    <w:p>
      <w:pPr>
        <w:spacing w:before="40" w:after="0"/>
      </w:pPr>
      <w:r>
        <w:rPr>
          <w:rFonts w:ascii="Arial" w:cs="Arial" w:eastAsia="Arial" w:hAnsi="Arial"/>
          <w:b w:val="false"/>
          <w:bCs w:val="false"/>
          <w:i w:val="false"/>
          <w:iCs w:val="false"/>
          <w:color w:val="000000"/>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4"/>
              <w:left w:val="single" w:color="CCCCCC" w:sz="4"/>
              <w:bottom w:val="single" w:color="CCCCCC" w:sz="4"/>
              <w:right w:val="single" w:color="CCCCCC" w:sz="4"/>
            </w:tcBorders>
            <w:shd w:fill="D6E4F3" w:val="clear"/>
            <w:tcMar>
              <w:top w:type="dxa" w:w="60"/>
              <w:left w:type="dxa" w:w="120"/>
              <w:bottom w:type="dxa" w:w="60"/>
              <w:right w:type="dxa" w:w="120"/>
            </w:tcMar>
          </w:tcPr>
          <w:p>
            <w:r>
              <w:rPr>
                <w:rFonts w:ascii="Arial" w:cs="Arial" w:eastAsia="Arial" w:hAnsi="Arial"/>
                <w:b/>
                <w:bCs/>
                <w:i w:val="false"/>
                <w:iCs w:val="false"/>
                <w:color w:val="1F3864"/>
                <w:sz w:val="20"/>
                <w:szCs w:val="20"/>
              </w:rPr>
              <w:t xml:space="preserve">作成日</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2026年3月21日（土）</w:t>
            </w:r>
          </w:p>
        </w:tc>
      </w:tr>
      <w:tr>
        <w:tc>
          <w:tcPr>
            <w:tcW w:type="dxa" w:w="2000"/>
            <w:tcBorders>
              <w:top w:val="single" w:color="CCCCCC" w:sz="4"/>
              <w:left w:val="single" w:color="CCCCCC" w:sz="4"/>
              <w:bottom w:val="single" w:color="CCCCCC" w:sz="4"/>
              <w:right w:val="single" w:color="CCCCCC" w:sz="4"/>
            </w:tcBorders>
            <w:shd w:fill="D6E4F3" w:val="clear"/>
            <w:tcMar>
              <w:top w:type="dxa" w:w="60"/>
              <w:left w:type="dxa" w:w="120"/>
              <w:bottom w:type="dxa" w:w="60"/>
              <w:right w:type="dxa" w:w="120"/>
            </w:tcMar>
          </w:tcPr>
          <w:p>
            <w:r>
              <w:rPr>
                <w:rFonts w:ascii="Arial" w:cs="Arial" w:eastAsia="Arial" w:hAnsi="Arial"/>
                <w:b/>
                <w:bCs/>
                <w:i w:val="false"/>
                <w:iCs w:val="false"/>
                <w:color w:val="1F3864"/>
                <w:sz w:val="20"/>
                <w:szCs w:val="20"/>
              </w:rPr>
              <w:t xml:space="preserve">対象期間</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2026年3月（第1週のみ・初回記録）</w:t>
            </w:r>
          </w:p>
        </w:tc>
      </w:tr>
      <w:tr>
        <w:tc>
          <w:tcPr>
            <w:tcW w:type="dxa" w:w="2000"/>
            <w:tcBorders>
              <w:top w:val="single" w:color="CCCCCC" w:sz="4"/>
              <w:left w:val="single" w:color="CCCCCC" w:sz="4"/>
              <w:bottom w:val="single" w:color="CCCCCC" w:sz="4"/>
              <w:right w:val="single" w:color="CCCCCC" w:sz="4"/>
            </w:tcBorders>
            <w:shd w:fill="D6E4F3" w:val="clear"/>
            <w:tcMar>
              <w:top w:type="dxa" w:w="60"/>
              <w:left w:type="dxa" w:w="120"/>
              <w:bottom w:type="dxa" w:w="60"/>
              <w:right w:type="dxa" w:w="120"/>
            </w:tcMar>
          </w:tcPr>
          <w:p>
            <w:r>
              <w:rPr>
                <w:rFonts w:ascii="Arial" w:cs="Arial" w:eastAsia="Arial" w:hAnsi="Arial"/>
                <w:b/>
                <w:bCs/>
                <w:i w:val="false"/>
                <w:iCs w:val="false"/>
                <w:color w:val="1F3864"/>
                <w:sz w:val="20"/>
                <w:szCs w:val="20"/>
              </w:rPr>
              <w:t xml:space="preserve">保有銘柄数</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11銘柄</w:t>
            </w:r>
          </w:p>
        </w:tc>
      </w:tr>
      <w:tr>
        <w:tc>
          <w:tcPr>
            <w:tcW w:type="dxa" w:w="2000"/>
            <w:tcBorders>
              <w:top w:val="single" w:color="CCCCCC" w:sz="4"/>
              <w:left w:val="single" w:color="CCCCCC" w:sz="4"/>
              <w:bottom w:val="single" w:color="CCCCCC" w:sz="4"/>
              <w:right w:val="single" w:color="CCCCCC" w:sz="4"/>
            </w:tcBorders>
            <w:shd w:fill="D6E4F3" w:val="clear"/>
            <w:tcMar>
              <w:top w:type="dxa" w:w="60"/>
              <w:left w:type="dxa" w:w="120"/>
              <w:bottom w:type="dxa" w:w="60"/>
              <w:right w:type="dxa" w:w="120"/>
            </w:tcMar>
          </w:tcPr>
          <w:p>
            <w:r>
              <w:rPr>
                <w:rFonts w:ascii="Arial" w:cs="Arial" w:eastAsia="Arial" w:hAnsi="Arial"/>
                <w:b/>
                <w:bCs/>
                <w:i w:val="false"/>
                <w:iCs w:val="false"/>
                <w:color w:val="1F3864"/>
                <w:sz w:val="20"/>
                <w:szCs w:val="20"/>
              </w:rPr>
              <w:t xml:space="preserve">ポートフォリオ総額</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20"/>
                <w:szCs w:val="20"/>
              </w:rPr>
              <w:t xml:space="preserve">712,470円</w:t>
            </w:r>
          </w:p>
        </w:tc>
      </w:tr>
    </w:tbl>
    <w:p>
      <w:pPr>
        <w:spacing w:before="8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4"/>
              <w:right w:val="single" w:color="2E75B6" w:sz="4"/>
            </w:tcBorders>
            <w:shd w:fill="FFF8E1" w:val="clear"/>
            <w:tcMar>
              <w:top w:type="dxa" w:w="100"/>
              <w:left w:type="dxa" w:w="200"/>
              <w:bottom w:type="dxa" w:w="100"/>
              <w:right w:type="dxa" w:w="160"/>
            </w:tcMar>
          </w:tcPr>
          <w:p>
            <w:pPr>
              <w:spacing w:before="0" w:after="40"/>
            </w:pPr>
            <w:r>
              <w:rPr>
                <w:rFonts w:ascii="Arial" w:cs="Arial" w:eastAsia="Arial" w:hAnsi="Arial"/>
                <w:b/>
                <w:bCs/>
                <w:i w:val="false"/>
                <w:iCs w:val="false"/>
                <w:color w:val="E36C09"/>
                <w:sz w:val="20"/>
                <w:szCs w:val="20"/>
              </w:rPr>
              <w:t xml:space="preserve">【ご注意】初回レポートについて</w:t>
            </w:r>
          </w:p>
          <w:p>
            <w:pPr>
              <w:spacing w:before="20" w:after="20"/>
            </w:pPr>
            <w:r>
              <w:rPr>
                <w:rFonts w:ascii="Arial" w:cs="Arial" w:eastAsia="Arial" w:hAnsi="Arial"/>
                <w:b w:val="false"/>
                <w:bCs w:val="false"/>
                <w:i w:val="false"/>
                <w:iCs w:val="false"/>
                <w:color w:val="000000"/>
                <w:sz w:val="21"/>
                <w:szCs w:val="21"/>
              </w:rPr>
              <w:t xml:space="preserve">本レポートは2026年3月21日（土）時点の保有状況のスナップショットを基に作成しています。</w:t>
            </w:r>
          </w:p>
          <w:p>
            <w:pPr>
              <w:spacing w:before="20" w:after="20"/>
            </w:pPr>
            <w:r>
              <w:rPr>
                <w:rFonts w:ascii="Arial" w:cs="Arial" w:eastAsia="Arial" w:hAnsi="Arial"/>
                <w:b w:val="false"/>
                <w:bCs w:val="false"/>
                <w:i w:val="false"/>
                <w:iCs w:val="false"/>
                <w:color w:val="000000"/>
                <w:sz w:val="21"/>
                <w:szCs w:val="21"/>
              </w:rPr>
              <w:t xml:space="preserve">通常の月次レポートは4週分のデータを集計しますが、今回は運用ログ開始初週のため、</w:t>
            </w:r>
          </w:p>
          <w:p>
            <w:pPr>
              <w:spacing w:before="20" w:after="20"/>
            </w:pPr>
            <w:r>
              <w:rPr>
                <w:rFonts w:ascii="Arial" w:cs="Arial" w:eastAsia="Arial" w:hAnsi="Arial"/>
                <w:b w:val="false"/>
                <w:bCs w:val="false"/>
                <w:i w:val="false"/>
                <w:iCs w:val="false"/>
                <w:color w:val="000000"/>
                <w:sz w:val="21"/>
                <w:szCs w:val="21"/>
              </w:rPr>
              <w:t xml:space="preserve">1週分のデータによる試作版として、レポートのフォーマット確認を目的としています。</w:t>
            </w:r>
          </w:p>
        </w:tc>
      </w:tr>
    </w:tbl>
    <w:p>
      <w:r>
        <w:br w:type="page"/>
      </w:r>
    </w:p>
    <w:p>
      <w:pPr>
        <w:pStyle w:val="Heading1"/>
        <w:pBdr>
          <w:bottom w:val="single" w:color="2E75B6" w:sz="12" w:space="4"/>
        </w:pBdr>
        <w:spacing w:before="300" w:after="120"/>
      </w:pPr>
      <w:r>
        <w:rPr>
          <w:rFonts w:ascii="Arial" w:cs="Arial" w:eastAsia="Arial" w:hAnsi="Arial"/>
          <w:b/>
          <w:bCs/>
          <w:color w:val="1F3864"/>
          <w:sz w:val="30"/>
          <w:szCs w:val="30"/>
        </w:rPr>
        <w:t xml:space="preserve">1.  月間パフォーマンスサマリー</w:t>
      </w:r>
    </w:p>
    <w:p>
      <w:pPr>
        <w:spacing w:before="60" w:after="80"/>
        <w:jc w:val="left"/>
      </w:pPr>
      <w:r>
        <w:rPr>
          <w:rFonts w:ascii="Arial" w:cs="Arial" w:eastAsia="Arial" w:hAnsi="Arial"/>
          <w:b w:val="false"/>
          <w:bCs w:val="false"/>
          <w:i w:val="false"/>
          <w:iCs w:val="false"/>
          <w:color w:val="000000"/>
          <w:sz w:val="22"/>
          <w:szCs w:val="22"/>
        </w:rPr>
        <w:t xml:space="preserve">【集計対象期間】2026年3月21日（第1週末時点）※通常は4週分を集計</w:t>
      </w:r>
    </w:p>
    <w:p>
      <w:pPr>
        <w:spacing w:before="4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75B6" w:sz="4"/>
              <w:left w:val="single" w:color="2E75B6" w:sz="4"/>
              <w:bottom w:val="single" w:color="2E75B6" w:sz="4"/>
              <w:right w:val="single" w:color="2E75B6" w:sz="4"/>
            </w:tcBorders>
            <w:shd w:fill="D6E4F3" w:val="clear"/>
            <w:tcMar>
              <w:top w:type="dxa" w:w="120"/>
              <w:left w:type="dxa" w:w="160"/>
              <w:bottom w:type="dxa" w:w="120"/>
              <w:right w:type="dxa" w:w="160"/>
            </w:tcMar>
            <w:vAlign w:val="center"/>
          </w:tcPr>
          <w:p>
            <w:pPr>
              <w:spacing w:before="0" w:after="20"/>
              <w:jc w:val="center"/>
            </w:pPr>
            <w:r>
              <w:rPr>
                <w:rFonts w:ascii="Arial" w:cs="Arial" w:eastAsia="Arial" w:hAnsi="Arial"/>
                <w:b w:val="false"/>
                <w:bCs w:val="false"/>
                <w:i w:val="false"/>
                <w:iCs w:val="false"/>
                <w:color w:val="595959"/>
                <w:sz w:val="18"/>
                <w:szCs w:val="18"/>
              </w:rPr>
              <w:t xml:space="preserve">時価評価額</w:t>
            </w:r>
          </w:p>
          <w:p>
            <w:pPr>
              <w:spacing w:before="0" w:after="0"/>
              <w:jc w:val="center"/>
            </w:pPr>
            <w:r>
              <w:rPr>
                <w:rFonts w:ascii="Arial" w:cs="Arial" w:eastAsia="Arial" w:hAnsi="Arial"/>
                <w:b/>
                <w:bCs/>
                <w:i w:val="false"/>
                <w:iCs w:val="false"/>
                <w:color w:val="1F3864"/>
                <w:sz w:val="32"/>
                <w:szCs w:val="32"/>
              </w:rPr>
              <w:t xml:space="preserve">712,470円</w:t>
            </w:r>
          </w:p>
        </w:tc>
        <w:tc>
          <w:tcPr>
            <w:tcW w:type="dxa" w:w="2256"/>
            <w:tcBorders>
              <w:top w:val="single" w:color="2E75B6" w:sz="4"/>
              <w:left w:val="single" w:color="2E75B6" w:sz="4"/>
              <w:bottom w:val="single" w:color="2E75B6" w:sz="4"/>
              <w:right w:val="single" w:color="2E75B6" w:sz="4"/>
            </w:tcBorders>
            <w:shd w:fill="D6E4F3" w:val="clear"/>
            <w:tcMar>
              <w:top w:type="dxa" w:w="120"/>
              <w:left w:type="dxa" w:w="160"/>
              <w:bottom w:type="dxa" w:w="120"/>
              <w:right w:type="dxa" w:w="160"/>
            </w:tcMar>
            <w:vAlign w:val="center"/>
          </w:tcPr>
          <w:p>
            <w:pPr>
              <w:spacing w:before="0" w:after="20"/>
              <w:jc w:val="center"/>
            </w:pPr>
            <w:r>
              <w:rPr>
                <w:rFonts w:ascii="Arial" w:cs="Arial" w:eastAsia="Arial" w:hAnsi="Arial"/>
                <w:b w:val="false"/>
                <w:bCs w:val="false"/>
                <w:i w:val="false"/>
                <w:iCs w:val="false"/>
                <w:color w:val="595959"/>
                <w:sz w:val="18"/>
                <w:szCs w:val="18"/>
              </w:rPr>
              <w:t xml:space="preserve">月間損益額</w:t>
            </w:r>
          </w:p>
          <w:p>
            <w:pPr>
              <w:spacing w:before="0" w:after="0"/>
              <w:jc w:val="center"/>
            </w:pPr>
            <w:r>
              <w:rPr>
                <w:rFonts w:ascii="Arial" w:cs="Arial" w:eastAsia="Arial" w:hAnsi="Arial"/>
                <w:b/>
                <w:bCs/>
                <w:i w:val="false"/>
                <w:iCs w:val="false"/>
                <w:color w:val="C00000"/>
                <w:sz w:val="32"/>
                <w:szCs w:val="32"/>
              </w:rPr>
              <w:t xml:space="preserve">−4,743円</w:t>
            </w:r>
          </w:p>
        </w:tc>
        <w:tc>
          <w:tcPr>
            <w:tcW w:type="dxa" w:w="2256"/>
            <w:tcBorders>
              <w:top w:val="single" w:color="2E75B6" w:sz="4"/>
              <w:left w:val="single" w:color="2E75B6" w:sz="4"/>
              <w:bottom w:val="single" w:color="2E75B6" w:sz="4"/>
              <w:right w:val="single" w:color="2E75B6" w:sz="4"/>
            </w:tcBorders>
            <w:shd w:fill="D6E4F3" w:val="clear"/>
            <w:tcMar>
              <w:top w:type="dxa" w:w="120"/>
              <w:left w:type="dxa" w:w="160"/>
              <w:bottom w:type="dxa" w:w="120"/>
              <w:right w:type="dxa" w:w="160"/>
            </w:tcMar>
            <w:vAlign w:val="center"/>
          </w:tcPr>
          <w:p>
            <w:pPr>
              <w:spacing w:before="0" w:after="20"/>
              <w:jc w:val="center"/>
            </w:pPr>
            <w:r>
              <w:rPr>
                <w:rFonts w:ascii="Arial" w:cs="Arial" w:eastAsia="Arial" w:hAnsi="Arial"/>
                <w:b w:val="false"/>
                <w:bCs w:val="false"/>
                <w:i w:val="false"/>
                <w:iCs w:val="false"/>
                <w:color w:val="595959"/>
                <w:sz w:val="18"/>
                <w:szCs w:val="18"/>
              </w:rPr>
              <w:t xml:space="preserve">月間損益率</w:t>
            </w:r>
          </w:p>
          <w:p>
            <w:pPr>
              <w:spacing w:before="0" w:after="0"/>
              <w:jc w:val="center"/>
            </w:pPr>
            <w:r>
              <w:rPr>
                <w:rFonts w:ascii="Arial" w:cs="Arial" w:eastAsia="Arial" w:hAnsi="Arial"/>
                <w:b/>
                <w:bCs/>
                <w:i w:val="false"/>
                <w:iCs w:val="false"/>
                <w:color w:val="C00000"/>
                <w:sz w:val="32"/>
                <w:szCs w:val="32"/>
              </w:rPr>
              <w:t xml:space="preserve">−0.66%</w:t>
            </w:r>
          </w:p>
        </w:tc>
        <w:tc>
          <w:tcPr>
            <w:tcW w:type="dxa" w:w="2256"/>
            <w:tcBorders>
              <w:top w:val="single" w:color="2E75B6" w:sz="4"/>
              <w:left w:val="single" w:color="2E75B6" w:sz="4"/>
              <w:bottom w:val="single" w:color="2E75B6" w:sz="4"/>
              <w:right w:val="single" w:color="2E75B6" w:sz="4"/>
            </w:tcBorders>
            <w:shd w:fill="D6E4F3" w:val="clear"/>
            <w:tcMar>
              <w:top w:type="dxa" w:w="120"/>
              <w:left w:type="dxa" w:w="160"/>
              <w:bottom w:type="dxa" w:w="120"/>
              <w:right w:type="dxa" w:w="160"/>
            </w:tcMar>
            <w:vAlign w:val="center"/>
          </w:tcPr>
          <w:p>
            <w:pPr>
              <w:spacing w:before="0" w:after="20"/>
              <w:jc w:val="center"/>
            </w:pPr>
            <w:r>
              <w:rPr>
                <w:rFonts w:ascii="Arial" w:cs="Arial" w:eastAsia="Arial" w:hAnsi="Arial"/>
                <w:b w:val="false"/>
                <w:bCs w:val="false"/>
                <w:i w:val="false"/>
                <w:iCs w:val="false"/>
                <w:color w:val="595959"/>
                <w:sz w:val="18"/>
                <w:szCs w:val="18"/>
              </w:rPr>
              <w:t xml:space="preserve">含み益銘柄数</w:t>
            </w:r>
          </w:p>
          <w:p>
            <w:pPr>
              <w:spacing w:before="0" w:after="0"/>
              <w:jc w:val="center"/>
            </w:pPr>
            <w:r>
              <w:rPr>
                <w:rFonts w:ascii="Arial" w:cs="Arial" w:eastAsia="Arial" w:hAnsi="Arial"/>
                <w:b/>
                <w:bCs/>
                <w:i w:val="false"/>
                <w:iCs w:val="false"/>
                <w:color w:val="217346"/>
                <w:sz w:val="32"/>
                <w:szCs w:val="32"/>
              </w:rPr>
              <w:t xml:space="preserve">3 / 11銘柄</w:t>
            </w:r>
          </w:p>
        </w:tc>
      </w:tr>
    </w:tbl>
    <w:p>
      <w:pPr>
        <w:spacing w:before="12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1-1.  評価額推移</w:t>
      </w:r>
    </w:p>
    <w:p>
      <w:pPr>
        <w:spacing w:before="60" w:after="80"/>
        <w:jc w:val="left"/>
      </w:pPr>
      <w:r>
        <w:rPr>
          <w:rFonts w:ascii="Arial" w:cs="Arial" w:eastAsia="Arial" w:hAnsi="Arial"/>
          <w:b w:val="false"/>
          <w:bCs w:val="false"/>
          <w:i w:val="false"/>
          <w:iCs w:val="false"/>
          <w:color w:val="000000"/>
          <w:sz w:val="22"/>
          <w:szCs w:val="22"/>
        </w:rPr>
        <w:t xml:space="preserve">今月は運用ログ開始初週のため、推移データは1時点のみの記録となります。来月以降は週次の評価額推移を折れ線グラフのコメントとともに掲載します。</w:t>
      </w:r>
    </w:p>
    <w:p>
      <w:pPr>
        <w:spacing w:before="6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800"/>
        <w:gridCol w:w="1600"/>
        <w:gridCol w:w="1200"/>
        <w:gridCol w:w="2526"/>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週</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記録日</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評価総額（円）</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損益額（円）</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損益率</w:t>
            </w:r>
          </w:p>
        </w:tc>
        <w:tc>
          <w:tcPr>
            <w:tcW w:type="dxa" w:w="25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主な動向</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第1週</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3/21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712,470</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−4,743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−0.66%</w:t>
            </w:r>
          </w:p>
        </w:tc>
        <w:tc>
          <w:tcPr>
            <w:tcW w:type="dxa" w:w="2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半導体株軟調・中東リスク継続</w:t>
            </w:r>
          </w:p>
        </w:tc>
      </w:tr>
    </w:tbl>
    <w:p>
      <w:pPr>
        <w:spacing w:before="12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1-2.  銘柄別損益内訳</w:t>
      </w:r>
    </w:p>
    <w:p>
      <w:pPr>
        <w:spacing w:before="60" w:after="80"/>
        <w:jc w:val="left"/>
      </w:pPr>
      <w:r>
        <w:rPr>
          <w:rFonts w:ascii="Arial" w:cs="Arial" w:eastAsia="Arial" w:hAnsi="Arial"/>
          <w:b w:val="false"/>
          <w:bCs w:val="false"/>
          <w:i w:val="false"/>
          <w:iCs w:val="false"/>
          <w:color w:val="000000"/>
          <w:sz w:val="22"/>
          <w:szCs w:val="22"/>
        </w:rPr>
        <w:t xml:space="preserve">スクリーンショット時点（3月21日）の各銘柄の損益状況を示します。</w:t>
      </w:r>
    </w:p>
    <w:p>
      <w:pPr>
        <w:spacing w:before="60" w:after="0"/>
      </w:pPr>
      <w:r>
        <w:rPr>
          <w:rFonts w:ascii="Arial" w:cs="Arial" w:eastAsia="Arial" w:hAnsi="Arial"/>
          <w:b w:val="false"/>
          <w:bCs w:val="false"/>
          <w:i w:val="false"/>
          <w:iCs w:val="false"/>
          <w:color w:val="000000"/>
          <w:sz w:val="22"/>
          <w:szCs w:val="22"/>
        </w:rPr>
        <w:t xml:space="preserve"/>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1500"/>
        <w:gridCol w:w="1400"/>
        <w:gridCol w:w="1300"/>
        <w:gridCol w:w="830"/>
      </w:tblGrid>
      <w:tr>
        <w:trPr>
          <w:tblHeader/>
        </w:trPr>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銘柄コード</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銘柄名</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セクター</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取得総額（円）</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評価額（円）</w:t>
            </w:r>
          </w:p>
        </w:tc>
        <w:tc>
          <w:tcPr>
            <w:tcW w:type="dxa" w:w="1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損益（円）</w:t>
            </w:r>
          </w:p>
        </w:tc>
        <w:tc>
          <w:tcPr>
            <w:tcW w:type="dxa" w:w="83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状況</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7974</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任天堂</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ゲーム</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99,999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114,222</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7346"/>
                <w:sz w:val="20"/>
                <w:szCs w:val="20"/>
              </w:rPr>
              <w:t xml:space="preserve">+14,223</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7346"/>
                <w:sz w:val="20"/>
                <w:szCs w:val="20"/>
              </w:rPr>
              <w:t xml:space="preserve">〇</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290A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Synspective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宇宙</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124,500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136,700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7346"/>
                <w:sz w:val="20"/>
                <w:szCs w:val="20"/>
              </w:rPr>
              <w:t xml:space="preserve">+12,200</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7346"/>
                <w:sz w:val="20"/>
                <w:szCs w:val="20"/>
              </w:rPr>
              <w:t xml:space="preserve">〇</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6758</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ソニーG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エンタメ</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163,000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163,550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7346"/>
                <w:sz w:val="20"/>
                <w:szCs w:val="20"/>
              </w:rPr>
              <w:t xml:space="preserve">+550</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7346"/>
                <w:sz w:val="20"/>
                <w:szCs w:val="20"/>
              </w:rPr>
              <w:t xml:space="preserve">〇</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4661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オリエンタルランド</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消費</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49,999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48,712</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−1,287</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36C09"/>
                <w:sz w:val="20"/>
                <w:szCs w:val="20"/>
              </w:rPr>
              <w:t xml:space="preserve">△</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6146</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ディスコ</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半導体</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28,803</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−1,197</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36C09"/>
                <w:sz w:val="20"/>
                <w:szCs w:val="20"/>
              </w:rPr>
              <w:t xml:space="preserve">△</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8035</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東京エレクトロン</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半導体</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8,984</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−1,016</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36C09"/>
                <w:sz w:val="20"/>
                <w:szCs w:val="20"/>
              </w:rPr>
              <w:t xml:space="preserve">△</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9983</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ファーストリテイリング</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消費</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9,504</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−496</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36C09"/>
                <w:sz w:val="20"/>
                <w:szCs w:val="20"/>
              </w:rPr>
              <w:t xml:space="preserve">△</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6460</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セガサミーHD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エンタメ</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1,914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1,915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17346"/>
                <w:sz w:val="20"/>
                <w:szCs w:val="20"/>
              </w:rPr>
              <w:t xml:space="preserve">+1</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36C09"/>
                <w:sz w:val="20"/>
                <w:szCs w:val="20"/>
              </w:rPr>
              <w:t xml:space="preserve">△</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7735</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SCREEN HD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半導体</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29,999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26,656</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−3,343</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6857</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アドバンテスト</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半導体</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49,999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45,402</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−4,597</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7011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三菱重工業</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防衛</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99,999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94,984</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−5,015</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6954</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ファナック</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精密機器</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49,999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42,933</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−7,066</w:t>
            </w:r>
          </w:p>
        </w:tc>
        <w:tc>
          <w:tcPr>
            <w:tcW w:type="dxa" w:w="8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w:t>
            </w:r>
          </w:p>
        </w:tc>
      </w:tr>
    </w:tbl>
    <w:p>
      <w:pPr>
        <w:spacing w:before="120" w:after="0"/>
      </w:pPr>
      <w:r>
        <w:rPr>
          <w:rFonts w:ascii="Arial" w:cs="Arial" w:eastAsia="Arial" w:hAnsi="Arial"/>
          <w:b w:val="false"/>
          <w:bCs w:val="false"/>
          <w:i w:val="false"/>
          <w:iCs w:val="false"/>
          <w:color w:val="000000"/>
          <w:sz w:val="22"/>
          <w:szCs w:val="22"/>
        </w:rPr>
        <w:t xml:space="preserve"/>
      </w:r>
    </w:p>
    <w:p>
      <w:pPr>
        <w:pBdr>
          <w:bottom w:val="single" w:color="DDDDDD" w:sz="2" w:space="1"/>
        </w:pBdr>
        <w:spacing w:before="120" w:after="120"/>
      </w:pPr>
      <w:r>
        <w:rPr>
          <w:rFonts w:ascii="Arial" w:cs="Arial" w:eastAsia="Arial" w:hAnsi="Arial"/>
          <w:b w:val="false"/>
          <w:bCs w:val="false"/>
          <w:i w:val="false"/>
          <w:iCs w:val="false"/>
          <w:color w:val="000000"/>
          <w:sz w:val="22"/>
          <w:szCs w:val="22"/>
        </w:rPr>
        <w:t xml:space="preserve"/>
      </w:r>
    </w:p>
    <w:p>
      <w:pPr>
        <w:pStyle w:val="Heading1"/>
        <w:pBdr>
          <w:bottom w:val="single" w:color="2E75B6" w:sz="12" w:space="4"/>
        </w:pBdr>
        <w:spacing w:before="300" w:after="120"/>
      </w:pPr>
      <w:r>
        <w:rPr>
          <w:rFonts w:ascii="Arial" w:cs="Arial" w:eastAsia="Arial" w:hAnsi="Arial"/>
          <w:b/>
          <w:bCs/>
          <w:color w:val="1F3864"/>
          <w:sz w:val="30"/>
          <w:szCs w:val="30"/>
        </w:rPr>
        <w:t xml:space="preserve">2.  AIアドバイスの的中率・分析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4"/>
              <w:right w:val="single" w:color="2E75B6" w:sz="4"/>
            </w:tcBorders>
            <w:shd w:fill="F0F7FF" w:val="clear"/>
            <w:tcMar>
              <w:top w:type="dxa" w:w="100"/>
              <w:left w:type="dxa" w:w="200"/>
              <w:bottom w:type="dxa" w:w="100"/>
              <w:right w:type="dxa" w:w="160"/>
            </w:tcMar>
          </w:tcPr>
          <w:p>
            <w:pPr>
              <w:spacing w:before="0" w:after="40"/>
            </w:pPr>
            <w:r>
              <w:rPr>
                <w:rFonts w:ascii="Arial" w:cs="Arial" w:eastAsia="Arial" w:hAnsi="Arial"/>
                <w:b/>
                <w:bCs/>
                <w:i w:val="false"/>
                <w:iCs w:val="false"/>
                <w:color w:val="2E75B6"/>
                <w:sz w:val="20"/>
                <w:szCs w:val="20"/>
              </w:rPr>
              <w:t xml:space="preserve">【初回レポートのため】</w:t>
            </w:r>
          </w:p>
          <w:p>
            <w:pPr>
              <w:spacing w:before="20" w:after="20"/>
            </w:pPr>
            <w:r>
              <w:rPr>
                <w:rFonts w:ascii="Arial" w:cs="Arial" w:eastAsia="Arial" w:hAnsi="Arial"/>
                <w:b w:val="false"/>
                <w:bCs w:val="false"/>
                <w:i w:val="false"/>
                <w:iCs w:val="false"/>
                <w:color w:val="000000"/>
                <w:sz w:val="21"/>
                <w:szCs w:val="21"/>
              </w:rPr>
              <w:t xml:space="preserve">通常は「前週のAI推奨→実際の株価変動→評価（〇△×）」の表を集計します。</w:t>
            </w:r>
          </w:p>
          <w:p>
            <w:pPr>
              <w:spacing w:before="20" w:after="20"/>
            </w:pPr>
            <w:r>
              <w:rPr>
                <w:rFonts w:ascii="Arial" w:cs="Arial" w:eastAsia="Arial" w:hAnsi="Arial"/>
                <w:b w:val="false"/>
                <w:bCs w:val="false"/>
                <w:i w:val="false"/>
                <w:iCs w:val="false"/>
                <w:color w:val="000000"/>
                <w:sz w:val="21"/>
                <w:szCs w:val="21"/>
              </w:rPr>
              <w:t xml:space="preserve">今週は初回のため「保有継続」の情報整理のみを行いました。</w:t>
            </w:r>
          </w:p>
          <w:p>
            <w:pPr>
              <w:spacing w:before="20" w:after="20"/>
            </w:pPr>
            <w:r>
              <w:rPr>
                <w:rFonts w:ascii="Arial" w:cs="Arial" w:eastAsia="Arial" w:hAnsi="Arial"/>
                <w:b w:val="false"/>
                <w:bCs w:val="false"/>
                <w:i w:val="false"/>
                <w:iCs w:val="false"/>
                <w:color w:val="000000"/>
                <w:sz w:val="21"/>
                <w:szCs w:val="21"/>
              </w:rPr>
              <w:t xml:space="preserve">来月以降、Excelの③AIアドバイス評価シートに週次で記録することで、</w:t>
            </w:r>
          </w:p>
          <w:p>
            <w:pPr>
              <w:spacing w:before="20" w:after="20"/>
            </w:pPr>
            <w:r>
              <w:rPr>
                <w:rFonts w:ascii="Arial" w:cs="Arial" w:eastAsia="Arial" w:hAnsi="Arial"/>
                <w:b w:val="false"/>
                <w:bCs w:val="false"/>
                <w:i w:val="false"/>
                <w:iCs w:val="false"/>
                <w:color w:val="000000"/>
                <w:sz w:val="21"/>
                <w:szCs w:val="21"/>
              </w:rPr>
              <w:t xml:space="preserve">このセクションが的中率の自動集計となる運用になります。</w:t>
            </w:r>
          </w:p>
        </w:tc>
      </w:tr>
    </w:tbl>
    <w:p>
      <w:pPr>
        <w:spacing w:before="10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2-1.  今週の情報整理サマリー</w:t>
      </w:r>
    </w:p>
    <w:p>
      <w:pPr>
        <w:spacing w:before="60" w:after="80"/>
        <w:jc w:val="left"/>
      </w:pPr>
      <w:r>
        <w:rPr>
          <w:rFonts w:ascii="Arial" w:cs="Arial" w:eastAsia="Arial" w:hAnsi="Arial"/>
          <w:b w:val="false"/>
          <w:bCs w:val="false"/>
          <w:i w:val="false"/>
          <w:iCs w:val="false"/>
          <w:color w:val="000000"/>
          <w:sz w:val="22"/>
          <w:szCs w:val="22"/>
        </w:rPr>
        <w:t xml:space="preserve">今週AIが整理した主な論点と、その背景情報を以下に示します。</w:t>
      </w:r>
    </w:p>
    <w:p>
      <w:pPr>
        <w:spacing w:before="60" w:after="0"/>
      </w:pPr>
      <w:r>
        <w:rPr>
          <w:rFonts w:ascii="Arial" w:cs="Arial" w:eastAsia="Arial" w:hAnsi="Arial"/>
          <w:b w:val="false"/>
          <w:bCs w:val="false"/>
          <w:i w:val="false"/>
          <w:iCs w:val="false"/>
          <w:color w:val="000000"/>
          <w:sz w:val="22"/>
          <w:szCs w:val="22"/>
        </w:rP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2226"/>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対象銘柄</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推奨方向</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根拠（情報整理）</w:t>
            </w:r>
          </w:p>
        </w:tc>
        <w:tc>
          <w:tcPr>
            <w:tcW w:type="dxa" w:w="2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来週注目点</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7974 任天堂</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保有継続</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Switch2販売好調・増配・業績最高水準</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新作ソフト売上報道</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7011 三菱重工業</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保有継続</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高値から調整中・防衛テーマ継続</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日米首脳会談の防衛費言及</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290A Synspective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保有継続</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SAR衛星カタリスト・宇宙予算増</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グロース市場の地合い</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6954 ファナック</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保有継続</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フィジカルAI中長期テーマ</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中国景気指標</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半導体5銘柄群</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保有継続</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業績良好・短期地合い悪化</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米半導体株の反発タイミング</w:t>
            </w:r>
          </w:p>
        </w:tc>
      </w:tr>
    </w:tbl>
    <w:p>
      <w:pPr>
        <w:spacing w:before="12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2-2.  的中率集計（来月以降）</w:t>
      </w:r>
    </w:p>
    <w:p>
      <w:pPr>
        <w:spacing w:before="60" w:after="80"/>
        <w:jc w:val="left"/>
      </w:pPr>
      <w:r>
        <w:rPr>
          <w:rFonts w:ascii="Arial" w:cs="Arial" w:eastAsia="Arial" w:hAnsi="Arial"/>
          <w:b w:val="false"/>
          <w:bCs w:val="false"/>
          <w:i w:val="false"/>
          <w:iCs w:val="false"/>
          <w:color w:val="000000"/>
          <w:sz w:val="22"/>
          <w:szCs w:val="22"/>
        </w:rPr>
        <w:t xml:space="preserve">来月の月次レポートから以下の集計表が自動的に作成されます。</w:t>
      </w:r>
    </w:p>
    <w:p>
      <w:pPr>
        <w:spacing w:before="6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700"/>
        <w:gridCol w:w="1300"/>
        <w:gridCol w:w="2026"/>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月</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推奨件数</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〇（適切）</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△（概ね適切）</w:t>
            </w:r>
          </w:p>
        </w:tc>
        <w:tc>
          <w:tcPr>
            <w:tcW w:type="dxa" w:w="1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×（外れ）</w:t>
            </w:r>
          </w:p>
        </w:tc>
        <w:tc>
          <w:tcPr>
            <w:tcW w:type="dxa" w:w="20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的中率</w:t>
            </w:r>
          </w:p>
        </w:tc>
      </w:tr>
      <w:tr>
        <w:trPr>
          <w:tblHeader w:val="false"/>
        </w:trP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2026年4月</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（記録中）</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w:t>
            </w:r>
          </w:p>
        </w:tc>
        <w:tc>
          <w:tcPr>
            <w:tcW w:type="dxa" w:w="2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w:t>
            </w:r>
          </w:p>
        </w:tc>
      </w:tr>
    </w:tbl>
    <w:p>
      <w:pPr>
        <w:spacing w:before="120" w:after="0"/>
      </w:pPr>
      <w:r>
        <w:rPr>
          <w:rFonts w:ascii="Arial" w:cs="Arial" w:eastAsia="Arial" w:hAnsi="Arial"/>
          <w:b w:val="false"/>
          <w:bCs w:val="false"/>
          <w:i w:val="false"/>
          <w:iCs w:val="false"/>
          <w:color w:val="000000"/>
          <w:sz w:val="22"/>
          <w:szCs w:val="22"/>
        </w:rPr>
        <w:t xml:space="preserve"/>
      </w:r>
    </w:p>
    <w:p>
      <w:pPr>
        <w:pBdr>
          <w:bottom w:val="single" w:color="DDDDDD" w:sz="2" w:space="1"/>
        </w:pBdr>
        <w:spacing w:before="120" w:after="120"/>
      </w:pPr>
      <w:r>
        <w:rPr>
          <w:rFonts w:ascii="Arial" w:cs="Arial" w:eastAsia="Arial" w:hAnsi="Arial"/>
          <w:b w:val="false"/>
          <w:bCs w:val="false"/>
          <w:i w:val="false"/>
          <w:iCs w:val="false"/>
          <w:color w:val="000000"/>
          <w:sz w:val="22"/>
          <w:szCs w:val="22"/>
        </w:rPr>
        <w:t xml:space="preserve"/>
      </w:r>
    </w:p>
    <w:p>
      <w:pPr>
        <w:pStyle w:val="Heading1"/>
        <w:pBdr>
          <w:bottom w:val="single" w:color="2E75B6" w:sz="12" w:space="4"/>
        </w:pBdr>
        <w:spacing w:before="300" w:after="120"/>
      </w:pPr>
      <w:r>
        <w:rPr>
          <w:rFonts w:ascii="Arial" w:cs="Arial" w:eastAsia="Arial" w:hAnsi="Arial"/>
          <w:b/>
          <w:bCs/>
          <w:color w:val="1F3864"/>
          <w:sz w:val="30"/>
          <w:szCs w:val="30"/>
        </w:rPr>
        <w:t xml:space="preserve">3.  今月の成功銘柄・失敗銘柄</w:t>
      </w:r>
    </w:p>
    <w:p>
      <w:pPr>
        <w:pStyle w:val="Heading2"/>
        <w:spacing w:before="240" w:after="80"/>
      </w:pPr>
      <w:r>
        <w:rPr>
          <w:rFonts w:ascii="Arial" w:cs="Arial" w:eastAsia="Arial" w:hAnsi="Arial"/>
          <w:b/>
          <w:bCs/>
          <w:color w:val="2E75B6"/>
          <w:sz w:val="26"/>
          <w:szCs w:val="26"/>
        </w:rPr>
        <w:t xml:space="preserve">3-1.  成功銘柄（含み益上位）</w:t>
      </w:r>
    </w:p>
    <w:p>
      <w:pPr>
        <w:spacing w:before="4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4"/>
              <w:right w:val="single" w:color="2E75B6" w:sz="4"/>
            </w:tcBorders>
            <w:shd w:fill="EBF7EE" w:val="clear"/>
            <w:tcMar>
              <w:top w:type="dxa" w:w="100"/>
              <w:left w:type="dxa" w:w="200"/>
              <w:bottom w:type="dxa" w:w="100"/>
              <w:right w:type="dxa" w:w="160"/>
            </w:tcMar>
          </w:tcPr>
          <w:p>
            <w:pPr>
              <w:spacing w:before="0" w:after="40"/>
            </w:pPr>
            <w:r>
              <w:rPr>
                <w:rFonts w:ascii="Arial" w:cs="Arial" w:eastAsia="Arial" w:hAnsi="Arial"/>
                <w:b/>
                <w:bCs/>
                <w:i w:val="false"/>
                <w:iCs w:val="false"/>
                <w:color w:val="217346"/>
                <w:sz w:val="20"/>
                <w:szCs w:val="20"/>
              </w:rPr>
              <w:t xml:space="preserve">〇 任天堂（7974）　＋14,223円　／　+14.2%</w:t>
            </w:r>
          </w:p>
          <w:p>
            <w:pPr>
              <w:spacing w:before="20" w:after="20"/>
            </w:pPr>
            <w:r>
              <w:rPr>
                <w:rFonts w:ascii="Arial" w:cs="Arial" w:eastAsia="Arial" w:hAnsi="Arial"/>
                <w:b w:val="false"/>
                <w:bCs w:val="false"/>
                <w:i w:val="false"/>
                <w:iCs w:val="false"/>
                <w:color w:val="000000"/>
                <w:sz w:val="21"/>
                <w:szCs w:val="21"/>
              </w:rPr>
              <w:t xml:space="preserve">【要因】Nintendo Switch 2の販売好調（累計1,737万台）・売上高過去最高・増配（年181円予想）。</w:t>
            </w:r>
          </w:p>
          <w:p>
            <w:pPr>
              <w:spacing w:before="20" w:after="20"/>
            </w:pPr>
            <w:r>
              <w:rPr>
                <w:rFonts w:ascii="Arial" w:cs="Arial" w:eastAsia="Arial" w:hAnsi="Arial"/>
                <w:b w:val="false"/>
                <w:bCs w:val="false"/>
                <w:i w:val="false"/>
                <w:iCs w:val="false"/>
                <w:color w:val="000000"/>
                <w:sz w:val="21"/>
                <w:szCs w:val="21"/>
              </w:rPr>
              <w:t xml:space="preserve">　　　　3月に発売した新作ポケモンがヒット。市場全体の下げ局面でも比較的堅調を維持。</w:t>
            </w:r>
          </w:p>
          <w:p>
            <w:pPr>
              <w:spacing w:before="20" w:after="20"/>
            </w:pPr>
            <w:r>
              <w:rPr>
                <w:rFonts w:ascii="Arial" w:cs="Arial" w:eastAsia="Arial" w:hAnsi="Arial"/>
                <w:b w:val="false"/>
                <w:bCs w:val="false"/>
                <w:i w:val="false"/>
                <w:iCs w:val="false"/>
                <w:color w:val="000000"/>
                <w:sz w:val="21"/>
                <w:szCs w:val="21"/>
              </w:rPr>
              <w:t xml:space="preserve">【教訓】業績裏付けのある銘柄は、市場全体の調整局面でもディフェンシブに機能しやすい。</w:t>
            </w:r>
          </w:p>
          <w:p>
            <w:pPr>
              <w:spacing w:before="20" w:after="20"/>
            </w:pPr>
            <w:r>
              <w:rPr>
                <w:rFonts w:ascii="Arial" w:cs="Arial" w:eastAsia="Arial" w:hAnsi="Arial"/>
                <w:b w:val="false"/>
                <w:bCs w:val="false"/>
                <w:i w:val="false"/>
                <w:iCs w:val="false"/>
                <w:color w:val="000000"/>
                <w:sz w:val="21"/>
                <w:szCs w:val="21"/>
              </w:rPr>
              <w:t xml:space="preserve">　　　　ただし株価は高値1.4万円台から3割超下落後の水準であり、「業績 vs 株価」の乖離を注視。</w:t>
            </w:r>
          </w:p>
        </w:tc>
      </w:tr>
    </w:tbl>
    <w:p>
      <w:pPr>
        <w:spacing w:before="8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4"/>
              <w:right w:val="single" w:color="2E75B6" w:sz="4"/>
            </w:tcBorders>
            <w:shd w:fill="EBF7EE" w:val="clear"/>
            <w:tcMar>
              <w:top w:type="dxa" w:w="100"/>
              <w:left w:type="dxa" w:w="200"/>
              <w:bottom w:type="dxa" w:w="100"/>
              <w:right w:type="dxa" w:w="160"/>
            </w:tcMar>
          </w:tcPr>
          <w:p>
            <w:pPr>
              <w:spacing w:before="0" w:after="40"/>
            </w:pPr>
            <w:r>
              <w:rPr>
                <w:rFonts w:ascii="Arial" w:cs="Arial" w:eastAsia="Arial" w:hAnsi="Arial"/>
                <w:b/>
                <w:bCs/>
                <w:i w:val="false"/>
                <w:iCs w:val="false"/>
                <w:color w:val="217346"/>
                <w:sz w:val="20"/>
                <w:szCs w:val="20"/>
              </w:rPr>
              <w:t xml:space="preserve">〇 Synspective（290A）　＋12,200円　／　+9.8%</w:t>
            </w:r>
          </w:p>
          <w:p>
            <w:pPr>
              <w:spacing w:before="20" w:after="20"/>
            </w:pPr>
            <w:r>
              <w:rPr>
                <w:rFonts w:ascii="Arial" w:cs="Arial" w:eastAsia="Arial" w:hAnsi="Arial"/>
                <w:b w:val="false"/>
                <w:bCs w:val="false"/>
                <w:i w:val="false"/>
                <w:iCs w:val="false"/>
                <w:color w:val="000000"/>
                <w:sz w:val="21"/>
                <w:szCs w:val="21"/>
              </w:rPr>
              <w:t xml:space="preserve">【要因】SAR衛星打ち上げ日程発表を好感した株価上昇（3/10付近に一時8%高）。</w:t>
            </w:r>
          </w:p>
          <w:p>
            <w:pPr>
              <w:spacing w:before="20" w:after="20"/>
            </w:pPr>
            <w:r>
              <w:rPr>
                <w:rFonts w:ascii="Arial" w:cs="Arial" w:eastAsia="Arial" w:hAnsi="Arial"/>
                <w:b w:val="false"/>
                <w:bCs w:val="false"/>
                <w:i w:val="false"/>
                <w:iCs w:val="false"/>
                <w:color w:val="000000"/>
                <w:sz w:val="21"/>
                <w:szCs w:val="21"/>
              </w:rPr>
              <w:t xml:space="preserve">　　　　2026年12月期に売上+167%・黒字化を予想。官公庁の宇宙予算増が追い風。</w:t>
            </w:r>
          </w:p>
          <w:p>
            <w:pPr>
              <w:spacing w:before="20" w:after="20"/>
            </w:pPr>
            <w:r>
              <w:rPr>
                <w:rFonts w:ascii="Arial" w:cs="Arial" w:eastAsia="Arial" w:hAnsi="Arial"/>
                <w:b w:val="false"/>
                <w:bCs w:val="false"/>
                <w:i w:val="false"/>
                <w:iCs w:val="false"/>
                <w:color w:val="000000"/>
                <w:sz w:val="21"/>
                <w:szCs w:val="21"/>
              </w:rPr>
              <w:t xml:space="preserve">【教訓】グロース株のカタリスト（具体的なイベント）は短期の大きな値動きを生む。</w:t>
            </w:r>
          </w:p>
          <w:p>
            <w:pPr>
              <w:spacing w:before="20" w:after="20"/>
            </w:pPr>
            <w:r>
              <w:rPr>
                <w:rFonts w:ascii="Arial" w:cs="Arial" w:eastAsia="Arial" w:hAnsi="Arial"/>
                <w:b w:val="false"/>
                <w:bCs w:val="false"/>
                <w:i w:val="false"/>
                <w:iCs w:val="false"/>
                <w:color w:val="000000"/>
                <w:sz w:val="21"/>
                <w:szCs w:val="21"/>
              </w:rPr>
              <w:t xml:space="preserve">　　　　保有継続の場合は利益確定ラインを事前に設定しておくことが有効。</w:t>
            </w:r>
          </w:p>
        </w:tc>
      </w:tr>
    </w:tbl>
    <w:p>
      <w:pPr>
        <w:spacing w:before="12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3-2.  失敗銘柄（含み損上位）</w:t>
      </w:r>
    </w:p>
    <w:p>
      <w:pPr>
        <w:spacing w:before="4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4"/>
              <w:right w:val="single" w:color="2E75B6" w:sz="4"/>
            </w:tcBorders>
            <w:shd w:fill="FFF0F0" w:val="clear"/>
            <w:tcMar>
              <w:top w:type="dxa" w:w="100"/>
              <w:left w:type="dxa" w:w="200"/>
              <w:bottom w:type="dxa" w:w="100"/>
              <w:right w:type="dxa" w:w="160"/>
            </w:tcMar>
          </w:tcPr>
          <w:p>
            <w:pPr>
              <w:spacing w:before="0" w:after="40"/>
            </w:pPr>
            <w:r>
              <w:rPr>
                <w:rFonts w:ascii="Arial" w:cs="Arial" w:eastAsia="Arial" w:hAnsi="Arial"/>
                <w:b/>
                <w:bCs/>
                <w:i w:val="false"/>
                <w:iCs w:val="false"/>
                <w:color w:val="C00000"/>
                <w:sz w:val="20"/>
                <w:szCs w:val="20"/>
              </w:rPr>
              <w:t xml:space="preserve">× ファナック（6954）　−7,066円　／　−14.1%</w:t>
            </w:r>
          </w:p>
          <w:p>
            <w:pPr>
              <w:spacing w:before="20" w:after="20"/>
            </w:pPr>
            <w:r>
              <w:rPr>
                <w:rFonts w:ascii="Arial" w:cs="Arial" w:eastAsia="Arial" w:hAnsi="Arial"/>
                <w:b w:val="false"/>
                <w:bCs w:val="false"/>
                <w:i w:val="false"/>
                <w:iCs w:val="false"/>
                <w:color w:val="000000"/>
                <w:sz w:val="21"/>
                <w:szCs w:val="21"/>
              </w:rPr>
              <w:t xml:space="preserve">【要因】中国景気への高い依存度と米中摩擦による輸出規制懸念が直接の逆風。</w:t>
            </w:r>
          </w:p>
          <w:p>
            <w:pPr>
              <w:spacing w:before="20" w:after="20"/>
            </w:pPr>
            <w:r>
              <w:rPr>
                <w:rFonts w:ascii="Arial" w:cs="Arial" w:eastAsia="Arial" w:hAnsi="Arial"/>
                <w:b w:val="false"/>
                <w:bCs w:val="false"/>
                <w:i w:val="false"/>
                <w:iCs w:val="false"/>
                <w:color w:val="000000"/>
                <w:sz w:val="21"/>
                <w:szCs w:val="21"/>
              </w:rPr>
              <w:t xml:space="preserve">　　　　工作機械需要サイクルが停滞しており、業績回復の時期が不透明。</w:t>
            </w:r>
          </w:p>
          <w:p>
            <w:pPr>
              <w:spacing w:before="20" w:after="20"/>
            </w:pPr>
            <w:r>
              <w:rPr>
                <w:rFonts w:ascii="Arial" w:cs="Arial" w:eastAsia="Arial" w:hAnsi="Arial"/>
                <w:b w:val="false"/>
                <w:bCs w:val="false"/>
                <w:i w:val="false"/>
                <w:iCs w:val="false"/>
                <w:color w:val="000000"/>
                <w:sz w:val="21"/>
                <w:szCs w:val="21"/>
              </w:rPr>
              <w:t xml:space="preserve">【反省】「フィジカルAIテーマ」の中長期期待があったが、足元の業績サイクルへの</w:t>
            </w:r>
          </w:p>
          <w:p>
            <w:pPr>
              <w:spacing w:before="20" w:after="20"/>
            </w:pPr>
            <w:r>
              <w:rPr>
                <w:rFonts w:ascii="Arial" w:cs="Arial" w:eastAsia="Arial" w:hAnsi="Arial"/>
                <w:b w:val="false"/>
                <w:bCs w:val="false"/>
                <w:i w:val="false"/>
                <w:iCs w:val="false"/>
                <w:color w:val="000000"/>
                <w:sz w:val="21"/>
                <w:szCs w:val="21"/>
              </w:rPr>
              <w:t xml:space="preserve">　　　　影響評価が不十分だった。中国依存銘柄のリスクを過小評価した可能性あり。</w:t>
            </w:r>
          </w:p>
          <w:p>
            <w:pPr>
              <w:spacing w:before="20" w:after="20"/>
            </w:pPr>
            <w:r>
              <w:rPr>
                <w:rFonts w:ascii="Arial" w:cs="Arial" w:eastAsia="Arial" w:hAnsi="Arial"/>
                <w:b w:val="false"/>
                <w:bCs w:val="false"/>
                <w:i w:val="false"/>
                <w:iCs w:val="false"/>
                <w:color w:val="000000"/>
                <w:sz w:val="21"/>
                <w:szCs w:val="21"/>
              </w:rPr>
              <w:t xml:space="preserve">【改善策】損切りラインの事前設定・中国景気指標（PMI等）との連動確認を習慣化する。</w:t>
            </w:r>
          </w:p>
        </w:tc>
      </w:tr>
    </w:tbl>
    <w:p>
      <w:pPr>
        <w:spacing w:before="8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4"/>
              <w:right w:val="single" w:color="2E75B6" w:sz="4"/>
            </w:tcBorders>
            <w:shd w:fill="FFF0F0" w:val="clear"/>
            <w:tcMar>
              <w:top w:type="dxa" w:w="100"/>
              <w:left w:type="dxa" w:w="200"/>
              <w:bottom w:type="dxa" w:w="100"/>
              <w:right w:type="dxa" w:w="160"/>
            </w:tcMar>
          </w:tcPr>
          <w:p>
            <w:pPr>
              <w:spacing w:before="0" w:after="40"/>
            </w:pPr>
            <w:r>
              <w:rPr>
                <w:rFonts w:ascii="Arial" w:cs="Arial" w:eastAsia="Arial" w:hAnsi="Arial"/>
                <w:b/>
                <w:bCs/>
                <w:i w:val="false"/>
                <w:iCs w:val="false"/>
                <w:color w:val="C00000"/>
                <w:sz w:val="20"/>
                <w:szCs w:val="20"/>
              </w:rPr>
              <w:t xml:space="preserve">× 三菱重工業（7011）　−5,015円　／　−5.0%</w:t>
            </w:r>
          </w:p>
          <w:p>
            <w:pPr>
              <w:spacing w:before="20" w:after="20"/>
            </w:pPr>
            <w:r>
              <w:rPr>
                <w:rFonts w:ascii="Arial" w:cs="Arial" w:eastAsia="Arial" w:hAnsi="Arial"/>
                <w:b w:val="false"/>
                <w:bCs w:val="false"/>
                <w:i w:val="false"/>
                <w:iCs w:val="false"/>
                <w:color w:val="000000"/>
                <w:sz w:val="21"/>
                <w:szCs w:val="21"/>
              </w:rPr>
              <w:t xml:space="preserve">【要因】3月2日の上場来高値5,208円到達後の調整。中東情勢の複雑化で防衛株への</w:t>
            </w:r>
          </w:p>
          <w:p>
            <w:pPr>
              <w:spacing w:before="20" w:after="20"/>
            </w:pPr>
            <w:r>
              <w:rPr>
                <w:rFonts w:ascii="Arial" w:cs="Arial" w:eastAsia="Arial" w:hAnsi="Arial"/>
                <w:b w:val="false"/>
                <w:bCs w:val="false"/>
                <w:i w:val="false"/>
                <w:iCs w:val="false"/>
                <w:color w:val="000000"/>
                <w:sz w:val="21"/>
                <w:szCs w:val="21"/>
              </w:rPr>
              <w:t xml:space="preserve">　　　　資金集中が落ち着き、市場全体の下落に連動した。</w:t>
            </w:r>
          </w:p>
          <w:p>
            <w:pPr>
              <w:spacing w:before="20" w:after="20"/>
            </w:pPr>
            <w:r>
              <w:rPr>
                <w:rFonts w:ascii="Arial" w:cs="Arial" w:eastAsia="Arial" w:hAnsi="Arial"/>
                <w:b w:val="false"/>
                <w:bCs w:val="false"/>
                <w:i w:val="false"/>
                <w:iCs w:val="false"/>
                <w:color w:val="000000"/>
                <w:sz w:val="21"/>
                <w:szCs w:val="21"/>
              </w:rPr>
              <w:t xml:space="preserve">【反省】上場来高値付近での追加エントリーとなっており、高値掴みの懸念がある。</w:t>
            </w:r>
          </w:p>
          <w:p>
            <w:pPr>
              <w:spacing w:before="20" w:after="20"/>
            </w:pPr>
            <w:r>
              <w:rPr>
                <w:rFonts w:ascii="Arial" w:cs="Arial" w:eastAsia="Arial" w:hAnsi="Arial"/>
                <w:b w:val="false"/>
                <w:bCs w:val="false"/>
                <w:i w:val="false"/>
                <w:iCs w:val="false"/>
                <w:color w:val="000000"/>
                <w:sz w:val="21"/>
                <w:szCs w:val="21"/>
              </w:rPr>
              <w:t xml:space="preserve">【改善策】高値更新直後の銘柄は「イベント前後」の値動きを確認してから判断する。</w:t>
            </w:r>
          </w:p>
          <w:p>
            <w:pPr>
              <w:spacing w:before="20" w:after="20"/>
            </w:pPr>
            <w:r>
              <w:rPr>
                <w:rFonts w:ascii="Arial" w:cs="Arial" w:eastAsia="Arial" w:hAnsi="Arial"/>
                <w:b w:val="false"/>
                <w:bCs w:val="false"/>
                <w:i w:val="false"/>
                <w:iCs w:val="false"/>
                <w:color w:val="000000"/>
                <w:sz w:val="21"/>
                <w:szCs w:val="21"/>
              </w:rPr>
              <w:t xml:space="preserve">　　　　来週の日米首脳会談で防衛費関連の言及があるかどうかが一つのチェックポイント。</w:t>
            </w:r>
          </w:p>
        </w:tc>
      </w:tr>
    </w:tbl>
    <w:p>
      <w:pPr>
        <w:spacing w:before="120" w:after="0"/>
      </w:pPr>
      <w:r>
        <w:rPr>
          <w:rFonts w:ascii="Arial" w:cs="Arial" w:eastAsia="Arial" w:hAnsi="Arial"/>
          <w:b w:val="false"/>
          <w:bCs w:val="false"/>
          <w:i w:val="false"/>
          <w:iCs w:val="false"/>
          <w:color w:val="000000"/>
          <w:sz w:val="22"/>
          <w:szCs w:val="22"/>
        </w:rPr>
        <w:t xml:space="preserve"/>
      </w:r>
    </w:p>
    <w:p>
      <w:pPr>
        <w:pBdr>
          <w:bottom w:val="single" w:color="DDDDDD" w:sz="2" w:space="1"/>
        </w:pBdr>
        <w:spacing w:before="120" w:after="120"/>
      </w:pPr>
      <w:r>
        <w:rPr>
          <w:rFonts w:ascii="Arial" w:cs="Arial" w:eastAsia="Arial" w:hAnsi="Arial"/>
          <w:b w:val="false"/>
          <w:bCs w:val="false"/>
          <w:i w:val="false"/>
          <w:iCs w:val="false"/>
          <w:color w:val="000000"/>
          <w:sz w:val="22"/>
          <w:szCs w:val="22"/>
        </w:rPr>
        <w:t xml:space="preserve"/>
      </w:r>
    </w:p>
    <w:p>
      <w:pPr>
        <w:pStyle w:val="Heading1"/>
        <w:pBdr>
          <w:bottom w:val="single" w:color="2E75B6" w:sz="12" w:space="4"/>
        </w:pBdr>
        <w:spacing w:before="300" w:after="120"/>
      </w:pPr>
      <w:r>
        <w:rPr>
          <w:rFonts w:ascii="Arial" w:cs="Arial" w:eastAsia="Arial" w:hAnsi="Arial"/>
          <w:b/>
          <w:bCs/>
          <w:color w:val="1F3864"/>
          <w:sz w:val="30"/>
          <w:szCs w:val="30"/>
        </w:rPr>
        <w:t xml:space="preserve">4.  来月に向けた改善アクション</w:t>
      </w:r>
    </w:p>
    <w:p>
      <w:pPr>
        <w:pStyle w:val="Heading2"/>
        <w:spacing w:before="240" w:after="80"/>
      </w:pPr>
      <w:r>
        <w:rPr>
          <w:rFonts w:ascii="Arial" w:cs="Arial" w:eastAsia="Arial" w:hAnsi="Arial"/>
          <w:b/>
          <w:bCs/>
          <w:color w:val="2E75B6"/>
          <w:sz w:val="26"/>
          <w:szCs w:val="26"/>
        </w:rPr>
        <w:t xml:space="preserve">4-1.  ポートフォリオ構成の改善</w:t>
      </w:r>
    </w:p>
    <w:p>
      <w:pPr>
        <w:spacing w:before="40" w:after="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半導体集中リスクの見直し】ポートフォリオの41%が半導体・精密機器セクターに集中。アドバンテスト・SCREEN・ディスコ・東京エレクトロン・ファナックは同一ショックで連動して下落しやすい構成になっている。来月は各銘柄の「保有する理由」を個別に確認し、重複テーマを整理する。</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少額ポジションの整理判断】ディスコ（3万円）・東京エレクトロン（1万円）・ファーストリテイリング（1万円）・セガサミー（2千円）は取得額が少額すぎて「保有する理由」が薄れている可能性がある。手数料負けリスクも考慮し、各銘柄の継続理由を来月頭に確認する。</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損切りラインの事前設定】ファナックは-14%まで損失が拡大した。中期投資の場合でも「この水準を割ったら再評価する」ラインを保有開始時に設定するルールを導入する（例：取得額-15%または支持線割れ）。</w:t>
      </w:r>
    </w:p>
    <w:p>
      <w:pPr>
        <w:spacing w:before="6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4-2.  AI情報整理の精度向上</w:t>
      </w:r>
    </w:p>
    <w:p>
      <w:pPr>
        <w:spacing w:before="40" w:after="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【週次ログの継続記録】Excelの③AIアドバイス評価シートに毎週実際の騰落率と評価（〇△×）を記入し、4週後の来月レポートで初めての的中率集計を行う。</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【マクロ要因の事前チェックリスト化】中東情勢・FRB動向・日銀政策・円相場の4項目を毎週頭に確認するルーティンを作る。これらは半導体・防衛・消費株すべてに影響する共通変数であるため。</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【イベントカレンダーの活用】決算発表・中央銀行会合・政治イベント（首脳会談など）を月初に一覧化し、保有銘柄への影響を事前に整理する習慣をつける。</w:t>
      </w:r>
    </w:p>
    <w:p>
      <w:pPr>
        <w:spacing w:before="12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4-3.  来月の重点観察銘柄</w:t>
      </w:r>
    </w:p>
    <w:p>
      <w:pPr>
        <w:spacing w:before="40" w:after="0"/>
      </w:pPr>
      <w:r>
        <w:rPr>
          <w:rFonts w:ascii="Arial" w:cs="Arial" w:eastAsia="Arial" w:hAnsi="Arial"/>
          <w:b w:val="false"/>
          <w:bCs w:val="false"/>
          <w:i w:val="false"/>
          <w:iCs w:val="false"/>
          <w:color w:val="000000"/>
          <w:sz w:val="22"/>
          <w:szCs w:val="22"/>
        </w:rPr>
        <w:t xml:space="preserve"/>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626"/>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銘柄</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観察理由</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チェックポイント</w:t>
            </w:r>
          </w:p>
        </w:tc>
        <w:tc>
          <w:tcPr>
            <w:tcW w:type="dxa" w:w="16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判断目安</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ファナック（6954）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含み損最大・継続保有の根拠確認</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中国PMI・エヌビディアとの協業進捗</w:t>
            </w:r>
          </w:p>
        </w:tc>
        <w:tc>
          <w:tcPr>
            <w:tcW w:type="dxa" w:w="1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−15%で損切り再検討</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三菱重工（7011）</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高値調整中・テーマ継続性の確認</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日米首脳会談・防衛予算報道</w:t>
            </w:r>
          </w:p>
        </w:tc>
        <w:tc>
          <w:tcPr>
            <w:tcW w:type="dxa" w:w="1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4,500円割れで再評価</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任天堂（7974）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最大含み益・利確ラインの検討</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4月の決算発表・新作ソフト売上</w:t>
            </w:r>
          </w:p>
        </w:tc>
        <w:tc>
          <w:tcPr>
            <w:tcW w:type="dxa" w:w="1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利益確定ライン設定</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290A Synspective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グロース株・値動き管理</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次回衛星打ち上げ日程</w:t>
            </w:r>
          </w:p>
        </w:tc>
        <w:tc>
          <w:tcPr>
            <w:tcW w:type="dxa" w:w="16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利益確定ライン設定</w:t>
            </w:r>
          </w:p>
        </w:tc>
      </w:tr>
    </w:tbl>
    <w:p>
      <w:pPr>
        <w:spacing w:before="120" w:after="0"/>
      </w:pPr>
      <w:r>
        <w:rPr>
          <w:rFonts w:ascii="Arial" w:cs="Arial" w:eastAsia="Arial" w:hAnsi="Arial"/>
          <w:b w:val="false"/>
          <w:bCs w:val="false"/>
          <w:i w:val="false"/>
          <w:iCs w:val="false"/>
          <w:color w:val="000000"/>
          <w:sz w:val="22"/>
          <w:szCs w:val="22"/>
        </w:rPr>
        <w:t xml:space="preserve"/>
      </w:r>
    </w:p>
    <w:p>
      <w:pPr>
        <w:pBdr>
          <w:bottom w:val="single" w:color="DDDDDD" w:sz="2" w:space="1"/>
        </w:pBdr>
        <w:spacing w:before="120" w:after="120"/>
      </w:pPr>
      <w:r>
        <w:rPr>
          <w:rFonts w:ascii="Arial" w:cs="Arial" w:eastAsia="Arial" w:hAnsi="Arial"/>
          <w:b w:val="false"/>
          <w:bCs w:val="false"/>
          <w:i w:val="false"/>
          <w:iCs w:val="false"/>
          <w:color w:val="000000"/>
          <w:sz w:val="22"/>
          <w:szCs w:val="22"/>
        </w:rPr>
        <w:t xml:space="preserve"/>
      </w:r>
    </w:p>
    <w:p>
      <w:pPr>
        <w:pStyle w:val="Heading1"/>
        <w:pBdr>
          <w:bottom w:val="single" w:color="2E75B6" w:sz="12" w:space="4"/>
        </w:pBdr>
        <w:spacing w:before="300" w:after="120"/>
      </w:pPr>
      <w:r>
        <w:rPr>
          <w:rFonts w:ascii="Arial" w:cs="Arial" w:eastAsia="Arial" w:hAnsi="Arial"/>
          <w:b/>
          <w:bCs/>
          <w:color w:val="1F3864"/>
          <w:sz w:val="30"/>
          <w:szCs w:val="30"/>
        </w:rPr>
        <w:t xml:space="preserve">5.  ポートフォリオ構成の推移グラフコメント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4"/>
              <w:right w:val="single" w:color="2E75B6" w:sz="4"/>
            </w:tcBorders>
            <w:shd w:fill="F0F7FF" w:val="clear"/>
            <w:tcMar>
              <w:top w:type="dxa" w:w="100"/>
              <w:left w:type="dxa" w:w="200"/>
              <w:bottom w:type="dxa" w:w="100"/>
              <w:right w:type="dxa" w:w="160"/>
            </w:tcMar>
          </w:tcPr>
          <w:p>
            <w:pPr>
              <w:spacing w:before="0" w:after="40"/>
            </w:pPr>
            <w:r>
              <w:rPr>
                <w:rFonts w:ascii="Arial" w:cs="Arial" w:eastAsia="Arial" w:hAnsi="Arial"/>
                <w:b/>
                <w:bCs/>
                <w:i w:val="false"/>
                <w:iCs w:val="false"/>
                <w:color w:val="2E75B6"/>
                <w:sz w:val="20"/>
                <w:szCs w:val="20"/>
              </w:rPr>
              <w:t xml:space="preserve">【初回レポートのため】グラフについて</w:t>
            </w:r>
          </w:p>
          <w:p>
            <w:pPr>
              <w:spacing w:before="20" w:after="20"/>
            </w:pPr>
            <w:r>
              <w:rPr>
                <w:rFonts w:ascii="Arial" w:cs="Arial" w:eastAsia="Arial" w:hAnsi="Arial"/>
                <w:b w:val="false"/>
                <w:bCs w:val="false"/>
                <w:i w:val="false"/>
                <w:iCs w:val="false"/>
                <w:color w:val="000000"/>
                <w:sz w:val="21"/>
                <w:szCs w:val="21"/>
              </w:rPr>
              <w:t xml:space="preserve">通常の月次レポートでは、ここに4週分の評価額推移グラフおよびセクター構成の変化を</w:t>
            </w:r>
          </w:p>
          <w:p>
            <w:pPr>
              <w:spacing w:before="20" w:after="20"/>
            </w:pPr>
            <w:r>
              <w:rPr>
                <w:rFonts w:ascii="Arial" w:cs="Arial" w:eastAsia="Arial" w:hAnsi="Arial"/>
                <w:b w:val="false"/>
                <w:bCs w:val="false"/>
                <w:i w:val="false"/>
                <w:iCs w:val="false"/>
                <w:color w:val="000000"/>
                <w:sz w:val="21"/>
                <w:szCs w:val="21"/>
              </w:rPr>
              <w:t xml:space="preserve">視覚的に示します。今回は初週のデータのみのため、グラフの代わりに現状の構成分析と</w:t>
            </w:r>
          </w:p>
          <w:p>
            <w:pPr>
              <w:spacing w:before="20" w:after="20"/>
            </w:pPr>
            <w:r>
              <w:rPr>
                <w:rFonts w:ascii="Arial" w:cs="Arial" w:eastAsia="Arial" w:hAnsi="Arial"/>
                <w:b w:val="false"/>
                <w:bCs w:val="false"/>
                <w:i w:val="false"/>
                <w:iCs w:val="false"/>
                <w:color w:val="000000"/>
                <w:sz w:val="21"/>
                <w:szCs w:val="21"/>
              </w:rPr>
              <w:t xml:space="preserve">コメントを掲載します。来月からExcelの②ポートフォリオ推移シートのデータを基に</w:t>
            </w:r>
          </w:p>
          <w:p>
            <w:pPr>
              <w:spacing w:before="20" w:after="20"/>
            </w:pPr>
            <w:r>
              <w:rPr>
                <w:rFonts w:ascii="Arial" w:cs="Arial" w:eastAsia="Arial" w:hAnsi="Arial"/>
                <w:b w:val="false"/>
                <w:bCs w:val="false"/>
                <w:i w:val="false"/>
                <w:iCs w:val="false"/>
                <w:color w:val="000000"/>
                <w:sz w:val="21"/>
                <w:szCs w:val="21"/>
              </w:rPr>
              <w:t xml:space="preserve">グラフコメントが充実してきます。</w:t>
            </w:r>
          </w:p>
        </w:tc>
      </w:tr>
    </w:tbl>
    <w:p>
      <w:pPr>
        <w:spacing w:before="10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5-1.  現状のセクター構成（取得総額ベース）</w:t>
      </w:r>
    </w:p>
    <w:p>
      <w:pPr>
        <w:spacing w:before="6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00"/>
        <w:gridCol w:w="1000"/>
        <w:gridCol w:w="3626"/>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セクター</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銘柄数</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取得総額（円）</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構成比</w:t>
            </w:r>
          </w:p>
        </w:tc>
        <w:tc>
          <w:tcPr>
            <w:tcW w:type="dxa" w:w="36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コメント</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半導体・精密機器</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5銘柄</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170,997</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23.8%</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最大集中。地合い連動リスク高</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エンタメ・ゲーム</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3銘柄</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264,913</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37.0%</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ソニー・任天堂が大半</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防衛・重工</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1銘柄</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99,999</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13.9%</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中東テーマで注目</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消費・レジャー</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2銘柄</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59,999</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8.4%</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小額分散</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宇宙・新興</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1銘柄</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124,500</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17.4%</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最大ポジション・高ボラ</w:t>
            </w:r>
          </w:p>
        </w:tc>
      </w:tr>
    </w:tbl>
    <w:p>
      <w:pPr>
        <w:spacing w:before="100" w:after="0"/>
      </w:pPr>
      <w:r>
        <w:rPr>
          <w:rFonts w:ascii="Arial" w:cs="Arial" w:eastAsia="Arial" w:hAnsi="Arial"/>
          <w:b w:val="false"/>
          <w:bCs w:val="false"/>
          <w:i w:val="false"/>
          <w:i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5-2.  構成上の主なコメント</w:t>
      </w:r>
    </w:p>
    <w:p>
      <w:pPr>
        <w:spacing w:before="40" w:after="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取得総額ベースでは「宇宙（Synspective）17%」と「エンタメ・ゲーム37%」が大きなウェイトを占めており、特定テーマへの集中度が高い。</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時価ベースでは任天堂・Synspectiveに含み益があるためエンタメ・宇宙の比率が実質的にさらに上昇している可能性がある。</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半導体は銘柄数（5銘柄）こそ多いが、多くが少額投資のため実質的なリスクエクスポージャーはアドバンテスト（約4.5万円）と三菱重工（約10万円）に集中している。</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来月以降は週次でセクター比率を記録し、月間での構成変化をグラフ化する予定。</w:t>
      </w:r>
    </w:p>
    <w:p>
      <w:pPr>
        <w:spacing w:before="120" w:after="0"/>
      </w:pPr>
      <w:r>
        <w:rPr>
          <w:rFonts w:ascii="Arial" w:cs="Arial" w:eastAsia="Arial" w:hAnsi="Arial"/>
          <w:b w:val="false"/>
          <w:bCs w:val="false"/>
          <w:i w:val="false"/>
          <w:iCs w:val="false"/>
          <w:color w:val="000000"/>
          <w:sz w:val="22"/>
          <w:szCs w:val="22"/>
        </w:rPr>
        <w:t xml:space="preserve"/>
      </w:r>
    </w:p>
    <w:p>
      <w:pPr>
        <w:pBdr>
          <w:bottom w:val="single" w:color="DDDDDD" w:sz="2" w:space="1"/>
        </w:pBdr>
        <w:spacing w:before="120" w:after="120"/>
      </w:pPr>
      <w:r>
        <w:rPr>
          <w:rFonts w:ascii="Arial" w:cs="Arial" w:eastAsia="Arial" w:hAnsi="Arial"/>
          <w:b w:val="false"/>
          <w:bCs w:val="false"/>
          <w:i w:val="false"/>
          <w:iCs w:val="false"/>
          <w:color w:val="000000"/>
          <w:sz w:val="22"/>
          <w:szCs w:val="22"/>
        </w:rPr>
        <w:t xml:space="preserve"/>
      </w:r>
    </w:p>
    <w:p>
      <w:pPr>
        <w:pStyle w:val="Heading1"/>
        <w:pBdr>
          <w:bottom w:val="single" w:color="2E75B6" w:sz="12" w:space="4"/>
        </w:pBdr>
        <w:spacing w:before="300" w:after="120"/>
      </w:pPr>
      <w:r>
        <w:rPr>
          <w:rFonts w:ascii="Arial" w:cs="Arial" w:eastAsia="Arial" w:hAnsi="Arial"/>
          <w:b/>
          <w:bCs/>
          <w:color w:val="1F3864"/>
          <w:sz w:val="30"/>
          <w:szCs w:val="30"/>
        </w:rPr>
        <w:t xml:space="preserve">Appendix.  運用ログの記録ルール</w:t>
      </w:r>
    </w:p>
    <w:p>
      <w:pPr>
        <w:spacing w:before="60" w:after="80"/>
        <w:jc w:val="left"/>
      </w:pPr>
      <w:r>
        <w:rPr>
          <w:rFonts w:ascii="Arial" w:cs="Arial" w:eastAsia="Arial" w:hAnsi="Arial"/>
          <w:b w:val="false"/>
          <w:bCs w:val="false"/>
          <w:i w:val="false"/>
          <w:iCs w:val="false"/>
          <w:color w:val="000000"/>
          <w:sz w:val="22"/>
          <w:szCs w:val="22"/>
        </w:rPr>
        <w:t xml:space="preserve">本レポートは以下のExcelシートのデータを基に毎月最終週に作成します。</w:t>
      </w:r>
    </w:p>
    <w:p>
      <w:pPr>
        <w:spacing w:before="4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226"/>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シート名</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記録頻度</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記録者</w:t>
            </w:r>
          </w:p>
        </w:tc>
        <w:tc>
          <w:tcPr>
            <w:tcW w:type="dxa" w:w="42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内容</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①週次ログ</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毎週末</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本人</w:t>
            </w:r>
          </w:p>
        </w:tc>
        <w:tc>
          <w:tcPr>
            <w:tcW w:type="dxa" w:w="4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売買内容・AI推奨理由・実績評価</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②ポートフォリオ推移</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毎週末</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本人</w:t>
            </w:r>
          </w:p>
        </w:tc>
        <w:tc>
          <w:tcPr>
            <w:tcW w:type="dxa" w:w="4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評価総額・現金比率・損益額</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③AIアドバイス評価</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翌週頭</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本人</w:t>
            </w:r>
          </w:p>
        </w:tc>
        <w:tc>
          <w:tcPr>
            <w:tcW w:type="dxa" w:w="4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0000"/>
                <w:sz w:val="20"/>
                <w:szCs w:val="20"/>
              </w:rPr>
              <w:t xml:space="preserve">実際の騰落率・評価（〇△×）</w:t>
            </w:r>
          </w:p>
        </w:tc>
      </w:tr>
    </w:tbl>
    <w:p>
      <w:pPr>
        <w:spacing w:before="80" w:after="0"/>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4"/>
              <w:right w:val="single" w:color="2E75B6" w:sz="4"/>
            </w:tcBorders>
            <w:shd w:fill="FFF8E1" w:val="clear"/>
            <w:tcMar>
              <w:top w:type="dxa" w:w="100"/>
              <w:left w:type="dxa" w:w="200"/>
              <w:bottom w:type="dxa" w:w="100"/>
              <w:right w:type="dxa" w:w="160"/>
            </w:tcMar>
          </w:tcPr>
          <w:p>
            <w:pPr>
              <w:spacing w:before="0" w:after="40"/>
            </w:pPr>
            <w:r>
              <w:rPr>
                <w:rFonts w:ascii="Arial" w:cs="Arial" w:eastAsia="Arial" w:hAnsi="Arial"/>
                <w:b/>
                <w:bCs/>
                <w:i w:val="false"/>
                <w:iCs w:val="false"/>
                <w:color w:val="E36C09"/>
                <w:sz w:val="20"/>
                <w:szCs w:val="20"/>
              </w:rPr>
              <w:t xml:space="preserve">免責事項</w:t>
            </w:r>
          </w:p>
          <w:p>
            <w:pPr>
              <w:spacing w:before="20" w:after="20"/>
            </w:pPr>
            <w:r>
              <w:rPr>
                <w:rFonts w:ascii="Arial" w:cs="Arial" w:eastAsia="Arial" w:hAnsi="Arial"/>
                <w:b w:val="false"/>
                <w:bCs w:val="false"/>
                <w:i w:val="false"/>
                <w:iCs w:val="false"/>
                <w:color w:val="000000"/>
                <w:sz w:val="21"/>
                <w:szCs w:val="21"/>
              </w:rPr>
              <w:t xml:space="preserve">本レポートはAIによる情報整理・分析補助を基に作成した個人用運用記録です。</w:t>
            </w:r>
          </w:p>
          <w:p>
            <w:pPr>
              <w:spacing w:before="20" w:after="20"/>
            </w:pPr>
            <w:r>
              <w:rPr>
                <w:rFonts w:ascii="Arial" w:cs="Arial" w:eastAsia="Arial" w:hAnsi="Arial"/>
                <w:b w:val="false"/>
                <w:bCs w:val="false"/>
                <w:i w:val="false"/>
                <w:iCs w:val="false"/>
                <w:color w:val="000000"/>
                <w:sz w:val="21"/>
                <w:szCs w:val="21"/>
              </w:rPr>
              <w:t xml:space="preserve">記載内容は投資の推奨・勧誘を目的とするものではありません。</w:t>
            </w:r>
          </w:p>
          <w:p>
            <w:pPr>
              <w:spacing w:before="20" w:after="20"/>
            </w:pPr>
            <w:r>
              <w:rPr>
                <w:rFonts w:ascii="Arial" w:cs="Arial" w:eastAsia="Arial" w:hAnsi="Arial"/>
                <w:b w:val="false"/>
                <w:bCs w:val="false"/>
                <w:i w:val="false"/>
                <w:iCs w:val="false"/>
                <w:color w:val="000000"/>
                <w:sz w:val="21"/>
                <w:szCs w:val="21"/>
              </w:rPr>
              <w:t xml:space="preserve">投資の最終判断はご自身の責任において行ってください。</w:t>
            </w:r>
          </w:p>
          <w:p>
            <w:pPr>
              <w:spacing w:before="20" w:after="20"/>
            </w:pPr>
            <w:r>
              <w:rPr>
                <w:rFonts w:ascii="Arial" w:cs="Arial" w:eastAsia="Arial" w:hAnsi="Arial"/>
                <w:b w:val="false"/>
                <w:bCs w:val="false"/>
                <w:i w:val="false"/>
                <w:iCs w:val="false"/>
                <w:color w:val="000000"/>
                <w:sz w:val="21"/>
                <w:szCs w:val="21"/>
              </w:rPr>
              <w:t xml:space="preserve">AIは投資アドバイザーではなく、将来の株価を予測するものではありません。</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b w:val="false"/>
        <w:bCs w:val="false"/>
        <w:i/>
        <w:iCs/>
        <w:color w:val="595959"/>
        <w:sz w:val="16"/>
        <w:szCs w:val="16"/>
      </w:rPr>
      <w:t xml:space="preserve">※ 本レポートはAI情報整理を基にした個人用記録であり、投資の推奨ではありません。</w:t>
    </w:r>
    <w:r>
      <w:rPr>
        <w:rFonts w:ascii="Arial" w:cs="Arial" w:eastAsia="Arial" w:hAnsi="Arial"/>
        <w:b w:val="false"/>
        <w:bCs w:val="false"/>
        <w:i w:val="false"/>
        <w:iCs w:val="false"/>
        <w:color w:val="000000"/>
        <w:sz w:val="16"/>
        <w:szCs w:val="16"/>
      </w:rPr>
      <w:t xml:space="preserve">	</w:t>
    </w:r>
    <w:r>
      <w:rPr>
        <w:rFonts w:ascii="Arial" w:cs="Arial" w:eastAsia="Arial" w:hAnsi="Arial"/>
        <w:b w:val="false"/>
        <w:bCs w:val="false"/>
        <w:i w:val="false"/>
        <w:iCs w:val="false"/>
        <w:color w:val="595959"/>
        <w:sz w:val="18"/>
        <w:szCs w:val="18"/>
      </w:rPr>
      <w:t xml:space="preserve">- </w:t>
    </w:r>
    <w:r>
      <w:rPr>
        <w:rFonts w:ascii="Arial" w:cs="Arial" w:eastAsia="Arial" w:hAnsi="Arial"/>
        <w:color w:val="595959"/>
        <w:sz w:val="18"/>
        <w:szCs w:val="18"/>
      </w:rPr>
      <w:pgNum/>
    </w:r>
    <w:r>
      <w:rPr>
        <w:rFonts w:ascii="Arial" w:cs="Arial" w:eastAsia="Arial" w:hAnsi="Arial"/>
        <w:b w:val="false"/>
        <w:bCs w:val="false"/>
        <w:i w:val="false"/>
        <w:iCs w:val="false"/>
        <w:color w:val="59595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60"/>
    </w:pPr>
    <w:r>
      <w:rPr>
        <w:rFonts w:ascii="Arial" w:cs="Arial" w:eastAsia="Arial" w:hAnsi="Arial"/>
        <w:b w:val="false"/>
        <w:bCs w:val="false"/>
        <w:i w:val="false"/>
        <w:iCs w:val="false"/>
        <w:color w:val="595959"/>
        <w:sz w:val="18"/>
        <w:szCs w:val="18"/>
      </w:rPr>
      <w:t xml:space="preserve">株式運用月次レポート</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595959"/>
        <w:sz w:val="18"/>
        <w:szCs w:val="18"/>
      </w:rPr>
      <w:t xml:space="preserve">2026年3月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800" w:hanging="280"/>
      </w:pPr>
      <w:rPr>
        <w:rFonts w:ascii="Arial" w:cs="Arial" w:eastAsia="Arial" w:hAnsi="Arial"/>
        <w:color w:val="595959"/>
        <w:sz w:val="20"/>
        <w:szCs w:val="20"/>
      </w:rPr>
    </w:lvl>
  </w:abstractNum>
  <w:abstractNum w:abstractNumId="4" w15:restartNumberingAfterBreak="0">
    <w:multiLevelType w:val="hybridMultilevel"/>
    <w:lvl w:ilvl="0" w15:tentative="1">
      <w:start w:val="1"/>
      <w:numFmt w:val="decimal"/>
      <w:lvlText w:val="%1."/>
      <w:lvlJc w:val="left"/>
      <w:pPr>
        <w:ind w:left="56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2026-03-21T13:20:32.073Z</dcterms:created>
  <dcterms:modified xsi:type="dcterms:W3CDTF">2026-03-21T13:20:32.074Z</dcterms:modified>
</cp:coreProperties>
</file>

<file path=docProps/custom.xml><?xml version="1.0" encoding="utf-8"?>
<Properties xmlns="http://schemas.openxmlformats.org/officeDocument/2006/custom-properties" xmlns:vt="http://schemas.openxmlformats.org/officeDocument/2006/docPropsVTypes"/>
</file>