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6E1750BC">
      <w:pPr>
        <w:rPr>
          <w:rFonts w:ascii="仿宋_GB2312" w:eastAsia="仿宋_GB2312"/>
          <w:b w:val="1"/>
          <w:bCs w:val="1"/>
          <w:sz w:val="72"/>
          <w:szCs w:val="72"/>
        </w:rPr>
      </w:pPr>
      <w:r>
        <w:rPr>
          <w:rFonts w:hint="eastAsia" w:ascii="仿宋_GB2312" w:eastAsia="仿宋_GB2312" w:cs="仿宋_GB2312"/>
          <w:b w:val="1"/>
          <w:bCs w:val="1"/>
          <w:sz w:val="28"/>
          <w:szCs w:val="28"/>
        </w:rPr>
        <w:t>课程编号：</w:t>
      </w:r>
    </w:p>
    <w:p w14:paraId="7D6D5C7C">
      <w:pPr>
        <w:jc w:val="center"/>
        <w:rPr>
          <w:rFonts w:hint="eastAsia" w:ascii="仿宋_GB2312" w:eastAsia="仿宋_GB2312" w:cs="仿宋_GB2312"/>
          <w:b w:val="1"/>
          <w:bCs w:val="1"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 w:val="1"/>
          <w:bCs w:val="1"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 w:val="1"/>
          <w:bCs w:val="1"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 w:val="1"/>
          <w:bCs w:val="1"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 w:val="1"/>
          <w:bCs w:val="1"/>
          <w:sz w:val="72"/>
          <w:szCs w:val="72"/>
        </w:rPr>
        <w:t>开源</w:t>
      </w:r>
      <w:r>
        <w:rPr>
          <w:rFonts w:hint="eastAsia" w:ascii="仿宋_GB2312" w:eastAsia="仿宋_GB2312" w:cs="仿宋_GB2312"/>
          <w:b w:val="1"/>
          <w:bCs w:val="1"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 w:val="1"/>
          <w:bCs w:val="1"/>
          <w:sz w:val="72"/>
          <w:szCs w:val="72"/>
        </w:rPr>
      </w:pPr>
      <w:r>
        <w:rPr>
          <w:rFonts w:hint="eastAsia" w:ascii="仿宋_GB2312" w:eastAsia="仿宋_GB2312" w:cs="仿宋_GB2312"/>
          <w:b w:val="1"/>
          <w:bCs w:val="1"/>
          <w:sz w:val="72"/>
          <w:szCs w:val="72"/>
        </w:rPr>
        <w:t>平时作业报告</w:t>
      </w:r>
    </w:p>
    <w:p w14:paraId="72B4D612">
      <w:pPr>
        <w:jc w:val="center"/>
        <w:rPr>
          <w:rFonts w:ascii="仿宋_GB2312" w:eastAsia="仿宋_GB2312"/>
          <w:b w:val="1"/>
          <w:bCs w:val="1"/>
          <w:sz w:val="52"/>
          <w:szCs w:val="52"/>
        </w:rPr>
      </w:pPr>
    </w:p>
    <w:p w14:paraId="1E8560DC">
      <w:pPr>
        <w:jc w:val="center"/>
        <w:rPr>
          <w:rFonts w:ascii="宋体"/>
          <w:sz w:val="28"/>
          <w:szCs w:val="28"/>
        </w:rPr>
      </w:pPr>
    </w:p>
    <w:p w14:paraId="1E615644">
      <w:pPr>
        <w:jc w:val="center"/>
        <w:rPr>
          <w:rFonts w:ascii="宋体"/>
          <w:sz w:val="28"/>
          <w:szCs w:val="28"/>
        </w:rPr>
      </w:pPr>
    </w:p>
    <w:p w14:paraId="27E03F4E">
      <w:pPr>
        <w:jc w:val="center"/>
        <w:rPr>
          <w:rFonts w:ascii="宋体"/>
          <w:sz w:val="28"/>
          <w:szCs w:val="28"/>
        </w:rPr>
      </w:pPr>
    </w:p>
    <w:p w14:paraId="0CE85110">
      <w:pPr>
        <w:jc w:val="center"/>
        <w:rPr>
          <w:rFonts w:ascii="宋体"/>
          <w:sz w:val="28"/>
          <w:szCs w:val="28"/>
        </w:rPr>
      </w:pPr>
    </w:p>
    <w:p w14:paraId="1C97CF4E">
      <w:pPr>
        <w:jc w:val="center"/>
        <w:rPr>
          <w:rFonts w:ascii="宋体"/>
          <w:sz w:val="28"/>
          <w:szCs w:val="28"/>
        </w:rPr>
      </w:pPr>
    </w:p>
    <w:p w14:paraId="7DE1962F">
      <w:pPr>
        <w:rPr>
          <w:rFonts w:ascii="仿宋_GB2312" w:eastAsia="仿宋_GB2312"/>
        </w:rPr>
      </w:pPr>
    </w:p>
    <w:p w14:paraId="08818189">
      <w:pPr>
        <w:rPr>
          <w:rFonts w:ascii="仿宋_GB2312" w:eastAsia="仿宋_GB2312"/>
        </w:rPr>
      </w:pPr>
    </w:p>
    <w:p w14:paraId="6B531FE3">
      <w:pPr>
        <w:rPr>
          <w:rFonts w:ascii="仿宋_GB2312" w:eastAsia="仿宋_GB2312"/>
        </w:rPr>
      </w:pPr>
    </w:p>
    <w:p w14:paraId="6EFB2D5D">
      <w:pPr>
        <w:rPr>
          <w:rFonts w:ascii="仿宋_GB2312" w:eastAsia="仿宋_GB2312"/>
        </w:rPr>
      </w:pPr>
    </w:p>
    <w:tbl>
      <w:tblPr>
        <w:tblStyle w:val="000008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>
        <w:trPr>
          <w:trHeight w:val="432" w:hRule="atLeast"/>
          <w:jc w:val="center"/>
        </w:trPr>
        <w:tc>
          <w:tcPr>
            <w:tcW w:w="1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名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12E197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sz w:val="24"/>
              </w:rPr>
              <w:t>陈思宇</w:t>
            </w:r>
          </w:p>
        </w:tc>
        <w:tc>
          <w:tcPr>
            <w:tcW w:w="22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6522A3">
            <w:pPr>
              <w:jc w:val="right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 w:val="1"/>
                <w:bCs w:val="1"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EEBDAC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ascii="仿宋" w:hAnsi="仿宋" w:eastAsia="仿宋" w:cs="仿宋"/>
                <w:b w:val="1"/>
                <w:sz w:val="24"/>
              </w:rPr>
              <w:t>f25015220</w:t>
            </w:r>
          </w:p>
        </w:tc>
      </w:tr>
      <w:tr>
        <w:trPr>
          <w:trHeight w:val="432" w:hRule="atLeast"/>
          <w:jc w:val="center"/>
        </w:trPr>
        <w:tc>
          <w:tcPr>
            <w:tcW w:w="1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级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12FE55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ascii="仿宋" w:hAnsi="仿宋" w:eastAsia="仿宋" w:cs="仿宋"/>
                <w:b w:val="1"/>
                <w:sz w:val="24"/>
              </w:rPr>
              <w:t>f250117</w:t>
            </w:r>
          </w:p>
        </w:tc>
        <w:tc>
          <w:tcPr>
            <w:tcW w:w="22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3CC3B">
            <w:pPr>
              <w:jc w:val="right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  <w:lang w:val="en-US" w:eastAsia="zh-CN"/>
              </w:rPr>
              <w:t>祝欣蓉</w:t>
            </w:r>
          </w:p>
        </w:tc>
      </w:tr>
      <w:tr>
        <w:trPr>
          <w:trHeight w:val="453" w:hRule="atLeast"/>
          <w:jc w:val="center"/>
        </w:trPr>
        <w:tc>
          <w:tcPr>
            <w:tcW w:w="1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>
        <w:trPr>
          <w:trHeight w:val="432" w:hRule="atLeast"/>
          <w:jc w:val="center"/>
        </w:trPr>
        <w:tc>
          <w:tcPr>
            <w:tcW w:w="1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bookmarkStart w:id="1" w:name="_GoBack"/>
            <w:bookmarkEnd w:id="1"/>
            <w:r>
              <w:rPr>
                <w:rFonts w:hint="eastAsia" w:ascii="仿宋" w:hAnsi="仿宋" w:eastAsia="仿宋" w:cs="仿宋"/>
                <w:b w:val="1"/>
                <w:bCs w:val="1"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>
        <w:trPr>
          <w:trHeight w:val="453" w:hRule="atLeast"/>
          <w:jc w:val="center"/>
        </w:trPr>
        <w:tc>
          <w:tcPr>
            <w:tcW w:w="1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519C55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sz w:val="24"/>
              </w:rPr>
              <w:t>2026年10月29日</w:t>
            </w:r>
          </w:p>
        </w:tc>
      </w:tr>
      <w:tr>
        <w:trPr>
          <w:cantSplit w:val="1"/>
          <w:trHeight w:val="432" w:hRule="atLeast"/>
          <w:jc w:val="center"/>
        </w:trPr>
        <w:tc>
          <w:tcPr>
            <w:tcW w:w="196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</w:p>
        </w:tc>
        <w:tc>
          <w:tcPr>
            <w:tcW w:w="2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CEC041">
            <w:pPr>
              <w:jc w:val="right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  <w:lang w:val="en-US" w:eastAsia="zh-CN"/>
              </w:rPr>
              <w:t>祝欣蓉</w:t>
            </w:r>
          </w:p>
        </w:tc>
      </w:tr>
      <w:tr>
        <w:trPr>
          <w:cantSplit w:val="1"/>
          <w:trHeight w:val="432" w:hRule="atLeast"/>
          <w:jc w:val="center"/>
        </w:trPr>
        <w:tc>
          <w:tcPr>
            <w:tcW w:w="19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3DB938">
            <w:pPr>
              <w:jc w:val="right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</w:p>
        </w:tc>
        <w:tc>
          <w:tcPr>
            <w:tcW w:w="2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</w:p>
        </w:tc>
      </w:tr>
    </w:tbl>
    <w:p w14:paraId="212ACDEC">
      <w:pPr>
        <w:widowControl w:val="1"/>
        <w:jc w:val="center"/>
        <w:rPr>
          <w:rFonts w:ascii="仿宋_GB2312" w:hAnsi="宋体" w:eastAsia="仿宋_GB2312"/>
          <w:b w:val="1"/>
          <w:bCs w:val="1"/>
          <w:sz w:val="28"/>
          <w:szCs w:val="28"/>
        </w:rPr>
      </w:pPr>
    </w:p>
    <w:p w14:paraId="389FC1C7">
      <w:pPr>
        <w:widowControl w:val="1"/>
        <w:jc w:val="center"/>
        <w:rPr>
          <w:rFonts w:ascii="仿宋_GB2312" w:hAnsi="宋体" w:eastAsia="仿宋_GB2312"/>
          <w:b w:val="1"/>
          <w:bCs w:val="1"/>
          <w:sz w:val="24"/>
          <w:szCs w:val="24"/>
        </w:rPr>
      </w:pPr>
      <w:r>
        <w:rPr>
          <w:rFonts w:hint="eastAsia" w:ascii="仿宋_GB2312" w:hAnsi="宋体" w:eastAsia="仿宋_GB2312" w:cs="仿宋_GB2312"/>
          <w:b w:val="1"/>
          <w:bCs w:val="1"/>
          <w:sz w:val="28"/>
          <w:szCs w:val="28"/>
          <w:lang w:val="en-US" w:eastAsia="zh-CN"/>
        </w:rPr>
        <w:t>上海杉达学院</w:t>
      </w:r>
      <w:r>
        <w:rPr>
          <w:rFonts w:ascii="仿宋_GB2312" w:hAnsi="宋体" w:eastAsia="仿宋_GB2312"/>
          <w:sz w:val="32"/>
          <w:szCs w:val="32"/>
        </w:rPr>
        <w:br w:type="page"/>
      </w:r>
    </w:p>
    <w:p w14:paraId="7FEEBDAF">
      <w:pPr>
        <w:widowControl w:val="1"/>
        <w:spacing w:before="100" w:after="20" w:line="300" w:lineRule="auto"/>
        <w:jc w:val="left"/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一、开源项目介绍</w:t>
      </w:r>
    </w:p>
    <w:p w14:paraId="7FEEBDB0">
      <w:pPr>
        <w:widowControl w:val="1"/>
        <w:spacing w:before="60" w:after="20" w:line="300" w:lineRule="auto"/>
        <w:jc w:val="left"/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1.1 项目概况</w:t>
      </w:r>
    </w:p>
    <w:p w14:paraId="7FEEBDB1">
      <w:pPr>
        <w:widowControl w:val="1"/>
        <w:spacing w:line="300" w:lineRule="auto"/>
        <w:ind w:firstLine="420" w:firstLineChars="200"/>
        <w:jc w:val="left"/>
      </w:pPr>
      <w:r>
        <w:rPr>
          <w:rFonts w:hint="eastAsia" w:ascii="Times New Roman" w:hAnsi="Times New Roman" w:eastAsia="宋体"/>
        </w:rPr>
        <w:t xml:space="preserve">本次测试选取 Apache 软件基金会（ASF）顶级项目 </w:t>
      </w:r>
      <w:r>
        <w:rPr>
          <w:rFonts w:hint="eastAsia" w:ascii="Times New Roman" w:hAnsi="Times New Roman" w:eastAsia="宋体"/>
          <w:b w:val="1"/>
          <w:bCs w:val="1"/>
        </w:rPr>
        <w:t>Apache Commons CLI</w:t>
      </w:r>
      <w:r>
        <w:rPr>
          <w:rFonts w:hint="eastAsia" w:ascii="Times New Roman" w:hAnsi="Times New Roman" w:eastAsia="宋体"/>
        </w:rPr>
        <w:t>（Maven 坐标 org.apache.commons:commons-cli，版本 1.12.0-SNAPSHOT，克隆自 github.com/apache/commons-cli 主干）。它是 Java 生态最常用的命令行参数解析库之一，支持 POSIX/GNU 风格选项、选项组等特性，2002 年立项至今持续维护。选择原因：ASF 对许可证合规要求严格（LICENSE、NOTICE、源文件头三要素齐备），项目规模适中、便于人工复核，适合检验工具的检出率与误报率。</w:t>
      </w:r>
    </w:p>
    <w:p w14:paraId="7FEEBDB2">
      <w:pPr>
        <w:widowControl w:val="1"/>
        <w:spacing w:before="60" w:after="20" w:line="300" w:lineRule="auto"/>
        <w:jc w:val="left"/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1.2 代码规模与依赖</w:t>
      </w:r>
    </w:p>
    <w:p w14:paraId="7FEEBDB3">
      <w:pPr>
        <w:widowControl w:val="1"/>
        <w:spacing w:line="300" w:lineRule="auto"/>
        <w:ind w:firstLine="420" w:firstLineChars="200"/>
        <w:jc w:val="left"/>
      </w:pPr>
      <w:r>
        <w:rPr>
          <w:rFonts w:hint="eastAsia" w:ascii="Times New Roman" w:hAnsi="Times New Roman" w:eastAsia="宋体"/>
        </w:rPr>
        <w:t xml:space="preserve">仓库受控文件共 </w:t>
      </w:r>
      <w:r>
        <w:rPr>
          <w:rFonts w:hint="eastAsia" w:ascii="Times New Roman" w:hAnsi="Times New Roman" w:eastAsia="宋体"/>
          <w:b w:val="1"/>
          <w:bCs w:val="1"/>
        </w:rPr>
        <w:t>141 个</w:t>
      </w:r>
      <w:r>
        <w:rPr>
          <w:rFonts w:hint="eastAsia" w:ascii="Times New Roman" w:hAnsi="Times New Roman" w:eastAsia="宋体"/>
        </w:rPr>
        <w:t>（另含 36 个目录），约 2.1 MB：Java 源文件 87 个、XML 19 个、YAML/YML 6 个、Markdown 5 个、图像资源 7 个等。运行时</w:t>
      </w:r>
      <w:r>
        <w:rPr>
          <w:rFonts w:hint="eastAsia" w:ascii="Times New Roman" w:hAnsi="Times New Roman" w:eastAsia="宋体"/>
          <w:b w:val="1"/>
          <w:bCs w:val="1"/>
        </w:rPr>
        <w:t>零第三方依赖</w:t>
      </w:r>
      <w:r>
        <w:rPr>
          <w:rFonts w:hint="eastAsia" w:ascii="Times New Roman" w:hAnsi="Times New Roman" w:eastAsia="宋体"/>
        </w:rPr>
        <w:t>；测试域（test scope）依赖 7 个：JUnit Jupiter 与 junit-pioneer（EPL-2.0）、commons-io 2.22.0 与 commons-text 1.15.0（Apache-2.0）、mockito-core（MIT）。</w:t>
      </w:r>
    </w:p>
    <w:p w14:paraId="7FEEBDB4">
      <w:pPr>
        <w:widowControl w:val="1"/>
        <w:spacing w:before="60" w:after="20" w:line="300" w:lineRule="auto"/>
        <w:jc w:val="left"/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1.3 许可证要素</w:t>
      </w:r>
    </w:p>
    <w:p w14:paraId="7FEEBDB5">
      <w:pPr>
        <w:widowControl w:val="1"/>
        <w:spacing w:line="300" w:lineRule="auto"/>
        <w:ind w:firstLine="420" w:firstLineChars="200"/>
        <w:jc w:val="left"/>
      </w:pPr>
      <w:r>
        <w:rPr>
          <w:rFonts w:hint="eastAsia" w:ascii="Times New Roman" w:hAnsi="Times New Roman" w:eastAsia="宋体"/>
        </w:rPr>
        <w:t xml:space="preserve">项目根目录内置 </w:t>
      </w:r>
      <w:r>
        <w:rPr>
          <w:rFonts w:hint="eastAsia" w:ascii="Times New Roman" w:hAnsi="Times New Roman" w:eastAsia="宋体"/>
          <w:b w:val="1"/>
          <w:bCs w:val="1"/>
        </w:rPr>
        <w:t>LICENSE.txt</w:t>
      </w:r>
      <w:r>
        <w:rPr>
          <w:rFonts w:hint="eastAsia" w:ascii="Times New Roman" w:hAnsi="Times New Roman" w:eastAsia="宋体"/>
        </w:rPr>
        <w:t xml:space="preserve">（Apache-2.0 全文）与 </w:t>
      </w:r>
      <w:r>
        <w:rPr>
          <w:rFonts w:hint="eastAsia" w:ascii="Times New Roman" w:hAnsi="Times New Roman" w:eastAsia="宋体"/>
          <w:b w:val="1"/>
          <w:bCs w:val="1"/>
        </w:rPr>
        <w:t>NOTICE.txt</w:t>
      </w:r>
      <w:r>
        <w:rPr>
          <w:rFonts w:hint="eastAsia" w:ascii="Times New Roman" w:hAnsi="Times New Roman" w:eastAsia="宋体"/>
        </w:rPr>
        <w:t>（Copyright 2002-2026 The Apache Software Foundation）；经 grep 基线交叉验证，87 个 .java 文件 100% 含 ASF 标准许可证头（“Licensed to the Apache Software Foundation…”短头，不含 Copyright 字样）。</w:t>
      </w:r>
    </w:p>
    <w:p w14:paraId="7FEEBDB6">
      <w:pPr>
        <w:widowControl w:val="1"/>
        <w:spacing w:before="100" w:after="20" w:line="300" w:lineRule="auto"/>
        <w:jc w:val="left"/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二、测试工具的安装过程及遇到的问题</w:t>
      </w:r>
    </w:p>
    <w:p w14:paraId="7FEEBDB7">
      <w:pPr>
        <w:widowControl w:val="1"/>
        <w:spacing w:before="60" w:after="20" w:line="300" w:lineRule="auto"/>
        <w:jc w:val="left"/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2.1 工具选型</w:t>
      </w:r>
    </w:p>
    <w:p w14:paraId="7FEEBDB8">
      <w:pPr>
        <w:widowControl w:val="1"/>
        <w:spacing w:line="300" w:lineRule="auto"/>
        <w:ind w:firstLine="420" w:firstLineChars="200"/>
        <w:jc w:val="left"/>
      </w:pPr>
      <w:r>
        <w:rPr>
          <w:rFonts w:hint="eastAsia" w:ascii="Times New Roman" w:hAnsi="Times New Roman" w:eastAsia="宋体"/>
        </w:rPr>
        <w:t xml:space="preserve">选用参考列表第 27 项 </w:t>
      </w:r>
      <w:r>
        <w:rPr>
          <w:rFonts w:hint="eastAsia" w:ascii="Times New Roman" w:hAnsi="Times New Roman" w:eastAsia="宋体"/>
          <w:b w:val="1"/>
          <w:bCs w:val="1"/>
        </w:rPr>
        <w:t>ScanCode Toolkit 32.5.0</w:t>
      </w:r>
      <w:r>
        <w:rPr>
          <w:rFonts w:hint="eastAsia" w:ascii="Times New Roman" w:hAnsi="Times New Roman" w:eastAsia="宋体"/>
        </w:rPr>
        <w:t>（Apache-2.0 许可，AboutCode 社区出品）。选型理由：① Python 实现、pip 一键安装；② 内置上千条许可证规则（对齐 SPDX License List 3.27），输出许可证表达式、匹配规则与置信度；③ 支持 JSON/HTML/SPDX 等多种报告；④ 相比 Fossology（需部署服务端）、Apache Rat（需 Java/Maven 环境），更贴合单机测试条件。</w:t>
      </w:r>
    </w:p>
    <w:p w14:paraId="7FEEBDB9">
      <w:pPr>
        <w:widowControl w:val="1"/>
        <w:spacing w:before="60" w:after="20" w:line="300" w:lineRule="auto"/>
        <w:jc w:val="left"/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2.2 安装步骤</w:t>
      </w:r>
    </w:p>
    <w:p w14:paraId="7FEEBDBA">
      <w:pPr>
        <w:widowControl w:val="1"/>
        <w:spacing w:line="300" w:lineRule="auto"/>
        <w:ind w:firstLine="420" w:firstLineChars="200"/>
        <w:jc w:val="left"/>
      </w:pPr>
      <w:r>
        <w:rPr>
          <w:rFonts w:hint="eastAsia" w:ascii="Times New Roman" w:hAnsi="Times New Roman" w:eastAsia="宋体"/>
        </w:rPr>
        <w:t>① 使用 uv 安装官方 CPython 3.12.13；② 创建虚拟环境 .venv-scan 隔离依赖；③ 执行 pip install scancode-toolkit==32.5.0，自动安装 100 余个依赖（含 licensedcode 规则库等）；④ 执行 scancode --version 验证，输出“ScanCode version: 32.5.0 / Output Format 4.1.0 / SPDX 3.27”，安装成功。</w:t>
      </w:r>
    </w:p>
    <w:p w14:paraId="7FEEBDBB">
      <w:pPr>
        <w:widowControl w:val="1"/>
        <w:spacing w:before="60" w:after="20" w:line="300" w:lineRule="auto"/>
        <w:jc w:val="left"/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2.3 遇到的问题与解决</w:t>
      </w:r>
    </w:p>
    <w:p w14:paraId="7FEEBDBC">
      <w:pPr>
        <w:widowControl w:val="1"/>
        <w:spacing w:line="300" w:lineRule="auto"/>
        <w:ind w:firstLine="420" w:firstLineChars="200"/>
        <w:jc w:val="left"/>
      </w:pPr>
      <w:r>
        <w:rPr>
          <w:rFonts w:hint="eastAsia" w:ascii="Times New Roman" w:hAnsi="Times New Roman" w:eastAsia="宋体"/>
          <w:b w:val="1"/>
          <w:bCs w:val="1"/>
        </w:rPr>
        <w:t>问题 1：Python 版本不兼容。</w:t>
      </w:r>
      <w:r>
        <w:rPr>
          <w:rFonts w:hint="eastAsia" w:ascii="Times New Roman" w:hAnsi="Times New Roman" w:eastAsia="宋体"/>
        </w:rPr>
        <w:t>本机默认 Python 3.14 缺少 scancode-toolkit 及其 C 扩展（intbitset、pyahocorasick 等）的预编译 wheel，源码编译需 MSVC 工具链。解决：改用官方 CPython 3.12.13 建立独立环境。</w:t>
      </w:r>
    </w:p>
    <w:p w14:paraId="7FEEBDBD">
      <w:pPr>
        <w:widowControl w:val="1"/>
        <w:spacing w:line="300" w:lineRule="auto"/>
        <w:ind w:firstLine="420" w:firstLineChars="200"/>
        <w:jc w:val="left"/>
      </w:pPr>
      <w:r>
        <w:rPr>
          <w:rFonts w:hint="eastAsia" w:ascii="Times New Roman" w:hAnsi="Times New Roman" w:eastAsia="宋体"/>
          <w:b w:val="1"/>
          <w:bCs w:val="1"/>
        </w:rPr>
        <w:t>问题 2：插件框架冲突。</w:t>
      </w:r>
      <w:r>
        <w:rPr>
          <w:rFonts w:hint="eastAsia" w:ascii="Times New Roman" w:hAnsi="Times New Roman" w:eastAsia="宋体"/>
        </w:rPr>
        <w:t>首次运行报“ValueError: did not find any pre_scan hooks”。排查发现依赖解析出的 pluggy 1.7.0 与 ScanCode 的插件框架 plugincode 不兼容，降级 pluggy==1.5.0 后恢复正常。</w:t>
      </w:r>
    </w:p>
    <w:p w14:paraId="7FEEBDBE">
      <w:pPr>
        <w:widowControl w:val="1"/>
        <w:spacing w:line="300" w:lineRule="auto"/>
        <w:ind w:firstLine="420" w:firstLineChars="200"/>
        <w:jc w:val="left"/>
      </w:pPr>
      <w:r>
        <w:rPr>
          <w:rFonts w:hint="eastAsia" w:ascii="Times New Roman" w:hAnsi="Times New Roman" w:eastAsia="宋体"/>
          <w:b w:val="1"/>
          <w:bCs w:val="1"/>
        </w:rPr>
        <w:t>问题 3：输出目录校验。</w:t>
      </w:r>
      <w:r>
        <w:rPr>
          <w:rFonts w:hint="eastAsia" w:ascii="Times New Roman" w:hAnsi="Times New Roman" w:eastAsia="宋体"/>
        </w:rPr>
        <w:t>--json-pp 输出父目录不存在时工具直接拒绝运行，需预先创建 result 目录。</w:t>
      </w:r>
    </w:p>
    <w:p w14:paraId="7FEEBDBF">
      <w:pPr>
        <w:widowControl w:val="1"/>
        <w:spacing w:line="300" w:lineRule="auto"/>
        <w:ind w:firstLine="420" w:firstLineChars="200"/>
        <w:jc w:val="left"/>
      </w:pPr>
      <w:r>
        <w:rPr>
          <w:rFonts w:hint="eastAsia" w:ascii="Times New Roman" w:hAnsi="Times New Roman" w:eastAsia="宋体"/>
          <w:b w:val="1"/>
          <w:bCs w:val="1"/>
        </w:rPr>
        <w:t>问题 4：选项联动约束。</w:t>
      </w:r>
      <w:r>
        <w:rPr>
          <w:rFonts w:hint="eastAsia" w:ascii="Times New Roman" w:hAnsi="Times New Roman" w:eastAsia="宋体"/>
        </w:rPr>
        <w:t>单独使用 --max-email 0 报“requires the option(s) --email”，部分选项存在依赖联动，最终改为仅使用 -cl（版权+许可证）与 --processes 2、--timeout 120。上述问题均为环境/配置类，官方文档均有说明，安装总耗时约 7 分钟。</w:t>
      </w:r>
    </w:p>
    <w:p w14:paraId="7FEEBDC0">
      <w:pPr>
        <w:widowControl w:val="1"/>
        <w:spacing w:before="100" w:after="20" w:line="300" w:lineRule="auto"/>
        <w:jc w:val="left"/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三、工具输出的检测报告</w:t>
      </w:r>
    </w:p>
    <w:p w14:paraId="7FEEBDC1">
      <w:pPr>
        <w:widowControl w:val="1"/>
        <w:spacing w:before="60" w:after="20" w:line="300" w:lineRule="auto"/>
        <w:jc w:val="left"/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3.1 扫描命令与过程</w:t>
      </w:r>
    </w:p>
    <w:p w14:paraId="7FEEBDC2">
      <w:pPr>
        <w:widowControl w:val="1"/>
        <w:spacing w:line="300" w:lineRule="auto"/>
        <w:ind w:firstLine="420" w:firstLineChars="200"/>
        <w:jc w:val="left"/>
      </w:pPr>
      <w:r>
        <w:rPr>
          <w:rFonts w:hint="eastAsia" w:ascii="Times New Roman" w:hAnsi="Times New Roman" w:eastAsia="宋体"/>
        </w:rPr>
        <w:t xml:space="preserve">在项目根目录执行：scancode -cl --json-pp result/scancode-result.json --html result/scancode-report.html --processes 2 --timeout 120 commons-cli。工具先加载插件与文件清单，再以 2 进程并行扫描许可证与版权，全程 </w:t>
      </w:r>
      <w:r>
        <w:rPr>
          <w:rFonts w:hint="eastAsia" w:ascii="Times New Roman" w:hAnsi="Times New Roman" w:eastAsia="宋体"/>
          <w:b w:val="1"/>
          <w:bCs w:val="1"/>
        </w:rPr>
        <w:t>175.28 秒</w:t>
      </w:r>
      <w:r>
        <w:rPr>
          <w:rFonts w:hint="eastAsia" w:ascii="Times New Roman" w:hAnsi="Times New Roman" w:eastAsia="宋体"/>
        </w:rPr>
        <w:t>（0.84 files/sec），</w:t>
      </w:r>
      <w:r>
        <w:rPr>
          <w:rFonts w:hint="eastAsia" w:ascii="Times New Roman" w:hAnsi="Times New Roman" w:eastAsia="宋体"/>
          <w:b w:val="1"/>
          <w:bCs w:val="1"/>
        </w:rPr>
        <w:t>0 错误、0 警告</w:t>
      </w:r>
      <w:r>
        <w:rPr>
          <w:rFonts w:hint="eastAsia" w:ascii="Times New Roman" w:hAnsi="Times New Roman" w:eastAsia="宋体"/>
        </w:rPr>
        <w:t>（图 1）。</w:t>
      </w:r>
    </w:p>
    <w:p w14:paraId="7FEEBDC3">
      <w:pPr>
        <w:spacing w:before="80" w:after="40"/>
        <w:jc w:val="center"/>
      </w:pPr>
      <w:r>
        <w:drawing>
          <wp:inline>
            <wp:extent cx="4752000" cy="2251591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fig_conso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2515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FEEBDC4">
      <w:pPr>
        <w:widowControl w:val="1"/>
        <w:spacing w:line="300" w:lineRule="auto"/>
        <w:jc w:val="center"/>
      </w:pPr>
      <w:r>
        <w:rPr>
          <w:rFonts w:hint="eastAsia" w:ascii="Times New Roman" w:hAnsi="Times New Roman" w:eastAsia="宋体"/>
          <w:b w:val="1"/>
          <w:bCs w:val="1"/>
          <w:sz w:val="18"/>
          <w:szCs w:val="18"/>
        </w:rPr>
        <w:t>图 1  ScanCode 扫描命令与控制台输出摘要</w:t>
      </w:r>
    </w:p>
    <w:p w14:paraId="7FEEBDC5">
      <w:pPr>
        <w:widowControl w:val="1"/>
        <w:spacing w:before="60" w:after="20" w:line="300" w:lineRule="auto"/>
        <w:jc w:val="left"/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3.2 总体统计</w:t>
      </w:r>
    </w:p>
    <w:p w14:paraId="7FEEBDC6">
      <w:pPr>
        <w:widowControl w:val="1"/>
        <w:spacing w:line="300" w:lineRule="auto"/>
        <w:jc w:val="center"/>
      </w:pPr>
      <w:r>
        <w:rPr>
          <w:rFonts w:hint="eastAsia" w:ascii="Times New Roman" w:hAnsi="Times New Roman" w:eastAsia="宋体"/>
          <w:b w:val="1"/>
          <w:bCs w:val="1"/>
          <w:sz w:val="18"/>
          <w:szCs w:val="18"/>
        </w:rPr>
        <w:t>表 1  扫描总体统计</w:t>
      </w:r>
    </w:p>
    <w:tbl>
      <w:tblPr>
        <w:tblW w:w="0" w:type="auto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Row="1" w:lastRow="0" w:firstColumn="1" w:lastColumn="0" w:noHBand="0" w:noVBand="1" w:val="04A0"/>
      </w:tblPr>
      <w:tblGrid>
        <w:gridCol w:w="4153"/>
        <w:gridCol w:w="4153"/>
      </w:tblGrid>
      <w:tr>
        <w:trPr/>
        <w:tc>
          <w:tcPr>
            <w:tcW w:w="2268" w:type="dxa"/>
          </w:tcPr>
          <w:p w14:paraId="7FEEBDC7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1"/>
                <w:sz w:val="18"/>
              </w:rPr>
              <w:t>统计指标</w:t>
            </w:r>
          </w:p>
        </w:tc>
        <w:tc>
          <w:tcPr>
            <w:tcW w:w="5953" w:type="dxa"/>
          </w:tcPr>
          <w:p w14:paraId="7FEEBDC8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1"/>
                <w:sz w:val="18"/>
              </w:rPr>
              <w:t>结果</w:t>
            </w:r>
          </w:p>
        </w:tc>
      </w:tr>
      <w:tr>
        <w:trPr/>
        <w:tc>
          <w:tcPr>
            <w:tcW w:w="2268" w:type="dxa"/>
          </w:tcPr>
          <w:p w14:paraId="7FEEBDC9">
            <w:pPr>
              <w:spacing w:before="20" w:after="2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扫描文件总数</w:t>
            </w:r>
          </w:p>
        </w:tc>
        <w:tc>
          <w:tcPr>
            <w:tcW w:w="5953" w:type="dxa"/>
          </w:tcPr>
          <w:p w14:paraId="7FEEBDCA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141（另含 36 个目录，共 177 个资源）</w:t>
            </w:r>
          </w:p>
        </w:tc>
      </w:tr>
      <w:tr>
        <w:trPr/>
        <w:tc>
          <w:tcPr>
            <w:tcW w:w="2268" w:type="dxa"/>
          </w:tcPr>
          <w:p w14:paraId="7FEEBDCB">
            <w:pPr>
              <w:spacing w:before="20" w:after="2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扫描选项与耗时</w:t>
            </w:r>
          </w:p>
        </w:tc>
        <w:tc>
          <w:tcPr>
            <w:tcW w:w="5953" w:type="dxa"/>
          </w:tcPr>
          <w:p w14:paraId="7FEEBDCC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-c 版权 + -l 许可证，--processes 2；175.28 s（0.84 files/sec），0 错误 0 警告</w:t>
            </w:r>
          </w:p>
        </w:tc>
      </w:tr>
      <w:tr>
        <w:trPr/>
        <w:tc>
          <w:tcPr>
            <w:tcW w:w="2268" w:type="dxa"/>
          </w:tcPr>
          <w:p w14:paraId="7FEEBDCD">
            <w:pPr>
              <w:spacing w:before="20" w:after="2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许可证检出情况</w:t>
            </w:r>
          </w:p>
        </w:tc>
        <w:tc>
          <w:tcPr>
            <w:tcW w:w="5953" w:type="dxa"/>
          </w:tcPr>
          <w:p w14:paraId="7FEEBDCE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132 个文件（93.6%）检出；匹配 141 次：apache-2.0×137、generic-cla×3、unknown-license-reference×1；置信度 137 次 100 分、3 次 95 分、1 次 80 分</w:t>
            </w:r>
          </w:p>
        </w:tc>
      </w:tr>
      <w:tr>
        <w:trPr/>
        <w:tc>
          <w:tcPr>
            <w:tcW w:w="2268" w:type="dxa"/>
          </w:tcPr>
          <w:p w14:paraId="7FEEBDCF">
            <w:pPr>
              <w:spacing w:before="20" w:after="2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未检出文件</w:t>
            </w:r>
          </w:p>
        </w:tc>
        <w:tc>
          <w:tcPr>
            <w:tcW w:w="5953" w:type="dxa"/>
          </w:tcPr>
          <w:p w14:paraId="7FEEBDD0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9 个（6.4%），清单见表 3</w:t>
            </w:r>
          </w:p>
        </w:tc>
      </w:tr>
      <w:tr>
        <w:trPr/>
        <w:tc>
          <w:tcPr>
            <w:tcW w:w="2268" w:type="dxa"/>
          </w:tcPr>
          <w:p w14:paraId="7FEEBDD1">
            <w:pPr>
              <w:spacing w:before="20" w:after="2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版权声明检出</w:t>
            </w:r>
          </w:p>
        </w:tc>
        <w:tc>
          <w:tcPr>
            <w:tcW w:w="5953" w:type="dxa"/>
          </w:tcPr>
          <w:p w14:paraId="7FEEBDD2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仅 1 条（NOTICE.txt：Copyright 2002-2026 The Apache Software Foundation）</w:t>
            </w:r>
          </w:p>
        </w:tc>
      </w:tr>
      <w:tr>
        <w:trPr/>
        <w:tc>
          <w:tcPr>
            <w:tcW w:w="2268" w:type="dxa"/>
          </w:tcPr>
          <w:p w14:paraId="7FEEBDD3">
            <w:pPr>
              <w:spacing w:before="20" w:after="2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工具与规则库</w:t>
            </w:r>
          </w:p>
        </w:tc>
        <w:tc>
          <w:tcPr>
            <w:tcW w:w="5953" w:type="dxa"/>
          </w:tcPr>
          <w:p w14:paraId="7FEEBDD4">
            <w:pPr>
              <w:spacing w:before="20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ScanCode Toolkit 32.5.0 / SPDX License List 3.27</w:t>
            </w:r>
          </w:p>
        </w:tc>
      </w:tr>
    </w:tbl>
    <w:p w14:paraId="7FEEBDD5">
      <w:pPr>
        <w:spacing w:after="0" w:line="140" w:lineRule="exact"/>
      </w:pPr>
    </w:p>
    <w:p w14:paraId="7FEEBDD6">
      <w:pPr>
        <w:widowControl w:val="1"/>
        <w:spacing w:before="60" w:after="20" w:line="300" w:lineRule="auto"/>
        <w:jc w:val="left"/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3.3 许可证分布</w:t>
      </w:r>
    </w:p>
    <w:p w14:paraId="7FEEBDD7">
      <w:pPr>
        <w:widowControl w:val="1"/>
        <w:spacing w:line="300" w:lineRule="auto"/>
        <w:jc w:val="center"/>
      </w:pPr>
      <w:r>
        <w:rPr>
          <w:rFonts w:hint="eastAsia" w:ascii="Times New Roman" w:hAnsi="Times New Roman" w:eastAsia="宋体"/>
          <w:b w:val="1"/>
          <w:bCs w:val="1"/>
          <w:sz w:val="18"/>
          <w:szCs w:val="18"/>
        </w:rPr>
        <w:t>表 2  许可证检出分布</w:t>
      </w:r>
    </w:p>
    <w:tbl>
      <w:tblPr>
        <w:tblW w:w="0" w:type="auto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Row="1" w:lastRow="0" w:firstColumn="1" w:lastColumn="0" w:noHBand="0" w:noVBand="1" w:val="04A0"/>
      </w:tblPr>
      <w:tblGrid>
        <w:gridCol w:w="2076"/>
        <w:gridCol w:w="2076"/>
        <w:gridCol w:w="2076"/>
        <w:gridCol w:w="2076"/>
      </w:tblGrid>
      <w:tr>
        <w:trPr/>
        <w:tc>
          <w:tcPr>
            <w:tcW w:w="3742" w:type="dxa"/>
          </w:tcPr>
          <w:p w14:paraId="7FEEBDD8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1"/>
                <w:sz w:val="18"/>
              </w:rPr>
              <w:t>检出许可证表达式（SPDX）</w:t>
            </w:r>
          </w:p>
        </w:tc>
        <w:tc>
          <w:tcPr>
            <w:tcW w:w="907" w:type="dxa"/>
          </w:tcPr>
          <w:p w14:paraId="7FEEBDD9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1"/>
                <w:sz w:val="18"/>
              </w:rPr>
              <w:t>文件数</w:t>
            </w:r>
          </w:p>
        </w:tc>
        <w:tc>
          <w:tcPr>
            <w:tcW w:w="907" w:type="dxa"/>
          </w:tcPr>
          <w:p w14:paraId="7FEEBDDA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1"/>
                <w:sz w:val="18"/>
              </w:rPr>
              <w:t>占比</w:t>
            </w:r>
          </w:p>
        </w:tc>
        <w:tc>
          <w:tcPr>
            <w:tcW w:w="2665" w:type="dxa"/>
          </w:tcPr>
          <w:p w14:paraId="7FEEBDDB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3742" w:type="dxa"/>
          </w:tcPr>
          <w:p w14:paraId="7FEEBDDC">
            <w:pPr>
              <w:spacing w:before="20" w:after="2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Apache-2.0</w:t>
            </w:r>
          </w:p>
        </w:tc>
        <w:tc>
          <w:tcPr>
            <w:tcW w:w="907" w:type="dxa"/>
          </w:tcPr>
          <w:p w14:paraId="7FEEBDDD">
            <w:pPr>
              <w:spacing w:before="20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130</w:t>
            </w:r>
          </w:p>
        </w:tc>
        <w:tc>
          <w:tcPr>
            <w:tcW w:w="907" w:type="dxa"/>
          </w:tcPr>
          <w:p w14:paraId="7FEEBDDE">
            <w:pPr>
              <w:spacing w:before="20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92.2%</w:t>
            </w:r>
          </w:p>
        </w:tc>
        <w:tc>
          <w:tcPr>
            <w:tcW w:w="2665" w:type="dxa"/>
          </w:tcPr>
          <w:p w14:paraId="7FEEBDDF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全部源码、配置与文档</w:t>
            </w:r>
          </w:p>
        </w:tc>
      </w:tr>
      <w:tr>
        <w:trPr/>
        <w:tc>
          <w:tcPr>
            <w:tcW w:w="3742" w:type="dxa"/>
          </w:tcPr>
          <w:p w14:paraId="7FEEBDE0">
            <w:pPr>
              <w:spacing w:before="20" w:after="2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Apache-2.0 AND (LicenseRef-scancode-generic-cla AND Apache-2.0)</w:t>
            </w:r>
          </w:p>
        </w:tc>
        <w:tc>
          <w:tcPr>
            <w:tcW w:w="907" w:type="dxa"/>
          </w:tcPr>
          <w:p w14:paraId="7FEEBDE1">
            <w:pPr>
              <w:spacing w:before="20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w="907" w:type="dxa"/>
          </w:tcPr>
          <w:p w14:paraId="7FEEBDE2">
            <w:pPr>
              <w:spacing w:before="20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1.4%</w:t>
            </w:r>
          </w:p>
        </w:tc>
        <w:tc>
          <w:tcPr>
            <w:tcW w:w="2665" w:type="dxa"/>
          </w:tcPr>
          <w:p w14:paraId="7FEEBDE3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README.md、CONTRIBUTING.md（人工复核为误报，见 4.2）</w:t>
            </w:r>
          </w:p>
        </w:tc>
      </w:tr>
      <w:tr>
        <w:trPr/>
        <w:tc>
          <w:tcPr>
            <w:tcW w:w="3742" w:type="dxa"/>
          </w:tcPr>
          <w:p w14:paraId="7FEEBDE4">
            <w:pPr>
              <w:spacing w:before="20" w:after="2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（未检出）</w:t>
            </w:r>
          </w:p>
        </w:tc>
        <w:tc>
          <w:tcPr>
            <w:tcW w:w="907" w:type="dxa"/>
          </w:tcPr>
          <w:p w14:paraId="7FEEBDE5">
            <w:pPr>
              <w:spacing w:before="20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9</w:t>
            </w:r>
          </w:p>
        </w:tc>
        <w:tc>
          <w:tcPr>
            <w:tcW w:w="907" w:type="dxa"/>
          </w:tcPr>
          <w:p w14:paraId="7FEEBDE6">
            <w:pPr>
              <w:spacing w:before="20" w:after="2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6.4%</w:t>
            </w:r>
          </w:p>
        </w:tc>
        <w:tc>
          <w:tcPr>
            <w:tcW w:w="2665" w:type="dxa"/>
          </w:tcPr>
          <w:p w14:paraId="7FEEBDE7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二进制资源与无头文本，见表 3</w:t>
            </w:r>
          </w:p>
        </w:tc>
      </w:tr>
    </w:tbl>
    <w:p w14:paraId="7FEEBDE8">
      <w:pPr>
        <w:spacing w:after="0" w:line="140" w:lineRule="exact"/>
      </w:pPr>
    </w:p>
    <w:p w14:paraId="7FEEBDE9">
      <w:pPr>
        <w:widowControl w:val="1"/>
        <w:spacing w:before="60" w:after="20" w:line="300" w:lineRule="auto"/>
        <w:jc w:val="left"/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3.4 HTML 报告节选</w:t>
      </w:r>
    </w:p>
    <w:p w14:paraId="7FEEBDEA">
      <w:pPr>
        <w:widowControl w:val="1"/>
        <w:spacing w:line="300" w:lineRule="auto"/>
        <w:ind w:firstLine="420" w:firstLineChars="200"/>
        <w:jc w:val="left"/>
      </w:pPr>
      <w:r>
        <w:rPr>
          <w:rFonts w:hint="eastAsia" w:ascii="Times New Roman" w:hAnsi="Times New Roman" w:eastAsia="宋体"/>
        </w:rPr>
        <w:t>HTML 报告（scancode-report.html）按文件列出许可证/版权检出明细，节选见图 2，其中 NOTICE.txt 的版权行与 README.md 的异常表达式清晰可见。</w:t>
      </w:r>
    </w:p>
    <w:p w14:paraId="7FEEBDEB">
      <w:pPr>
        <w:spacing w:before="80" w:after="40"/>
        <w:jc w:val="center"/>
      </w:pPr>
      <w:r>
        <w:drawing>
          <wp:inline>
            <wp:extent cx="4752000" cy="1951714"/>
            <wp:docPr id="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fig_html_repo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19517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FEEBDEC">
      <w:pPr>
        <w:widowControl w:val="1"/>
        <w:spacing w:line="300" w:lineRule="auto"/>
        <w:jc w:val="center"/>
      </w:pPr>
      <w:r>
        <w:rPr>
          <w:rFonts w:hint="eastAsia" w:ascii="Times New Roman" w:hAnsi="Times New Roman" w:eastAsia="宋体"/>
          <w:b w:val="1"/>
          <w:bCs w:val="1"/>
          <w:sz w:val="18"/>
          <w:szCs w:val="18"/>
        </w:rPr>
        <w:t>图 2  ScanCode HTML 检测报告节选（前 28 行）</w:t>
      </w:r>
    </w:p>
    <w:p w14:paraId="7FEEBDED">
      <w:pPr>
        <w:widowControl w:val="1"/>
        <w:spacing w:before="100" w:after="20" w:line="300" w:lineRule="auto"/>
        <w:jc w:val="left"/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四、检测结果详细分析</w:t>
      </w:r>
    </w:p>
    <w:p w14:paraId="7FEEBDEE">
      <w:pPr>
        <w:widowControl w:val="1"/>
        <w:spacing w:before="60" w:after="20" w:line="300" w:lineRule="auto"/>
        <w:jc w:val="left"/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4.1 检出一致性核对</w:t>
      </w:r>
    </w:p>
    <w:p w14:paraId="7FEEBDEF">
      <w:pPr>
        <w:widowControl w:val="1"/>
        <w:spacing w:line="300" w:lineRule="auto"/>
        <w:ind w:firstLine="420" w:firstLineChars="200"/>
        <w:jc w:val="left"/>
      </w:pPr>
      <w:r>
        <w:rPr>
          <w:rFonts w:hint="eastAsia" w:ascii="Times New Roman" w:hAnsi="Times New Roman" w:eastAsia="宋体"/>
        </w:rPr>
        <w:t>87 个 Java 文件全部检出 apache-2.0，主导规则为 apache-2.0_663.RULE（即 ASF 标准短许可证头），得分 100；与 grep 基线（87/87 含 ASF 头）</w:t>
      </w:r>
      <w:r>
        <w:rPr>
          <w:rFonts w:hint="eastAsia" w:ascii="Times New Roman" w:hAnsi="Times New Roman" w:eastAsia="宋体"/>
          <w:b w:val="1"/>
          <w:bCs w:val="1"/>
        </w:rPr>
        <w:t>完全一致</w:t>
      </w:r>
      <w:r>
        <w:rPr>
          <w:rFonts w:hint="eastAsia" w:ascii="Times New Roman" w:hAnsi="Times New Roman" w:eastAsia="宋体"/>
        </w:rPr>
        <w:t>，代码文件检出率 100%。LICENSE.txt（许可证全文，文本占比 100%）、.htaccess、19 个 XML 与 5 个 YML 等也全部正确识别，说明工具对“标准头 + 全文 + 变体”三类形态均有覆盖。</w:t>
      </w:r>
    </w:p>
    <w:p w14:paraId="7FEEBDF0">
      <w:pPr>
        <w:widowControl w:val="1"/>
        <w:spacing w:before="60" w:after="20" w:line="300" w:lineRule="auto"/>
        <w:jc w:val="left"/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4.2 误报分析</w:t>
      </w:r>
    </w:p>
    <w:p w14:paraId="7FEEBDF1">
      <w:pPr>
        <w:widowControl w:val="1"/>
        <w:spacing w:line="300" w:lineRule="auto"/>
        <w:ind w:firstLine="420" w:firstLineChars="200"/>
        <w:jc w:val="left"/>
      </w:pPr>
      <w:r>
        <w:rPr>
          <w:rFonts w:hint="eastAsia" w:ascii="Times New Roman" w:hAnsi="Times New Roman" w:eastAsia="宋体"/>
        </w:rPr>
        <w:t>README.md 与 CONTRIBUTING.md 被输出为复合表达式“Apache-2.0 AND (LicenseRef-scancode-generic-cla AND Apache-2.0)”。人工核对原文：两文件仅在正文中</w:t>
      </w:r>
      <w:r>
        <w:rPr>
          <w:rFonts w:hint="eastAsia" w:ascii="Times New Roman" w:hAnsi="Times New Roman" w:eastAsia="宋体"/>
          <w:b w:val="1"/>
          <w:bCs w:val="1"/>
        </w:rPr>
        <w:t>提及</w:t>
      </w:r>
      <w:r>
        <w:rPr>
          <w:rFonts w:hint="eastAsia" w:ascii="Times New Roman" w:hAnsi="Times New Roman" w:eastAsia="宋体"/>
        </w:rPr>
        <w:t>贡献者许可协议（CLA）并附 Apache-2.0 链接，并非同时依 CLA 与 Apache-2.0 双重授权，属于把“提及”识别为“声明”的表达式污染误报（2/132≈1.5%）。置信度分布亦佐证：141 次匹配中 137 次满分，而 generic-cla 的 3 次匹配出现 95 分与 80 分的低置信结果。处置方式：以文件实际许可证头为准，人工将两文件归一为 Apache-2.0。</w:t>
      </w:r>
    </w:p>
    <w:p w14:paraId="7FEEBDF2">
      <w:pPr>
        <w:widowControl w:val="1"/>
        <w:spacing w:before="60" w:after="20" w:line="300" w:lineRule="auto"/>
        <w:jc w:val="left"/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4.3 漏检与盲区分析</w:t>
      </w:r>
    </w:p>
    <w:p w14:paraId="7FEEBDF3">
      <w:pPr>
        <w:widowControl w:val="1"/>
        <w:spacing w:line="300" w:lineRule="auto"/>
        <w:ind w:firstLine="420" w:firstLineChars="200"/>
        <w:jc w:val="left"/>
      </w:pPr>
      <w:r>
        <w:rPr>
          <w:rFonts w:hint="eastAsia" w:ascii="Times New Roman" w:hAnsi="Times New Roman" w:eastAsia="宋体"/>
        </w:rPr>
        <w:t>9 个未检出文件（表 3）分两类：</w:t>
      </w:r>
      <w:r>
        <w:rPr>
          <w:rFonts w:hint="eastAsia" w:ascii="Times New Roman" w:hAnsi="Times New Roman" w:eastAsia="宋体"/>
          <w:b w:val="1"/>
          <w:bCs w:val="1"/>
        </w:rPr>
        <w:t>7 个图像资源</w:t>
      </w:r>
      <w:r>
        <w:rPr>
          <w:rFonts w:hint="eastAsia" w:ascii="Times New Roman" w:hAnsi="Times New Roman" w:eastAsia="宋体"/>
        </w:rPr>
        <w:t>（png/xcf/gif）本无许可证文本，工具无法从像素中提取许可信息，属于原理性盲区，需依赖仓库级 LICENSE 或目录级声明兜底；</w:t>
      </w:r>
      <w:r>
        <w:rPr>
          <w:rFonts w:hint="eastAsia" w:ascii="Times New Roman" w:hAnsi="Times New Roman" w:eastAsia="宋体"/>
          <w:b w:val="1"/>
          <w:bCs w:val="1"/>
        </w:rPr>
        <w:t>2 个文本文件</w:t>
      </w:r>
      <w:r>
        <w:rPr>
          <w:rFonts w:hint="eastAsia" w:ascii="Times New Roman" w:hAnsi="Times New Roman" w:eastAsia="宋体"/>
        </w:rPr>
        <w:t>（RELEASE-NOTES.txt、download_cli.cgi）确实缺少许可证头，构成真实待整改项。另据 4.1 节，版权扫描仅捕获 1 条声明——原因是 ASF 标准头不含“Copyright”关键字，说明</w:t>
      </w:r>
      <w:r>
        <w:rPr>
          <w:rFonts w:hint="eastAsia" w:ascii="Times New Roman" w:hAnsi="Times New Roman" w:eastAsia="宋体"/>
          <w:b w:val="1"/>
          <w:bCs w:val="1"/>
        </w:rPr>
        <w:t>版权检测与许可证检测是两条独立证据链</w:t>
      </w:r>
      <w:r>
        <w:rPr>
          <w:rFonts w:hint="eastAsia" w:ascii="Times New Roman" w:hAnsi="Times New Roman" w:eastAsia="宋体"/>
        </w:rPr>
        <w:t>，“未检出版权”不等于“无主”，需结合 NOTICE 与版本控制历史人工归档。</w:t>
      </w:r>
    </w:p>
    <w:p w14:paraId="7FEEBDF4">
      <w:pPr>
        <w:widowControl w:val="1"/>
        <w:spacing w:line="300" w:lineRule="auto"/>
        <w:jc w:val="center"/>
      </w:pPr>
      <w:r>
        <w:rPr>
          <w:rFonts w:hint="eastAsia" w:ascii="Times New Roman" w:hAnsi="Times New Roman" w:eastAsia="宋体"/>
          <w:b w:val="1"/>
          <w:bCs w:val="1"/>
          <w:sz w:val="18"/>
          <w:szCs w:val="18"/>
        </w:rPr>
        <w:t>表 3  未检出许可证的 9 个文件（按类合并）</w:t>
      </w:r>
    </w:p>
    <w:tbl>
      <w:tblPr>
        <w:tblW w:w="0" w:type="auto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Row="1" w:lastRow="0" w:firstColumn="1" w:lastColumn="0" w:noHBand="0" w:noVBand="1" w:val="04A0"/>
      </w:tblPr>
      <w:tblGrid>
        <w:gridCol w:w="2769"/>
        <w:gridCol w:w="2769"/>
        <w:gridCol w:w="2769"/>
      </w:tblGrid>
      <w:tr>
        <w:trPr/>
        <w:tc>
          <w:tcPr>
            <w:tcW w:w="4082" w:type="dxa"/>
          </w:tcPr>
          <w:p w14:paraId="7FEEBDF5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1"/>
                <w:sz w:val="18"/>
              </w:rPr>
              <w:t>未检出文件</w:t>
            </w:r>
          </w:p>
        </w:tc>
        <w:tc>
          <w:tcPr>
            <w:tcW w:w="1928" w:type="dxa"/>
          </w:tcPr>
          <w:p w14:paraId="7FEEBDF6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1"/>
                <w:sz w:val="18"/>
              </w:rPr>
              <w:t>类型/大小</w:t>
            </w:r>
          </w:p>
        </w:tc>
        <w:tc>
          <w:tcPr>
            <w:tcW w:w="2211" w:type="dxa"/>
          </w:tcPr>
          <w:p w14:paraId="7FEEBDF7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1"/>
                <w:sz w:val="18"/>
              </w:rPr>
              <w:t>归类</w:t>
            </w:r>
          </w:p>
        </w:tc>
      </w:tr>
      <w:tr>
        <w:trPr/>
        <w:tc>
          <w:tcPr>
            <w:tcW w:w="4082" w:type="dxa"/>
          </w:tcPr>
          <w:p w14:paraId="7FEEBDF8">
            <w:pPr>
              <w:spacing w:before="20" w:after="2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RELEASE-NOTES.txt</w:t>
            </w:r>
          </w:p>
        </w:tc>
        <w:tc>
          <w:tcPr>
            <w:tcW w:w="1928" w:type="dxa"/>
          </w:tcPr>
          <w:p w14:paraId="7FEEBDF9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文本 33.7 KB</w:t>
            </w:r>
          </w:p>
        </w:tc>
        <w:tc>
          <w:tcPr>
            <w:tcW w:w="2211" w:type="dxa"/>
          </w:tcPr>
          <w:p w14:paraId="7FEEBDFA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无许可证头（发布说明）</w:t>
            </w:r>
          </w:p>
        </w:tc>
      </w:tr>
      <w:tr>
        <w:trPr/>
        <w:tc>
          <w:tcPr>
            <w:tcW w:w="4082" w:type="dxa"/>
          </w:tcPr>
          <w:p w14:paraId="7FEEBDFB">
            <w:pPr>
              <w:spacing w:before="20" w:after="2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src/site/resources/download_cli.cgi</w:t>
            </w:r>
          </w:p>
        </w:tc>
        <w:tc>
          <w:tcPr>
            <w:tcW w:w="1928" w:type="dxa"/>
          </w:tcPr>
          <w:p w14:paraId="7FEEBDFC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脚本 160 B</w:t>
            </w:r>
          </w:p>
        </w:tc>
        <w:tc>
          <w:tcPr>
            <w:tcW w:w="2211" w:type="dxa"/>
          </w:tcPr>
          <w:p w14:paraId="7FEEBDFD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无许可证头</w:t>
            </w:r>
          </w:p>
        </w:tc>
      </w:tr>
      <w:tr>
        <w:trPr/>
        <w:tc>
          <w:tcPr>
            <w:tcW w:w="4082" w:type="dxa"/>
          </w:tcPr>
          <w:p w14:paraId="7FEEBDFE">
            <w:pPr>
              <w:spacing w:before="20" w:after="2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logo.png×3、options.png、1x1.gif（分布于 src/media、src/site/resources/images、doc-files）</w:t>
            </w:r>
          </w:p>
        </w:tc>
        <w:tc>
          <w:tcPr>
            <w:tcW w:w="1928" w:type="dxa"/>
          </w:tcPr>
          <w:p w14:paraId="7FEEBDFF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图像 55.1 KB</w:t>
            </w:r>
          </w:p>
        </w:tc>
        <w:tc>
          <w:tcPr>
            <w:tcW w:w="2211" w:type="dxa"/>
          </w:tcPr>
          <w:p w14:paraId="7FEEBE00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二进制资源（部分为 ASF 品牌素材）</w:t>
            </w:r>
          </w:p>
        </w:tc>
      </w:tr>
      <w:tr>
        <w:trPr/>
        <w:tc>
          <w:tcPr>
            <w:tcW w:w="4082" w:type="dxa"/>
          </w:tcPr>
          <w:p w14:paraId="7FEEBE01">
            <w:pPr>
              <w:spacing w:before="20" w:after="2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src/media/commons-logo-component(-100).xcf</w:t>
            </w:r>
          </w:p>
        </w:tc>
        <w:tc>
          <w:tcPr>
            <w:tcW w:w="1928" w:type="dxa"/>
          </w:tcPr>
          <w:p w14:paraId="7FEEBE02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图像 173 KB</w:t>
            </w:r>
          </w:p>
        </w:tc>
        <w:tc>
          <w:tcPr>
            <w:tcW w:w="2211" w:type="dxa"/>
          </w:tcPr>
          <w:p w14:paraId="7FEEBE03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GIMP 工程文件</w:t>
            </w:r>
          </w:p>
        </w:tc>
      </w:tr>
    </w:tbl>
    <w:p w14:paraId="7FEEBE04">
      <w:pPr>
        <w:spacing w:after="0" w:line="140" w:lineRule="exact"/>
      </w:pPr>
    </w:p>
    <w:p w14:paraId="7FEEBE05">
      <w:pPr>
        <w:widowControl w:val="1"/>
        <w:spacing w:before="60" w:after="20" w:line="300" w:lineRule="auto"/>
        <w:jc w:val="left"/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4.4 依赖许可证分析</w:t>
      </w:r>
    </w:p>
    <w:p w14:paraId="7FEEBE06">
      <w:pPr>
        <w:widowControl w:val="1"/>
        <w:spacing w:line="300" w:lineRule="auto"/>
        <w:ind w:firstLine="420" w:firstLineChars="200"/>
        <w:jc w:val="left"/>
      </w:pPr>
      <w:r>
        <w:rPr>
          <w:rFonts w:hint="eastAsia" w:ascii="Times New Roman" w:hAnsi="Times New Roman" w:eastAsia="宋体"/>
        </w:rPr>
        <w:t>pom.xml 显示运行时零依赖，7 个依赖均为 test scope：EPL-2.0（JUnit Jupiter、junit-pioneer）不进入发布产物、不随项目分发，不触发 copyleft 传染义务；MIT（Mockito）与 Apache-2.0（commons-io、commons-text）本身宽松。结论：依赖许可证对发布合规</w:t>
      </w:r>
      <w:r>
        <w:rPr>
          <w:rFonts w:hint="eastAsia" w:ascii="Times New Roman" w:hAnsi="Times New Roman" w:eastAsia="宋体"/>
          <w:b w:val="1"/>
          <w:bCs w:val="1"/>
        </w:rPr>
        <w:t>无实质风险</w:t>
      </w:r>
      <w:r>
        <w:rPr>
          <w:rFonts w:hint="eastAsia" w:ascii="Times New Roman" w:hAnsi="Times New Roman" w:eastAsia="宋体"/>
        </w:rPr>
        <w:t>，但需防范测试依赖被误升级为 compile 依赖的情形。</w:t>
      </w:r>
    </w:p>
    <w:p w14:paraId="7FEEBE07">
      <w:pPr>
        <w:widowControl w:val="1"/>
        <w:spacing w:before="60" w:after="20" w:line="300" w:lineRule="auto"/>
        <w:jc w:val="left"/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4.5 合规义务核查</w:t>
      </w:r>
    </w:p>
    <w:p w14:paraId="7FEEBE08">
      <w:pPr>
        <w:widowControl w:val="1"/>
        <w:spacing w:line="300" w:lineRule="auto"/>
        <w:ind w:firstLine="420" w:firstLineChars="200"/>
        <w:jc w:val="left"/>
      </w:pPr>
      <w:r>
        <w:rPr>
          <w:rFonts w:hint="eastAsia" w:ascii="Times New Roman" w:hAnsi="Times New Roman" w:eastAsia="宋体"/>
        </w:rPr>
        <w:t>对照 Apache-2.0 分发义务逐项核查：① 保留 LICENSE 副本——已内置全文，满足；② 修改文件需附显著声明——由下游使用方执行；③ 保留 NOTICE——存在且版权年份 2002-2026 与实际一致，满足；④ 专利授权与诉讼终止条款——需产品级法务审查确认；⑤ 商标限制——Logo 与 ASF 名称不随 Apache-2.0 自动授权（呼应 4.3 节品牌资源风险）。</w:t>
      </w:r>
    </w:p>
    <w:p w14:paraId="7FEEBE09">
      <w:pPr>
        <w:widowControl w:val="1"/>
        <w:spacing w:before="100" w:after="20" w:line="300" w:lineRule="auto"/>
        <w:jc w:val="left"/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五、测试风险分析与改进建议</w:t>
      </w:r>
    </w:p>
    <w:p w14:paraId="7FEEBE0A">
      <w:pPr>
        <w:widowControl w:val="1"/>
        <w:spacing w:line="300" w:lineRule="auto"/>
        <w:ind w:firstLine="420" w:firstLineChars="200"/>
        <w:jc w:val="left"/>
      </w:pPr>
      <w:r>
        <w:rPr>
          <w:rFonts w:hint="eastAsia" w:ascii="Times New Roman" w:hAnsi="Times New Roman" w:eastAsia="宋体"/>
        </w:rPr>
        <w:t>按“可能性×影响”评估的风险矩阵见表 4。</w:t>
      </w:r>
    </w:p>
    <w:p w14:paraId="7FEEBE0B">
      <w:pPr>
        <w:widowControl w:val="1"/>
        <w:spacing w:line="300" w:lineRule="auto"/>
        <w:jc w:val="center"/>
      </w:pPr>
      <w:r>
        <w:rPr>
          <w:rFonts w:hint="eastAsia" w:ascii="Times New Roman" w:hAnsi="Times New Roman" w:eastAsia="宋体"/>
          <w:b w:val="1"/>
          <w:bCs w:val="1"/>
          <w:sz w:val="18"/>
          <w:szCs w:val="18"/>
        </w:rPr>
        <w:t>表 4  风险矩阵与对策</w:t>
      </w:r>
    </w:p>
    <w:tbl>
      <w:tblPr>
        <w:tblW w:w="0" w:type="auto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Look w:firstRow="1" w:lastRow="0" w:firstColumn="1" w:lastColumn="0" w:noHBand="0" w:noVBand="1" w:val="04A0"/>
      </w:tblPr>
      <w:tblGrid>
        <w:gridCol w:w="2076"/>
        <w:gridCol w:w="2076"/>
        <w:gridCol w:w="2076"/>
        <w:gridCol w:w="2076"/>
      </w:tblGrid>
      <w:tr>
        <w:trPr/>
        <w:tc>
          <w:tcPr>
            <w:tcW w:w="1814" w:type="dxa"/>
          </w:tcPr>
          <w:p w14:paraId="7FEEBE0C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1"/>
                <w:sz w:val="18"/>
              </w:rPr>
              <w:t>风险项</w:t>
            </w:r>
          </w:p>
        </w:tc>
        <w:tc>
          <w:tcPr>
            <w:tcW w:w="680" w:type="dxa"/>
          </w:tcPr>
          <w:p w14:paraId="7FEEBE0D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1"/>
                <w:sz w:val="18"/>
              </w:rPr>
              <w:t>等级</w:t>
            </w:r>
          </w:p>
        </w:tc>
        <w:tc>
          <w:tcPr>
            <w:tcW w:w="3175" w:type="dxa"/>
          </w:tcPr>
          <w:p w14:paraId="7FEEBE0E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1"/>
                <w:sz w:val="18"/>
              </w:rPr>
              <w:t>说明</w:t>
            </w:r>
          </w:p>
        </w:tc>
        <w:tc>
          <w:tcPr>
            <w:tcW w:w="2551" w:type="dxa"/>
          </w:tcPr>
          <w:p w14:paraId="7FEEBE0F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1"/>
                <w:sz w:val="18"/>
              </w:rPr>
              <w:t>建议对策</w:t>
            </w:r>
          </w:p>
        </w:tc>
      </w:tr>
      <w:tr>
        <w:trPr/>
        <w:tc>
          <w:tcPr>
            <w:tcW w:w="1814" w:type="dxa"/>
          </w:tcPr>
          <w:p w14:paraId="7FEEBE10">
            <w:pPr>
              <w:spacing w:before="20" w:after="2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品牌资源授权模糊</w:t>
            </w:r>
          </w:p>
        </w:tc>
        <w:tc>
          <w:tcPr>
            <w:tcW w:w="680" w:type="dxa"/>
          </w:tcPr>
          <w:p w14:paraId="7FEEBE11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tcW w:w="3175" w:type="dxa"/>
          </w:tcPr>
          <w:p w14:paraId="7FEEBE12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7 个图像无许可证声明，ASF Logo 受商标政策约束，不属 Apache-2.0 自动授权范围</w:t>
            </w:r>
          </w:p>
        </w:tc>
        <w:tc>
          <w:tcPr>
            <w:tcW w:w="2551" w:type="dxa"/>
          </w:tcPr>
          <w:p w14:paraId="7FEEBE13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复用前查阅 ASF 品牌政策；产品分发避免附带项目 Logo</w:t>
            </w:r>
          </w:p>
        </w:tc>
      </w:tr>
      <w:tr>
        <w:trPr/>
        <w:tc>
          <w:tcPr>
            <w:tcW w:w="1814" w:type="dxa"/>
          </w:tcPr>
          <w:p w14:paraId="7FEEBE14">
            <w:pPr>
              <w:spacing w:before="20" w:after="2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版权信息盲区</w:t>
            </w:r>
          </w:p>
        </w:tc>
        <w:tc>
          <w:tcPr>
            <w:tcW w:w="680" w:type="dxa"/>
          </w:tcPr>
          <w:p w14:paraId="7FEEBE15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tcW w:w="3175" w:type="dxa"/>
          </w:tcPr>
          <w:p w14:paraId="7FEEBE16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ASF 标准头无 Copyright 字样，130 个源文件版权未被自动捕获</w:t>
            </w:r>
          </w:p>
        </w:tc>
        <w:tc>
          <w:tcPr>
            <w:tcW w:w="2551" w:type="dxa"/>
          </w:tcPr>
          <w:p w14:paraId="7FEEBE17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以 NOTICE.txt 为准，结合 git history 维护版权清单</w:t>
            </w:r>
          </w:p>
        </w:tc>
      </w:tr>
      <w:tr>
        <w:trPr/>
        <w:tc>
          <w:tcPr>
            <w:tcW w:w="1814" w:type="dxa"/>
          </w:tcPr>
          <w:p w14:paraId="7FEEBE18">
            <w:pPr>
              <w:spacing w:before="20" w:after="2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表达式误报</w:t>
            </w:r>
          </w:p>
        </w:tc>
        <w:tc>
          <w:tcPr>
            <w:tcW w:w="680" w:type="dxa"/>
          </w:tcPr>
          <w:p w14:paraId="7FEEBE19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低</w:t>
            </w:r>
          </w:p>
        </w:tc>
        <w:tc>
          <w:tcPr>
            <w:tcW w:w="3175" w:type="dxa"/>
          </w:tcPr>
          <w:p w14:paraId="7FEEBE1A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README/CONTRIBUTING 被并入 generic-cla 形成复合表达式</w:t>
            </w:r>
          </w:p>
        </w:tc>
        <w:tc>
          <w:tcPr>
            <w:tcW w:w="2551" w:type="dxa"/>
          </w:tcPr>
          <w:p w14:paraId="7FEEBE1B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人工复核归一；扫描配置排除说明性文档</w:t>
            </w:r>
          </w:p>
        </w:tc>
      </w:tr>
      <w:tr>
        <w:trPr/>
        <w:tc>
          <w:tcPr>
            <w:tcW w:w="1814" w:type="dxa"/>
          </w:tcPr>
          <w:p w14:paraId="7FEEBE1C">
            <w:pPr>
              <w:spacing w:before="20" w:after="2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个别文本无许可证头</w:t>
            </w:r>
          </w:p>
        </w:tc>
        <w:tc>
          <w:tcPr>
            <w:tcW w:w="680" w:type="dxa"/>
          </w:tcPr>
          <w:p w14:paraId="7FEEBE1D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低</w:t>
            </w:r>
          </w:p>
        </w:tc>
        <w:tc>
          <w:tcPr>
            <w:tcW w:w="3175" w:type="dxa"/>
          </w:tcPr>
          <w:p w14:paraId="7FEEBE1E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RELEASE-NOTES.txt、download_cli.cgi 缺头</w:t>
            </w:r>
          </w:p>
        </w:tc>
        <w:tc>
          <w:tcPr>
            <w:tcW w:w="2551" w:type="dxa"/>
          </w:tcPr>
          <w:p w14:paraId="7FEEBE1F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补充 SPDX 标识或纳入豁免清单并记录理由</w:t>
            </w:r>
          </w:p>
        </w:tc>
      </w:tr>
      <w:tr>
        <w:trPr/>
        <w:tc>
          <w:tcPr>
            <w:tcW w:w="1814" w:type="dxa"/>
          </w:tcPr>
          <w:p w14:paraId="7FEEBE20">
            <w:pPr>
              <w:spacing w:before="20" w:after="2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规则库时效</w:t>
            </w:r>
          </w:p>
        </w:tc>
        <w:tc>
          <w:tcPr>
            <w:tcW w:w="680" w:type="dxa"/>
          </w:tcPr>
          <w:p w14:paraId="7FEEBE21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低</w:t>
            </w:r>
          </w:p>
        </w:tc>
        <w:tc>
          <w:tcPr>
            <w:tcW w:w="3175" w:type="dxa"/>
          </w:tcPr>
          <w:p w14:paraId="7FEEBE22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规则库 SPDX 3.27，新许可证存在识别滞后</w:t>
            </w:r>
          </w:p>
        </w:tc>
        <w:tc>
          <w:tcPr>
            <w:tcW w:w="2551" w:type="dxa"/>
          </w:tcPr>
          <w:p w14:paraId="7FEEBE23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定期升级 ScanCode，对版本变更做增量扫描</w:t>
            </w:r>
          </w:p>
        </w:tc>
      </w:tr>
      <w:tr>
        <w:trPr/>
        <w:tc>
          <w:tcPr>
            <w:tcW w:w="1814" w:type="dxa"/>
          </w:tcPr>
          <w:p w14:paraId="7FEEBE24">
            <w:pPr>
              <w:spacing w:before="20" w:after="2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依赖许可证漂移</w:t>
            </w:r>
          </w:p>
        </w:tc>
        <w:tc>
          <w:tcPr>
            <w:tcW w:w="680" w:type="dxa"/>
          </w:tcPr>
          <w:p w14:paraId="7FEEBE25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低</w:t>
            </w:r>
          </w:p>
        </w:tc>
        <w:tc>
          <w:tcPr>
            <w:tcW w:w="3175" w:type="dxa"/>
          </w:tcPr>
          <w:p w14:paraId="7FEEBE26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测试依赖含 EPL-2.0/MIT，存在被误升级为编译期依赖的可能</w:t>
            </w:r>
          </w:p>
        </w:tc>
        <w:tc>
          <w:tcPr>
            <w:tcW w:w="2551" w:type="dxa"/>
          </w:tcPr>
          <w:p w14:paraId="7FEEBE27">
            <w:pPr>
              <w:spacing w:before="20" w:after="2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8"/>
              </w:rPr>
              <w:t>CI 设置许可证白名单门禁</w:t>
            </w:r>
          </w:p>
        </w:tc>
      </w:tr>
    </w:tbl>
    <w:p w14:paraId="7FEEBE28">
      <w:pPr>
        <w:spacing w:after="0" w:line="140" w:lineRule="exact"/>
      </w:pPr>
    </w:p>
    <w:p w14:paraId="7FEEBE29">
      <w:pPr>
        <w:widowControl w:val="1"/>
        <w:spacing w:line="300" w:lineRule="auto"/>
        <w:ind w:firstLine="420" w:firstLineChars="200"/>
        <w:jc w:val="left"/>
      </w:pPr>
      <w:r>
        <w:rPr>
          <w:rFonts w:hint="eastAsia" w:ascii="Times New Roman" w:hAnsi="Times New Roman" w:eastAsia="宋体"/>
        </w:rPr>
        <w:t>改进建议：① 将扫描命令固化到 CI 流水线，对结果 JSON 与基线做 diff，新增许可证必须人工确认；② 发布时随产物生成 SPDX/CycloneDX 格式 SBOM；③ 对豁免文件建立显式清单并注明理由；④ 引入第二工具（如 Apache Rat）交叉验证，降低单一工具漏检风险。</w:t>
      </w:r>
    </w:p>
    <w:p w14:paraId="7FEEBE2A">
      <w:pPr>
        <w:widowControl w:val="1"/>
        <w:spacing w:before="100" w:after="20" w:line="300" w:lineRule="auto"/>
        <w:jc w:val="left"/>
      </w:pPr>
      <w:r>
        <w:rPr>
          <w:rFonts w:hint="eastAsia" w:ascii="仿宋_GB2312" w:hAnsi="宋体" w:eastAsia="仿宋_GB2312" w:cs="仿宋_GB2312"/>
          <w:b w:val="1"/>
          <w:bCs w:val="1"/>
          <w:sz w:val="24"/>
          <w:szCs w:val="24"/>
        </w:rPr>
        <w:t>六、测试结论与充分性说明</w:t>
      </w:r>
    </w:p>
    <w:p w14:paraId="7FEEBDAD">
      <w:pPr>
        <w:pStyle w:val="000004"/>
      </w:pPr>
      <w:r>
        <w:rPr>
          <w:rFonts w:hint="eastAsia" w:ascii="Times New Roman" w:hAnsi="Times New Roman" w:eastAsia="宋体"/>
        </w:rPr>
        <w:t>本次使用 ScanCode Toolkit 32.5.0 对 Apache Commons CLI 全部 141 个受控文件完成扫描：代码文件许可证检出率 100%，仓库主体许可证为 Apache-2.0，与 LICENSE、NOTICE、文件头三要素一致，运行时零依赖，整体合规状况良好；同时发现 9 个未声明文件（多为品牌图像资源）、2 处表达式误报及版权检测盲区，均已定位并给出对策。充分性说明：扫描覆盖率 100%，规则库为 SPDX 3.27，并对 12 个代表性文件做了人工抽样复核（全部一致），结论可信。</w:t>
      </w:r>
    </w:p>
    <w:p w14:paraId="7FEEBDAE">
      <w:pPr>
        <w:pStyle w:val="000004"/>
        <w:spacing w:line="300" w:lineRule="auto"/>
        <w:ind w:firstLineChars="200"/>
        <w:rPr>
          <w:rFonts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测试人员能力说明：本人持有鸿蒙开发者认证（HarmonyOS 应用开发者）与华为 HCIA-AI 方向认证，具备终端应用开发与人工智能技术应用能力，能够将开源合规要求与终端/AI 项目的实际开发场景相结合，胜任此类许可证合规测试与报告编制工作。</w:t>
      </w:r>
    </w:p>
    <w:p w14:paraId="7FEEBE2B">
      <w:pPr>
        <w:widowControl w:val="1"/>
        <w:spacing w:line="300" w:lineRule="auto"/>
        <w:ind w:firstLine="420" w:firstLineChars="200"/>
        <w:jc w:val="left"/>
      </w:pPr>
    </w:p>
    <w:p w14:paraId="369978CF">
      <w:pPr>
        <w:widowControl w:val="1"/>
        <w:jc w:val="left"/>
        <w:rPr>
          <w:rFonts w:ascii="仿宋_GB2312" w:hAnsi="宋体" w:eastAsia="仿宋_GB2312"/>
          <w:sz w:val="24"/>
          <w:szCs w:val="24"/>
        </w:rPr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38BC7205">
      <w:pPr>
        <w:widowControl w:val="1"/>
        <w:jc w:val="left"/>
        <w:rPr>
          <w:rFonts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 w:cs="仿宋_GB2312"/>
          <w:sz w:val="24"/>
          <w:szCs w:val="24"/>
        </w:rPr>
        <w:t>评价表格：</w:t>
      </w:r>
    </w:p>
    <w:tbl>
      <w:tblPr>
        <w:tblStyle w:val="000008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>
        <w:trPr/>
        <w:tc>
          <w:tcPr>
            <w:tcW w:w="7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6EF4F9">
            <w:pPr>
              <w:spacing w:line="300" w:lineRule="auto"/>
              <w:jc w:val="center"/>
              <w:rPr>
                <w:rFonts w:ascii="仿宋" w:hAnsi="仿宋" w:eastAsia="仿宋"/>
                <w:b w:val="1"/>
                <w:bCs w:val="1"/>
                <w:kern w:val="0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kern w:val="0"/>
              </w:rPr>
              <w:t>考核标准</w:t>
            </w:r>
          </w:p>
        </w:tc>
        <w:tc>
          <w:tcPr>
            <w:tcW w:w="1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B8AF0D">
            <w:pPr>
              <w:widowControl w:val="1"/>
              <w:jc w:val="center"/>
              <w:rPr>
                <w:rFonts w:ascii="仿宋" w:hAnsi="仿宋" w:eastAsia="仿宋"/>
                <w:b w:val="1"/>
                <w:bCs w:val="1"/>
                <w:kern w:val="0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kern w:val="0"/>
              </w:rPr>
              <w:t>得分</w:t>
            </w:r>
          </w:p>
        </w:tc>
      </w:tr>
      <w:tr>
        <w:trPr/>
        <w:tc>
          <w:tcPr>
            <w:tcW w:w="7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3E2623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49FE88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07C56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2BED55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B4BA6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606DBE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F015F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86904D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EB5B32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167FA8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B43FAF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FC1955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 w14:paraId="32DAE905">
      <w:pPr>
        <w:widowControl w:val="1"/>
        <w:jc w:val="left"/>
        <w:rPr>
          <w:rFonts w:ascii="仿宋_GB2312" w:hAnsi="宋体" w:eastAsia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仿宋">
    <w:panose1 w:val="02010609060101010101"/>
    <w:charset w:val="86" w:characterSet="ISO-8859-1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KSOFE4500885">
    <w:panose1 w:val="02010609060101010101"/>
    <w:charset w:val="86" w:characterSet="ISO-8859-1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86" w:characterSet="ISO-8859-1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61BED45">
    <w:pPr>
      <w:pStyle w:val="000002"/>
      <w:jc w:val="center"/>
      <w:rPr>
        <w:rFonts w:ascii="宋体"/>
        <w:sz w:val="21"/>
        <w:szCs w:val="21"/>
      </w:rPr>
    </w:pP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4BFC2EF0">
    <w:pPr/>
  </w:p>
  <w:p w14:paraId="24A17E30">
    <w:pPr/>
  </w:p>
</w:hdr>
</file>

<file path=word/settings.xml><?xml version="1.0" encoding="utf-8"?>
<w:settings xmlns:w="http://schemas.openxmlformats.org/wordprocessingml/2006/main">
  <w:zoom w:percent="120"/>
  <w:embedSystemFonts w:val="1"/>
  <w:bordersDoNotSurroundHeader w:val="1"/>
  <w:bordersDoNotSurroundFooter w:val="1"/>
  <w:documentProtection w:enforcement="0"/>
  <w:defaultTabStop w:val="420"/>
  <w:doNotHyphenateCaps w:val="1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 w:val="1"/>
  <w:doNotDemarcateInvalidXml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endnote text" w:uiPriority="99"/>
    <w:lsdException w:name="Medium Shading 1" w:uiPriority="63" w:semiHidden="0" w:unhideWhenUsed="0"/>
    <w:lsdException w:name="List Bullet" w:uiPriority="99"/>
    <w:lsdException w:name="Medium List 1" w:uiPriority="65" w:semiHidden="0" w:unhideWhenUsed="0"/>
    <w:lsdException w:name="Medium List 1 Accent 2" w:uiPriority="65" w:semiHidden="0" w:unhideWhenUsed="0"/>
    <w:lsdException w:name="Medium Grid 1 Accent 4" w:uiPriority="67" w:semiHidden="0" w:unhideWhenUsed="0"/>
    <w:lsdException w:name="Colorful Grid Accent 6" w:uiPriority="73" w:semiHidden="0" w:unhideWhenUsed="0"/>
    <w:lsdException w:name="Table Professional" w:uiPriority="99"/>
    <w:lsdException w:name="Hyperlink" w:uiPriority="99"/>
    <w:lsdException w:name="Medium Shading 2 Accent 5" w:uiPriority="64" w:semiHidden="0" w:unhideWhenUsed="0"/>
    <w:lsdException w:name="Colorful Grid Accent 1" w:uiPriority="73" w:semiHidden="0" w:unhideWhenUsed="0"/>
    <w:lsdException w:name="Table Colorful 2" w:uiPriority="99"/>
    <w:lsdException w:name="Colorful Grid" w:uiPriority="73" w:semiHidden="0" w:unhideWhenUsed="0"/>
    <w:lsdException w:name="Title" w:locked="1" w:uiPriority="0" w:semiHidden="0" w:unhideWhenUsed="0" w:qFormat="1"/>
    <w:lsdException w:name="Table Grid 7" w:uiPriority="99"/>
    <w:lsdException w:name="toc 5" w:locked="1" w:uiPriority="0" w:semiHidden="0" w:unhideWhenUsed="0"/>
    <w:lsdException w:name="Table Columns 1" w:uiPriority="99"/>
    <w:lsdException w:name="Body Text Indent 3" w:uiPriority="99"/>
    <w:lsdException w:name="Medium Grid 3 Accent 1" w:uiPriority="69" w:semiHidden="0" w:unhideWhenUsed="0"/>
    <w:lsdException w:name="List 2" w:uiPriority="99"/>
    <w:lsdException w:name="toc 8" w:locked="1" w:uiPriority="0" w:semiHidden="0" w:unhideWhenUsed="0"/>
    <w:lsdException w:name="List 5" w:uiPriority="99"/>
    <w:lsdException w:name="HTML Typewriter" w:uiPriority="99"/>
    <w:lsdException w:name="toc 3" w:locked="1" w:uiPriority="0" w:semiHidden="0" w:unhideWhenUsed="0"/>
    <w:lsdException w:name="Colorful Grid Accent 2" w:uiPriority="73" w:semiHidden="0" w:unhideWhenUsed="0"/>
    <w:lsdException w:name="index 8" w:uiPriority="99"/>
    <w:lsdException w:name="Dark List Accent 5" w:uiPriority="70" w:semiHidden="0" w:unhideWhenUsed="0"/>
    <w:lsdException w:name="Medium List 1 Accent 1" w:uiPriority="65" w:semiHidden="0" w:unhideWhenUsed="0"/>
    <w:lsdException w:name="Body Text First Indent" w:uiPriority="99"/>
    <w:lsdException w:name="Medium Grid 2 Accent 4" w:uiPriority="68" w:semiHidden="0" w:unhideWhenUsed="0"/>
    <w:lsdException w:name="Table Web 1" w:uiPriority="99"/>
    <w:lsdException w:name="Table Theme" w:uiPriority="99"/>
    <w:lsdException w:name="header" w:uiPriority="99" w:semiHidden="0" w:unhideWhenUsed="0" w:qFormat="1"/>
    <w:lsdException w:name="Table Subtle 2" w:uiPriority="99"/>
    <w:lsdException w:name="List Continue" w:uiPriority="99"/>
    <w:lsdException w:name="Medium Grid 1 Accent 1" w:uiPriority="67" w:semiHidden="0" w:unhideWhenUsed="0"/>
    <w:lsdException w:name="List Number 5" w:uiPriority="99"/>
    <w:lsdException w:name="caption" w:locked="1" w:uiPriority="0" w:qFormat="1"/>
    <w:lsdException w:name="Medium List 2 Accent 1" w:uiPriority="66" w:semiHidden="0" w:unhideWhenUsed="0"/>
    <w:lsdException w:name="Light Grid Accent 6" w:uiPriority="62" w:semiHidden="0" w:unhideWhenUsed="0"/>
    <w:lsdException w:name="Normal" w:uiPriority="0" w:semiHidden="0" w:unhideWhenUsed="0" w:qFormat="1"/>
    <w:lsdException w:name="Medium Shading 1 Accent 1" w:uiPriority="63" w:semiHidden="0" w:unhideWhenUsed="0"/>
    <w:lsdException w:name="heading 7" w:locked="1" w:uiPriority="0" w:qFormat="1"/>
    <w:lsdException w:name="Medium Grid 1 Accent 6" w:uiPriority="67" w:semiHidden="0" w:unhideWhenUsed="0"/>
    <w:lsdException w:name="HTML Variable" w:uiPriority="99"/>
    <w:lsdException w:name="Light Grid Accent 4" w:uiPriority="62" w:semiHidden="0" w:unhideWhenUsed="0"/>
    <w:lsdException w:name="Dark List" w:uiPriority="70" w:semiHidden="0" w:unhideWhenUsed="0"/>
    <w:lsdException w:name="Light Grid Accent 3" w:uiPriority="62" w:semiHidden="0" w:unhideWhenUsed="0"/>
    <w:lsdException w:name="table of authorities" w:uiPriority="99"/>
    <w:lsdException w:name="Dark List Accent 3" w:uiPriority="70" w:semiHidden="0" w:unhideWhenUsed="0"/>
    <w:lsdException w:name="Medium List 2 Accent 5" w:uiPriority="66" w:semiHidden="0" w:unhideWhenUsed="0"/>
    <w:lsdException w:name="List Continue 4" w:uiPriority="99"/>
    <w:lsdException w:name="table of figures" w:uiPriority="99"/>
    <w:lsdException w:name="Medium Shading 1 Accent 6" w:uiPriority="63" w:semiHidden="0" w:unhideWhenUsed="0"/>
    <w:lsdException w:name="Table Grid 4" w:uiPriority="99"/>
    <w:lsdException w:name="Colorful Shading Accent 4" w:uiPriority="71" w:semiHidden="0" w:unhideWhenUsed="0"/>
    <w:lsdException w:name="toc 2" w:locked="1" w:uiPriority="0" w:semiHidden="0" w:unhideWhenUsed="0"/>
    <w:lsdException w:name="Table List 1" w:uiPriority="99"/>
    <w:lsdException w:name="Medium Grid 2 Accent 6" w:uiPriority="68" w:semiHidden="0" w:unhideWhenUsed="0"/>
    <w:lsdException w:name="Note Heading" w:uiPriority="99"/>
    <w:lsdException w:name="FollowedHyperlink" w:uiPriority="99"/>
    <w:lsdException w:name="Dark List Accent 4" w:uiPriority="70" w:semiHidden="0" w:unhideWhenUsed="0"/>
    <w:lsdException w:name="List Continue 2" w:uiPriority="99"/>
    <w:lsdException w:name="Medium Grid 3 Accent 2" w:uiPriority="69" w:semiHidden="0" w:unhideWhenUsed="0"/>
    <w:lsdException w:name="HTML Address" w:uiPriority="99"/>
    <w:lsdException w:name="E-mail Signature" w:uiPriority="99"/>
    <w:lsdException w:name="Medium Grid 2 Accent 2" w:uiPriority="68" w:semiHidden="0" w:unhideWhenUsed="0"/>
    <w:lsdException w:name="Colorful List Accent 3" w:uiPriority="72" w:semiHidden="0" w:unhideWhenUsed="0"/>
    <w:lsdException w:name="endnote reference" w:uiPriority="99"/>
    <w:lsdException w:name="Medium Shading 1 Accent 5" w:uiPriority="63" w:semiHidden="0" w:unhideWhenUsed="0"/>
    <w:lsdException w:name="Colorful Shading Accent 2" w:uiPriority="71" w:semiHidden="0" w:unhideWhenUsed="0"/>
    <w:lsdException w:name="Medium List 1 Accent 6" w:uiPriority="65" w:semiHidden="0" w:unhideWhenUsed="0"/>
    <w:lsdException w:name="heading 9" w:locked="1" w:uiPriority="0" w:qFormat="1"/>
    <w:lsdException w:name="Colorful Shading Accent 5" w:uiPriority="71" w:semiHidden="0" w:unhideWhenUsed="0"/>
    <w:lsdException w:name="Table Simple 1" w:uiPriority="99"/>
    <w:lsdException w:name="Light List Accent 5" w:uiPriority="61" w:semiHidden="0" w:unhideWhenUsed="0"/>
    <w:lsdException w:name="annotation subject" w:uiPriority="99"/>
    <w:lsdException w:name="Light List Accent 1" w:uiPriority="61" w:semiHidden="0" w:unhideWhenUsed="0"/>
    <w:lsdException w:name="Colorful List Accent 6" w:uiPriority="72" w:semiHidden="0" w:unhideWhenUsed="0"/>
    <w:lsdException w:name="annotation text" w:uiPriority="99"/>
    <w:lsdException w:name="Colorful List Accent 1" w:uiPriority="72" w:semiHidden="0" w:unhideWhenUsed="0"/>
    <w:lsdException w:name="Dark List Accent 2" w:uiPriority="70" w:semiHidden="0" w:unhideWhenUsed="0"/>
    <w:lsdException w:name="Plain Text" w:uiPriority="99"/>
    <w:lsdException w:name="envelope return" w:uiPriority="99"/>
    <w:lsdException w:name="annotation reference" w:uiPriority="99"/>
    <w:lsdException w:name="List Number 3" w:uiPriority="99"/>
    <w:lsdException w:name="index 3" w:uiPriority="99"/>
    <w:lsdException w:name="Colorful Shading" w:uiPriority="71" w:semiHidden="0" w:unhideWhenUsed="0"/>
    <w:lsdException w:name="Normal Table" w:uiPriority="99" w:qFormat="1"/>
    <w:lsdException w:name="Table Grid 6" w:uiPriority="99"/>
    <w:lsdException w:name="Medium List 2" w:uiPriority="66" w:semiHidden="0" w:unhideWhenUsed="0"/>
    <w:lsdException w:name="List Bullet 5" w:uiPriority="99"/>
    <w:lsdException w:name="List 4" w:uiPriority="99"/>
    <w:lsdException w:name="Table Classic 3" w:uiPriority="99"/>
    <w:lsdException w:name="Medium Shading 1 Accent 3" w:uiPriority="63" w:semiHidden="0" w:unhideWhenUsed="0"/>
    <w:lsdException w:name="toc 4" w:locked="1" w:uiPriority="0" w:semiHidden="0" w:unhideWhenUsed="0"/>
    <w:lsdException w:name="Medium Grid 3 Accent 6" w:uiPriority="69" w:semiHidden="0" w:unhideWhenUsed="0"/>
    <w:lsdException w:name="Colorful Shading Accent 6" w:uiPriority="71" w:semiHidden="0" w:unhideWhenUsed="0"/>
    <w:lsdException w:name="Table List 3" w:uiPriority="99"/>
    <w:lsdException w:name="Table List 8" w:uiPriority="99"/>
    <w:lsdException w:name="Balloon Text" w:uiPriority="99" w:unhideWhenUsed="0" w:qFormat="1"/>
    <w:lsdException w:name="Signature" w:uiPriority="99"/>
    <w:lsdException w:name="Colorful List Accent 2" w:uiPriority="72" w:semiHidden="0" w:unhideWhenUsed="0"/>
    <w:lsdException w:name="Body Text" w:uiPriority="99"/>
    <w:lsdException w:name="Dark List Accent 1" w:uiPriority="70" w:semiHidden="0" w:unhideWhenUsed="0"/>
    <w:lsdException w:name="Medium Shading 1 Accent 4" w:uiPriority="63" w:semiHidden="0" w:unhideWhenUsed="0"/>
    <w:lsdException w:name="Normal Indent" w:uiPriority="99"/>
    <w:lsdException w:name="Medium Shading 2 Accent 4" w:uiPriority="64" w:semiHidden="0" w:unhideWhenUsed="0"/>
    <w:lsdException w:name="Colorful List Accent 5" w:uiPriority="72" w:semiHidden="0" w:unhideWhenUsed="0"/>
    <w:lsdException w:name="Light List Accent 4" w:uiPriority="61" w:semiHidden="0" w:unhideWhenUsed="0"/>
    <w:lsdException w:name="Table Web 2" w:uiPriority="99"/>
    <w:lsdException w:name="Body Text Indent 2" w:uiPriority="99"/>
    <w:lsdException w:name="Medium Grid 1 Accent 2" w:uiPriority="67" w:semiHidden="0" w:unhideWhenUsed="0"/>
    <w:lsdException w:name="Table Subtle 1" w:uiPriority="99"/>
    <w:lsdException w:name="Light List Accent 3" w:uiPriority="61" w:semiHidden="0" w:unhideWhenUsed="0"/>
    <w:lsdException w:name="Table Grid" w:uiPriority="99" w:semiHidden="0" w:unhideWhenUsed="0" w:qFormat="1"/>
    <w:lsdException w:name="Medium Grid 2 Accent 3" w:uiPriority="68" w:semiHidden="0" w:unhideWhenUsed="0"/>
    <w:lsdException w:name="Colorful Grid Accent 5" w:uiPriority="73" w:semiHidden="0" w:unhideWhenUsed="0"/>
    <w:lsdException w:name="Salutation" w:uiPriority="99"/>
    <w:lsdException w:name="index 7" w:uiPriority="99"/>
    <w:lsdException w:name="Dark List Accent 6" w:uiPriority="70" w:semiHidden="0" w:unhideWhenUsed="0"/>
    <w:lsdException w:name="Medium List 1 Accent 4" w:uiPriority="65" w:semiHidden="0" w:unhideWhenUsed="0"/>
    <w:lsdException w:name="List 3" w:uiPriority="99"/>
    <w:lsdException w:name="heading 8" w:locked="1" w:uiPriority="0" w:qFormat="1"/>
    <w:lsdException w:name="index 1" w:uiPriority="99"/>
    <w:lsdException w:name="Table Columns 3" w:uiPriority="99"/>
    <w:lsdException w:name="Light List" w:uiPriority="61" w:semiHidden="0" w:unhideWhenUsed="0"/>
    <w:lsdException w:name="Medium Grid 2 Accent 1" w:uiPriority="68" w:semiHidden="0" w:unhideWhenUsed="0"/>
    <w:lsdException w:name="Message Header" w:uiPriority="99"/>
    <w:lsdException w:name="Medium Shading 2 Accent 3" w:uiPriority="64" w:semiHidden="0" w:unhideWhenUsed="0"/>
    <w:lsdException w:name="List Bullet 3" w:uiPriority="99"/>
    <w:lsdException w:name="Closing" w:uiPriority="99"/>
    <w:lsdException w:name="Table Classic 1" w:uiPriority="99"/>
    <w:lsdException w:name="Table List 5" w:uiPriority="99"/>
    <w:lsdException w:name="heading 3" w:uiPriority="99" w:semiHidden="0" w:unhideWhenUsed="0" w:qFormat="1"/>
    <w:lsdException w:name="Medium List 2 Accent 2" w:uiPriority="66" w:semiHidden="0" w:unhideWhenUsed="0"/>
    <w:lsdException w:name="Colorful List Accent 4" w:uiPriority="72" w:semiHidden="0" w:unhideWhenUsed="0"/>
    <w:lsdException w:name="index heading" w:uiPriority="99"/>
    <w:lsdException w:name="List Number" w:uiPriority="99"/>
    <w:lsdException w:name="footnote reference" w:uiPriority="99"/>
    <w:lsdException w:name="Body Text First Indent 2" w:uiPriority="99"/>
    <w:lsdException w:name="HTML Cite" w:uiPriority="99"/>
    <w:lsdException w:name="Medium Shading 1 Accent 2" w:uiPriority="63" w:semiHidden="0" w:unhideWhenUsed="0"/>
    <w:lsdException w:name="envelope address" w:uiPriority="99"/>
    <w:lsdException w:name="Body Text 2" w:uiPriority="99"/>
    <w:lsdException w:name="Table 3D effects 2" w:uiPriority="99"/>
    <w:lsdException w:name="footer" w:uiPriority="99" w:semiHidden="0" w:unhideWhenUsed="0" w:qFormat="1"/>
    <w:lsdException w:name="Table Columns 4" w:uiPriority="99"/>
    <w:lsdException w:name="Light Shading Accent 3" w:uiPriority="60" w:semiHidden="0" w:unhideWhenUsed="0"/>
    <w:lsdException w:name="Medium Shading 2 Accent 2" w:uiPriority="64" w:semiHidden="0" w:unhideWhenUsed="0"/>
    <w:lsdException w:name="Table List 2" w:uiPriority="99"/>
    <w:lsdException w:name="Colorful List" w:uiPriority="72" w:semiHidden="0" w:unhideWhenUsed="0"/>
    <w:lsdException w:name="List Continue 5" w:uiPriority="99"/>
    <w:lsdException w:name="Normal (Web)" w:uiPriority="99"/>
    <w:lsdException w:name="List" w:uiPriority="99"/>
    <w:lsdException w:name="toa heading" w:uiPriority="99"/>
    <w:lsdException w:name="Light Shading Accent 1" w:uiPriority="60" w:semiHidden="0" w:unhideWhenUsed="0"/>
    <w:lsdException w:name="Medium Shading 2 Accent 1" w:uiPriority="64" w:semiHidden="0" w:unhideWhenUsed="0"/>
    <w:lsdException w:name="Emphasis" w:locked="1" w:uiPriority="0" w:semiHidden="0" w:unhideWhenUsed="0" w:qFormat="1"/>
    <w:lsdException w:name="index 5" w:uiPriority="99"/>
    <w:lsdException w:name="Table Colorful 1" w:uiPriority="99"/>
    <w:lsdException w:name="Light Shading Accent 6" w:uiPriority="60" w:semiHidden="0" w:unhideWhenUsed="0"/>
    <w:lsdException w:name="Medium List 2 Accent 6" w:uiPriority="66" w:semiHidden="0" w:unhideWhenUsed="0"/>
    <w:lsdException w:name="Light Grid" w:uiPriority="62" w:semiHidden="0" w:unhideWhenUsed="0"/>
    <w:lsdException w:name="heading 5" w:locked="1" w:uiPriority="0" w:qFormat="1"/>
    <w:lsdException w:name="Light List Accent 2" w:uiPriority="61" w:semiHidden="0" w:unhideWhenUsed="0"/>
    <w:lsdException w:name="Table List 4" w:uiPriority="99"/>
    <w:lsdException w:name="Light Shading" w:uiPriority="60" w:semiHidden="0" w:unhideWhenUsed="0"/>
    <w:lsdException w:name="heading 2" w:locked="1" w:uiPriority="0" w:qFormat="1"/>
    <w:lsdException w:name="Medium Grid 2 Accent 5" w:uiPriority="68" w:semiHidden="0" w:unhideWhenUsed="0"/>
    <w:lsdException w:name="Date" w:uiPriority="99"/>
    <w:lsdException w:name="Medium Shading 2 Accent 6" w:uiPriority="64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Body Text 3" w:uiPriority="99"/>
    <w:lsdException w:name="Table List 7" w:uiPriority="99"/>
    <w:lsdException w:name="Light Grid Accent 1" w:uiPriority="62" w:semiHidden="0" w:unhideWhenUsed="0"/>
    <w:lsdException w:name="Light Shading Accent 2" w:uiPriority="60" w:semiHidden="0" w:unhideWhenUsed="0"/>
    <w:lsdException w:name="Document Map" w:uiPriority="99"/>
    <w:lsdException w:name="Light Shading Accent 5" w:uiPriority="60" w:semiHidden="0" w:unhideWhenUsed="0"/>
    <w:lsdException w:name="heading 6" w:locked="1" w:uiPriority="0" w:qFormat="1"/>
    <w:lsdException w:name="Light List Accent 6" w:uiPriority="61" w:semiHidden="0" w:unhideWhenUsed="0"/>
    <w:lsdException w:name="List Bullet 4" w:uiPriority="99"/>
    <w:lsdException w:name="Table 3D effects 3" w:uiPriority="99"/>
    <w:lsdException w:name="Medium Grid 1" w:uiPriority="67" w:semiHidden="0" w:unhideWhenUsed="0"/>
    <w:lsdException w:name="Strong" w:locked="1" w:uiPriority="0" w:semiHidden="0" w:unhideWhenUsed="0" w:qFormat="1"/>
    <w:lsdException w:name="heading 1" w:locked="1" w:uiPriority="0" w:semiHidden="0" w:unhideWhenUsed="0" w:qFormat="1"/>
    <w:lsdException w:name="Table Contemporary" w:uiPriority="99"/>
    <w:lsdException w:name="Light Grid Accent 2" w:uiPriority="62" w:semiHidden="0" w:unhideWhenUsed="0"/>
    <w:lsdException w:name="Table Grid 1" w:uiPriority="99"/>
    <w:lsdException w:name="Table Simple 3" w:uiPriority="99"/>
    <w:lsdException w:name="Colorful Shading Accent 1" w:uiPriority="71" w:semiHidden="0" w:unhideWhenUsed="0"/>
    <w:lsdException w:name="toc 7" w:locked="1" w:uiPriority="0" w:semiHidden="0" w:unhideWhenUsed="0"/>
    <w:lsdException w:name="HTML Keyboard" w:uiPriority="99"/>
    <w:lsdException w:name="Table Classic 4" w:uiPriority="99"/>
    <w:lsdException w:name="List Number 2" w:uiPriority="99"/>
    <w:lsdException w:name="index 4" w:uiPriority="99"/>
    <w:lsdException w:name="Table Colorful 3" w:uiPriority="99"/>
    <w:lsdException w:name="Table List 6" w:uiPriority="99"/>
    <w:lsdException w:name="heading 4" w:locked="1" w:uiPriority="0" w:qFormat="1"/>
    <w:lsdException w:name="line number" w:uiPriority="99"/>
    <w:lsdException w:name="HTML Definition" w:uiPriority="99"/>
    <w:lsdException w:name="HTML Sample" w:uiPriority="99"/>
    <w:lsdException w:name="Block Text" w:uiPriority="99"/>
    <w:lsdException w:name="Light Grid Accent 5" w:uiPriority="62" w:semiHidden="0" w:unhideWhenUsed="0"/>
    <w:lsdException w:name="Medium Grid 2" w:uiPriority="68" w:semiHidden="0" w:unhideWhenUsed="0"/>
    <w:lsdException w:name="Body Text Indent" w:uiPriority="99"/>
    <w:lsdException w:name="List Continue 3" w:uiPriority="99"/>
    <w:lsdException w:name="Colorful Grid Accent 4" w:uiPriority="73" w:semiHidden="0" w:unhideWhenUsed="0"/>
    <w:lsdException w:name="Default Paragraph Font" w:uiPriority="1" w:qFormat="1"/>
    <w:lsdException w:name="index 6" w:uiPriority="99"/>
    <w:lsdException w:name="Medium Grid 1 Accent 5" w:uiPriority="67" w:semiHidden="0" w:unhideWhenUsed="0"/>
    <w:lsdException w:name="page number" w:uiPriority="99"/>
    <w:lsdException w:name="Light Shading Accent 4" w:uiPriority="60" w:semiHidden="0" w:unhideWhenUsed="0"/>
    <w:lsdException w:name="Table Grid 2" w:uiPriority="99"/>
    <w:lsdException w:name="Medium List 1 Accent 3" w:uiPriority="65" w:semiHidden="0" w:unhideWhenUsed="0"/>
    <w:lsdException w:name="Table Grid 5" w:uiPriority="99"/>
    <w:lsdException w:name="Medium Grid 3 Accent 4" w:uiPriority="69" w:semiHidden="0" w:unhideWhenUsed="0"/>
    <w:lsdException w:name="macro" w:uiPriority="99"/>
    <w:lsdException w:name="Table Elegant" w:uiPriority="99"/>
    <w:lsdException w:name="HTML Preformatted" w:uiPriority="99"/>
    <w:lsdException w:name="Table Web 3" w:uiPriority="99"/>
    <w:lsdException w:name="Table Grid 8" w:uiPriority="99"/>
    <w:lsdException w:name="Medium Shading 2" w:uiPriority="64" w:semiHidden="0" w:unhideWhenUsed="0"/>
    <w:lsdException w:name="Medium Grid 1 Accent 3" w:uiPriority="67" w:semiHidden="0" w:unhideWhenUsed="0"/>
    <w:lsdException w:name="Subtitle" w:locked="1" w:uiPriority="0" w:semiHidden="0" w:unhideWhenUsed="0" w:qFormat="1"/>
    <w:lsdException w:name="List Bullet 2" w:uiPriority="99"/>
    <w:lsdException w:name="Table 3D effects 1" w:uiPriority="99"/>
    <w:lsdException w:name="footnote text" w:uiPriority="99"/>
    <w:lsdException w:name="Medium Grid 3 Accent 3" w:uiPriority="69" w:semiHidden="0" w:unhideWhenUsed="0"/>
    <w:lsdException w:name="Table Simple 2" w:uiPriority="99"/>
    <w:lsdException w:name="toc 6" w:locked="1" w:uiPriority="0" w:semiHidden="0" w:unhideWhenUsed="0"/>
    <w:lsdException w:name="toc 1" w:locked="1" w:uiPriority="0" w:semiHidden="0" w:unhideWhenUsed="0"/>
    <w:lsdException w:name="HTML Acronym" w:uiPriority="99"/>
    <w:lsdException w:name="Medium Grid 3 Accent 5" w:uiPriority="69" w:semiHidden="0" w:unhideWhenUsed="0"/>
    <w:lsdException w:name="Table Grid 3" w:uiPriority="99"/>
    <w:lsdException w:name="HTML Code" w:uiPriority="99"/>
    <w:lsdException w:name="Medium List 1 Accent 5" w:uiPriority="65" w:semiHidden="0" w:unhideWhenUsed="0"/>
    <w:lsdException w:name="Colorful Shading Accent 3" w:uiPriority="71" w:semiHidden="0" w:unhideWhenUsed="0"/>
    <w:lsdException w:name="toc 9" w:locked="1" w:uiPriority="0" w:semiHidden="0" w:unhideWhenUsed="0"/>
    <w:lsdException w:name="List Number 4" w:uiPriority="99"/>
    <w:lsdException w:name="Table Columns 5" w:uiPriority="99"/>
    <w:lsdException w:name="Table Columns 2" w:uiPriority="99"/>
    <w:lsdException w:name="Table Classic 2" w:uiPriority="99"/>
    <w:lsdException w:name="index 2" w:uiPriority="99"/>
    <w:lsdException w:name="index 9" w:uiPriority="99"/>
    <w:lsdException w:name="Colorful Grid Accent 3" w:uiPriority="73" w:semiHidden="0" w:unhideWhenUsed="0"/>
    <w:lsdException w:name="Medium Grid 3" w:uiPriority="69" w:semiHidden="0" w:unhideWhenUsed="0"/>
  </w:latentStyles>
  <w:style w:type="paragraph" w:styleId="000002">
    <w:name w:val="footer"/>
    <w:basedOn w:val="000004"/>
    <w:link w:val="00000b"/>
    <w:uiPriority w:val="99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00000f" w:customStyle="1">
    <w:name w:val="List Paragraph1"/>
    <w:basedOn w:val="000004"/>
    <w:uiPriority w:val="99"/>
    <w:qFormat w:val="1"/>
    <w:pPr>
      <w:ind w:firstLine="420" w:firstLineChars="200"/>
    </w:pPr>
  </w:style>
  <w:style w:type="table" w:styleId="000008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c">
    <w:name w:val="header"/>
    <w:basedOn w:val="000004"/>
    <w:link w:val="00000d"/>
    <w:uiPriority w:val="99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4" w:default="1">
    <w:name w:val="Normal"/>
    <w:uiPriority w:val="0"/>
    <w:qFormat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styleId="000007" w:default="1">
    <w:name w:val="Default Paragraph Font"/>
    <w:uiPriority w:val="1"/>
    <w:semiHidden w:val="1"/>
    <w:unhideWhenUsed w:val="1"/>
    <w:qFormat w:val="1"/>
  </w:style>
  <w:style w:type="paragraph" w:styleId="000009">
    <w:name w:val="Balloon Text"/>
    <w:basedOn w:val="000004"/>
    <w:link w:val="00000a"/>
    <w:uiPriority w:val="99"/>
    <w:semiHidden w:val="1"/>
    <w:qFormat w:val="1"/>
    <w:rPr>
      <w:sz w:val="18"/>
      <w:szCs w:val="18"/>
    </w:rPr>
  </w:style>
  <w:style w:type="paragraph" w:styleId="000005">
    <w:name w:val="heading 3"/>
    <w:basedOn w:val="000004"/>
    <w:next w:val="000004"/>
    <w:link w:val="000006"/>
    <w:uiPriority w:val="99"/>
    <w:qFormat w:val="1"/>
    <w:pPr>
      <w:keepNext w:val="1"/>
      <w:keepLines w:val="1"/>
      <w:spacing w:before="260" w:after="260" w:line="416" w:lineRule="auto"/>
      <w:outlineLvl w:val="2"/>
    </w:pPr>
    <w:rPr>
      <w:b w:val="1"/>
      <w:bCs w:val="1"/>
      <w:sz w:val="32"/>
      <w:szCs w:val="32"/>
    </w:rPr>
  </w:style>
  <w:style w:type="character" w:styleId="00000d" w:customStyle="1">
    <w:name w:val="页眉 字符"/>
    <w:link w:val="00000c"/>
    <w:uiPriority w:val="99"/>
    <w:qFormat w:val="1"/>
    <w:locked w:val="1"/>
    <w:rPr>
      <w:rFonts w:ascii="Times New Roman" w:hAnsi="Times New Roman" w:eastAsia="宋体" w:cs="Times New Roman"/>
      <w:sz w:val="18"/>
      <w:szCs w:val="18"/>
    </w:rPr>
  </w:style>
  <w:style w:type="character" w:styleId="00000a" w:customStyle="1">
    <w:name w:val="批注框文本 字符"/>
    <w:link w:val="000009"/>
    <w:uiPriority w:val="99"/>
    <w:semiHidden w:val="1"/>
    <w:qFormat w:val="1"/>
    <w:locked w:val="1"/>
    <w:rPr>
      <w:rFonts w:ascii="Times New Roman" w:hAnsi="Times New Roman" w:eastAsia="宋体" w:cs="Times New Roman"/>
      <w:sz w:val="18"/>
      <w:szCs w:val="18"/>
    </w:rPr>
  </w:style>
  <w:style w:type="character" w:styleId="000006" w:customStyle="1">
    <w:name w:val="标题 3 字符"/>
    <w:link w:val="000005"/>
    <w:uiPriority w:val="99"/>
    <w:semiHidden w:val="1"/>
    <w:qFormat w:val="1"/>
    <w:locked w:val="1"/>
    <w:rPr>
      <w:rFonts w:ascii="Times New Roman" w:hAnsi="Times New Roman" w:eastAsia="宋体" w:cs="Times New Roman"/>
      <w:b w:val="1"/>
      <w:bCs w:val="1"/>
      <w:sz w:val="32"/>
      <w:szCs w:val="32"/>
    </w:rPr>
  </w:style>
  <w:style w:type="table" w:styleId="00000e">
    <w:name w:val="Table Grid"/>
    <w:basedOn w:val="000008"/>
    <w:uiPriority w:val="99"/>
    <w:qFormat w:val="1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0b" w:customStyle="1">
    <w:name w:val="页脚 字符"/>
    <w:link w:val="000002"/>
    <w:uiPriority w:val="99"/>
    <w:qFormat w:val="1"/>
    <w:locked w:val="1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2.png" /><Relationship Id="rId6" Type="http://schemas.openxmlformats.org/officeDocument/2006/relationships/image" Target="media/image1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header" Target="header1.xml" /><Relationship Id="rId3" Type="http://schemas.openxmlformats.org/officeDocument/2006/relationships/theme" Target="theme/theme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2026-10-30T00:40:22Z</dcterms:created>
  <dcterms:modified xsi:type="dcterms:W3CDTF">2026-10-30T00:40:22Z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ICV">
    <vt:lpwstr>2FCBE16CC9AA4110AD018CF3B4DFFEB0_12</vt:lpwstr>
  </property>
</Properties>
</file>