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pPr>
        <w:rPr>
          <w:lang w:val="id-ID"/>
        </w:rPr>
      </w:pPr>
      <w:r>
        <w:rPr>
          <w:lang w:val="id-ID"/>
        </w:rPr>
        <w:t xml:space="preserve">Bab ini menelaah literatur yang terkait langsung dengan pemeriksaan dokumentasi klaim rawat inap sebelum diajukan ke BPJS Kesehatan, dengan fokus pada komponen AI/NLP untuk kasus kebidanan dan anak </w:t>
      </w:r>
      <w:r>
        <w:rPr>
          <w:highlight w:val="yellow"/>
          <w:lang w:val="id-ID"/>
        </w:rPr>
        <w:t xml:space="preserve">[SESUAIKAN DENGAN BAB II GABUNGAN TIM: kajian komponen antarmuka dan basis data ditulis oleh anggota tim lain]</w:t>
      </w:r>
      <w:r>
        <w:rPr>
          <w:lang w:val="id-ID"/>
        </w:rPr>
        <w:t xml:space="preserve">. Subbab II.1 membahas dokumentasi klinis dan klaim JKN. Subbab II.2 sampai II.7 membahas NLP dan LLM pada teks klinis, audit otomatis dokumentasi dan kode diagnosis, pendekatan hibrida berbasis aturan dan AI/NLP, RAG dan halusinasi, de-identifikasi, serta evaluasi. Subbab II.8 membandingkan karya terdahulu yang terdekat dan menyatakan celah yang menjadi sasaran penelitian ini.</w:t>
      </w:r>
    </w:p>
    <w:p>
      <w:pPr>
        <w:pStyle w:val="Heading2"/>
      </w:pPr>
      <w:r>
        <w:t xml:space="preserve">Dokumentasi Klinis dan Klaim JKN</w:t>
      </w:r>
    </w:p>
    <w:p>
      <w:pPr>
        <w:pStyle w:val="Heading3"/>
      </w:pPr>
      <w:r>
        <w:t xml:space="preserve">Alur Klaim JKN dan Studi tentang Klaim Rawat Inap</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Tiga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Barsasella dkk. (2021) memakai data klaim INA-CBG 4.376 pasien rawat inap diabetes melitus tipe 2 atau hipertensi di satu rumah sakit di Tasikmalaya (2016–2019) untuk memprediksi lama rawat dan kematian dengan pembelajaran mesin (hlm. 1). Variabelnya antara lain kode diagnosis, kode prosedur, kode INA-CBG, dan status pulang (hlm. 2); teks klinis tidak dibahas.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pStyle w:val="Heading3"/>
      </w:pPr>
      <w:r>
        <w:t xml:space="preserve">Sintesis dan Celah</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Barsasella dkk. (2021) memodelkan luaran pasien dari variabel klaim terstruktur,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w:t>
      </w:r>
      <w:r>
        <w:rPr>
          <w:i/>
          <w:lang w:val="id-ID"/>
        </w:rPr>
        <w:t xml:space="preserve">large language model</w:t>
      </w:r>
      <w:r>
        <w:rPr>
          <w:lang w:val="id-ID"/>
        </w:rPr>
        <w:t xml:space="preserve">, LLM)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pStyle w:val="Heading3"/>
      </w:pPr>
      <w:r>
        <w:t xml:space="preserve">LLM untuk Dokumentasi Klinis dan Ringkasan Pulang</w:t>
      </w:r>
    </w:p>
    <w:p>
      <w:pPr>
        <w:rPr>
          <w:lang w:val="id-ID"/>
        </w:rPr>
      </w:pPr>
      <w:r>
        <w:rPr>
          <w:lang w:val="id-ID"/>
        </w:rPr>
        <w:t xml:space="preserve">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Cakupan kajian ini terbatas: 17 dari 41 studi berasal dari Amerika Serikat (hlm. 4), studi nonbahasa Inggris dikecualikan, dan menurut penulisnya sebagian besar studi dilakukan pada lingkungan terkendali atau simulasi (hlm. 11).</w:t>
      </w:r>
    </w:p>
    <w:p>
      <w:pPr>
        <w:rPr>
          <w:lang w:val="id-ID"/>
        </w:rPr>
      </w:pPr>
      <w:r>
        <w:rPr>
          <w:lang w:val="id-ID"/>
        </w:rPr>
        <w:t xml:space="preserve">Dua studi primer membandingkan ringkasan pulang buatan LLM dengan tulisan dokter, dan hasilnya berbeda. Schwieger dkk. (2024) membandingkan 20 ringkasan pulang rawat inap psikiatri tulisan dokter residen dengan ringkasan buatan ChatGPT-4 dari catatan residen yang telah dipseudonimkan (hlm. 1). Delapan spesialis psikiatri yang tidak mengetahui sumbernya memberi skor rata-rata 3,78 untuk tulisan residen dan 3,12 untuk ChatGPT-4, dan halusinasi ditemukan pada 40% ringkasan ChatGPT-4 (hlm. 1); peneliti memeriksanya dengan membandingkan kedua versi ringkasan dengan rekam medis elektronik pasien (hlm. 2). Mehri dkk. (2026) menilai 292 pasang ringkasan pulang dari 16 departemen di satu rumah sakit akademik Belanda, dengan versi LLM dibuat otomatis oleh sistem yang terintegrasi dengan rekam medis elektronik (hlm. 1, 5). Kelengkapan versi LLM lebih rendah (median 4,5 terhadap 5,0), ketepatannya serupa, dan skor total tidak berbeda; kedua penilai mempercayai 249 ringkasan LLM (85,3%), dibandingkan 279 ringkasan dokter (95,5%) (hlm. 6). Penilai menyatakan tidak menemukan halusinasi atau informasi yang tidak masuk akal secara klinis, tetapi halusinasi tidak dinilai sebagai domain tersendiri (hlm. 9).</w:t>
      </w:r>
    </w:p>
    <w:p>
      <w:pPr>
        <w:rPr>
          <w:lang w:val="id-ID"/>
        </w:rPr>
      </w:pPr>
      <w:r>
        <w:rPr>
          <w:lang w:val="id-ID"/>
        </w:rPr>
        <w:t xml:space="preserve">Schwieger dkk. menyebut sampel kecil dan kesepakatan antarpenilai yang rendah sampai sedang sebagai batasan (hlm. 8). Mehri dkk. membatasi diri pada satu rumah sakit dan ringkasan berbahasa Belanda (hlm. 9); dari 292 pasang, 12 berasal dari kebidanan dan kandungan serta 29 dari pediatri (hlm. 6). Penilaian pada kedua studi dilakukan oleh manusia dengan tulisan dokter sebagai pembanding, bukan melalui pemeriksaan otomatis kesesuaian ringkasan dengan catatan sumbernya, dan keduanya tidak memakai data berbahasa Indonesia.</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Menurut Jafarpour dkk. (2025), yang menelaah deteksi kejadian tidak diharapkan di rumah sakit dengan teks berbahasa Inggris (hlm. 1, 4),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Kesepuluh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hasilnya tidak seragam: halusinasi ditemukan pada 40% ringkasan pulang dalam satu studi (Schwieger dkk., 2024, hlm. 1), sedangkan penilai pada studi lain tidak menemukannya (Mehri dkk., 2026, hlm. 9). Ketiga, hasil disambiguasi singkatan yang dikaji di sini berasal dari satu dataset berbahasa Inggris dan turun dari akurasi 0,9228 menjadi 0,7585 pada versi yang memuat lebih banyak derau (Wei dkk., 2026, hlm. 1, 5, 9). Karena itu, kinerja teknik-teknik ini pada rekam medis rawat inap kebidanan dan anak berbahasa Indonesia tidak dapat diasumsikan dan harus diukur langsung pada data tersebut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enam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tiga tingkat risiko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(hlm. 2).</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keenam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memperingatkan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Pembagian kerja antara aturan dan AI/NLP pada penelitian ini karenanya merupakan pilihan rancangan yang perlu dibenarkan lewat perbandingan konfigurasi aturan saja dengan aturan ditambah AI/NLP </w:t>
      </w:r>
      <w:r>
        <w:rPr>
          <w:highlight w:val="yellow"/>
          <w:lang w:val="id-ID"/>
        </w:rPr>
        <w:t xml:space="preserve">[SESUAIKAN DENGAN BAB I: rumusan pertanyaan dan ukuran keberhasilan]</w:t>
      </w:r>
      <w:r>
        <w:rPr>
          <w:lang w:val="id-ID"/>
        </w:rPr>
        <w:t xml:space="preserve">.</w:t>
      </w:r>
    </w:p>
    <w:p>
      <w:pPr>
        <w:pStyle w:val="Heading2"/>
      </w:pPr>
      <w:r>
        <w:t xml:space="preserve">RAG, Penjangkaran Bukti, dan Halusinasi</w:t>
      </w:r>
    </w:p>
    <w:p>
      <w:pPr>
        <w:pStyle w:val="Heading3"/>
      </w:pPr>
      <w:r>
        <w:t xml:space="preserve">RAG pada Teks Klinis</w:t>
      </w:r>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r>
        <w:t xml:space="preserve">Penjangkaran Bukti dan Pengecekan Keluaran</w:t>
      </w:r>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yang tidak memakai penilaian risiko bias formal (hlm. 4),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(hlm. 3).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r>
        <w:t xml:space="preserve">Sintesis dan Celah</w:t>
      </w:r>
    </w:p>
    <w:p>
      <w:pPr>
        <w:rPr>
          <w:lang w:val="id-ID"/>
        </w:rPr>
      </w:pPr>
      <w:r>
        <w:rPr>
          <w:lang w:val="id-ID"/>
        </w:rPr>
        <w:t xml:space="preserve">Sumber-sumber di atas menunjukkan bahwa </w:t>
      </w:r>
      <w:r>
        <w:rPr>
          <w:i/>
          <w:lang w:val="id-ID"/>
        </w:rPr>
        <w:t xml:space="preserve">retrieval</w:t>
      </w:r>
      <w:r>
        <w:rPr>
          <w:lang w:val="id-ID"/>
        </w:rPr>
        <w:t xml:space="preserve"> menaikkan kinerja ekstraksi pada catatan klinis dan bahwa keluaran dapat ditautkan serta diperiksa terhadap sumbernya, tetapi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Manfaat RAG pada audit dokumentasi rawat inap kebidanan dan anak karena itu perlu diuji dengan membandingkan konfigurasi dengan dan tanpa </w:t>
      </w:r>
      <w:r>
        <w:rPr>
          <w:i/>
          <w:lang w:val="id-ID"/>
        </w:rPr>
        <w:t xml:space="preserve">retrieval</w:t>
      </w:r>
      <w:r>
        <w:rPr>
          <w:lang w:val="id-ID"/>
        </w:rPr>
        <w:t xml:space="preserve"> </w:t>
      </w:r>
      <w:r>
        <w:rPr>
          <w:highlight w:val="yellow"/>
          <w:lang w:val="id-ID"/>
        </w:rPr>
        <w:t xml:space="preserve">[SESUAIKAN DENGAN BAB I: rumusan pertanyaan dan ukuran keberhasilan]</w:t>
      </w:r>
      <w:r>
        <w:rPr>
          <w:lang w:val="id-ID"/>
        </w:rPr>
        <w:t xml:space="preserve">.</w:t>
      </w:r>
    </w:p>
    <w:p>
      <w:pPr>
        <w:pStyle w:val="Heading2"/>
      </w:pPr>
      <w:r>
        <w:t xml:space="preserve">De-identifikasi untuk Layanan AI Eksternal</w:t>
      </w:r>
    </w:p>
    <w:p>
      <w:pPr>
        <w:pStyle w:val="Heading3"/>
      </w:pPr>
      <w:r>
        <w:t xml:space="preserve">Pendekatan De-identifikasi dan Bukti yang Tersedia</w:t>
      </w:r>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Mereka menyimpulkan bahwa penggunaan model bahasa meningkat, bahwa perkakas siap pakai sering perlu disesuaikan, dan bahwa sebagian besar studi menggarap konten berbahasa Inggris karena dataset yang tersedia berbahasa Inggris (hlm. 1). Metode berbasis aturan tetap umum di luar bahasa Inggris (hlm. 6), sedangkan tantangan utamanya ialah campur kode dan kelangkaan dataset yang dapat direproduksi (hlm. 1). Faustini dkk. juga melaporkan temuan studi lain bahwa Presidio kesulitan mengenali nama Slavia serta nama Asia Tengah dan Asia Tenggara dibandingkan nama Inggris (hlm. 5).</w:t>
      </w:r>
    </w:p>
    <w:p>
      <w:pPr>
        <w:rPr>
          <w:lang w:val="id-ID"/>
        </w:rPr>
      </w:pPr>
      <w:r>
        <w:rPr>
          <w:lang w:val="id-ID"/>
        </w:rPr>
        <w:t xml:space="preserve">Azzam dkk. (2026) mengusulkan sistem agentik yang memisahkan lingkungan pemrosesan: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Pada 100 catatan MIMIC-III, 98,6% penanda redaksi bawaan dataset berubah bersih; penanda itu dipakai sebagai pengganti label acuan karena catatannya sudah dide-identifikasi (hlm. 1, 15). Kelestarian informasi klinis tidak penuh: sebutan obat terjaga 0,974, tetapi dosis hanya 0,769 (hlm. 12). Penulisnya menyatakan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dilakukan di lokasi rumah sakit tanpa ada data yang dibawa keluar (hlm. 2). Tanggal, usia, dan lokasi diganti dengan privasi diferensial lokal berbasis metrik agar aspek kronologis dan geografisnya tidak hilang (hlm. 1, 7). Manfaatnya diukur lewat tugas asosiasi kode ICD-10: skor F1 turun sekitar 12% terhadap korpus asli bila setiap entitas diganti dengan labelnya, yaitu cara yang dinilai paling tahan terhadap serangan re-identifikasi tetapi membuang nilai entitas, dan 6,8% dengan pendekatan itu (hlm. 2, 12, 13). Penulisnya mengingatkan bahwa dataset hasil de-identifikasi tetap tidak kebal terhadap serangan re-identifikasi dan keanggotaan, sehingga tidak dapat disebarluaskan (hlm. 13).</w:t>
      </w:r>
    </w:p>
    <w:p>
      <w:pPr>
        <w:pStyle w:val="Heading3"/>
      </w:pPr>
      <w:r>
        <w:t xml:space="preserve">Sintesis dan Celah</w:t>
      </w:r>
    </w:p>
    <w:p>
      <w:pPr>
        <w:rPr>
          <w:lang w:val="id-ID"/>
        </w:rPr>
      </w:pPr>
      <w:r>
        <w:rPr>
          <w:lang w:val="id-ID"/>
        </w:rPr>
        <w:t xml:space="preserve">Sumber-sumber di atas mendukung dua hal yang terbatas: de-identifikasi oleh LLM lokal dapat memisahkan data sensitif dari LLM publik pada pengujian awal, dan penggantian yang memperhatikan utilitas mengurangi kehilangan kinerja pada tugas hilir berbasis kode. Bukti itu memiliki tiga keterbatasan.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De-identifikasi pada penelitian ini perlu diuji pada data berbahasa Indonesia, dengan ukuran kebocoran pengenal dan dampaknya pada mutu temuan </w:t>
      </w:r>
      <w:r>
        <w:rPr>
          <w:highlight w:val="yellow"/>
          <w:lang w:val="id-ID"/>
        </w:rPr>
        <w:t xml:space="preserve">[SESUAIKAN DENGAN BAB I: rumusan pertanyaan dan ukuran keberhasilan]</w:t>
      </w:r>
      <w:r>
        <w:rPr>
          <w:lang w:val="id-ID"/>
        </w:rPr>
        <w:t xml:space="preserve">.</w:t>
      </w:r>
    </w:p>
    <w:p>
      <w:pPr>
        <w:pStyle w:val="Heading2"/>
      </w:pPr>
      <w:r>
        <w:t xml:space="preserve">Evaluasi Sistem NLP Klinis</w:t>
      </w:r>
    </w:p>
    <w:p>
      <w:pPr>
        <w:pStyle w:val="Heading3"/>
      </w:pPr>
      <w:r>
        <w:t xml:space="preserve">Acuan Penilaian dan Variabilitas Penilai</w:t>
      </w:r>
    </w:p>
    <w:p>
      <w:pPr>
        <w:rPr>
          <w:lang w:val="id-ID"/>
        </w:rPr>
      </w:pPr>
      <w:r>
        <w:rPr>
          <w:lang w:val="id-ID"/>
        </w:rPr>
        <w:t xml:space="preserve">Becker dkk. (2025) memperluas korpus CARDIO:DE, yaitu 500 surat dokter berbahasa Jerman di bidang kardiovaskular (hlm. 2), dengan lima label entitas: diagnosis, tindakan diagnostik, obat, temuan medis, dan terapi (hlm. 1). Seorang apoteker dan seorang ekonom kesehatan mula-mula menganotasi sekitar 15% korpus secara tumpang tindih, membahas ketidaksesuaiannya, lalu menganotasi 5% tambahan secara tumpang tindih, dengan ambang kesepakatan Krippendorff's alpha </w:t>
      </w:r>
      <w:r>
        <w:rPr>
          <w:i/>
          <w:lang w:val="id-ID"/>
        </w:rPr>
        <w:t xml:space="preserve">unitizing</w:t>
      </w:r>
      <w:r>
        <w:rPr>
          <w:lang w:val="id-ID"/>
        </w:rPr>
        <w:t xml:space="preserve"> 0,85 yang ditetapkan sebelumnya (hlm. 2). Kesepakatan mencapai 0,98 pada beberapa subset (hlm. 1), tetapi seluruh proses memakan tujuh bulan dan 10–40 menit per dokumen (hlm. 2). Empat model diuji, dan semuanya sering menukar temuan medis dengan diagnosis (hlm. 4); penulisnya menunjukkan bahwa frasa seperti "80 % main stem stenosis" dapat dilabeli keduanya bergantung pada konteks (hlm. 3).</w:t>
      </w:r>
    </w:p>
    <w:p>
      <w:pPr>
        <w:rPr>
          <w:lang w:val="id-ID"/>
        </w:rPr>
      </w:pPr>
      <w:r>
        <w:rPr>
          <w:lang w:val="id-ID"/>
        </w:rPr>
        <w:t xml:space="preserve">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w:t>
      </w:r>
    </w:p>
    <w:p>
      <w:pPr>
        <w:pStyle w:val="Heading3"/>
      </w:pPr>
      <w:r>
        <w:t xml:space="preserve">Sintesis dan Celah</w:t>
      </w:r>
    </w:p>
    <w:p>
      <w:pPr>
        <w:rPr>
          <w:lang w:val="id-ID"/>
        </w:rPr>
      </w:pPr>
      <w:r>
        <w:rPr>
          <w:lang w:val="id-ID"/>
        </w:rPr>
        <w:t xml:space="preserve">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Namun, ada tiga keterbatasan.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w:t>
      </w:r>
      <w:r>
        <w:rPr>
          <w:highlight w:val="yellow"/>
          <w:lang w:val="id-ID"/>
        </w:rPr>
        <w:t xml:space="preserve">[SESUAIKAN DENGAN BAB I: rumusan pertanyaan dan ukuran keberhasilan]</w:t>
      </w:r>
      <w:r>
        <w:rPr>
          <w:lang w:val="id-ID"/>
        </w:rPr>
        <w:t xml:space="preserve">.</w:t>
      </w:r>
    </w:p>
    <w:p>
      <w:pPr>
        <w:pStyle w:val="Heading2"/>
      </w:pPr>
      <w:r>
        <w:t xml:space="preserve">Perbandingan Karya Terdahulu dan Celah Penelitian</w:t>
      </w:r>
    </w:p>
    <w:p>
      <w:pPr>
        <w:pStyle w:val="Heading3"/>
      </w:pPr>
      <w:r>
        <w:t xml:space="preserve">Perbandingan Karya Terdahulu</w:t>
      </w:r>
    </w:p>
    <w:p>
      <w:pPr>
        <w:rPr>
          <w:lang w:val="id-ID"/>
        </w:rPr>
      </w:pPr>
      <w:r>
        <w:rPr>
          <w:lang w:val="id-ID"/>
        </w:rPr>
        <w:t xml:space="preserve">Karya yang paling dekat dengan masalah penelitian ini pada tiap tema subbab sebelumnya dirangkum pada Tabel II.1. Perbandingan memakai data dan metode, hasil utama, dan keterbatasan karya itu bagi penelitian ini. Rincian dan halaman sumber ada pada subbab asal.</w:t>
      </w:r>
    </w:p>
    <w:p>
      <w:pPr>
        <w:pStyle w:val="Caption"/>
        <w:keepNext/>
        <w:spacing w:before="120" w:after="80"/>
        <w:ind w:left="0" w:firstLine="0"/>
        <w:jc w:val="left"/>
      </w:pPr>
      <w:r>
        <w:rPr>
          <w:b/>
          <w:lang w:val="id-ID"/>
        </w:rPr>
        <w:t xml:space="preserve">Tabel II.1. Perbandingan karya terdahulu yang terdekat dengan penelitian ini</w:t>
      </w:r>
    </w:p>
    <w:tbl>
      <w:tblPr>
        <w:tblStyle w:val="TableGrid"/>
        <w:tblW w:w="8306" w:type="dxa"/>
        <w:jc w:val="center"/>
        <w:tblLayout w:type="fixed"/>
        <w:tblCellMar>
          <w:left w:w="70" w:type="dxa"/>
          <w:right w:w="70" w:type="dxa"/>
        </w:tblCellMar>
        <w:tblLook w:val="04A0" w:firstRow="1" w:lastRow="0" w:firstColumn="1" w:lastColumn="0" w:noHBand="0" w:noVBand="1"/>
      </w:tblPr>
      <w:tblGrid>
        <w:gridCol w:w="1750"/>
        <w:gridCol w:w="2300"/>
        <w:gridCol w:w="2150"/>
        <w:gridCol w:w="2106"/>
      </w:tblGrid>
      <w:tr>
        <w:trPr>
          <w:cantSplit/>
          <w:tblHeader/>
        </w:trPr>
        <w:tc>
          <w:tcPr>
            <w:tcW w:w="1750" w:type="dxa"/>
            <w:shd w:val="clear" w:color="auto" w:fill="D9D9D9"/>
          </w:tcPr>
          <w:p>
            <w:pPr>
              <w:spacing w:before="20" w:after="20" w:line="240" w:lineRule="auto"/>
              <w:jc w:val="left"/>
            </w:pPr>
            <w:r>
              <w:rPr>
                <w:b/>
                <w:sz w:val="20"/>
                <w:szCs w:val="20"/>
                <w:lang w:val="id-ID"/>
              </w:rPr>
              <w:t xml:space="preserve">Karya</w:t>
            </w:r>
          </w:p>
        </w:tc>
        <w:tc>
          <w:tcPr>
            <w:tcW w:w="2300" w:type="dxa"/>
            <w:shd w:val="clear" w:color="auto" w:fill="D9D9D9"/>
          </w:tcPr>
          <w:p>
            <w:pPr>
              <w:spacing w:before="20" w:after="20" w:line="240" w:lineRule="auto"/>
              <w:jc w:val="left"/>
            </w:pPr>
            <w:r>
              <w:rPr>
                <w:b/>
                <w:sz w:val="20"/>
                <w:szCs w:val="20"/>
                <w:lang w:val="id-ID"/>
              </w:rPr>
              <w:t xml:space="preserve">Data dan metode</w:t>
            </w:r>
          </w:p>
        </w:tc>
        <w:tc>
          <w:tcPr>
            <w:tcW w:w="2150" w:type="dxa"/>
            <w:shd w:val="clear" w:color="auto" w:fill="D9D9D9"/>
          </w:tcPr>
          <w:p>
            <w:pPr>
              <w:spacing w:before="20" w:after="20" w:line="240" w:lineRule="auto"/>
              <w:jc w:val="left"/>
            </w:pPr>
            <w:r>
              <w:rPr>
                <w:b/>
                <w:sz w:val="20"/>
                <w:szCs w:val="20"/>
                <w:lang w:val="id-ID"/>
              </w:rPr>
              <w:t xml:space="preserve">Hasil utama</w:t>
            </w:r>
          </w:p>
        </w:tc>
        <w:tc>
          <w:tcPr>
            <w:tcW w:w="2106" w:type="dxa"/>
            <w:shd w:val="clear" w:color="auto" w:fill="D9D9D9"/>
          </w:tcPr>
          <w:p>
            <w:pPr>
              <w:spacing w:before="20" w:after="20" w:line="240" w:lineRule="auto"/>
              <w:jc w:val="left"/>
            </w:pPr>
            <w:r>
              <w:rPr>
                <w:b/>
                <w:sz w:val="20"/>
                <w:szCs w:val="20"/>
                <w:lang w:val="id-ID"/>
              </w:rPr>
              <w:t xml:space="preserve">Keterbatasan bagi penelitian ini</w:t>
            </w:r>
          </w:p>
        </w:tc>
      </w:tr>
      <w:tr>
        <w:trPr>
          <w:cantSplit/>
        </w:trPr>
        <w:tc>
          <w:tcPr>
            <w:tcW w:w="1750" w:type="dxa"/>
          </w:tcPr>
          <w:p>
            <w:pPr>
              <w:spacing w:before="20" w:after="20" w:line="240" w:lineRule="auto"/>
              <w:jc w:val="left"/>
            </w:pPr>
            <w:r>
              <w:rPr>
                <w:sz w:val="20"/>
                <w:szCs w:val="20"/>
                <w:lang w:val="id-ID"/>
              </w:rPr>
              <w:t xml:space="preserve">Simbolon &amp; Gani (2023)</w:t>
            </w:r>
          </w:p>
        </w:tc>
        <w:tc>
          <w:tcPr>
            <w:tcW w:w="2300" w:type="dxa"/>
          </w:tcPr>
          <w:p>
            <w:pPr>
              <w:spacing w:before="20" w:after="20" w:line="240" w:lineRule="auto"/>
              <w:jc w:val="left"/>
            </w:pPr>
            <w:r>
              <w:rPr>
                <w:sz w:val="20"/>
                <w:szCs w:val="20"/>
                <w:lang w:val="id-ID"/>
              </w:rPr>
              <w:t xml:space="preserve">Ulasan lima artikel tentang klaim rawat inap JKN yang </w:t>
            </w:r>
            <w:r>
              <w:rPr>
                <w:i/>
                <w:sz w:val="20"/>
                <w:szCs w:val="20"/>
                <w:lang w:val="id-ID"/>
              </w:rPr>
              <w:t xml:space="preserve">pending</w:t>
            </w:r>
          </w:p>
        </w:tc>
        <w:tc>
          <w:tcPr>
            <w:tcW w:w="2150" w:type="dxa"/>
          </w:tcPr>
          <w:p>
            <w:pPr>
              <w:spacing w:before="20" w:after="20" w:line="240" w:lineRule="auto"/>
              <w:jc w:val="left"/>
            </w:pPr>
            <w:r>
              <w:rPr>
                <w:sz w:val="20"/>
                <w:szCs w:val="20"/>
                <w:lang w:val="id-ID"/>
              </w:rPr>
              <w:t xml:space="preserve">Pengodean tidak sesuai, berkas tidak lengkap, dan beda diagnosis DPJP–verifikator</w:t>
            </w:r>
          </w:p>
        </w:tc>
        <w:tc>
          <w:tcPr>
            <w:tcW w:w="2106" w:type="dxa"/>
          </w:tcPr>
          <w:p>
            <w:pPr>
              <w:spacing w:before="20" w:after="20" w:line="240" w:lineRule="auto"/>
              <w:jc w:val="left"/>
            </w:pPr>
            <w:r>
              <w:rPr>
                <w:sz w:val="20"/>
                <w:szCs w:val="20"/>
                <w:lang w:val="id-ID"/>
              </w:rPr>
              <w:t xml:space="preserve">Ringkasan sekunder; jenis ketidaksesuaian antardokumen tidak dirinci</w:t>
            </w:r>
          </w:p>
        </w:tc>
      </w:tr>
      <w:tr>
        <w:trPr>
          <w:cantSplit/>
        </w:trPr>
        <w:tc>
          <w:tcPr>
            <w:tcW w:w="1750" w:type="dxa"/>
          </w:tcPr>
          <w:p>
            <w:pPr>
              <w:spacing w:before="20" w:after="20" w:line="240" w:lineRule="auto"/>
              <w:jc w:val="left"/>
            </w:pPr>
            <w:r>
              <w:rPr>
                <w:sz w:val="20"/>
                <w:szCs w:val="20"/>
                <w:lang w:val="id-ID"/>
              </w:rPr>
              <w:t xml:space="preserve">Dietrich &amp; Stubbert (2026)</w:t>
            </w:r>
          </w:p>
        </w:tc>
        <w:tc>
          <w:tcPr>
            <w:tcW w:w="2300" w:type="dxa"/>
          </w:tcPr>
          <w:p>
            <w:pPr>
              <w:spacing w:before="20" w:after="20" w:line="240" w:lineRule="auto"/>
              <w:jc w:val="left"/>
            </w:pPr>
            <w:r>
              <w:rPr>
                <w:sz w:val="20"/>
                <w:szCs w:val="20"/>
                <w:lang w:val="id-ID"/>
              </w:rPr>
              <w:t xml:space="preserve">600 catatan pemulangan IGD (MIMIC-IV-ED); empat LLM</w:t>
            </w:r>
          </w:p>
        </w:tc>
        <w:tc>
          <w:tcPr>
            <w:tcW w:w="2150" w:type="dxa"/>
          </w:tcPr>
          <w:p>
            <w:pPr>
              <w:spacing w:before="20" w:after="20" w:line="240" w:lineRule="auto"/>
              <w:jc w:val="left"/>
            </w:pPr>
            <w:r>
              <w:rPr>
                <w:sz w:val="20"/>
                <w:szCs w:val="20"/>
                <w:lang w:val="id-ID"/>
              </w:rPr>
              <w:t xml:space="preserve">Akurasi 93,2–94,2%; temuan klinis tersulit</w:t>
            </w:r>
          </w:p>
        </w:tc>
        <w:tc>
          <w:tcPr>
            <w:tcW w:w="2106" w:type="dxa"/>
          </w:tcPr>
          <w:p>
            <w:pPr>
              <w:spacing w:before="20" w:after="20" w:line="240" w:lineRule="auto"/>
              <w:jc w:val="left"/>
            </w:pPr>
            <w:r>
              <w:rPr>
                <w:sz w:val="20"/>
                <w:szCs w:val="20"/>
                <w:lang w:val="id-ID"/>
              </w:rPr>
              <w:t xml:space="preserve">500 dari 600 catatan bersisipan kesalahan; satu dokumen; tanpa pedoman</w:t>
            </w:r>
          </w:p>
        </w:tc>
      </w:tr>
      <w:tr>
        <w:trPr>
          <w:cantSplit/>
        </w:trPr>
        <w:tc>
          <w:tcPr>
            <w:tcW w:w="1750" w:type="dxa"/>
          </w:tcPr>
          <w:p>
            <w:pPr>
              <w:spacing w:before="20" w:after="20" w:line="240" w:lineRule="auto"/>
              <w:jc w:val="left"/>
            </w:pPr>
            <w:r>
              <w:rPr>
                <w:sz w:val="20"/>
                <w:szCs w:val="20"/>
                <w:lang w:val="id-ID"/>
              </w:rPr>
              <w:t xml:space="preserve">Skrabic dkk. (2026)</w:t>
            </w:r>
          </w:p>
        </w:tc>
        <w:tc>
          <w:tcPr>
            <w:tcW w:w="2300" w:type="dxa"/>
          </w:tcPr>
          <w:p>
            <w:pPr>
              <w:spacing w:before="20" w:after="20" w:line="240" w:lineRule="auto"/>
              <w:jc w:val="left"/>
            </w:pPr>
            <w:r>
              <w:rPr>
                <w:sz w:val="20"/>
                <w:szCs w:val="20"/>
                <w:lang w:val="id-ID"/>
              </w:rPr>
              <w:t xml:space="preserve">102 laporan IGD; tiga model penalaran vs tiga dokter</w:t>
            </w:r>
          </w:p>
        </w:tc>
        <w:tc>
          <w:tcPr>
            <w:tcW w:w="2150" w:type="dxa"/>
          </w:tcPr>
          <w:p>
            <w:pPr>
              <w:spacing w:before="20" w:after="20" w:line="240" w:lineRule="auto"/>
              <w:jc w:val="left"/>
            </w:pPr>
            <w:r>
              <w:rPr>
                <w:sz w:val="20"/>
                <w:szCs w:val="20"/>
                <w:lang w:val="id-ID"/>
              </w:rPr>
              <w:t xml:space="preserve">Lokasi benar 65,7–79,2% vs dokter 48,0%</w:t>
            </w:r>
          </w:p>
        </w:tc>
        <w:tc>
          <w:tcPr>
            <w:tcW w:w="2106" w:type="dxa"/>
          </w:tcPr>
          <w:p>
            <w:pPr>
              <w:spacing w:before="20" w:after="20" w:line="240" w:lineRule="auto"/>
              <w:jc w:val="left"/>
            </w:pPr>
            <w:r>
              <w:rPr>
                <w:sz w:val="20"/>
                <w:szCs w:val="20"/>
                <w:lang w:val="id-ID"/>
              </w:rPr>
              <w:t xml:space="preserve">Tanpa catatan bebas kesalahan, sehingga positif palsu tidak terukur</w:t>
            </w:r>
          </w:p>
        </w:tc>
      </w:tr>
      <w:tr>
        <w:trPr>
          <w:cantSplit/>
        </w:trPr>
        <w:tc>
          <w:tcPr>
            <w:tcW w:w="1750" w:type="dxa"/>
          </w:tcPr>
          <w:p>
            <w:pPr>
              <w:spacing w:before="20" w:after="20" w:line="240" w:lineRule="auto"/>
              <w:jc w:val="left"/>
            </w:pPr>
            <w:r>
              <w:rPr>
                <w:sz w:val="20"/>
                <w:szCs w:val="20"/>
                <w:lang w:val="id-ID"/>
              </w:rPr>
              <w:t xml:space="preserve">Jaganathan dkk. (2025)</w:t>
            </w:r>
          </w:p>
        </w:tc>
        <w:tc>
          <w:tcPr>
            <w:tcW w:w="2300" w:type="dxa"/>
          </w:tcPr>
          <w:p>
            <w:pPr>
              <w:spacing w:before="20" w:after="20" w:line="240" w:lineRule="auto"/>
              <w:jc w:val="left"/>
            </w:pPr>
            <w:r>
              <w:rPr>
                <w:sz w:val="20"/>
                <w:szCs w:val="20"/>
                <w:lang w:val="id-ID"/>
              </w:rPr>
              <w:t xml:space="preserve">3.372 catatan MIMIC-III; pengujian metamorfik pada model pengodean ICD</w:t>
            </w:r>
          </w:p>
        </w:tc>
        <w:tc>
          <w:tcPr>
            <w:tcW w:w="2150" w:type="dxa"/>
          </w:tcPr>
          <w:p>
            <w:pPr>
              <w:spacing w:before="20" w:after="20" w:line="240" w:lineRule="auto"/>
              <w:jc w:val="left"/>
            </w:pPr>
            <w:r>
              <w:rPr>
                <w:sz w:val="20"/>
                <w:szCs w:val="20"/>
                <w:lang w:val="id-ID"/>
              </w:rPr>
              <w:t xml:space="preserve">Lima kode teratas berubah pada 70–81% catatan</w:t>
            </w:r>
          </w:p>
        </w:tc>
        <w:tc>
          <w:tcPr>
            <w:tcW w:w="2106" w:type="dxa"/>
          </w:tcPr>
          <w:p>
            <w:pPr>
              <w:spacing w:before="20" w:after="20" w:line="240" w:lineRule="auto"/>
              <w:jc w:val="left"/>
            </w:pPr>
            <w:r>
              <w:rPr>
                <w:sz w:val="20"/>
                <w:szCs w:val="20"/>
                <w:lang w:val="id-ID"/>
              </w:rPr>
              <w:t xml:space="preserve">Satu model; mengukur stabilitas, bukan kebenaran</w:t>
            </w:r>
          </w:p>
        </w:tc>
      </w:tr>
      <w:tr>
        <w:trPr>
          <w:cantSplit/>
        </w:trPr>
        <w:tc>
          <w:tcPr>
            <w:tcW w:w="1750" w:type="dxa"/>
          </w:tcPr>
          <w:p>
            <w:pPr>
              <w:spacing w:before="20" w:after="20" w:line="240" w:lineRule="auto"/>
              <w:jc w:val="left"/>
            </w:pPr>
            <w:r>
              <w:rPr>
                <w:sz w:val="20"/>
                <w:szCs w:val="20"/>
                <w:lang w:val="id-ID"/>
              </w:rPr>
              <w:t xml:space="preserve">Wei dkk. (2026)</w:t>
            </w:r>
          </w:p>
        </w:tc>
        <w:tc>
          <w:tcPr>
            <w:tcW w:w="2300" w:type="dxa"/>
          </w:tcPr>
          <w:p>
            <w:pPr>
              <w:spacing w:before="20" w:after="20" w:line="240" w:lineRule="auto"/>
              <w:jc w:val="left"/>
            </w:pPr>
            <w:r>
              <w:rPr>
                <w:sz w:val="20"/>
                <w:szCs w:val="20"/>
                <w:lang w:val="id-ID"/>
              </w:rPr>
              <w:t xml:space="preserve">Disambiguasi singkatan; dataset CASI berbahasa Inggris</w:t>
            </w:r>
          </w:p>
        </w:tc>
        <w:tc>
          <w:tcPr>
            <w:tcW w:w="2150" w:type="dxa"/>
          </w:tcPr>
          <w:p>
            <w:pPr>
              <w:spacing w:before="20" w:after="20" w:line="240" w:lineRule="auto"/>
              <w:jc w:val="left"/>
            </w:pPr>
            <w:r>
              <w:rPr>
                <w:sz w:val="20"/>
                <w:szCs w:val="20"/>
                <w:lang w:val="id-ID"/>
              </w:rPr>
              <w:t xml:space="preserve">Akurasi 0,9228 (bersih) dan 0,7585 (asli)</w:t>
            </w:r>
          </w:p>
        </w:tc>
        <w:tc>
          <w:tcPr>
            <w:tcW w:w="2106" w:type="dxa"/>
          </w:tcPr>
          <w:p>
            <w:pPr>
              <w:spacing w:before="20" w:after="20" w:line="240" w:lineRule="auto"/>
              <w:jc w:val="left"/>
            </w:pPr>
            <w:r>
              <w:rPr>
                <w:sz w:val="20"/>
                <w:szCs w:val="20"/>
                <w:lang w:val="id-ID"/>
              </w:rPr>
              <w:t xml:space="preserve">Satu tolok ukur Inggris; bergantung pada inventori makna</w:t>
            </w:r>
          </w:p>
        </w:tc>
      </w:tr>
      <w:tr>
        <w:trPr>
          <w:cantSplit/>
        </w:trPr>
        <w:tc>
          <w:tcPr>
            <w:tcW w:w="1750" w:type="dxa"/>
          </w:tcPr>
          <w:p>
            <w:pPr>
              <w:spacing w:before="20" w:after="20" w:line="240" w:lineRule="auto"/>
              <w:jc w:val="left"/>
            </w:pPr>
            <w:r>
              <w:rPr>
                <w:sz w:val="20"/>
                <w:szCs w:val="20"/>
                <w:lang w:val="id-ID"/>
              </w:rPr>
              <w:t xml:space="preserve">Ijadi Maghsoodi dkk. (2026); Domingues (2026)</w:t>
            </w:r>
          </w:p>
        </w:tc>
        <w:tc>
          <w:tcPr>
            <w:tcW w:w="2300" w:type="dxa"/>
          </w:tcPr>
          <w:p>
            <w:pPr>
              <w:spacing w:before="20" w:after="20" w:line="240" w:lineRule="auto"/>
              <w:jc w:val="left"/>
            </w:pPr>
            <w:r>
              <w:rPr>
                <w:sz w:val="20"/>
                <w:szCs w:val="20"/>
                <w:lang w:val="id-ID"/>
              </w:rPr>
              <w:t xml:space="preserve">Tinjauan naratif hibrida; sistem berbasis aturan untuk onkologi prostat</w:t>
            </w:r>
          </w:p>
        </w:tc>
        <w:tc>
          <w:tcPr>
            <w:tcW w:w="2150" w:type="dxa"/>
          </w:tcPr>
          <w:p>
            <w:pPr>
              <w:spacing w:before="20" w:after="20" w:line="240" w:lineRule="auto"/>
              <w:jc w:val="left"/>
            </w:pPr>
            <w:r>
              <w:rPr>
                <w:sz w:val="20"/>
                <w:szCs w:val="20"/>
                <w:lang w:val="id-ID"/>
              </w:rPr>
              <w:t xml:space="preserve">Hibrida paling kredibel pada validasi dokumentasi; bukti prospektif jarang</w:t>
            </w:r>
          </w:p>
        </w:tc>
        <w:tc>
          <w:tcPr>
            <w:tcW w:w="2106" w:type="dxa"/>
          </w:tcPr>
          <w:p>
            <w:pPr>
              <w:spacing w:before="20" w:after="20" w:line="240" w:lineRule="auto"/>
              <w:jc w:val="left"/>
            </w:pPr>
            <w:r>
              <w:rPr>
                <w:sz w:val="20"/>
                <w:szCs w:val="20"/>
                <w:lang w:val="id-ID"/>
              </w:rPr>
              <w:t xml:space="preserve">Konseptual; yang diuji hanya aturan; tanpa perbandingan aturan vs aturan + AI</w:t>
            </w:r>
          </w:p>
        </w:tc>
      </w:tr>
      <w:tr>
        <w:trPr>
          <w:cantSplit/>
        </w:trPr>
        <w:tc>
          <w:tcPr>
            <w:tcW w:w="1750" w:type="dxa"/>
          </w:tcPr>
          <w:p>
            <w:pPr>
              <w:spacing w:before="20" w:after="20" w:line="240" w:lineRule="auto"/>
              <w:jc w:val="left"/>
            </w:pPr>
            <w:r>
              <w:rPr>
                <w:sz w:val="20"/>
                <w:szCs w:val="20"/>
                <w:lang w:val="id-ID"/>
              </w:rPr>
              <w:t xml:space="preserve">Zhang dkk. (2026)</w:t>
            </w:r>
          </w:p>
        </w:tc>
        <w:tc>
          <w:tcPr>
            <w:tcW w:w="2300" w:type="dxa"/>
          </w:tcPr>
          <w:p>
            <w:pPr>
              <w:spacing w:before="20" w:after="20" w:line="240" w:lineRule="auto"/>
              <w:jc w:val="left"/>
            </w:pPr>
            <w:r>
              <w:rPr>
                <w:sz w:val="20"/>
                <w:szCs w:val="20"/>
                <w:lang w:val="id-ID"/>
              </w:rPr>
              <w:t xml:space="preserve">RAG pada catatan perawatan lansia; Llama 3.1 8B</w:t>
            </w:r>
          </w:p>
        </w:tc>
        <w:tc>
          <w:tcPr>
            <w:tcW w:w="2150" w:type="dxa"/>
          </w:tcPr>
          <w:p>
            <w:pPr>
              <w:spacing w:before="20" w:after="20" w:line="240" w:lineRule="auto"/>
              <w:jc w:val="left"/>
            </w:pPr>
            <w:r>
              <w:rPr>
                <w:sz w:val="20"/>
                <w:szCs w:val="20"/>
                <w:lang w:val="id-ID"/>
              </w:rPr>
              <w:t xml:space="preserve">F1 jawaban 0,702/0,722 menjadi 0,946/0,953</w:t>
            </w:r>
          </w:p>
        </w:tc>
        <w:tc>
          <w:tcPr>
            <w:tcW w:w="2106" w:type="dxa"/>
          </w:tcPr>
          <w:p>
            <w:pPr>
              <w:spacing w:before="20" w:after="20" w:line="240" w:lineRule="auto"/>
              <w:jc w:val="left"/>
            </w:pPr>
            <w:r>
              <w:rPr>
                <w:sz w:val="20"/>
                <w:szCs w:val="20"/>
                <w:lang w:val="id-ID"/>
              </w:rPr>
              <w:t xml:space="preserve">Dua tugas ekstraksi berbasis skema; tanpa penalaran temporal</w:t>
            </w:r>
          </w:p>
        </w:tc>
      </w:tr>
      <w:tr>
        <w:trPr>
          <w:cantSplit/>
        </w:trPr>
        <w:tc>
          <w:tcPr>
            <w:tcW w:w="1750" w:type="dxa"/>
          </w:tcPr>
          <w:p>
            <w:pPr>
              <w:spacing w:before="20" w:after="20" w:line="240" w:lineRule="auto"/>
              <w:jc w:val="left"/>
            </w:pPr>
            <w:r>
              <w:rPr>
                <w:sz w:val="20"/>
                <w:szCs w:val="20"/>
                <w:lang w:val="id-ID"/>
              </w:rPr>
              <w:t xml:space="preserve">Zeba dkk. (2026)</w:t>
            </w:r>
          </w:p>
        </w:tc>
        <w:tc>
          <w:tcPr>
            <w:tcW w:w="2300" w:type="dxa"/>
          </w:tcPr>
          <w:p>
            <w:pPr>
              <w:spacing w:before="20" w:after="20" w:line="240" w:lineRule="auto"/>
              <w:jc w:val="left"/>
            </w:pPr>
            <w:r>
              <w:rPr>
                <w:sz w:val="20"/>
                <w:szCs w:val="20"/>
                <w:lang w:val="id-ID"/>
              </w:rPr>
              <w:t xml:space="preserve">Pemeriksa fakta tanpa LLM; 3.786 proposisi MIMIC-III</w:t>
            </w:r>
          </w:p>
        </w:tc>
        <w:tc>
          <w:tcPr>
            <w:tcW w:w="2150" w:type="dxa"/>
          </w:tcPr>
          <w:p>
            <w:pPr>
              <w:spacing w:before="20" w:after="20" w:line="240" w:lineRule="auto"/>
              <w:jc w:val="left"/>
            </w:pPr>
            <w:r>
              <w:rPr>
                <w:sz w:val="20"/>
                <w:szCs w:val="20"/>
                <w:lang w:val="id-ID"/>
              </w:rPr>
              <w:t xml:space="preserve">Presisi 0,8904; </w:t>
            </w:r>
            <w:r>
              <w:rPr>
                <w:i/>
                <w:sz w:val="20"/>
                <w:szCs w:val="20"/>
                <w:lang w:val="id-ID"/>
              </w:rPr>
              <w:t xml:space="preserve">recall</w:t>
            </w:r>
            <w:r>
              <w:rPr>
                <w:sz w:val="20"/>
                <w:szCs w:val="20"/>
                <w:lang w:val="id-ID"/>
              </w:rPr>
              <w:t xml:space="preserve"> 0,8234; F1 0,8556</w:t>
            </w:r>
          </w:p>
        </w:tc>
        <w:tc>
          <w:tcPr>
            <w:tcW w:w="2106" w:type="dxa"/>
          </w:tcPr>
          <w:p>
            <w:pPr>
              <w:spacing w:before="20" w:after="20" w:line="240" w:lineRule="auto"/>
              <w:jc w:val="left"/>
            </w:pPr>
            <w:r>
              <w:rPr>
                <w:sz w:val="20"/>
                <w:szCs w:val="20"/>
                <w:lang w:val="id-ID"/>
              </w:rPr>
              <w:t xml:space="preserve">Bahasa Inggris, ICU; vonis biner</w:t>
            </w:r>
          </w:p>
        </w:tc>
      </w:tr>
      <w:tr>
        <w:trPr>
          <w:cantSplit/>
        </w:trPr>
        <w:tc>
          <w:tcPr>
            <w:tcW w:w="1750" w:type="dxa"/>
          </w:tcPr>
          <w:p>
            <w:pPr>
              <w:spacing w:before="20" w:after="20" w:line="240" w:lineRule="auto"/>
              <w:jc w:val="left"/>
            </w:pPr>
            <w:r>
              <w:rPr>
                <w:sz w:val="20"/>
                <w:szCs w:val="20"/>
                <w:lang w:val="id-ID"/>
              </w:rPr>
              <w:t xml:space="preserve">Azzam dkk. (2026)</w:t>
            </w:r>
          </w:p>
        </w:tc>
        <w:tc>
          <w:tcPr>
            <w:tcW w:w="2300" w:type="dxa"/>
          </w:tcPr>
          <w:p>
            <w:pPr>
              <w:spacing w:before="20" w:after="20" w:line="240" w:lineRule="auto"/>
              <w:jc w:val="left"/>
            </w:pPr>
            <w:r>
              <w:rPr>
                <w:sz w:val="20"/>
                <w:szCs w:val="20"/>
                <w:lang w:val="id-ID"/>
              </w:rPr>
              <w:t xml:space="preserve">Anonimisasi oleh LLM lokal; data sintetis dan MIMIC-III</w:t>
            </w:r>
          </w:p>
        </w:tc>
        <w:tc>
          <w:tcPr>
            <w:tcW w:w="2150" w:type="dxa"/>
          </w:tcPr>
          <w:p>
            <w:pPr>
              <w:spacing w:before="20" w:after="20" w:line="240" w:lineRule="auto"/>
              <w:jc w:val="left"/>
            </w:pPr>
            <w:r>
              <w:rPr>
                <w:sz w:val="20"/>
                <w:szCs w:val="20"/>
                <w:lang w:val="id-ID"/>
              </w:rPr>
              <w:t xml:space="preserve">Presisi 1,000 dan </w:t>
            </w:r>
            <w:r>
              <w:rPr>
                <w:i/>
                <w:sz w:val="20"/>
                <w:szCs w:val="20"/>
                <w:lang w:val="id-ID"/>
              </w:rPr>
              <w:t xml:space="preserve">recall</w:t>
            </w:r>
            <w:r>
              <w:rPr>
                <w:sz w:val="20"/>
                <w:szCs w:val="20"/>
                <w:lang w:val="id-ID"/>
              </w:rPr>
              <w:t xml:space="preserve"> 0,936 (sintetis)</w:t>
            </w:r>
          </w:p>
        </w:tc>
        <w:tc>
          <w:tcPr>
            <w:tcW w:w="2106" w:type="dxa"/>
          </w:tcPr>
          <w:p>
            <w:pPr>
              <w:spacing w:before="20" w:after="20" w:line="240" w:lineRule="auto"/>
              <w:jc w:val="left"/>
            </w:pPr>
            <w:r>
              <w:rPr>
                <w:sz w:val="20"/>
                <w:szCs w:val="20"/>
                <w:lang w:val="id-ID"/>
              </w:rPr>
              <w:t xml:space="preserve">Hanya bahasa Inggris; data sintetis atau sudah diredaksi</w:t>
            </w:r>
          </w:p>
        </w:tc>
      </w:tr>
      <w:tr>
        <w:trPr>
          <w:cantSplit/>
        </w:trPr>
        <w:tc>
          <w:tcPr>
            <w:tcW w:w="1750" w:type="dxa"/>
          </w:tcPr>
          <w:p>
            <w:pPr>
              <w:spacing w:before="20" w:after="20" w:line="240" w:lineRule="auto"/>
              <w:jc w:val="left"/>
            </w:pPr>
            <w:r>
              <w:rPr>
                <w:sz w:val="20"/>
                <w:szCs w:val="20"/>
                <w:lang w:val="id-ID"/>
              </w:rPr>
              <w:t xml:space="preserve">van Koevorden dkk. (2026)</w:t>
            </w:r>
          </w:p>
        </w:tc>
        <w:tc>
          <w:tcPr>
            <w:tcW w:w="2300" w:type="dxa"/>
          </w:tcPr>
          <w:p>
            <w:pPr>
              <w:spacing w:before="20" w:after="20" w:line="240" w:lineRule="auto"/>
              <w:jc w:val="left"/>
            </w:pPr>
            <w:r>
              <w:rPr>
                <w:sz w:val="20"/>
                <w:szCs w:val="20"/>
                <w:lang w:val="id-ID"/>
              </w:rPr>
              <w:t xml:space="preserve">Ekstraksi LLM vs konsensus dua dokter; 60 pasien</w:t>
            </w:r>
          </w:p>
        </w:tc>
        <w:tc>
          <w:tcPr>
            <w:tcW w:w="2150" w:type="dxa"/>
          </w:tcPr>
          <w:p>
            <w:pPr>
              <w:spacing w:before="20" w:after="20" w:line="240" w:lineRule="auto"/>
              <w:jc w:val="left"/>
            </w:pPr>
            <w:r>
              <w:rPr>
                <w:sz w:val="20"/>
                <w:szCs w:val="20"/>
                <w:lang w:val="id-ID"/>
              </w:rPr>
              <w:t xml:space="preserve">Akurasi 74–90%; beda dokter–dokter 29,0%</w:t>
            </w:r>
          </w:p>
        </w:tc>
        <w:tc>
          <w:tcPr>
            <w:tcW w:w="2106" w:type="dxa"/>
          </w:tcPr>
          <w:p>
            <w:pPr>
              <w:spacing w:before="20" w:after="20" w:line="240" w:lineRule="auto"/>
              <w:jc w:val="left"/>
            </w:pPr>
            <w:r>
              <w:rPr>
                <w:sz w:val="20"/>
                <w:szCs w:val="20"/>
                <w:lang w:val="id-ID"/>
              </w:rPr>
              <w:t xml:space="preserve">Ekstraksi nilai; bahasa Belanda; satu pusat</w:t>
            </w:r>
          </w:p>
        </w:tc>
      </w:tr>
    </w:tbl>
    <w:p>
      <w:pPr>
        <w:spacing w:before="0" w:after="0" w:line="120" w:lineRule="exact"/>
      </w:pPr>
    </w:p>
    <w:p>
      <w:pPr>
        <w:pStyle w:val="Heading3"/>
      </w:pPr>
      <w:r>
        <w:t xml:space="preserve">Celah Penelitian</w:t>
      </w:r>
    </w:p>
    <w:p>
      <w:pPr>
        <w:rPr>
          <w:lang w:val="id-ID"/>
        </w:rPr>
      </w:pPr>
      <w:r>
        <w:rPr>
          <w:lang w:val="id-ID"/>
        </w:rPr>
        <w:t xml:space="preserve">Dari 36 sumber yang dirujuk dalam bab ini, empat celah berulang. Pertama, tidak ada studi NLP atau AI yang menguji teks klinis berbahasa Indonesia, termasuk singkatan dan pengenal lokalnya (subbab II.2, II.3, II.6); studi pembelajaran mesin pada data Indonesia dalam sumber ini, yaitu Barsasella dkk. (2021), memakai variabel klaim terstruktur (II.1). Kedua, tidak ada yang memeriksa kesesuaian antardokumen dalam satu episode rawat inap sebelum klaim diajukan, misalnya membandingkan catatan perkembangan harian dengan ringkasan akhir atau memakai pedoman sebagai dasar temuan (II.1, II.3, II.5). Ketiga, di antara sumber yang dibaca, tidak ada yang membandingkan konfigurasi aturan saja dengan aturan ditambah AI/NLP berbasis RAG pada tugas ini, dan ketepatan kutipan bukti belum diperiksa secara otomatis (II.4, II.5). Keempat, acuan penilaian untuk audit, yaitu unit temuan, perlakuan kasus ambigu, dan ukuran kesepakatan penilai, belum dirancang pada sumber mana pun, padahal ketidaksepakatan antarpenilai dapat mencapai 29,0% pada ekstraksi klinis (II.7). Pernyataan "tidak ada" ini berlaku pada 36 sumber tersebut, bukan pada seluruh literatur. Penelitian ini mengisi celah itu dengan menguji audit dokumentasi rawat inap kebidanan dan anak berbahasa Indonesia terhadap pembanding,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Barsasella, D., Gupta, S., Malwade, S., Aminin, Susanti, Y., Tirmadi, B., Mutamakin, A., Jonnagaddala, J., &amp; Syed-Abdul, S. (2021). Predicting length of stay and mortality among hospitalized patients with type 2 diabetes mellitus and hypertension. </w:t>
      </w:r>
      <w:r>
        <w:rPr>
          <w:i/>
          <w:noProof/>
          <w:lang w:val="id-ID"/>
        </w:rPr>
        <w:t xml:space="preserve">International Journal of Medical Informatics, 154</w:t>
      </w:r>
      <w:r>
        <w:rPr>
          <w:noProof/>
          <w:lang w:val="id-ID"/>
        </w:rPr>
        <w:t xml:space="preserve">, 104569.</w:t>
      </w:r>
    </w:p>
    <w:p>
      <w:pPr>
        <w:spacing w:line="240" w:lineRule="auto"/>
        <w:ind w:left="720" w:hanging="720"/>
        <w:rPr>
          <w:noProof/>
          <w:lang w:val="id-ID" w:eastAsia="en-US"/>
        </w:rPr>
      </w:pPr>
      <w:r>
        <w:rPr>
          <w:noProof/>
          <w:lang w:val="id-ID"/>
        </w:rPr>
        <w:t xml:space="preserve">Becker, M., Krumscheid, M., Knobelspies, A., Seydel, M., Richter-Pechanski, P., &amp; Karl, A. (2025). Extending CARDIO:DE: Additional annotation guidelines and evaluation of NLP approaches for clinical applications. </w:t>
      </w:r>
      <w:r>
        <w:rPr>
          <w:i/>
          <w:noProof/>
          <w:lang w:val="id-ID"/>
        </w:rPr>
        <w:t xml:space="preserve">International Journal of Medical Informatics, 203</w:t>
      </w:r>
      <w:r>
        <w:rPr>
          <w:noProof/>
          <w:lang w:val="id-ID"/>
        </w:rPr>
        <w:t xml:space="preserve">, 106009.</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Mehri, T., Nadalini, T., Hoekman, A. H., van der Laan, T. P., Kagialari, K., Wagner, R. K., Doornberg, J. N., Schoonbeek, R. C., &amp; Bootsma-Robroeks, C. M. H. H. T. (2026). Assessing the quality of AI-generated and physician-written discharge summaries: Evaluation of an EHR-integrated tool in a Dutch academic hospital. </w:t>
      </w:r>
      <w:r>
        <w:rPr>
          <w:i/>
          <w:noProof/>
          <w:lang w:val="id-ID"/>
        </w:rPr>
        <w:t xml:space="preserve">eBioMedicine, 127</w:t>
      </w:r>
      <w:r>
        <w:rPr>
          <w:noProof/>
          <w:lang w:val="id-ID"/>
        </w:rPr>
        <w:t xml:space="preserve">, 106247.</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Schwieger, A., Angst, K., de Bardeci, M., Burrer, A., Cathomas, F., Ferrea, S., Grätz, F., Knorr, M., Kronenberg, G., Spiller, T., Troi, D., Seifritz, E., Weber, S., &amp; Olbrich, S. (2024). Large language models can support generation of standardized discharge summaries: A retrospective study utilizing ChatGPT-4 and electronic health records. </w:t>
      </w:r>
      <w:r>
        <w:rPr>
          <w:i/>
          <w:noProof/>
          <w:lang w:val="id-ID"/>
        </w:rPr>
        <w:t xml:space="preserve">International Journal of Medical Informatics, 192</w:t>
      </w:r>
      <w:r>
        <w:rPr>
          <w:noProof/>
          <w:lang w:val="id-ID"/>
        </w:rPr>
        <w:t xml:space="preserve">, 105654.</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i/>
          <w:noProof/>
          <w:lang w:val="id-ID"/>
        </w:rPr>
        <w:t xml:space="preserve">ESMO Real World Data and Digital Oncology, 12</w:t>
      </w:r>
      <w:r>
        <w:rPr>
          <w:noProof/>
          <w:lang w:val="id-ID"/>
        </w:rPr>
        <w:t xml:space="preserve">, 100718.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