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ne="http://schemas.microsoft.com/office/word/2006/wordml" xmlns:wpg="http://schemas.microsoft.com/office/word/2010/wordprocessingGroup" xmlns:wps="http://schemas.microsoft.com/office/word/2010/wordprocessingShape" mc:Ignorable="w14 w15 w16se w16cid w16 w16cex w16sdtdh wp14">
  <w:body>
    <w:p w14:paraId="0869CB1C" w14:textId="6E783FDC">
      <w:pPr>
        <w:spacing w:before="0" w:after="0"/>
        <w:jc w:val="center"/>
        <w:rPr>
          <w:b/>
          <w:sz w:val="28"/>
          <w:szCs w:val="28"/>
        </w:rPr>
      </w:pPr>
      <w:bookmarkStart w:id="0" w:name="_Toc505219814"/>
      <w:r>
        <w:rPr>
          <w:rFonts w:ascii="Times New Roman" w:hAnsi="Times New Roman" w:eastAsia="Times New Roman" w:cs="Times New Roman"/>
          <w:b/>
          <w:bCs/>
          <w:sz w:val="28"/>
          <w:szCs w:val="28"/>
        </w:rPr>
        <w:t>PENGEMBANGAN DAN EVALUASI KOMPONEN ANALISIS SEMANTIK UNTUK PEMERIKSAAN KONSISTENSI DOKUMENTASI KLINIS DALAM MENDUKUNG KESIAPAN KLAIM BPJS</w:t>
      </w:r>
      <w:bookmarkEnd w:id="0"/>
    </w:p>
    <w:p w14:paraId="1DFF7CED" w14:textId="77777777">
      <w:pPr>
        <w:spacing w:before="0" w:after="0"/>
        <w:jc w:val="both"/>
      </w:pPr>
    </w:p>
    <w:p w14:paraId="6D68558E" w14:textId="77777777">
      <w:pPr>
        <w:spacing w:before="0" w:after="0"/>
        <w:jc w:val="both"/>
      </w:pPr>
    </w:p>
    <w:p w14:paraId="56A71109" w14:textId="25BB2577">
      <w:pPr>
        <w:spacing w:before="0" w:after="0"/>
        <w:jc w:val="center"/>
        <w:rPr>
          <w:b/>
          <w:color w:val="548DD4" w:themeColor="text2" w:themeTint="99"/>
          <w:sz w:val="28"/>
          <w:szCs w:val="28"/>
        </w:rPr>
      </w:pPr>
      <w:r>
        <w:rPr>
          <w:rFonts w:ascii="Times New Roman" w:hAnsi="Times New Roman" w:eastAsia="Times New Roman" w:cs="Times New Roman"/>
          <w:b/>
          <w:bCs/>
          <w:sz w:val="28"/>
          <w:szCs w:val="28"/>
        </w:rPr>
        <w:t>Proposal Tugas Akhir - Capstone</w:t>
      </w:r>
    </w:p>
    <w:p w14:paraId="62456833" w14:textId="239BD6FC">
      <w:pPr>
        <w:spacing w:before="0" w:after="0"/>
        <w:jc w:val="center"/>
        <w:rPr>
          <w:b/>
          <w:sz w:val="28"/>
          <w:szCs w:val="28"/>
        </w:rPr>
      </w:pPr>
      <w:r>
        <w:rPr>
          <w:rFonts w:ascii="Times New Roman" w:hAnsi="Times New Roman" w:eastAsia="Times New Roman" w:cs="Times New Roman"/>
          <w:b/>
          <w:bCs/>
          <w:sz w:val="28"/>
          <w:szCs w:val="28"/>
        </w:rPr>
        <w:t xml:space="preserve">Perancangan Antarmuka </w:t>
      </w:r>
      <w:r>
        <w:rPr>
          <w:rFonts w:ascii="Times New Roman" w:hAnsi="Times New Roman" w:eastAsia="Times New Roman" w:cs="Times New Roman"/>
          <w:b/>
          <w:bCs/>
          <w:i/>
          <w:iCs/>
          <w:sz w:val="28"/>
          <w:szCs w:val="28"/>
        </w:rPr>
        <w:t>User-Centered</w:t>
      </w:r>
      <w:r>
        <w:rPr>
          <w:rFonts w:ascii="Times New Roman" w:hAnsi="Times New Roman" w:eastAsia="Times New Roman" w:cs="Times New Roman"/>
          <w:b/>
          <w:bCs/>
          <w:sz w:val="28"/>
          <w:szCs w:val="28"/>
        </w:rPr>
        <w:t xml:space="preserve"> untuk Sistem Pemeriksaan Resume Medis dalam Mendukung Kesiapan Klaim BPJS</w:t>
      </w:r>
    </w:p>
    <w:p w14:paraId="1BBB55E1" w14:textId="77777777">
      <w:pPr>
        <w:spacing w:before="0" w:after="0"/>
        <w:jc w:val="both"/>
      </w:pPr>
    </w:p>
    <w:p w14:paraId="7CDA5B0C" w14:textId="77777777">
      <w:pPr>
        <w:spacing w:before="0" w:after="0"/>
        <w:jc w:val="center"/>
        <w:rPr>
          <w:b/>
        </w:rPr>
      </w:pPr>
      <w:r>
        <w:rPr>
          <w:rFonts w:ascii="Times New Roman" w:hAnsi="Times New Roman" w:eastAsia="Times New Roman" w:cs="Times New Roman"/>
          <w:b/>
          <w:bCs/>
          <w:sz w:val="24"/>
          <w:szCs w:val="24"/>
        </w:rPr>
        <w:t>Disusun sebagai syarat kelulusan mata kuliah</w:t>
      </w:r>
    </w:p>
    <w:p w14:paraId="5FE3D20B" w14:textId="77777777">
      <w:pPr>
        <w:spacing w:before="0" w:after="0"/>
        <w:jc w:val="center"/>
        <w:rPr>
          <w:b/>
        </w:rPr>
      </w:pPr>
      <w:r>
        <w:rPr>
          <w:rFonts w:ascii="Times New Roman" w:hAnsi="Times New Roman" w:eastAsia="Times New Roman" w:cs="Times New Roman"/>
          <w:b/>
          <w:bCs/>
          <w:sz w:val="24"/>
          <w:szCs w:val="24"/>
        </w:rPr>
        <w:t>IF4091/Penyusunan Proposal</w:t>
      </w:r>
    </w:p>
    <w:p w14:paraId="41FDE569" w14:textId="77777777">
      <w:pPr>
        <w:spacing w:before="0" w:after="0"/>
        <w:jc w:val="both"/>
      </w:pPr>
    </w:p>
    <w:p w14:paraId="4456B8D2" w14:textId="77777777">
      <w:pPr>
        <w:spacing w:before="0" w:after="0"/>
        <w:jc w:val="both"/>
      </w:pPr>
    </w:p>
    <w:p w14:paraId="4DFD3BA9" w14:textId="77777777">
      <w:pPr>
        <w:spacing w:before="0" w:after="0"/>
        <w:jc w:val="center"/>
        <w:rPr>
          <w:b/>
        </w:rPr>
      </w:pPr>
      <w:r>
        <w:rPr>
          <w:rFonts w:ascii="Times New Roman" w:hAnsi="Times New Roman" w:eastAsia="Times New Roman" w:cs="Times New Roman"/>
          <w:b/>
          <w:bCs/>
          <w:sz w:val="24"/>
          <w:szCs w:val="24"/>
        </w:rPr>
        <w:t>Oleh</w:t>
      </w:r>
    </w:p>
    <w:p w14:paraId="06E6A767" w14:textId="77777777">
      <w:pPr>
        <w:spacing w:before="0" w:after="0"/>
        <w:jc w:val="center"/>
        <w:rPr>
          <w:b/>
          <w:sz w:val="28"/>
          <w:szCs w:val="28"/>
        </w:rPr>
      </w:pPr>
      <w:r>
        <w:rPr>
          <w:rFonts w:ascii="Times New Roman" w:hAnsi="Times New Roman" w:eastAsia="Times New Roman" w:cs="Times New Roman"/>
          <w:b/>
          <w:bCs/>
          <w:sz w:val="28"/>
          <w:szCs w:val="28"/>
        </w:rPr>
        <w:t>Danendra Shafi Athallah</w:t>
      </w:r>
    </w:p>
    <w:p w14:paraId="59B0C833" w14:textId="1636CCBE">
      <w:pPr>
        <w:spacing w:before="0" w:after="0"/>
        <w:jc w:val="center"/>
        <w:rPr>
          <w:b/>
          <w:sz w:val="28"/>
          <w:szCs w:val="28"/>
        </w:rPr>
      </w:pPr>
      <w:r>
        <w:rPr>
          <w:rFonts w:ascii="Times New Roman" w:hAnsi="Times New Roman" w:eastAsia="Times New Roman" w:cs="Times New Roman"/>
          <w:b/>
          <w:bCs/>
          <w:sz w:val="28"/>
          <w:szCs w:val="28"/>
        </w:rPr>
        <w:t>NIM: 13523136</w:t>
      </w:r>
    </w:p>
    <w:p w14:paraId="6DFD25B1" w14:textId="77777777">
      <w:pPr>
        <w:spacing w:before="0" w:after="0"/>
        <w:jc w:val="both"/>
      </w:pPr>
    </w:p>
    <w:p w14:paraId="4CC2C4CE" w14:textId="77777777">
      <w:pPr>
        <w:spacing w:before="0" w:after="0"/>
        <w:jc w:val="both"/>
      </w:pPr>
    </w:p>
    <w:p w14:paraId="6704FE35" w14:textId="77777777">
      <w:pPr>
        <w:spacing w:before="0" w:after="0"/>
        <w:jc w:val="center"/>
      </w:pPr>
      <w:r>
        <w:drawing>
          <wp:inline distT="0" distB="0" distL="0" distR="0">
            <wp:extent cx="952500" cy="1257300"/>
            <wp:effectExtent l="19050" t="0" r="0" b="0"/>
            <wp:docPr id="100000" name="Picture 1000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0" name="image100000"/>
                    <pic:cNvPicPr/>
                  </pic:nvPicPr>
                  <pic:blipFill>
                    <a:blip r:embed="rId18"/>
                    <a:stretch>
                      <a:fillRect/>
                    </a:stretch>
                  </pic:blipFill>
                  <pic:spPr>
                    <a:xfrm>
                      <a:off x="0" y="0"/>
                      <a:ext cx="952500" cy="1257300"/>
                    </a:xfrm>
                    <a:prstGeom prst="rect">
                      <a:avLst/>
                    </a:prstGeom>
                  </pic:spPr>
                </pic:pic>
              </a:graphicData>
            </a:graphic>
          </wp:inline>
        </w:drawing>
      </w:r>
    </w:p>
    <w:p w14:paraId="45991C42" w14:textId="77777777">
      <w:pPr>
        <w:spacing w:before="0" w:after="0"/>
        <w:jc w:val="both"/>
      </w:pPr>
    </w:p>
    <w:p w14:paraId="6485526D" w14:textId="77777777">
      <w:pPr>
        <w:spacing w:before="0" w:after="0"/>
        <w:jc w:val="both"/>
      </w:pPr>
    </w:p>
    <w:p w14:paraId="69B7FF47" w14:textId="77777777">
      <w:pPr>
        <w:spacing w:before="0" w:after="0"/>
        <w:jc w:val="center"/>
        <w:rPr>
          <w:b/>
          <w:sz w:val="28"/>
          <w:szCs w:val="28"/>
        </w:rPr>
      </w:pPr>
      <w:r>
        <w:rPr>
          <w:rFonts w:ascii="Times New Roman" w:hAnsi="Times New Roman" w:eastAsia="Times New Roman" w:cs="Times New Roman"/>
          <w:b/>
          <w:bCs/>
          <w:sz w:val="28"/>
          <w:szCs w:val="28"/>
        </w:rPr>
        <w:t>PROGRAM STUDI TEKNIK INFORMATIKA</w:t>
      </w:r>
    </w:p>
    <w:p w14:paraId="52C94545" w14:textId="77777777">
      <w:pPr>
        <w:spacing w:before="0" w:after="0"/>
        <w:jc w:val="center"/>
        <w:rPr>
          <w:b/>
          <w:sz w:val="28"/>
          <w:szCs w:val="28"/>
        </w:rPr>
      </w:pPr>
      <w:r>
        <w:rPr>
          <w:rFonts w:ascii="Times New Roman" w:hAnsi="Times New Roman" w:eastAsia="Times New Roman" w:cs="Times New Roman"/>
          <w:b/>
          <w:bCs/>
          <w:sz w:val="28"/>
          <w:szCs w:val="28"/>
        </w:rPr>
        <w:t>SEKOLAH TEKNIK ELEKTRO &amp; INFORMATIKA</w:t>
      </w:r>
    </w:p>
    <w:p w14:paraId="0E735949" w14:textId="77777777">
      <w:pPr>
        <w:spacing w:before="0" w:after="0"/>
        <w:jc w:val="center"/>
        <w:rPr>
          <w:b/>
          <w:sz w:val="28"/>
          <w:szCs w:val="28"/>
        </w:rPr>
      </w:pPr>
      <w:r>
        <w:rPr>
          <w:rFonts w:ascii="Times New Roman" w:hAnsi="Times New Roman" w:eastAsia="Times New Roman" w:cs="Times New Roman"/>
          <w:b/>
          <w:bCs/>
          <w:sz w:val="28"/>
          <w:szCs w:val="28"/>
        </w:rPr>
        <w:t>INSTITUT TEKNOLOGI BANDUNG</w:t>
      </w:r>
    </w:p>
    <w:p w14:paraId="7A350A9A" w14:textId="77777777">
      <w:pPr>
        <w:spacing w:before="0" w:after="0"/>
        <w:jc w:val="center"/>
        <w:sectPr>
          <w:footerReference w:type="even" r:id="rId9"/>
          <w:pgSz w:w="11907" w:h="16839"/>
          <w:pgMar w:top="1440" w:right="1800" w:bottom="1440" w:left="1800" w:header="720" w:footer="720" w:gutter="0"/>
          <w:docGrid w:linePitch="272"/>
        </w:sectPr>
      </w:pPr>
      <w:r>
        <w:rPr>
          <w:rFonts w:ascii="Times New Roman" w:hAnsi="Times New Roman" w:eastAsia="Times New Roman" w:cs="Times New Roman"/>
          <w:b/>
          <w:bCs/>
          <w:sz w:val="28"/>
          <w:szCs w:val="28"/>
        </w:rPr>
        <w:t>Oktober 2026</w:t>
      </w:r>
    </w:p>
    <w:p w14:paraId="21135F97" w14:textId="2E27D0C9">
      <w:pPr>
        <w:spacing w:before="0" w:after="0"/>
        <w:jc w:val="center"/>
        <w:rPr>
          <w:b/>
          <w:sz w:val="28"/>
          <w:szCs w:val="28"/>
        </w:rPr>
      </w:pPr>
      <w:r>
        <w:rPr>
          <w:rFonts w:ascii="Times New Roman" w:hAnsi="Times New Roman" w:eastAsia="Times New Roman" w:cs="Times New Roman"/>
          <w:b/>
          <w:bCs/>
          <w:sz w:val="28"/>
          <w:szCs w:val="28"/>
        </w:rPr>
        <w:t>PENGEMBANGAN DAN EVALUASI KOMPONEN ANALISIS SEMANTIK UNTUK PEMERIKSAAN KONSISTENSI DOKUMENTASI KLINIS DALAM MENDUKUNG KESIAPAN KLAIM BPJS</w:t>
      </w:r>
    </w:p>
    <w:p w14:paraId="7F46F0F4" w14:textId="4B2833CD">
      <w:pPr>
        <w:spacing w:before="0" w:after="0"/>
        <w:jc w:val="both"/>
      </w:pPr>
      <w:r>
        <w:rPr>
          <w:rFonts w:ascii="Times New Roman" w:hAnsi="Times New Roman" w:eastAsia="Times New Roman" w:cs="Times New Roman"/>
          <w:b/>
          <w:bCs/>
          <w:color w:val="548DD4" w:themeColor="text2" w:themeTint="99"/>
          <w:sz w:val="24"/>
          <w:szCs w:val="24"/>
        </w:rPr>
        <w:t xml:space="preserve"> </w:t>
      </w:r>
    </w:p>
    <w:p w14:paraId="5F96BD52" w14:textId="77777777">
      <w:pPr>
        <w:spacing w:before="0" w:after="0"/>
        <w:jc w:val="both"/>
      </w:pPr>
    </w:p>
    <w:p w14:paraId="34E9D638" w14:textId="4C990755">
      <w:pPr>
        <w:spacing w:before="0" w:after="0"/>
        <w:jc w:val="center"/>
        <w:rPr>
          <w:b/>
          <w:color w:val="548DD4" w:themeColor="text2" w:themeTint="99"/>
          <w:sz w:val="28"/>
          <w:szCs w:val="28"/>
        </w:rPr>
      </w:pPr>
      <w:r>
        <w:rPr>
          <w:rFonts w:ascii="Times New Roman" w:hAnsi="Times New Roman" w:eastAsia="Times New Roman" w:cs="Times New Roman"/>
          <w:b/>
          <w:bCs/>
          <w:sz w:val="28"/>
          <w:szCs w:val="28"/>
        </w:rPr>
        <w:t>Proposal Tugas Akhir - Capstone</w:t>
      </w:r>
    </w:p>
    <w:p w14:paraId="09CBFD9C" w14:textId="77777777">
      <w:pPr>
        <w:spacing w:before="0" w:after="0"/>
        <w:jc w:val="center"/>
        <w:rPr>
          <w:b/>
          <w:sz w:val="28"/>
          <w:szCs w:val="28"/>
        </w:rPr>
      </w:pPr>
      <w:r>
        <w:rPr>
          <w:rFonts w:ascii="Times New Roman" w:hAnsi="Times New Roman" w:eastAsia="Times New Roman" w:cs="Times New Roman"/>
          <w:b/>
          <w:bCs/>
          <w:sz w:val="28"/>
          <w:szCs w:val="28"/>
        </w:rPr>
        <w:t xml:space="preserve">Perancangan Antarmuka </w:t>
      </w:r>
      <w:r>
        <w:rPr>
          <w:rFonts w:ascii="Times New Roman" w:hAnsi="Times New Roman" w:eastAsia="Times New Roman" w:cs="Times New Roman"/>
          <w:b/>
          <w:bCs/>
          <w:i/>
          <w:iCs/>
          <w:sz w:val="28"/>
          <w:szCs w:val="28"/>
        </w:rPr>
        <w:t>User-Centered</w:t>
      </w:r>
      <w:r>
        <w:rPr>
          <w:rFonts w:ascii="Times New Roman" w:hAnsi="Times New Roman" w:eastAsia="Times New Roman" w:cs="Times New Roman"/>
          <w:b/>
          <w:bCs/>
          <w:sz w:val="28"/>
          <w:szCs w:val="28"/>
        </w:rPr>
        <w:t xml:space="preserve"> untuk Sistem Pemeriksaan Resume Medis dalam Mendukung Kesiapan Klaim BPJS</w:t>
      </w:r>
    </w:p>
    <w:p w14:paraId="71CD0649" w14:textId="77777777">
      <w:pPr>
        <w:spacing w:before="0" w:after="0"/>
        <w:jc w:val="both"/>
      </w:pPr>
    </w:p>
    <w:p w14:paraId="2E0C6C88" w14:textId="77777777">
      <w:pPr>
        <w:spacing w:before="0" w:after="0"/>
        <w:jc w:val="both"/>
      </w:pPr>
    </w:p>
    <w:p w14:paraId="3194D45F" w14:textId="77777777">
      <w:pPr>
        <w:spacing w:before="0" w:after="0"/>
        <w:jc w:val="center"/>
        <w:rPr>
          <w:b/>
        </w:rPr>
      </w:pPr>
      <w:r>
        <w:rPr>
          <w:rFonts w:ascii="Times New Roman" w:hAnsi="Times New Roman" w:eastAsia="Times New Roman" w:cs="Times New Roman"/>
          <w:b/>
          <w:bCs/>
          <w:sz w:val="24"/>
          <w:szCs w:val="24"/>
        </w:rPr>
        <w:t>Oleh</w:t>
      </w:r>
    </w:p>
    <w:p w14:paraId="35A41615" w14:textId="77777777">
      <w:pPr>
        <w:spacing w:before="0" w:after="0"/>
        <w:jc w:val="center"/>
        <w:rPr>
          <w:b/>
          <w:sz w:val="28"/>
          <w:szCs w:val="28"/>
        </w:rPr>
      </w:pPr>
      <w:r>
        <w:rPr>
          <w:rFonts w:ascii="Times New Roman" w:hAnsi="Times New Roman" w:eastAsia="Times New Roman" w:cs="Times New Roman"/>
          <w:b/>
          <w:bCs/>
          <w:sz w:val="28"/>
          <w:szCs w:val="28"/>
        </w:rPr>
        <w:t>Danendra Shafi Athallah</w:t>
      </w:r>
    </w:p>
    <w:p w14:paraId="72EFE7BC" w14:textId="4F594534">
      <w:pPr>
        <w:spacing w:before="0" w:after="0"/>
        <w:jc w:val="center"/>
        <w:rPr>
          <w:b/>
          <w:sz w:val="28"/>
          <w:szCs w:val="28"/>
        </w:rPr>
      </w:pPr>
      <w:r>
        <w:rPr>
          <w:rFonts w:ascii="Times New Roman" w:hAnsi="Times New Roman" w:eastAsia="Times New Roman" w:cs="Times New Roman"/>
          <w:b/>
          <w:bCs/>
          <w:sz w:val="28"/>
          <w:szCs w:val="28"/>
        </w:rPr>
        <w:t>NIM: 13523136</w:t>
      </w:r>
    </w:p>
    <w:p w14:paraId="799F12AA" w14:textId="77777777">
      <w:pPr>
        <w:spacing w:before="0" w:after="0"/>
        <w:jc w:val="center"/>
        <w:rPr>
          <w:b/>
          <w:sz w:val="28"/>
          <w:szCs w:val="28"/>
        </w:rPr>
      </w:pPr>
      <w:r>
        <w:rPr>
          <w:rFonts w:ascii="Times New Roman" w:hAnsi="Times New Roman" w:eastAsia="Times New Roman" w:cs="Times New Roman"/>
          <w:b/>
          <w:bCs/>
          <w:sz w:val="28"/>
          <w:szCs w:val="28"/>
        </w:rPr>
        <w:t>Program Studi Teknik Informatika</w:t>
      </w:r>
    </w:p>
    <w:p w14:paraId="669BFF3D" w14:textId="77777777">
      <w:pPr>
        <w:spacing w:before="0" w:after="0"/>
        <w:jc w:val="center"/>
      </w:pPr>
      <w:r>
        <w:rPr>
          <w:rFonts w:ascii="Times New Roman" w:hAnsi="Times New Roman" w:eastAsia="Times New Roman" w:cs="Times New Roman"/>
          <w:sz w:val="24"/>
          <w:szCs w:val="24"/>
        </w:rPr>
        <w:t>Sekolah Teknik Elektro dan Informatika</w:t>
      </w:r>
    </w:p>
    <w:p w14:paraId="099BAE31" w14:textId="77777777">
      <w:pPr>
        <w:spacing w:before="0" w:after="0"/>
        <w:jc w:val="center"/>
      </w:pPr>
      <w:r>
        <w:rPr>
          <w:rFonts w:ascii="Times New Roman" w:hAnsi="Times New Roman" w:eastAsia="Times New Roman" w:cs="Times New Roman"/>
          <w:sz w:val="24"/>
          <w:szCs w:val="24"/>
        </w:rPr>
        <w:t>Institut Teknologi Bandung</w:t>
      </w:r>
    </w:p>
    <w:p w14:paraId="347637E9" w14:textId="77777777">
      <w:pPr>
        <w:spacing w:before="0" w:after="0"/>
        <w:jc w:val="both"/>
      </w:pPr>
    </w:p>
    <w:p w14:paraId="364BC2A2" w14:textId="77777777">
      <w:pPr>
        <w:spacing w:before="0" w:after="0"/>
        <w:jc w:val="both"/>
      </w:pPr>
    </w:p>
    <w:p w14:paraId="5219DC6E" w14:textId="77777777">
      <w:pPr>
        <w:spacing w:before="0" w:after="0"/>
        <w:jc w:val="both"/>
      </w:pPr>
    </w:p>
    <w:p w14:paraId="452A44DF" w14:textId="77777777">
      <w:pPr>
        <w:spacing w:before="0" w:after="0"/>
        <w:jc w:val="center"/>
      </w:pPr>
      <w:r>
        <w:rPr>
          <w:rFonts w:ascii="Times New Roman" w:hAnsi="Times New Roman" w:eastAsia="Times New Roman" w:cs="Times New Roman"/>
          <w:sz w:val="24"/>
          <w:szCs w:val="24"/>
        </w:rPr>
        <w:t>Bandung, &lt;tanggal&gt;</w:t>
      </w:r>
    </w:p>
    <w:p w14:paraId="01A101D9" w14:textId="77777777">
      <w:pPr>
        <w:spacing w:before="0" w:after="0"/>
        <w:jc w:val="center"/>
      </w:pPr>
      <w:r>
        <w:rPr>
          <w:rFonts w:ascii="Times New Roman" w:hAnsi="Times New Roman" w:eastAsia="Times New Roman" w:cs="Times New Roman"/>
          <w:sz w:val="24"/>
          <w:szCs w:val="24"/>
        </w:rPr>
        <w:t>Mengetahui,</w:t>
      </w:r>
    </w:p>
    <w:p w14:paraId="18D0855A" w14:textId="7CD03F72">
      <w:pPr>
        <w:spacing w:before="0" w:after="0"/>
        <w:jc w:val="both"/>
      </w:pPr>
    </w:p>
    <w:p w14:paraId="5C1F05E1" w14:textId="77777777">
      <w:pPr>
        <w:spacing w:before="0" w:after="0"/>
        <w:jc w:val="both"/>
      </w:pPr>
    </w:p>
    <w:p w14:paraId="129884EC" w14:textId="77777777">
      <w:pPr>
        <w:spacing w:before="0" w:after="0"/>
        <w:jc w:val="center"/>
      </w:pPr>
      <w:r>
        <w:rPr>
          <w:rFonts w:ascii="Times New Roman" w:hAnsi="Times New Roman" w:eastAsia="Times New Roman" w:cs="Times New Roman"/>
          <w:sz w:val="24"/>
          <w:szCs w:val="24"/>
        </w:rPr>
        <w:t>Pembimbing,</w:t>
      </w:r>
    </w:p>
    <w:p w14:paraId="00300BB2" w14:textId="77777777">
      <w:pPr>
        <w:spacing w:before="0" w:after="0"/>
        <w:jc w:val="center"/>
      </w:pPr>
    </w:p>
    <w:p w14:paraId="4E3D5F1A" w14:textId="77777777">
      <w:pPr>
        <w:pStyle w:val="Footer"/>
        <w:spacing w:before="0" w:after="0"/>
        <w:jc w:val="center"/>
      </w:pPr>
    </w:p>
    <w:p w14:paraId="237649D1" w14:textId="77777777">
      <w:pPr>
        <w:spacing w:before="0" w:after="0"/>
        <w:jc w:val="center"/>
      </w:pPr>
    </w:p>
    <w:p w14:paraId="0BFAAD8C" w14:textId="77777777">
      <w:pPr>
        <w:pStyle w:val="Footer"/>
        <w:spacing w:before="0" w:after="0"/>
        <w:jc w:val="center"/>
      </w:pPr>
    </w:p>
    <w:p w14:paraId="2AE08670" w14:textId="77777777">
      <w:pPr>
        <w:spacing w:before="0" w:after="0"/>
        <w:jc w:val="center"/>
      </w:pPr>
      <w:r>
        <w:rPr>
          <w:rFonts w:ascii="Times New Roman" w:hAnsi="Times New Roman" w:eastAsia="Times New Roman" w:cs="Times New Roman"/>
          <w:sz w:val="24"/>
          <w:szCs w:val="24"/>
          <w:u w:val="single"/>
        </w:rPr>
        <w:t>Dr. Satrio Adi Rukmono, S.T., M.T.</w:t>
      </w:r>
    </w:p>
    <w:p w14:paraId="664BBDA6" w14:textId="77777777">
      <w:pPr>
        <w:spacing w:before="0" w:after="0"/>
        <w:jc w:val="center"/>
      </w:pPr>
      <w:r>
        <w:rPr>
          <w:rFonts w:ascii="Times New Roman" w:hAnsi="Times New Roman" w:eastAsia="Times New Roman" w:cs="Times New Roman"/>
          <w:sz w:val="24"/>
          <w:szCs w:val="24"/>
        </w:rPr>
        <w:t>NIP. 198809272019031007</w:t>
      </w:r>
    </w:p>
    <w:p>
      <w:pPr>
        <w:pageBreakBefore/>
        <w:spacing w:before="0" w:after="0" w:line="480" w:lineRule="auto"/>
        <w:jc w:val="center"/>
      </w:pPr>
      <w:r>
        <w:rPr>
          <w:rFonts w:ascii="Times New Roman" w:hAnsi="Times New Roman" w:eastAsia="Times New Roman" w:cs="Times New Roman"/>
          <w:b/>
          <w:bCs/>
          <w:sz w:val="28"/>
          <w:szCs w:val="28"/>
        </w:rPr>
        <w:t xml:space="preserve">LEMBAR IDENTITAS</w:t>
      </w:r>
    </w:p>
    <w:p>
      <w:pPr>
        <w:spacing w:before="0" w:after="0" w:line="480" w:lineRule="auto"/>
        <w:jc w:val="center"/>
      </w:pPr>
      <w:r>
        <w:rPr>
          <w:rFonts w:ascii="Times New Roman" w:hAnsi="Times New Roman" w:eastAsia="Times New Roman" w:cs="Times New Roman"/>
          <w:b/>
          <w:bCs/>
          <w:sz w:val="28"/>
          <w:szCs w:val="28"/>
        </w:rPr>
        <w:t xml:space="preserve">TUGAS AKHIR CAPSTONE</w:t>
      </w:r>
    </w:p>
    <w:p>
      <w:pPr>
        <w:spacing w:before="0" w:after="0"/>
        <w:jc w:val="both"/>
      </w:pPr>
    </w:p>
    <w:p>
      <w:pPr>
        <w:tabs>
          <w:tab w:val="left" w:pos="1800"/>
          <w:tab w:val="left" w:pos="2000"/>
        </w:tabs>
        <w:spacing w:before="0" w:after="0"/>
        <w:ind w:left="2000" w:hanging="2000"/>
        <w:jc w:val="left"/>
      </w:pPr>
      <w:r>
        <w:rPr>
          <w:rFonts w:ascii="Times New Roman" w:hAnsi="Times New Roman" w:eastAsia="Times New Roman" w:cs="Times New Roman"/>
          <w:sz w:val="24"/>
          <w:szCs w:val="24"/>
        </w:rPr>
        <w:t xml:space="preserve">Judul Proyek TA</w:t>
      </w:r>
      <w:r>
        <w:tab/>
      </w:r>
      <w:r>
        <w:rPr>
          <w:rFonts w:ascii="Times New Roman" w:hAnsi="Times New Roman" w:eastAsia="Times New Roman" w:cs="Times New Roman"/>
          <w:sz w:val="24"/>
          <w:szCs w:val="24"/>
        </w:rPr>
        <w:t xml:space="preserve">:</w:t>
      </w:r>
      <w:r>
        <w:tab/>
      </w:r>
      <w:r>
        <w:rPr>
          <w:rFonts w:ascii="Times New Roman" w:hAnsi="Times New Roman" w:eastAsia="Times New Roman" w:cs="Times New Roman"/>
          <w:sz w:val="24"/>
          <w:szCs w:val="24"/>
        </w:rPr>
        <w:t xml:space="preserve">Perancangan Antarmuka </w:t>
      </w:r>
      <w:r>
        <w:rPr>
          <w:rFonts w:ascii="Times New Roman" w:hAnsi="Times New Roman" w:eastAsia="Times New Roman" w:cs="Times New Roman"/>
          <w:i/>
          <w:iCs/>
          <w:sz w:val="24"/>
          <w:szCs w:val="24"/>
        </w:rPr>
        <w:t xml:space="preserve">User-Centered</w:t>
      </w:r>
      <w:r>
        <w:rPr>
          <w:rFonts w:ascii="Times New Roman" w:hAnsi="Times New Roman" w:eastAsia="Times New Roman" w:cs="Times New Roman"/>
          <w:sz w:val="24"/>
          <w:szCs w:val="24"/>
        </w:rPr>
        <w:t xml:space="preserve"> untuk Sistem Pemeriksaan Resume Medis dalam Mendukung Kesiapan Klaim BPJS</w:t>
      </w:r>
    </w:p>
    <w:p>
      <w:pPr>
        <w:spacing w:before="0" w:after="0"/>
        <w:jc w:val="both"/>
      </w:pPr>
    </w:p>
    <w:p>
      <w:pPr>
        <w:tabs>
          <w:tab w:val="left" w:pos="1800"/>
          <w:tab w:val="left" w:pos="2000"/>
        </w:tabs>
        <w:spacing w:before="0" w:after="0"/>
        <w:ind w:left="2000" w:hanging="2000"/>
        <w:jc w:val="left"/>
      </w:pPr>
      <w:r>
        <w:rPr>
          <w:rFonts w:ascii="Times New Roman" w:hAnsi="Times New Roman" w:eastAsia="Times New Roman" w:cs="Times New Roman"/>
          <w:sz w:val="24"/>
          <w:szCs w:val="24"/>
        </w:rPr>
        <w:t xml:space="preserve">Project Owner</w:t>
      </w:r>
      <w:r>
        <w:tab/>
      </w:r>
      <w:r>
        <w:rPr>
          <w:rFonts w:ascii="Times New Roman" w:hAnsi="Times New Roman" w:eastAsia="Times New Roman" w:cs="Times New Roman"/>
          <w:sz w:val="24"/>
          <w:szCs w:val="24"/>
        </w:rPr>
        <w:t xml:space="preserve">:</w:t>
      </w:r>
      <w:r>
        <w:tab/>
      </w:r>
      <w:r>
        <w:rPr>
          <w:rFonts w:ascii="Times New Roman" w:hAnsi="Times New Roman" w:eastAsia="Times New Roman" w:cs="Times New Roman"/>
          <w:sz w:val="24"/>
          <w:szCs w:val="24"/>
        </w:rPr>
        <w:t xml:space="preserve">Kurnia Meity Isasari, Sp.OG.</w:t>
      </w:r>
    </w:p>
    <w:p>
      <w:pPr>
        <w:spacing w:before="0" w:after="0"/>
        <w:jc w:val="both"/>
      </w:pPr>
    </w:p>
    <w:p>
      <w:pPr>
        <w:spacing w:before="0" w:after="0"/>
        <w:jc w:val="both"/>
      </w:pPr>
      <w:r>
        <w:rPr>
          <w:rFonts w:ascii="Times New Roman" w:hAnsi="Times New Roman" w:eastAsia="Times New Roman" w:cs="Times New Roman"/>
          <w:sz w:val="24"/>
          <w:szCs w:val="24"/>
        </w:rPr>
        <w:t xml:space="preserve">Anggota Tim dan Pembagian Peran:</w:t>
      </w:r>
    </w:p>
    <w:p>
      <w:pPr>
        <w:spacing w:before="0" w:after="0"/>
        <w:jc w:val="both"/>
      </w:pPr>
    </w:p>
    <w:tbl>
      <w:tblPr>
        <w:tblStyle w:val="TableGrid"/>
        <w:tblW w:w="8455"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00" w:type="dxa"/>
          <w:right w:w="100" w:type="dxa"/>
        </w:tblCellMar>
        <w:tblLook w:val="0000" w:firstRow="0" w:lastRow="0" w:firstColumn="0" w:lastColumn="0" w:noHBand="1" w:noVBand="1"/>
      </w:tblPr>
      <w:tblGrid>
        <w:gridCol w:w="704"/>
        <w:gridCol w:w="1541"/>
        <w:gridCol w:w="2653"/>
        <w:gridCol w:w="3557"/>
      </w:tblGrid>
      <w:tr>
        <w:trPr>
          <w:cantSplit/>
          <w:tblHeader/>
        </w:trPr>
        <w:tc>
          <w:tcPr>
            <w:tcW w:w="704" w:type="dxa"/>
            <w:tcBorders>
              <w:top w:val="single" w:sz="4" w:space="0" w:color="000000"/>
              <w:left w:val="single" w:sz="4" w:space="0" w:color="000000"/>
              <w:bottom w:val="single" w:sz="4" w:space="0" w:color="000000"/>
              <w:right w:val="single" w:sz="4" w:space="0" w:color="000000"/>
            </w:tcBorders>
          </w:tcPr>
          <w:p>
            <w:pPr>
              <w:spacing w:before="20" w:after="20" w:line="240" w:lineRule="auto"/>
              <w:jc w:val="center"/>
            </w:pPr>
            <w:r>
              <w:rPr>
                <w:rFonts w:ascii="Times New Roman" w:hAnsi="Times New Roman" w:eastAsia="Times New Roman" w:cs="Times New Roman"/>
                <w:b/>
                <w:bCs/>
                <w:sz w:val="24"/>
                <w:szCs w:val="24"/>
              </w:rPr>
              <w:t xml:space="preserve">No.</w:t>
            </w:r>
          </w:p>
        </w:tc>
        <w:tc>
          <w:tcPr>
            <w:tcW w:w="1541" w:type="dxa"/>
            <w:tcBorders>
              <w:top w:val="single" w:sz="4" w:space="0" w:color="000000"/>
              <w:left w:val="single" w:sz="4" w:space="0" w:color="000000"/>
              <w:bottom w:val="single" w:sz="4" w:space="0" w:color="000000"/>
              <w:right w:val="single" w:sz="4" w:space="0" w:color="000000"/>
            </w:tcBorders>
          </w:tcPr>
          <w:p>
            <w:pPr>
              <w:spacing w:before="20" w:after="20" w:line="240" w:lineRule="auto"/>
              <w:jc w:val="center"/>
            </w:pPr>
            <w:r>
              <w:rPr>
                <w:rFonts w:ascii="Times New Roman" w:hAnsi="Times New Roman" w:eastAsia="Times New Roman" w:cs="Times New Roman"/>
                <w:b/>
                <w:bCs/>
                <w:sz w:val="24"/>
                <w:szCs w:val="24"/>
              </w:rPr>
              <w:t xml:space="preserve">NIM</w:t>
            </w:r>
          </w:p>
        </w:tc>
        <w:tc>
          <w:tcPr>
            <w:tcW w:w="2653" w:type="dxa"/>
            <w:tcBorders>
              <w:top w:val="single" w:sz="4" w:space="0" w:color="000000"/>
              <w:left w:val="single" w:sz="4" w:space="0" w:color="000000"/>
              <w:bottom w:val="single" w:sz="4" w:space="0" w:color="000000"/>
              <w:right w:val="single" w:sz="4" w:space="0" w:color="000000"/>
            </w:tcBorders>
          </w:tcPr>
          <w:p>
            <w:pPr>
              <w:spacing w:before="20" w:after="20" w:line="240" w:lineRule="auto"/>
              <w:jc w:val="center"/>
            </w:pPr>
            <w:r>
              <w:rPr>
                <w:rFonts w:ascii="Times New Roman" w:hAnsi="Times New Roman" w:eastAsia="Times New Roman" w:cs="Times New Roman"/>
                <w:b/>
                <w:bCs/>
                <w:sz w:val="24"/>
                <w:szCs w:val="24"/>
              </w:rPr>
              <w:t xml:space="preserve">Nama</w:t>
            </w:r>
          </w:p>
        </w:tc>
        <w:tc>
          <w:tcPr>
            <w:tcW w:w="3557" w:type="dxa"/>
            <w:tcBorders>
              <w:top w:val="single" w:sz="4" w:space="0" w:color="000000"/>
              <w:left w:val="single" w:sz="4" w:space="0" w:color="000000"/>
              <w:bottom w:val="single" w:sz="4" w:space="0" w:color="000000"/>
              <w:right w:val="single" w:sz="4" w:space="0" w:color="000000"/>
            </w:tcBorders>
          </w:tcPr>
          <w:p>
            <w:pPr>
              <w:spacing w:before="20" w:after="20" w:line="240" w:lineRule="auto"/>
              <w:jc w:val="center"/>
            </w:pPr>
            <w:r>
              <w:rPr>
                <w:rFonts w:ascii="Times New Roman" w:hAnsi="Times New Roman" w:eastAsia="Times New Roman" w:cs="Times New Roman"/>
                <w:b/>
                <w:bCs/>
                <w:sz w:val="24"/>
                <w:szCs w:val="24"/>
              </w:rPr>
              <w:t xml:space="preserve">Peran</w:t>
            </w:r>
          </w:p>
        </w:tc>
      </w:tr>
      <w:tr>
        <w:trPr>
          <w:cantSplit/>
        </w:trPr>
        <w:tc>
          <w:tcPr>
            <w:tcW w:w="704" w:type="dxa"/>
            <w:tcBorders>
              <w:top w:val="single" w:sz="4" w:space="0" w:color="000000"/>
              <w:left w:val="single" w:sz="4" w:space="0" w:color="000000"/>
              <w:bottom w:val="single" w:sz="4" w:space="0" w:color="000000"/>
              <w:right w:val="single" w:sz="4" w:space="0" w:color="000000"/>
            </w:tcBorders>
          </w:tcPr>
          <w:p>
            <w:pPr>
              <w:spacing w:before="20" w:after="20" w:line="240" w:lineRule="auto"/>
              <w:jc w:val="left"/>
            </w:pPr>
            <w:r>
              <w:rPr>
                <w:rFonts w:ascii="Times New Roman" w:hAnsi="Times New Roman" w:eastAsia="Times New Roman" w:cs="Times New Roman"/>
                <w:sz w:val="24"/>
                <w:szCs w:val="24"/>
              </w:rPr>
              <w:t xml:space="preserve">1</w:t>
            </w:r>
          </w:p>
        </w:tc>
        <w:tc>
          <w:tcPr>
            <w:tcW w:w="1541" w:type="dxa"/>
            <w:tcBorders>
              <w:top w:val="single" w:sz="4" w:space="0" w:color="000000"/>
              <w:left w:val="single" w:sz="4" w:space="0" w:color="000000"/>
              <w:bottom w:val="single" w:sz="4" w:space="0" w:color="000000"/>
              <w:right w:val="single" w:sz="4" w:space="0" w:color="000000"/>
            </w:tcBorders>
          </w:tcPr>
          <w:p>
            <w:pPr>
              <w:spacing w:before="20" w:after="20" w:line="240" w:lineRule="auto"/>
              <w:jc w:val="left"/>
            </w:pPr>
            <w:r>
              <w:rPr>
                <w:rFonts w:ascii="Times New Roman" w:hAnsi="Times New Roman" w:eastAsia="Times New Roman" w:cs="Times New Roman"/>
                <w:sz w:val="24"/>
                <w:szCs w:val="24"/>
              </w:rPr>
              <w:t xml:space="preserve">13523155</w:t>
            </w:r>
          </w:p>
        </w:tc>
        <w:tc>
          <w:tcPr>
            <w:tcW w:w="2653" w:type="dxa"/>
            <w:tcBorders>
              <w:top w:val="single" w:sz="4" w:space="0" w:color="000000"/>
              <w:left w:val="single" w:sz="4" w:space="0" w:color="000000"/>
              <w:bottom w:val="single" w:sz="4" w:space="0" w:color="000000"/>
              <w:right w:val="single" w:sz="4" w:space="0" w:color="000000"/>
            </w:tcBorders>
          </w:tcPr>
          <w:p>
            <w:pPr>
              <w:spacing w:before="20" w:after="20" w:line="240" w:lineRule="auto"/>
              <w:jc w:val="left"/>
            </w:pPr>
            <w:r>
              <w:rPr>
                <w:rFonts w:ascii="Times New Roman" w:hAnsi="Times New Roman" w:eastAsia="Times New Roman" w:cs="Times New Roman"/>
                <w:sz w:val="24"/>
                <w:szCs w:val="24"/>
              </w:rPr>
              <w:t xml:space="preserve">M. Abizzar Gamadrian</w:t>
            </w:r>
          </w:p>
        </w:tc>
        <w:tc>
          <w:tcPr>
            <w:tcW w:w="3557" w:type="dxa"/>
            <w:tcBorders>
              <w:top w:val="single" w:sz="4" w:space="0" w:color="000000"/>
              <w:left w:val="single" w:sz="4" w:space="0" w:color="000000"/>
              <w:bottom w:val="single" w:sz="4" w:space="0" w:color="000000"/>
              <w:right w:val="single" w:sz="4" w:space="0" w:color="000000"/>
            </w:tcBorders>
          </w:tcPr>
          <w:p>
            <w:pPr>
              <w:spacing w:before="20" w:after="20" w:line="240" w:lineRule="auto"/>
              <w:jc w:val="left"/>
            </w:pPr>
            <w:r>
              <w:rPr>
                <w:rFonts w:ascii="Times New Roman" w:hAnsi="Times New Roman" w:eastAsia="Times New Roman" w:cs="Times New Roman"/>
                <w:sz w:val="24"/>
                <w:szCs w:val="24"/>
              </w:rPr>
              <w:t xml:space="preserve">Claim Review &amp; Resolution Engineering: siklus hidup temuan dan antarmuka pendukung</w:t>
            </w:r>
          </w:p>
        </w:tc>
      </w:tr>
      <w:tr>
        <w:trPr>
          <w:cantSplit/>
        </w:trPr>
        <w:tc>
          <w:tcPr>
            <w:tcW w:w="704" w:type="dxa"/>
            <w:tcBorders>
              <w:top w:val="single" w:sz="4" w:space="0" w:color="000000"/>
              <w:left w:val="single" w:sz="4" w:space="0" w:color="000000"/>
              <w:bottom w:val="single" w:sz="4" w:space="0" w:color="000000"/>
              <w:right w:val="single" w:sz="4" w:space="0" w:color="000000"/>
            </w:tcBorders>
          </w:tcPr>
          <w:p>
            <w:pPr>
              <w:spacing w:before="20" w:after="20" w:line="240" w:lineRule="auto"/>
              <w:jc w:val="left"/>
            </w:pPr>
            <w:r>
              <w:rPr>
                <w:rFonts w:ascii="Times New Roman" w:hAnsi="Times New Roman" w:eastAsia="Times New Roman" w:cs="Times New Roman"/>
                <w:sz w:val="24"/>
                <w:szCs w:val="24"/>
              </w:rPr>
              <w:t xml:space="preserve">2</w:t>
            </w:r>
          </w:p>
        </w:tc>
        <w:tc>
          <w:tcPr>
            <w:tcW w:w="1541" w:type="dxa"/>
            <w:tcBorders>
              <w:top w:val="single" w:sz="4" w:space="0" w:color="000000"/>
              <w:left w:val="single" w:sz="4" w:space="0" w:color="000000"/>
              <w:bottom w:val="single" w:sz="4" w:space="0" w:color="000000"/>
              <w:right w:val="single" w:sz="4" w:space="0" w:color="000000"/>
            </w:tcBorders>
          </w:tcPr>
          <w:p>
            <w:pPr>
              <w:spacing w:before="20" w:after="20" w:line="240" w:lineRule="auto"/>
              <w:jc w:val="left"/>
            </w:pPr>
            <w:r>
              <w:rPr>
                <w:rFonts w:ascii="Times New Roman" w:hAnsi="Times New Roman" w:eastAsia="Times New Roman" w:cs="Times New Roman"/>
                <w:sz w:val="24"/>
                <w:szCs w:val="24"/>
              </w:rPr>
              <w:t xml:space="preserve">13523124</w:t>
            </w:r>
          </w:p>
        </w:tc>
        <w:tc>
          <w:tcPr>
            <w:tcW w:w="2653" w:type="dxa"/>
            <w:tcBorders>
              <w:top w:val="single" w:sz="4" w:space="0" w:color="000000"/>
              <w:left w:val="single" w:sz="4" w:space="0" w:color="000000"/>
              <w:bottom w:val="single" w:sz="4" w:space="0" w:color="000000"/>
              <w:right w:val="single" w:sz="4" w:space="0" w:color="000000"/>
            </w:tcBorders>
          </w:tcPr>
          <w:p>
            <w:pPr>
              <w:spacing w:before="20" w:after="20" w:line="240" w:lineRule="auto"/>
              <w:jc w:val="left"/>
            </w:pPr>
            <w:r>
              <w:rPr>
                <w:rFonts w:ascii="Times New Roman" w:hAnsi="Times New Roman" w:eastAsia="Times New Roman" w:cs="Times New Roman"/>
                <w:sz w:val="24"/>
                <w:szCs w:val="24"/>
              </w:rPr>
              <w:t xml:space="preserve">Muhammad Raihaan Perdana</w:t>
            </w:r>
          </w:p>
        </w:tc>
        <w:tc>
          <w:tcPr>
            <w:tcW w:w="3557" w:type="dxa"/>
            <w:tcBorders>
              <w:top w:val="single" w:sz="4" w:space="0" w:color="000000"/>
              <w:left w:val="single" w:sz="4" w:space="0" w:color="000000"/>
              <w:bottom w:val="single" w:sz="4" w:space="0" w:color="000000"/>
              <w:right w:val="single" w:sz="4" w:space="0" w:color="000000"/>
            </w:tcBorders>
          </w:tcPr>
          <w:p>
            <w:pPr>
              <w:spacing w:before="20" w:after="20" w:line="240" w:lineRule="auto"/>
              <w:jc w:val="left"/>
            </w:pPr>
            <w:r>
              <w:rPr>
                <w:rFonts w:ascii="Times New Roman" w:hAnsi="Times New Roman" w:eastAsia="Times New Roman" w:cs="Times New Roman"/>
                <w:sz w:val="24"/>
                <w:szCs w:val="24"/>
              </w:rPr>
              <w:t xml:space="preserve">Health Data &amp; Cross-Episode Reconciliation: versi dokumen, log audit, dan privasi</w:t>
            </w:r>
          </w:p>
        </w:tc>
      </w:tr>
      <w:tr>
        <w:trPr>
          <w:cantSplit/>
        </w:trPr>
        <w:tc>
          <w:tcPr>
            <w:tcW w:w="704" w:type="dxa"/>
            <w:tcBorders>
              <w:top w:val="single" w:sz="4" w:space="0" w:color="000000"/>
              <w:left w:val="single" w:sz="4" w:space="0" w:color="000000"/>
              <w:bottom w:val="single" w:sz="4" w:space="0" w:color="000000"/>
              <w:right w:val="single" w:sz="4" w:space="0" w:color="000000"/>
            </w:tcBorders>
          </w:tcPr>
          <w:p>
            <w:pPr>
              <w:spacing w:before="20" w:after="20" w:line="240" w:lineRule="auto"/>
              <w:jc w:val="left"/>
            </w:pPr>
            <w:r>
              <w:rPr>
                <w:rFonts w:ascii="Times New Roman" w:hAnsi="Times New Roman" w:eastAsia="Times New Roman" w:cs="Times New Roman"/>
                <w:sz w:val="24"/>
                <w:szCs w:val="24"/>
              </w:rPr>
              <w:t xml:space="preserve">3</w:t>
            </w:r>
          </w:p>
        </w:tc>
        <w:tc>
          <w:tcPr>
            <w:tcW w:w="1541" w:type="dxa"/>
            <w:tcBorders>
              <w:top w:val="single" w:sz="4" w:space="0" w:color="000000"/>
              <w:left w:val="single" w:sz="4" w:space="0" w:color="000000"/>
              <w:bottom w:val="single" w:sz="4" w:space="0" w:color="000000"/>
              <w:right w:val="single" w:sz="4" w:space="0" w:color="000000"/>
            </w:tcBorders>
          </w:tcPr>
          <w:p>
            <w:pPr>
              <w:spacing w:before="20" w:after="20" w:line="240" w:lineRule="auto"/>
              <w:jc w:val="left"/>
            </w:pPr>
            <w:r>
              <w:rPr>
                <w:rFonts w:ascii="Times New Roman" w:hAnsi="Times New Roman" w:eastAsia="Times New Roman" w:cs="Times New Roman"/>
                <w:sz w:val="24"/>
                <w:szCs w:val="24"/>
              </w:rPr>
              <w:t xml:space="preserve">13523136</w:t>
            </w:r>
          </w:p>
        </w:tc>
        <w:tc>
          <w:tcPr>
            <w:tcW w:w="2653" w:type="dxa"/>
            <w:tcBorders>
              <w:top w:val="single" w:sz="4" w:space="0" w:color="000000"/>
              <w:left w:val="single" w:sz="4" w:space="0" w:color="000000"/>
              <w:bottom w:val="single" w:sz="4" w:space="0" w:color="000000"/>
              <w:right w:val="single" w:sz="4" w:space="0" w:color="000000"/>
            </w:tcBorders>
          </w:tcPr>
          <w:p>
            <w:pPr>
              <w:spacing w:before="20" w:after="20" w:line="240" w:lineRule="auto"/>
              <w:jc w:val="left"/>
            </w:pPr>
            <w:r>
              <w:rPr>
                <w:rFonts w:ascii="Times New Roman" w:hAnsi="Times New Roman" w:eastAsia="Times New Roman" w:cs="Times New Roman"/>
                <w:sz w:val="24"/>
                <w:szCs w:val="24"/>
              </w:rPr>
              <w:t xml:space="preserve">Danendra Shafi Athallah</w:t>
            </w:r>
          </w:p>
        </w:tc>
        <w:tc>
          <w:tcPr>
            <w:tcW w:w="3557" w:type="dxa"/>
            <w:tcBorders>
              <w:top w:val="single" w:sz="4" w:space="0" w:color="000000"/>
              <w:left w:val="single" w:sz="4" w:space="0" w:color="000000"/>
              <w:bottom w:val="single" w:sz="4" w:space="0" w:color="000000"/>
              <w:right w:val="single" w:sz="4" w:space="0" w:color="000000"/>
            </w:tcBorders>
          </w:tcPr>
          <w:p>
            <w:pPr>
              <w:spacing w:before="20" w:after="20" w:line="240" w:lineRule="auto"/>
              <w:jc w:val="left"/>
            </w:pPr>
            <w:r>
              <w:rPr>
                <w:rFonts w:ascii="Times New Roman" w:hAnsi="Times New Roman" w:eastAsia="Times New Roman" w:cs="Times New Roman"/>
                <w:sz w:val="24"/>
                <w:szCs w:val="24"/>
              </w:rPr>
              <w:t xml:space="preserve">AI/NLP Semantic Claim Intelligence: pembentukan temuan dan akurasinya</w:t>
            </w:r>
          </w:p>
        </w:tc>
      </w:tr>
    </w:tbl>
    <w:p>
      <w:pPr>
        <w:spacing w:before="0" w:after="0"/>
        <w:jc w:val="both"/>
      </w:pPr>
    </w:p>
    <w:p>
      <w:pPr>
        <w:spacing w:before="0" w:after="0"/>
        <w:jc w:val="both"/>
      </w:pPr>
    </w:p>
    <w:p>
      <w:pPr>
        <w:spacing w:before="0" w:after="0"/>
        <w:jc w:val="center"/>
      </w:pPr>
      <w:r>
        <w:rPr>
          <w:rFonts w:ascii="Times New Roman" w:hAnsi="Times New Roman" w:eastAsia="Times New Roman" w:cs="Times New Roman"/>
          <w:sz w:val="24"/>
          <w:szCs w:val="24"/>
        </w:rPr>
        <w:t xml:space="preserve">Bandung, 21 Oktober 2026</w:t>
      </w:r>
    </w:p>
    <w:p>
      <w:pPr>
        <w:spacing w:before="0" w:after="0"/>
        <w:jc w:val="center"/>
      </w:pPr>
      <w:r>
        <w:rPr>
          <w:rFonts w:ascii="Times New Roman" w:hAnsi="Times New Roman" w:eastAsia="Times New Roman" w:cs="Times New Roman"/>
          <w:sz w:val="24"/>
          <w:szCs w:val="24"/>
        </w:rPr>
        <w:t xml:space="preserve">Mengetahui,</w:t>
      </w:r>
    </w:p>
    <w:p>
      <w:pPr>
        <w:spacing w:before="0" w:after="0"/>
        <w:jc w:val="both"/>
      </w:pPr>
    </w:p>
    <w:p>
      <w:pPr>
        <w:spacing w:before="0" w:after="0"/>
        <w:jc w:val="center"/>
      </w:pPr>
      <w:r>
        <w:rPr>
          <w:rFonts w:ascii="Times New Roman" w:hAnsi="Times New Roman" w:eastAsia="Times New Roman" w:cs="Times New Roman"/>
          <w:sz w:val="24"/>
          <w:szCs w:val="24"/>
        </w:rPr>
        <w:t xml:space="preserve">Pembimbing,</w:t>
      </w:r>
    </w:p>
    <w:p>
      <w:pPr>
        <w:spacing w:before="0" w:after="0"/>
        <w:jc w:val="both"/>
      </w:pPr>
    </w:p>
    <w:p>
      <w:pPr>
        <w:spacing w:before="0" w:after="0"/>
        <w:jc w:val="both"/>
      </w:pPr>
    </w:p>
    <w:p>
      <w:pPr>
        <w:spacing w:before="0" w:after="0"/>
        <w:jc w:val="both"/>
      </w:pPr>
    </w:p>
    <w:p>
      <w:pPr>
        <w:spacing w:before="0" w:after="0"/>
        <w:jc w:val="both"/>
      </w:pPr>
    </w:p>
    <w:p>
      <w:pPr>
        <w:spacing w:before="0" w:after="0"/>
        <w:jc w:val="center"/>
      </w:pPr>
      <w:r>
        <w:rPr>
          <w:rFonts w:ascii="Times New Roman" w:hAnsi="Times New Roman" w:eastAsia="Times New Roman" w:cs="Times New Roman"/>
          <w:u w:val="single"/>
          <w:sz w:val="24"/>
          <w:szCs w:val="24"/>
        </w:rPr>
        <w:t xml:space="preserve">Dr. Satrio Adi Rukmono, S.T., M.T.</w:t>
      </w:r>
    </w:p>
    <w:p>
      <w:pPr>
        <w:spacing w:before="0" w:after="0"/>
        <w:jc w:val="center"/>
      </w:pPr>
      <w:r>
        <w:rPr>
          <w:rFonts w:ascii="Times New Roman" w:hAnsi="Times New Roman" w:eastAsia="Times New Roman" w:cs="Times New Roman"/>
          <w:sz w:val="24"/>
          <w:szCs w:val="24"/>
        </w:rPr>
        <w:t xml:space="preserve">NIP. 198809272019031007</w:t>
      </w:r>
    </w:p>
    <w:p w14:paraId="69AF1547" w14:textId="77777777">
      <w:pPr>
        <w:pStyle w:val="Title"/>
        <w:pageBreakBefore/>
        <w:jc w:val="center"/>
        <w:rPr>
          <w:b w:val="0"/>
          <w:kern w:val="0"/>
          <w:sz w:val="24"/>
        </w:rPr>
      </w:pPr>
      <w:r>
        <w:lastRenderedPageBreak/>
        <w:rPr>
          <w:b w:val="0"/>
          <w:kern w:val="0"/>
          <w:sz w:val="24"/>
        </w:rPr>
      </w:r>
    </w:p>
    <w:p w14:paraId="5179DFA4" w14:textId="5354723B">
      <w:pPr>
        <w:pStyle w:val="Title"/>
        <w:jc w:val="center"/>
        <w:rPr>
          <w:kern w:val="0"/>
        </w:rPr>
      </w:pPr>
      <w:r>
        <w:lastRenderedPageBreak/>
        <w:rPr>
          <w:rFonts w:ascii="Times New Roman" w:hAnsi="Times New Roman" w:eastAsia="Times New Roman" w:cs="Times New Roman"/>
          <w:b/>
          <w:bCs/>
          <w:kern w:val="0"/>
          <w:sz w:val="28"/>
          <w:szCs w:val="28"/>
        </w:rPr>
        <w:t>DAFTAR ISI</w:t>
      </w:r>
    </w:p>
    <w:p w14:paraId="4B8567E0" w14:textId="77777777">
      <w:pPr>
        <w:spacing w:before="120" w:after="120" w:line="360" w:lineRule="auto"/>
        <w:jc w:val="both"/>
      </w:pPr>
    </w:p>
    <w:sdt>
      <w:sdtPr>
        <w:rPr>
          <w:rFonts w:ascii="Times New Roman" w:eastAsia="Times New Roman" w:hAnsi="Times New Roman" w:cs="Times New Roman"/>
          <w:color w:val="auto"/>
          <w:sz w:val="24"/>
          <w:szCs w:val="20"/>
          <w:lang w:eastAsia="id-ID"/>
        </w:rPr>
        <w:id w:val="-133021278"/>
        <w:docPartObj>
          <w:docPartGallery w:val="Table of Contents"/>
          <w:docPartUnique/>
        </w:docPartObj>
      </w:sdtPr>
      <w:sdtEndPr>
        <w:rPr>
          <w:b/>
          <w:bCs/>
          <w:noProof/>
        </w:rPr>
      </w:sdtEndPr>
      <w:sdtContent>
        <w:p w14:paraId="7C303C83" w14:textId="52C27860">
          <w:pPr>
            <w:pStyle w:val="TOCHeading"/>
            <w:tabs>
              <w:tab w:val="left" w:pos="888"/>
            </w:tabs>
            <w:jc w:val="left"/>
          </w:pPr>
          <w:r>
            <w:tab/>
          </w:r>
        </w:p>
        <w:p w14:paraId="676D0A62">
          <w:pPr>
            <w:pStyle w:val="TOC1"/>
            <w:tabs>
              <w:tab w:val="right" w:pos="7927" w:leader="dot"/>
            </w:tabs>
            <w:jc w:val="both"/>
            <w:rPr>
              <w:rFonts w:ascii="Calibri" w:hAnsi="Calibri" w:eastAsia="宋体" w:asciiTheme="minorHAnsi" w:hAnsiTheme="minorHAnsi" w:eastAsiaTheme="minorEastAsia" w:csTheme="minorBidi"/>
              <w:b w:val="0"/>
              <w:sz w:val="22"/>
              <w:szCs w:val="22"/>
            </w:rPr>
          </w:pPr>
          <w:hyperlink w:anchor="_Toc216028366">
            <w:r>
              <w:rPr>
                <w:rStyle w:val="Hyperlink"/>
                <w:rFonts w:ascii="Times New Roman" w:hAnsi="Times New Roman" w:eastAsia="Times New Roman" w:cs="Times New Roman"/>
                <w:b/>
                <w:bCs/>
                <w:color w:val="0000FF" w:themeColor="hyperlink"/>
                <w:sz w:val="24"/>
                <w:szCs w:val="24"/>
                <w:u w:val="single"/>
              </w:rPr>
              <w:t>BAB I PENDAHULUAN</w:t>
            </w:r>
            <w:r>
              <w:tab/>
            </w:r>
            <w:r>
              <w:rPr>
                <w:rFonts w:ascii="Times New Roman" w:hAnsi="Times New Roman" w:eastAsia="Times New Roman" w:cs="Times New Roman"/>
                <w:b/>
                <w:bCs/>
                <w:sz w:val="24"/>
                <w:szCs w:val="24"/>
              </w:rPr>
              <w:t>1</w:t>
            </w:r>
          </w:hyperlink>
        </w:p>
        <w:p w14:paraId="76101DCF">
          <w:pPr>
            <w:pStyle w:val="TOC2"/>
            <w:tabs>
              <w:tab w:val="left" w:pos="800"/>
              <w:tab w:val="right" w:pos="7927" w:leader="dot"/>
            </w:tabs>
            <w:jc w:val="both"/>
            <w:rPr>
              <w:rFonts w:ascii="Calibri" w:hAnsi="Calibri" w:eastAsia="宋体" w:asciiTheme="minorHAnsi" w:hAnsiTheme="minorHAnsi" w:eastAsiaTheme="minorEastAsia" w:csTheme="minorBidi"/>
              <w:sz w:val="22"/>
              <w:szCs w:val="22"/>
            </w:rPr>
          </w:pPr>
          <w:hyperlink w:anchor="_Toc216028367">
            <w:r>
              <w:rPr>
                <w:rStyle w:val="Hyperlink"/>
                <w:rFonts w:ascii="Times New Roman" w:hAnsi="Times New Roman" w:eastAsia="Times New Roman" w:cs="Times New Roman"/>
                <w:color w:val="0000FF" w:themeColor="hyperlink"/>
                <w:sz w:val="24"/>
                <w:szCs w:val="24"/>
                <w:u w:val="single"/>
              </w:rPr>
              <w:t>I.1</w:t>
            </w:r>
            <w:r>
              <w:tab/>
            </w:r>
            <w:r>
              <w:rPr>
                <w:rStyle w:val="Hyperlink"/>
                <w:rFonts w:ascii="Times New Roman" w:hAnsi="Times New Roman" w:eastAsia="Times New Roman" w:cs="Times New Roman"/>
                <w:color w:val="0000FF" w:themeColor="hyperlink"/>
                <w:sz w:val="24"/>
                <w:szCs w:val="24"/>
                <w:u w:val="single"/>
              </w:rPr>
              <w:t>Latar Belakang</w:t>
            </w:r>
            <w:r>
              <w:tab/>
            </w:r>
            <w:r>
              <w:rPr>
                <w:rFonts w:ascii="Times New Roman" w:hAnsi="Times New Roman" w:eastAsia="Times New Roman" w:cs="Times New Roman"/>
                <w:sz w:val="24"/>
                <w:szCs w:val="24"/>
              </w:rPr>
              <w:t>1</w:t>
            </w:r>
          </w:hyperlink>
        </w:p>
        <w:p w14:paraId="49552B0B">
          <w:pPr>
            <w:pStyle w:val="TOC2"/>
            <w:tabs>
              <w:tab w:val="left" w:pos="800"/>
              <w:tab w:val="right" w:pos="7927" w:leader="dot"/>
            </w:tabs>
            <w:jc w:val="both"/>
            <w:rPr>
              <w:rFonts w:ascii="Calibri" w:hAnsi="Calibri" w:eastAsia="宋体" w:asciiTheme="minorHAnsi" w:hAnsiTheme="minorHAnsi" w:eastAsiaTheme="minorEastAsia" w:csTheme="minorBidi"/>
              <w:sz w:val="22"/>
              <w:szCs w:val="22"/>
            </w:rPr>
          </w:pPr>
          <w:hyperlink w:anchor="_Toc216028368">
            <w:r>
              <w:rPr>
                <w:rStyle w:val="Hyperlink"/>
                <w:rFonts w:ascii="Times New Roman" w:hAnsi="Times New Roman" w:eastAsia="Times New Roman" w:cs="Times New Roman"/>
                <w:color w:val="0000FF" w:themeColor="hyperlink"/>
                <w:sz w:val="24"/>
                <w:szCs w:val="24"/>
                <w:u w:val="single"/>
              </w:rPr>
              <w:t>I.2</w:t>
            </w:r>
            <w:r>
              <w:tab/>
            </w:r>
            <w:r>
              <w:rPr>
                <w:rStyle w:val="Hyperlink"/>
                <w:rFonts w:ascii="Times New Roman" w:hAnsi="Times New Roman" w:eastAsia="Times New Roman" w:cs="Times New Roman"/>
                <w:color w:val="0000FF" w:themeColor="hyperlink"/>
                <w:sz w:val="24"/>
                <w:szCs w:val="24"/>
                <w:u w:val="single"/>
              </w:rPr>
              <w:t>Rumusan Masalah</w:t>
            </w:r>
            <w:r>
              <w:tab/>
            </w:r>
            <w:r>
              <w:rPr>
                <w:rFonts w:ascii="Times New Roman" w:hAnsi="Times New Roman" w:eastAsia="Times New Roman" w:cs="Times New Roman"/>
                <w:sz w:val="24"/>
                <w:szCs w:val="24"/>
              </w:rPr>
              <w:t>1</w:t>
            </w:r>
          </w:hyperlink>
        </w:p>
        <w:p w14:paraId="7B6752B8">
          <w:pPr>
            <w:pStyle w:val="TOC2"/>
            <w:tabs>
              <w:tab w:val="left" w:pos="800"/>
              <w:tab w:val="right" w:pos="7927" w:leader="dot"/>
            </w:tabs>
            <w:jc w:val="both"/>
            <w:rPr>
              <w:rFonts w:ascii="Calibri" w:hAnsi="Calibri" w:eastAsia="宋体" w:asciiTheme="minorHAnsi" w:hAnsiTheme="minorHAnsi" w:eastAsiaTheme="minorEastAsia" w:csTheme="minorBidi"/>
              <w:sz w:val="22"/>
              <w:szCs w:val="22"/>
            </w:rPr>
          </w:pPr>
          <w:hyperlink w:anchor="_Toc216028369">
            <w:r>
              <w:rPr>
                <w:rStyle w:val="Hyperlink"/>
                <w:rFonts w:ascii="Times New Roman" w:hAnsi="Times New Roman" w:eastAsia="Times New Roman" w:cs="Times New Roman"/>
                <w:color w:val="0000FF" w:themeColor="hyperlink"/>
                <w:sz w:val="24"/>
                <w:szCs w:val="24"/>
                <w:u w:val="single"/>
              </w:rPr>
              <w:t>I.3</w:t>
            </w:r>
            <w:r>
              <w:tab/>
            </w:r>
            <w:r>
              <w:rPr>
                <w:rStyle w:val="Hyperlink"/>
                <w:rFonts w:ascii="Times New Roman" w:hAnsi="Times New Roman" w:eastAsia="Times New Roman" w:cs="Times New Roman"/>
                <w:color w:val="0000FF" w:themeColor="hyperlink"/>
                <w:sz w:val="24"/>
                <w:szCs w:val="24"/>
                <w:u w:val="single"/>
              </w:rPr>
              <w:t>Tujuan dan Ukuran Keberhasilan Pencapaian</w:t>
            </w:r>
            <w:r>
              <w:tab/>
            </w:r>
            <w:r>
              <w:rPr>
                <w:rFonts w:ascii="Times New Roman" w:hAnsi="Times New Roman" w:eastAsia="Times New Roman" w:cs="Times New Roman"/>
                <w:sz w:val="24"/>
                <w:szCs w:val="24"/>
              </w:rPr>
              <w:t>2</w:t>
            </w:r>
          </w:hyperlink>
        </w:p>
        <w:p w14:paraId="33E5C671">
          <w:pPr>
            <w:pStyle w:val="TOC2"/>
            <w:tabs>
              <w:tab w:val="left" w:pos="800"/>
              <w:tab w:val="right" w:pos="7927" w:leader="dot"/>
            </w:tabs>
            <w:jc w:val="both"/>
            <w:rPr>
              <w:rFonts w:ascii="Calibri" w:hAnsi="Calibri" w:eastAsia="宋体" w:asciiTheme="minorHAnsi" w:hAnsiTheme="minorHAnsi" w:eastAsiaTheme="minorEastAsia" w:csTheme="minorBidi"/>
              <w:sz w:val="22"/>
              <w:szCs w:val="22"/>
            </w:rPr>
          </w:pPr>
          <w:hyperlink w:anchor="_Toc216028370">
            <w:r>
              <w:rPr>
                <w:rStyle w:val="Hyperlink"/>
                <w:rFonts w:ascii="Times New Roman" w:hAnsi="Times New Roman" w:eastAsia="Times New Roman" w:cs="Times New Roman"/>
                <w:color w:val="0000FF" w:themeColor="hyperlink"/>
                <w:sz w:val="24"/>
                <w:szCs w:val="24"/>
                <w:u w:val="single"/>
              </w:rPr>
              <w:t>I.4</w:t>
            </w:r>
            <w:r>
              <w:tab/>
            </w:r>
            <w:r>
              <w:rPr>
                <w:rStyle w:val="Hyperlink"/>
                <w:rFonts w:ascii="Times New Roman" w:hAnsi="Times New Roman" w:eastAsia="Times New Roman" w:cs="Times New Roman"/>
                <w:color w:val="0000FF" w:themeColor="hyperlink"/>
                <w:sz w:val="24"/>
                <w:szCs w:val="24"/>
                <w:u w:val="single"/>
              </w:rPr>
              <w:t>Batasan Masalah</w:t>
            </w:r>
            <w:r>
              <w:tab/>
            </w:r>
            <w:r>
              <w:rPr>
                <w:rFonts w:ascii="Times New Roman" w:hAnsi="Times New Roman" w:eastAsia="Times New Roman" w:cs="Times New Roman"/>
                <w:sz w:val="24"/>
                <w:szCs w:val="24"/>
              </w:rPr>
              <w:t>2</w:t>
            </w:r>
          </w:hyperlink>
        </w:p>
        <w:p w14:paraId="64023C9D">
          <w:pPr>
            <w:pStyle w:val="TOC2"/>
            <w:tabs>
              <w:tab w:val="left" w:pos="800"/>
              <w:tab w:val="right" w:pos="7927" w:leader="dot"/>
            </w:tabs>
            <w:jc w:val="both"/>
            <w:rPr>
              <w:rFonts w:ascii="Calibri" w:hAnsi="Calibri" w:eastAsia="宋体" w:asciiTheme="minorHAnsi" w:hAnsiTheme="minorHAnsi" w:eastAsiaTheme="minorEastAsia" w:csTheme="minorBidi"/>
              <w:sz w:val="22"/>
              <w:szCs w:val="22"/>
            </w:rPr>
          </w:pPr>
          <w:hyperlink w:anchor="_Toc216028371">
            <w:r>
              <w:rPr>
                <w:rStyle w:val="Hyperlink"/>
                <w:rFonts w:ascii="Times New Roman" w:hAnsi="Times New Roman" w:eastAsia="Times New Roman" w:cs="Times New Roman"/>
                <w:color w:val="0000FF" w:themeColor="hyperlink"/>
                <w:sz w:val="24"/>
                <w:szCs w:val="24"/>
                <w:u w:val="single"/>
              </w:rPr>
              <w:t>I.5</w:t>
            </w:r>
            <w:r>
              <w:tab/>
            </w:r>
            <w:r>
              <w:rPr>
                <w:rStyle w:val="Hyperlink"/>
                <w:rFonts w:ascii="Times New Roman" w:hAnsi="Times New Roman" w:eastAsia="Times New Roman" w:cs="Times New Roman"/>
                <w:color w:val="0000FF" w:themeColor="hyperlink"/>
                <w:sz w:val="24"/>
                <w:szCs w:val="24"/>
                <w:u w:val="single"/>
              </w:rPr>
              <w:t>Metodologi</w:t>
            </w:r>
            <w:r>
              <w:tab/>
            </w:r>
            <w:r>
              <w:rPr>
                <w:rFonts w:ascii="Times New Roman" w:hAnsi="Times New Roman" w:eastAsia="Times New Roman" w:cs="Times New Roman"/>
                <w:sz w:val="24"/>
                <w:szCs w:val="24"/>
              </w:rPr>
              <w:t>2</w:t>
            </w:r>
          </w:hyperlink>
        </w:p>
        <w:p w14:paraId="76EE87E0">
          <w:pPr>
            <w:pStyle w:val="TOC1"/>
            <w:tabs>
              <w:tab w:val="right" w:pos="7927" w:leader="dot"/>
            </w:tabs>
            <w:jc w:val="both"/>
            <w:rPr>
              <w:rFonts w:ascii="Calibri" w:hAnsi="Calibri" w:eastAsia="宋体" w:asciiTheme="minorHAnsi" w:hAnsiTheme="minorHAnsi" w:eastAsiaTheme="minorEastAsia" w:csTheme="minorBidi"/>
              <w:b w:val="0"/>
              <w:sz w:val="22"/>
              <w:szCs w:val="22"/>
            </w:rPr>
          </w:pPr>
          <w:hyperlink w:anchor="_Toc216028372">
            <w:r>
              <w:rPr>
                <w:rStyle w:val="Hyperlink"/>
                <w:rFonts w:ascii="Times New Roman" w:hAnsi="Times New Roman" w:eastAsia="Times New Roman" w:cs="Times New Roman"/>
                <w:b/>
                <w:bCs/>
                <w:color w:val="0000FF" w:themeColor="hyperlink"/>
                <w:sz w:val="24"/>
                <w:szCs w:val="24"/>
                <w:u w:val="single"/>
              </w:rPr>
              <w:t>BAB II KAJIAN PUSTAKA</w:t>
            </w:r>
            <w:r>
              <w:tab/>
            </w:r>
            <w:r>
              <w:rPr>
                <w:rFonts w:ascii="Times New Roman" w:hAnsi="Times New Roman" w:eastAsia="Times New Roman" w:cs="Times New Roman"/>
                <w:b/>
                <w:bCs/>
                <w:sz w:val="24"/>
                <w:szCs w:val="24"/>
              </w:rPr>
              <w:t>3</w:t>
            </w:r>
          </w:hyperlink>
        </w:p>
        <w:p w14:paraId="65B7EA60">
          <w:pPr>
            <w:pStyle w:val="TOC2"/>
            <w:tabs>
              <w:tab w:val="left" w:pos="800"/>
              <w:tab w:val="right" w:pos="7927" w:leader="dot"/>
            </w:tabs>
            <w:jc w:val="both"/>
            <w:rPr>
              <w:rFonts w:ascii="Calibri" w:hAnsi="Calibri" w:eastAsia="宋体" w:asciiTheme="minorHAnsi" w:hAnsiTheme="minorHAnsi" w:eastAsiaTheme="minorEastAsia" w:csTheme="minorBidi"/>
              <w:sz w:val="22"/>
              <w:szCs w:val="22"/>
            </w:rPr>
          </w:pPr>
          <w:hyperlink w:anchor="_Toc9009001">
            <w:r>
              <w:rPr>
                <w:rStyle w:val="Hyperlink"/>
                <w:rFonts w:ascii="Times New Roman" w:hAnsi="Times New Roman" w:eastAsia="Times New Roman" w:cs="Times New Roman"/>
                <w:color w:val="0000FF" w:themeColor="hyperlink"/>
                <w:sz w:val="24"/>
                <w:szCs w:val="24"/>
                <w:u w:val="single"/>
              </w:rPr>
              <w:t>II.1</w:t>
            </w:r>
            <w:r>
              <w:tab/>
            </w:r>
            <w:r>
              <w:rPr>
                <w:rStyle w:val="Hyperlink"/>
                <w:rFonts w:ascii="Times New Roman" w:hAnsi="Times New Roman" w:eastAsia="Times New Roman" w:cs="Times New Roman"/>
                <w:color w:val="0000FF" w:themeColor="hyperlink"/>
                <w:sz w:val="24"/>
                <w:szCs w:val="24"/>
                <w:u w:val="single"/>
              </w:rPr>
              <w:t>Dokumentasi Klinis dan Klaim JKN</w:t>
            </w:r>
            <w:r>
              <w:tab/>
            </w:r>
            <w:r>
              <w:rPr>
                <w:rFonts w:ascii="Times New Roman" w:hAnsi="Times New Roman" w:eastAsia="Times New Roman" w:cs="Times New Roman"/>
                <w:sz w:val="24"/>
                <w:szCs w:val="24"/>
              </w:rPr>
              <w:t>3</w:t>
            </w:r>
          </w:hyperlink>
        </w:p>
        <w:p w14:paraId="7E755D19">
          <w:pPr>
            <w:pStyle w:val="TOC3"/>
            <w:tabs>
              <w:tab w:val="left" w:pos="1200"/>
              <w:tab w:val="right" w:pos="7927" w:leader="dot"/>
            </w:tabs>
            <w:jc w:val="both"/>
            <w:rPr>
              <w:rFonts w:ascii="Calibri" w:hAnsi="Calibri" w:eastAsia="宋体" w:asciiTheme="minorHAnsi" w:hAnsiTheme="minorHAnsi" w:eastAsiaTheme="minorEastAsia" w:csTheme="minorBidi"/>
              <w:sz w:val="22"/>
              <w:szCs w:val="22"/>
            </w:rPr>
          </w:pPr>
          <w:hyperlink w:anchor="_Toc9009002">
            <w:r>
              <w:rPr>
                <w:rStyle w:val="Hyperlink"/>
                <w:rFonts w:ascii="Times New Roman" w:hAnsi="Times New Roman" w:eastAsia="Times New Roman" w:cs="Times New Roman"/>
                <w:color w:val="0000FF" w:themeColor="hyperlink"/>
                <w:sz w:val="24"/>
                <w:szCs w:val="24"/>
                <w:u w:val="single"/>
              </w:rPr>
              <w:t>II.1.1</w:t>
            </w:r>
            <w:r>
              <w:tab/>
            </w:r>
            <w:r>
              <w:rPr>
                <w:rStyle w:val="Hyperlink"/>
                <w:rFonts w:ascii="Times New Roman" w:hAnsi="Times New Roman" w:eastAsia="Times New Roman" w:cs="Times New Roman"/>
                <w:color w:val="0000FF" w:themeColor="hyperlink"/>
                <w:sz w:val="24"/>
                <w:szCs w:val="24"/>
                <w:u w:val="single"/>
              </w:rPr>
              <w:t>Alur Klaim JKN dan Studi tentang Klaim Rawat Inap</w:t>
            </w:r>
            <w:r>
              <w:tab/>
            </w:r>
            <w:r>
              <w:rPr>
                <w:rFonts w:ascii="Times New Roman" w:hAnsi="Times New Roman" w:eastAsia="Times New Roman" w:cs="Times New Roman"/>
                <w:sz w:val="24"/>
                <w:szCs w:val="24"/>
              </w:rPr>
              <w:t>3</w:t>
            </w:r>
          </w:hyperlink>
        </w:p>
        <w:p w14:paraId="68F4D5A2">
          <w:pPr>
            <w:pStyle w:val="TOC3"/>
            <w:tabs>
              <w:tab w:val="left" w:pos="1200"/>
              <w:tab w:val="right" w:pos="7927" w:leader="dot"/>
            </w:tabs>
            <w:jc w:val="both"/>
            <w:rPr>
              <w:rFonts w:ascii="Calibri" w:hAnsi="Calibri" w:eastAsia="宋体" w:asciiTheme="minorHAnsi" w:hAnsiTheme="minorHAnsi" w:eastAsiaTheme="minorEastAsia" w:csTheme="minorBidi"/>
              <w:sz w:val="22"/>
              <w:szCs w:val="22"/>
            </w:rPr>
          </w:pPr>
          <w:hyperlink w:anchor="_Toc9009003">
            <w:r>
              <w:rPr>
                <w:rStyle w:val="Hyperlink"/>
                <w:rFonts w:ascii="Times New Roman" w:hAnsi="Times New Roman" w:eastAsia="Times New Roman" w:cs="Times New Roman"/>
                <w:color w:val="0000FF" w:themeColor="hyperlink"/>
                <w:sz w:val="24"/>
                <w:szCs w:val="24"/>
                <w:u w:val="single"/>
              </w:rPr>
              <w:t>II.1.2</w:t>
            </w:r>
            <w:r>
              <w:tab/>
            </w:r>
            <w:r>
              <w:rPr>
                <w:rStyle w:val="Hyperlink"/>
                <w:rFonts w:ascii="Times New Roman" w:hAnsi="Times New Roman" w:eastAsia="Times New Roman" w:cs="Times New Roman"/>
                <w:color w:val="0000FF" w:themeColor="hyperlink"/>
                <w:sz w:val="24"/>
                <w:szCs w:val="24"/>
                <w:u w:val="single"/>
              </w:rPr>
              <w:t>Sintesis dan Celah</w:t>
            </w:r>
            <w:r>
              <w:tab/>
            </w:r>
            <w:r>
              <w:rPr>
                <w:rFonts w:ascii="Times New Roman" w:hAnsi="Times New Roman" w:eastAsia="Times New Roman" w:cs="Times New Roman"/>
                <w:sz w:val="24"/>
                <w:szCs w:val="24"/>
              </w:rPr>
              <w:t>4</w:t>
            </w:r>
          </w:hyperlink>
        </w:p>
        <w:p w14:paraId="7F15267D">
          <w:pPr>
            <w:pStyle w:val="TOC2"/>
            <w:tabs>
              <w:tab w:val="left" w:pos="800"/>
              <w:tab w:val="right" w:pos="7927" w:leader="dot"/>
            </w:tabs>
            <w:jc w:val="both"/>
            <w:rPr>
              <w:rFonts w:ascii="Calibri" w:hAnsi="Calibri" w:eastAsia="宋体" w:asciiTheme="minorHAnsi" w:hAnsiTheme="minorHAnsi" w:eastAsiaTheme="minorEastAsia" w:csTheme="minorBidi"/>
              <w:sz w:val="22"/>
              <w:szCs w:val="22"/>
            </w:rPr>
          </w:pPr>
          <w:hyperlink w:anchor="_Toc9009004">
            <w:r>
              <w:rPr>
                <w:rStyle w:val="Hyperlink"/>
                <w:rFonts w:ascii="Times New Roman" w:hAnsi="Times New Roman" w:eastAsia="Times New Roman" w:cs="Times New Roman"/>
                <w:color w:val="0000FF" w:themeColor="hyperlink"/>
                <w:sz w:val="24"/>
                <w:szCs w:val="24"/>
                <w:u w:val="single"/>
              </w:rPr>
              <w:t>II.2</w:t>
            </w:r>
            <w:r>
              <w:tab/>
            </w:r>
            <w:r>
              <w:rPr>
                <w:rStyle w:val="Hyperlink"/>
                <w:rFonts w:ascii="Times New Roman" w:hAnsi="Times New Roman" w:eastAsia="Times New Roman" w:cs="Times New Roman"/>
                <w:color w:val="0000FF" w:themeColor="hyperlink"/>
                <w:sz w:val="24"/>
                <w:szCs w:val="24"/>
                <w:u w:val="single"/>
              </w:rPr>
              <w:t>NLP dan LLM pada Teks Klinis</w:t>
            </w:r>
            <w:r>
              <w:tab/>
            </w:r>
            <w:r>
              <w:rPr>
                <w:rFonts w:ascii="Times New Roman" w:hAnsi="Times New Roman" w:eastAsia="Times New Roman" w:cs="Times New Roman"/>
                <w:sz w:val="24"/>
                <w:szCs w:val="24"/>
              </w:rPr>
              <w:t>5</w:t>
            </w:r>
          </w:hyperlink>
        </w:p>
        <w:p w14:paraId="469FD3AA">
          <w:pPr>
            <w:pStyle w:val="TOC3"/>
            <w:tabs>
              <w:tab w:val="left" w:pos="1200"/>
              <w:tab w:val="right" w:pos="7927" w:leader="dot"/>
            </w:tabs>
            <w:jc w:val="both"/>
            <w:rPr>
              <w:rFonts w:ascii="Calibri" w:hAnsi="Calibri" w:eastAsia="宋体" w:asciiTheme="minorHAnsi" w:hAnsiTheme="minorHAnsi" w:eastAsiaTheme="minorEastAsia" w:csTheme="minorBidi"/>
              <w:sz w:val="22"/>
              <w:szCs w:val="22"/>
            </w:rPr>
          </w:pPr>
          <w:hyperlink w:anchor="_Toc9009005">
            <w:r>
              <w:rPr>
                <w:rStyle w:val="Hyperlink"/>
                <w:rFonts w:ascii="Times New Roman" w:hAnsi="Times New Roman" w:eastAsia="Times New Roman" w:cs="Times New Roman"/>
                <w:color w:val="0000FF" w:themeColor="hyperlink"/>
                <w:sz w:val="24"/>
                <w:szCs w:val="24"/>
                <w:u w:val="single"/>
              </w:rPr>
              <w:t>II.2.1</w:t>
            </w:r>
            <w:r>
              <w:tab/>
            </w:r>
            <w:r>
              <w:rPr>
                <w:rStyle w:val="Hyperlink"/>
                <w:rFonts w:ascii="Times New Roman" w:hAnsi="Times New Roman" w:eastAsia="Times New Roman" w:cs="Times New Roman"/>
                <w:color w:val="0000FF" w:themeColor="hyperlink"/>
                <w:sz w:val="24"/>
                <w:szCs w:val="24"/>
                <w:u w:val="single"/>
              </w:rPr>
              <w:t>Tugas dan Model Bahasa untuk Teks Klinis</w:t>
            </w:r>
            <w:r>
              <w:tab/>
            </w:r>
            <w:r>
              <w:rPr>
                <w:rFonts w:ascii="Times New Roman" w:hAnsi="Times New Roman" w:eastAsia="Times New Roman" w:cs="Times New Roman"/>
                <w:sz w:val="24"/>
                <w:szCs w:val="24"/>
              </w:rPr>
              <w:t>5</w:t>
            </w:r>
          </w:hyperlink>
        </w:p>
        <w:p w14:paraId="16A7CEA7">
          <w:pPr>
            <w:pStyle w:val="TOC3"/>
            <w:tabs>
              <w:tab w:val="left" w:pos="1200"/>
              <w:tab w:val="right" w:pos="7927" w:leader="dot"/>
            </w:tabs>
            <w:jc w:val="both"/>
            <w:rPr>
              <w:rFonts w:ascii="Calibri" w:hAnsi="Calibri" w:eastAsia="宋体" w:asciiTheme="minorHAnsi" w:hAnsiTheme="minorHAnsi" w:eastAsiaTheme="minorEastAsia" w:csTheme="minorBidi"/>
              <w:sz w:val="22"/>
              <w:szCs w:val="22"/>
            </w:rPr>
          </w:pPr>
          <w:hyperlink w:anchor="_Toc9009006">
            <w:r>
              <w:rPr>
                <w:rStyle w:val="Hyperlink"/>
                <w:rFonts w:ascii="Times New Roman" w:hAnsi="Times New Roman" w:eastAsia="Times New Roman" w:cs="Times New Roman"/>
                <w:color w:val="0000FF" w:themeColor="hyperlink"/>
                <w:sz w:val="24"/>
                <w:szCs w:val="24"/>
                <w:u w:val="single"/>
              </w:rPr>
              <w:t>II.2.2</w:t>
            </w:r>
            <w:r>
              <w:tab/>
            </w:r>
            <w:r>
              <w:rPr>
                <w:rStyle w:val="Hyperlink"/>
                <w:rFonts w:ascii="Times New Roman" w:hAnsi="Times New Roman" w:eastAsia="Times New Roman" w:cs="Times New Roman"/>
                <w:color w:val="0000FF" w:themeColor="hyperlink"/>
                <w:sz w:val="24"/>
                <w:szCs w:val="24"/>
                <w:u w:val="single"/>
              </w:rPr>
              <w:t>LLM untuk Dokumentasi Klinis dan Ringkasan Pulang</w:t>
            </w:r>
            <w:r>
              <w:tab/>
            </w:r>
            <w:r>
              <w:rPr>
                <w:rFonts w:ascii="Times New Roman" w:hAnsi="Times New Roman" w:eastAsia="Times New Roman" w:cs="Times New Roman"/>
                <w:sz w:val="24"/>
                <w:szCs w:val="24"/>
              </w:rPr>
              <w:t>5</w:t>
            </w:r>
          </w:hyperlink>
        </w:p>
        <w:p w14:paraId="663BB0DB">
          <w:pPr>
            <w:pStyle w:val="TOC3"/>
            <w:tabs>
              <w:tab w:val="left" w:pos="1200"/>
              <w:tab w:val="right" w:pos="7927" w:leader="dot"/>
            </w:tabs>
            <w:jc w:val="both"/>
            <w:rPr>
              <w:rFonts w:ascii="Calibri" w:hAnsi="Calibri" w:eastAsia="宋体" w:asciiTheme="minorHAnsi" w:hAnsiTheme="minorHAnsi" w:eastAsiaTheme="minorEastAsia" w:csTheme="minorBidi"/>
              <w:sz w:val="22"/>
              <w:szCs w:val="22"/>
            </w:rPr>
          </w:pPr>
          <w:hyperlink w:anchor="_Toc9009007">
            <w:r>
              <w:rPr>
                <w:rStyle w:val="Hyperlink"/>
                <w:rFonts w:ascii="Times New Roman" w:hAnsi="Times New Roman" w:eastAsia="Times New Roman" w:cs="Times New Roman"/>
                <w:color w:val="0000FF" w:themeColor="hyperlink"/>
                <w:sz w:val="24"/>
                <w:szCs w:val="24"/>
                <w:u w:val="single"/>
              </w:rPr>
              <w:t>II.2.3</w:t>
            </w:r>
            <w:r>
              <w:tab/>
            </w:r>
            <w:r>
              <w:rPr>
                <w:rStyle w:val="Hyperlink"/>
                <w:rFonts w:ascii="Times New Roman" w:hAnsi="Times New Roman" w:eastAsia="Times New Roman" w:cs="Times New Roman"/>
                <w:color w:val="0000FF" w:themeColor="hyperlink"/>
                <w:sz w:val="24"/>
                <w:szCs w:val="24"/>
                <w:u w:val="single"/>
              </w:rPr>
              <w:t>Singkatan, Normalisasi Istilah, dan Penalaran Temporal</w:t>
            </w:r>
            <w:r>
              <w:tab/>
            </w:r>
            <w:r>
              <w:rPr>
                <w:rFonts w:ascii="Times New Roman" w:hAnsi="Times New Roman" w:eastAsia="Times New Roman" w:cs="Times New Roman"/>
                <w:sz w:val="24"/>
                <w:szCs w:val="24"/>
              </w:rPr>
              <w:t>6</w:t>
            </w:r>
          </w:hyperlink>
        </w:p>
        <w:p w14:paraId="4373DB96">
          <w:pPr>
            <w:pStyle w:val="TOC3"/>
            <w:tabs>
              <w:tab w:val="left" w:pos="1200"/>
              <w:tab w:val="right" w:pos="7927" w:leader="dot"/>
            </w:tabs>
            <w:jc w:val="both"/>
            <w:rPr>
              <w:rFonts w:ascii="Calibri" w:hAnsi="Calibri" w:eastAsia="宋体" w:asciiTheme="minorHAnsi" w:hAnsiTheme="minorHAnsi" w:eastAsiaTheme="minorEastAsia" w:csTheme="minorBidi"/>
              <w:sz w:val="22"/>
              <w:szCs w:val="22"/>
            </w:rPr>
          </w:pPr>
          <w:hyperlink w:anchor="_Toc9009008">
            <w:r>
              <w:rPr>
                <w:rStyle w:val="Hyperlink"/>
                <w:rFonts w:ascii="Times New Roman" w:hAnsi="Times New Roman" w:eastAsia="Times New Roman" w:cs="Times New Roman"/>
                <w:color w:val="0000FF" w:themeColor="hyperlink"/>
                <w:sz w:val="24"/>
                <w:szCs w:val="24"/>
                <w:u w:val="single"/>
              </w:rPr>
              <w:t>II.2.4</w:t>
            </w:r>
            <w:r>
              <w:tab/>
            </w:r>
            <w:r>
              <w:rPr>
                <w:rStyle w:val="Hyperlink"/>
                <w:rFonts w:ascii="Times New Roman" w:hAnsi="Times New Roman" w:eastAsia="Times New Roman" w:cs="Times New Roman"/>
                <w:color w:val="0000FF" w:themeColor="hyperlink"/>
                <w:sz w:val="24"/>
                <w:szCs w:val="24"/>
                <w:u w:val="single"/>
              </w:rPr>
              <w:t>Sintesis dan Celah</w:t>
            </w:r>
            <w:r>
              <w:tab/>
            </w:r>
            <w:r>
              <w:rPr>
                <w:rFonts w:ascii="Times New Roman" w:hAnsi="Times New Roman" w:eastAsia="Times New Roman" w:cs="Times New Roman"/>
                <w:sz w:val="24"/>
                <w:szCs w:val="24"/>
              </w:rPr>
              <w:t>8</w:t>
            </w:r>
          </w:hyperlink>
        </w:p>
        <w:p w14:paraId="701BC389">
          <w:pPr>
            <w:pStyle w:val="TOC2"/>
            <w:tabs>
              <w:tab w:val="left" w:pos="800"/>
              <w:tab w:val="right" w:pos="7927" w:leader="dot"/>
            </w:tabs>
            <w:jc w:val="both"/>
            <w:rPr>
              <w:rFonts w:ascii="Calibri" w:hAnsi="Calibri" w:eastAsia="宋体" w:asciiTheme="minorHAnsi" w:hAnsiTheme="minorHAnsi" w:eastAsiaTheme="minorEastAsia" w:csTheme="minorBidi"/>
              <w:sz w:val="22"/>
              <w:szCs w:val="22"/>
            </w:rPr>
          </w:pPr>
          <w:hyperlink w:anchor="_Toc9009009">
            <w:r>
              <w:rPr>
                <w:rStyle w:val="Hyperlink"/>
                <w:rFonts w:ascii="Times New Roman" w:hAnsi="Times New Roman" w:eastAsia="Times New Roman" w:cs="Times New Roman"/>
                <w:color w:val="0000FF" w:themeColor="hyperlink"/>
                <w:sz w:val="24"/>
                <w:szCs w:val="24"/>
                <w:u w:val="single"/>
              </w:rPr>
              <w:t>II.3</w:t>
            </w:r>
            <w:r>
              <w:tab/>
            </w:r>
            <w:r>
              <w:rPr>
                <w:rStyle w:val="Hyperlink"/>
                <w:rFonts w:ascii="Times New Roman" w:hAnsi="Times New Roman" w:eastAsia="Times New Roman" w:cs="Times New Roman"/>
                <w:color w:val="0000FF" w:themeColor="hyperlink"/>
                <w:sz w:val="24"/>
                <w:szCs w:val="24"/>
                <w:u w:val="single"/>
              </w:rPr>
              <w:t>Audit Otomatis Dokumentasi Klinis dan Kode Diagnosis</w:t>
            </w:r>
            <w:r>
              <w:tab/>
            </w:r>
            <w:r>
              <w:rPr>
                <w:rFonts w:ascii="Times New Roman" w:hAnsi="Times New Roman" w:eastAsia="Times New Roman" w:cs="Times New Roman"/>
                <w:sz w:val="24"/>
                <w:szCs w:val="24"/>
              </w:rPr>
              <w:t>8</w:t>
            </w:r>
          </w:hyperlink>
        </w:p>
        <w:p w14:paraId="010EB428">
          <w:pPr>
            <w:pStyle w:val="TOC3"/>
            <w:tabs>
              <w:tab w:val="left" w:pos="1200"/>
              <w:tab w:val="right" w:pos="7927" w:leader="dot"/>
            </w:tabs>
            <w:jc w:val="both"/>
            <w:rPr>
              <w:rFonts w:ascii="Calibri" w:hAnsi="Calibri" w:eastAsia="宋体" w:asciiTheme="minorHAnsi" w:hAnsiTheme="minorHAnsi" w:eastAsiaTheme="minorEastAsia" w:csTheme="minorBidi"/>
              <w:sz w:val="22"/>
              <w:szCs w:val="22"/>
            </w:rPr>
          </w:pPr>
          <w:hyperlink w:anchor="_Toc9009010">
            <w:r>
              <w:rPr>
                <w:rStyle w:val="Hyperlink"/>
                <w:rFonts w:ascii="Times New Roman" w:hAnsi="Times New Roman" w:eastAsia="Times New Roman" w:cs="Times New Roman"/>
                <w:color w:val="0000FF" w:themeColor="hyperlink"/>
                <w:sz w:val="24"/>
                <w:szCs w:val="24"/>
                <w:u w:val="single"/>
              </w:rPr>
              <w:t>II.3.1</w:t>
            </w:r>
            <w:r>
              <w:tab/>
            </w:r>
            <w:r>
              <w:rPr>
                <w:rStyle w:val="Hyperlink"/>
                <w:rFonts w:ascii="Times New Roman" w:hAnsi="Times New Roman" w:eastAsia="Times New Roman" w:cs="Times New Roman"/>
                <w:color w:val="0000FF" w:themeColor="hyperlink"/>
                <w:sz w:val="24"/>
                <w:szCs w:val="24"/>
                <w:u w:val="single"/>
              </w:rPr>
              <w:t>Model Bahasa Besar sebagai Pemeriksa Dokumentasi</w:t>
            </w:r>
            <w:r>
              <w:tab/>
            </w:r>
            <w:r>
              <w:rPr>
                <w:rFonts w:ascii="Times New Roman" w:hAnsi="Times New Roman" w:eastAsia="Times New Roman" w:cs="Times New Roman"/>
                <w:sz w:val="24"/>
                <w:szCs w:val="24"/>
              </w:rPr>
              <w:t>8</w:t>
            </w:r>
          </w:hyperlink>
        </w:p>
        <w:p w14:paraId="49A17A7C">
          <w:pPr>
            <w:pStyle w:val="TOC3"/>
            <w:tabs>
              <w:tab w:val="left" w:pos="1200"/>
              <w:tab w:val="right" w:pos="7927" w:leader="dot"/>
            </w:tabs>
            <w:jc w:val="both"/>
            <w:rPr>
              <w:rFonts w:ascii="Calibri" w:hAnsi="Calibri" w:eastAsia="宋体" w:asciiTheme="minorHAnsi" w:hAnsiTheme="minorHAnsi" w:eastAsiaTheme="minorEastAsia" w:csTheme="minorBidi"/>
              <w:sz w:val="22"/>
              <w:szCs w:val="22"/>
            </w:rPr>
          </w:pPr>
          <w:hyperlink w:anchor="_Toc9009011">
            <w:r>
              <w:rPr>
                <w:rStyle w:val="Hyperlink"/>
                <w:rFonts w:ascii="Times New Roman" w:hAnsi="Times New Roman" w:eastAsia="Times New Roman" w:cs="Times New Roman"/>
                <w:color w:val="0000FF" w:themeColor="hyperlink"/>
                <w:sz w:val="24"/>
                <w:szCs w:val="24"/>
                <w:u w:val="single"/>
              </w:rPr>
              <w:t>II.3.2</w:t>
            </w:r>
            <w:r>
              <w:tab/>
            </w:r>
            <w:r>
              <w:rPr>
                <w:rStyle w:val="Hyperlink"/>
                <w:rFonts w:ascii="Times New Roman" w:hAnsi="Times New Roman" w:eastAsia="Times New Roman" w:cs="Times New Roman"/>
                <w:color w:val="0000FF" w:themeColor="hyperlink"/>
                <w:sz w:val="24"/>
                <w:szCs w:val="24"/>
                <w:u w:val="single"/>
              </w:rPr>
              <w:t>Audit Label Diagnosis dan Kesesuaian Kode dengan Catatan Klinis</w:t>
            </w:r>
            <w:r>
              <w:tab/>
            </w:r>
            <w:r>
              <w:rPr>
                <w:rFonts w:ascii="Times New Roman" w:hAnsi="Times New Roman" w:eastAsia="Times New Roman" w:cs="Times New Roman"/>
                <w:sz w:val="24"/>
                <w:szCs w:val="24"/>
              </w:rPr>
              <w:t>9</w:t>
            </w:r>
          </w:hyperlink>
        </w:p>
        <w:p w14:paraId="5CC77211">
          <w:pPr>
            <w:pStyle w:val="TOC3"/>
            <w:tabs>
              <w:tab w:val="left" w:pos="1200"/>
              <w:tab w:val="right" w:pos="7927" w:leader="dot"/>
            </w:tabs>
            <w:jc w:val="both"/>
            <w:rPr>
              <w:rFonts w:ascii="Calibri" w:hAnsi="Calibri" w:eastAsia="宋体" w:asciiTheme="minorHAnsi" w:hAnsiTheme="minorHAnsi" w:eastAsiaTheme="minorEastAsia" w:csTheme="minorBidi"/>
              <w:sz w:val="22"/>
              <w:szCs w:val="22"/>
            </w:rPr>
          </w:pPr>
          <w:hyperlink w:anchor="_Toc9009012">
            <w:r>
              <w:rPr>
                <w:rStyle w:val="Hyperlink"/>
                <w:rFonts w:ascii="Times New Roman" w:hAnsi="Times New Roman" w:eastAsia="Times New Roman" w:cs="Times New Roman"/>
                <w:color w:val="0000FF" w:themeColor="hyperlink"/>
                <w:sz w:val="24"/>
                <w:szCs w:val="24"/>
                <w:u w:val="single"/>
              </w:rPr>
              <w:t>II.3.3</w:t>
            </w:r>
            <w:r>
              <w:tab/>
            </w:r>
            <w:r>
              <w:rPr>
                <w:rStyle w:val="Hyperlink"/>
                <w:rFonts w:ascii="Times New Roman" w:hAnsi="Times New Roman" w:eastAsia="Times New Roman" w:cs="Times New Roman"/>
                <w:color w:val="0000FF" w:themeColor="hyperlink"/>
                <w:sz w:val="24"/>
                <w:szCs w:val="24"/>
                <w:u w:val="single"/>
              </w:rPr>
              <w:t>Pengodean ICD Otomatis dan Ketahanannya terhadap Variasi Teks</w:t>
            </w:r>
            <w:r>
              <w:tab/>
            </w:r>
            <w:r>
              <w:rPr>
                <w:rFonts w:ascii="Times New Roman" w:hAnsi="Times New Roman" w:eastAsia="Times New Roman" w:cs="Times New Roman"/>
                <w:sz w:val="24"/>
                <w:szCs w:val="24"/>
              </w:rPr>
              <w:t>10</w:t>
            </w:r>
          </w:hyperlink>
        </w:p>
        <w:p w14:paraId="523F0B53">
          <w:pPr>
            <w:pStyle w:val="TOC3"/>
            <w:tabs>
              <w:tab w:val="left" w:pos="1200"/>
              <w:tab w:val="right" w:pos="7927" w:leader="dot"/>
            </w:tabs>
            <w:jc w:val="both"/>
            <w:rPr>
              <w:rFonts w:ascii="Calibri" w:hAnsi="Calibri" w:eastAsia="宋体" w:asciiTheme="minorHAnsi" w:hAnsiTheme="minorHAnsi" w:eastAsiaTheme="minorEastAsia" w:csTheme="minorBidi"/>
              <w:sz w:val="22"/>
              <w:szCs w:val="22"/>
            </w:rPr>
          </w:pPr>
          <w:hyperlink w:anchor="_Toc9009013">
            <w:r>
              <w:rPr>
                <w:rStyle w:val="Hyperlink"/>
                <w:rFonts w:ascii="Times New Roman" w:hAnsi="Times New Roman" w:eastAsia="Times New Roman" w:cs="Times New Roman"/>
                <w:color w:val="0000FF" w:themeColor="hyperlink"/>
                <w:sz w:val="24"/>
                <w:szCs w:val="24"/>
                <w:u w:val="single"/>
              </w:rPr>
              <w:t>II.3.4</w:t>
            </w:r>
            <w:r>
              <w:tab/>
            </w:r>
            <w:r>
              <w:rPr>
                <w:rStyle w:val="Hyperlink"/>
                <w:rFonts w:ascii="Times New Roman" w:hAnsi="Times New Roman" w:eastAsia="Times New Roman" w:cs="Times New Roman"/>
                <w:color w:val="0000FF" w:themeColor="hyperlink"/>
                <w:sz w:val="24"/>
                <w:szCs w:val="24"/>
                <w:u w:val="single"/>
              </w:rPr>
              <w:t>Sintesis dan Posisi Penelitian</w:t>
            </w:r>
            <w:r>
              <w:tab/>
            </w:r>
            <w:r>
              <w:rPr>
                <w:rFonts w:ascii="Times New Roman" w:hAnsi="Times New Roman" w:eastAsia="Times New Roman" w:cs="Times New Roman"/>
                <w:sz w:val="24"/>
                <w:szCs w:val="24"/>
              </w:rPr>
              <w:t>11</w:t>
            </w:r>
          </w:hyperlink>
        </w:p>
        <w:p w14:paraId="3C555229">
          <w:pPr>
            <w:pStyle w:val="TOC2"/>
            <w:tabs>
              <w:tab w:val="left" w:pos="800"/>
              <w:tab w:val="right" w:pos="7927" w:leader="dot"/>
            </w:tabs>
            <w:jc w:val="both"/>
            <w:rPr>
              <w:rFonts w:ascii="Calibri" w:hAnsi="Calibri" w:eastAsia="宋体" w:asciiTheme="minorHAnsi" w:hAnsiTheme="minorHAnsi" w:eastAsiaTheme="minorEastAsia" w:csTheme="minorBidi"/>
              <w:sz w:val="22"/>
              <w:szCs w:val="22"/>
            </w:rPr>
          </w:pPr>
          <w:hyperlink w:anchor="_Toc9009014">
            <w:r>
              <w:rPr>
                <w:rStyle w:val="Hyperlink"/>
                <w:rFonts w:ascii="Times New Roman" w:hAnsi="Times New Roman" w:eastAsia="Times New Roman" w:cs="Times New Roman"/>
                <w:color w:val="0000FF" w:themeColor="hyperlink"/>
                <w:sz w:val="24"/>
                <w:szCs w:val="24"/>
                <w:u w:val="single"/>
              </w:rPr>
              <w:t>II.4</w:t>
            </w:r>
            <w:r>
              <w:tab/>
            </w:r>
            <w:r>
              <w:rPr>
                <w:rStyle w:val="Hyperlink"/>
                <w:rFonts w:ascii="Times New Roman" w:hAnsi="Times New Roman" w:eastAsia="Times New Roman" w:cs="Times New Roman"/>
                <w:color w:val="0000FF" w:themeColor="hyperlink"/>
                <w:sz w:val="24"/>
                <w:szCs w:val="24"/>
                <w:u w:val="single"/>
              </w:rPr>
              <w:t>Pendekatan Hibrida Berbasis Aturan dan AI/NLP</w:t>
            </w:r>
            <w:r>
              <w:tab/>
            </w:r>
            <w:r>
              <w:rPr>
                <w:rFonts w:ascii="Times New Roman" w:hAnsi="Times New Roman" w:eastAsia="Times New Roman" w:cs="Times New Roman"/>
                <w:sz w:val="24"/>
                <w:szCs w:val="24"/>
              </w:rPr>
              <w:t>12</w:t>
            </w:r>
          </w:hyperlink>
        </w:p>
        <w:p w14:paraId="3FCFDBEE">
          <w:pPr>
            <w:pStyle w:val="TOC3"/>
            <w:tabs>
              <w:tab w:val="left" w:pos="1200"/>
              <w:tab w:val="right" w:pos="7927" w:leader="dot"/>
            </w:tabs>
            <w:jc w:val="both"/>
            <w:rPr>
              <w:rFonts w:ascii="Calibri" w:hAnsi="Calibri" w:eastAsia="宋体" w:asciiTheme="minorHAnsi" w:hAnsiTheme="minorHAnsi" w:eastAsiaTheme="minorEastAsia" w:csTheme="minorBidi"/>
              <w:sz w:val="22"/>
              <w:szCs w:val="22"/>
            </w:rPr>
          </w:pPr>
          <w:hyperlink w:anchor="_Toc9009015">
            <w:r>
              <w:rPr>
                <w:rStyle w:val="Hyperlink"/>
                <w:rFonts w:ascii="Times New Roman" w:hAnsi="Times New Roman" w:eastAsia="Times New Roman" w:cs="Times New Roman"/>
                <w:color w:val="0000FF" w:themeColor="hyperlink"/>
                <w:sz w:val="24"/>
                <w:szCs w:val="24"/>
                <w:u w:val="single"/>
              </w:rPr>
              <w:t>II.4.1</w:t>
            </w:r>
            <w:r>
              <w:tab/>
            </w:r>
            <w:r>
              <w:rPr>
                <w:rStyle w:val="Hyperlink"/>
                <w:rFonts w:ascii="Times New Roman" w:hAnsi="Times New Roman" w:eastAsia="Times New Roman" w:cs="Times New Roman"/>
                <w:color w:val="0000FF" w:themeColor="hyperlink"/>
                <w:sz w:val="24"/>
                <w:szCs w:val="24"/>
                <w:u w:val="single"/>
              </w:rPr>
              <w:t>Kekuatan dan Batas Sistem Berbasis Aturan</w:t>
            </w:r>
            <w:r>
              <w:tab/>
            </w:r>
            <w:r>
              <w:rPr>
                <w:rFonts w:ascii="Times New Roman" w:hAnsi="Times New Roman" w:eastAsia="Times New Roman" w:cs="Times New Roman"/>
                <w:sz w:val="24"/>
                <w:szCs w:val="24"/>
              </w:rPr>
              <w:t>12</w:t>
            </w:r>
          </w:hyperlink>
        </w:p>
        <w:p w14:paraId="6E0306A4">
          <w:pPr>
            <w:pStyle w:val="TOC3"/>
            <w:tabs>
              <w:tab w:val="left" w:pos="1200"/>
              <w:tab w:val="right" w:pos="7927" w:leader="dot"/>
            </w:tabs>
            <w:jc w:val="both"/>
            <w:rPr>
              <w:rFonts w:ascii="Calibri" w:hAnsi="Calibri" w:eastAsia="宋体" w:asciiTheme="minorHAnsi" w:hAnsiTheme="minorHAnsi" w:eastAsiaTheme="minorEastAsia" w:csTheme="minorBidi"/>
              <w:sz w:val="22"/>
              <w:szCs w:val="22"/>
            </w:rPr>
          </w:pPr>
          <w:hyperlink w:anchor="_Toc9009016">
            <w:r>
              <w:rPr>
                <w:rStyle w:val="Hyperlink"/>
                <w:rFonts w:ascii="Times New Roman" w:hAnsi="Times New Roman" w:eastAsia="Times New Roman" w:cs="Times New Roman"/>
                <w:color w:val="0000FF" w:themeColor="hyperlink"/>
                <w:sz w:val="24"/>
                <w:szCs w:val="24"/>
                <w:u w:val="single"/>
              </w:rPr>
              <w:t>II.4.2</w:t>
            </w:r>
            <w:r>
              <w:tab/>
            </w:r>
            <w:r>
              <w:rPr>
                <w:rStyle w:val="Hyperlink"/>
                <w:rFonts w:ascii="Times New Roman" w:hAnsi="Times New Roman" w:eastAsia="Times New Roman" w:cs="Times New Roman"/>
                <w:color w:val="0000FF" w:themeColor="hyperlink"/>
                <w:sz w:val="24"/>
                <w:szCs w:val="24"/>
                <w:u w:val="single"/>
              </w:rPr>
              <w:t>Pola Hibrida dan Bukti yang Tersedia</w:t>
            </w:r>
            <w:r>
              <w:tab/>
            </w:r>
            <w:r>
              <w:rPr>
                <w:rFonts w:ascii="Times New Roman" w:hAnsi="Times New Roman" w:eastAsia="Times New Roman" w:cs="Times New Roman"/>
                <w:sz w:val="24"/>
                <w:szCs w:val="24"/>
              </w:rPr>
              <w:t>12</w:t>
            </w:r>
          </w:hyperlink>
        </w:p>
        <w:p w14:paraId="15A00FBD">
          <w:pPr>
            <w:pStyle w:val="TOC3"/>
            <w:tabs>
              <w:tab w:val="left" w:pos="1200"/>
              <w:tab w:val="right" w:pos="7927" w:leader="dot"/>
            </w:tabs>
            <w:jc w:val="both"/>
            <w:rPr>
              <w:rFonts w:ascii="Calibri" w:hAnsi="Calibri" w:eastAsia="宋体" w:asciiTheme="minorHAnsi" w:hAnsiTheme="minorHAnsi" w:eastAsiaTheme="minorEastAsia" w:csTheme="minorBidi"/>
              <w:sz w:val="22"/>
              <w:szCs w:val="22"/>
            </w:rPr>
          </w:pPr>
          <w:hyperlink w:anchor="_Toc9009017">
            <w:r>
              <w:rPr>
                <w:rStyle w:val="Hyperlink"/>
                <w:rFonts w:ascii="Times New Roman" w:hAnsi="Times New Roman" w:eastAsia="Times New Roman" w:cs="Times New Roman"/>
                <w:color w:val="0000FF" w:themeColor="hyperlink"/>
                <w:sz w:val="24"/>
                <w:szCs w:val="24"/>
                <w:u w:val="single"/>
              </w:rPr>
              <w:t>II.4.3</w:t>
            </w:r>
            <w:r>
              <w:tab/>
            </w:r>
            <w:r>
              <w:rPr>
                <w:rStyle w:val="Hyperlink"/>
                <w:rFonts w:ascii="Times New Roman" w:hAnsi="Times New Roman" w:eastAsia="Times New Roman" w:cs="Times New Roman"/>
                <w:color w:val="0000FF" w:themeColor="hyperlink"/>
                <w:sz w:val="24"/>
                <w:szCs w:val="24"/>
                <w:u w:val="single"/>
              </w:rPr>
              <w:t>Sintesis dan Celah</w:t>
            </w:r>
            <w:r>
              <w:tab/>
            </w:r>
            <w:r>
              <w:rPr>
                <w:rFonts w:ascii="Times New Roman" w:hAnsi="Times New Roman" w:eastAsia="Times New Roman" w:cs="Times New Roman"/>
                <w:sz w:val="24"/>
                <w:szCs w:val="24"/>
              </w:rPr>
              <w:t>13</w:t>
            </w:r>
          </w:hyperlink>
        </w:p>
        <w:p w14:paraId="2424FCB1">
          <w:pPr>
            <w:pStyle w:val="TOC2"/>
            <w:tabs>
              <w:tab w:val="left" w:pos="800"/>
              <w:tab w:val="right" w:pos="7927" w:leader="dot"/>
            </w:tabs>
            <w:jc w:val="both"/>
            <w:rPr>
              <w:rFonts w:ascii="Calibri" w:hAnsi="Calibri" w:eastAsia="宋体" w:asciiTheme="minorHAnsi" w:hAnsiTheme="minorHAnsi" w:eastAsiaTheme="minorEastAsia" w:csTheme="minorBidi"/>
              <w:sz w:val="22"/>
              <w:szCs w:val="22"/>
            </w:rPr>
          </w:pPr>
          <w:hyperlink w:anchor="_Toc9009018">
            <w:r>
              <w:rPr>
                <w:rStyle w:val="Hyperlink"/>
                <w:rFonts w:ascii="Times New Roman" w:hAnsi="Times New Roman" w:eastAsia="Times New Roman" w:cs="Times New Roman"/>
                <w:color w:val="0000FF" w:themeColor="hyperlink"/>
                <w:sz w:val="24"/>
                <w:szCs w:val="24"/>
                <w:u w:val="single"/>
              </w:rPr>
              <w:t>II.5</w:t>
            </w:r>
            <w:r>
              <w:tab/>
            </w:r>
            <w:r>
              <w:rPr>
                <w:rStyle w:val="Hyperlink"/>
                <w:rFonts w:ascii="Times New Roman" w:hAnsi="Times New Roman" w:eastAsia="Times New Roman" w:cs="Times New Roman"/>
                <w:color w:val="0000FF" w:themeColor="hyperlink"/>
                <w:sz w:val="24"/>
                <w:szCs w:val="24"/>
                <w:u w:val="single"/>
              </w:rPr>
              <w:t>RAG, Graf Pengetahuan, Penjangkaran Bukti, dan Halusinasi</w:t>
            </w:r>
            <w:r>
              <w:tab/>
            </w:r>
            <w:r>
              <w:rPr>
                <w:rFonts w:ascii="Times New Roman" w:hAnsi="Times New Roman" w:eastAsia="Times New Roman" w:cs="Times New Roman"/>
                <w:sz w:val="24"/>
                <w:szCs w:val="24"/>
              </w:rPr>
              <w:t>14</w:t>
            </w:r>
          </w:hyperlink>
        </w:p>
        <w:p w14:paraId="6F7D3D57">
          <w:pPr>
            <w:pStyle w:val="TOC3"/>
            <w:tabs>
              <w:tab w:val="left" w:pos="1200"/>
              <w:tab w:val="right" w:pos="7927" w:leader="dot"/>
            </w:tabs>
            <w:jc w:val="both"/>
            <w:rPr>
              <w:rFonts w:ascii="Calibri" w:hAnsi="Calibri" w:eastAsia="宋体" w:asciiTheme="minorHAnsi" w:hAnsiTheme="minorHAnsi" w:eastAsiaTheme="minorEastAsia" w:csTheme="minorBidi"/>
              <w:sz w:val="22"/>
              <w:szCs w:val="22"/>
            </w:rPr>
          </w:pPr>
          <w:hyperlink w:anchor="_Toc9009019">
            <w:r>
              <w:rPr>
                <w:rStyle w:val="Hyperlink"/>
                <w:rFonts w:ascii="Times New Roman" w:hAnsi="Times New Roman" w:eastAsia="Times New Roman" w:cs="Times New Roman"/>
                <w:color w:val="0000FF" w:themeColor="hyperlink"/>
                <w:sz w:val="24"/>
                <w:szCs w:val="24"/>
                <w:u w:val="single"/>
              </w:rPr>
              <w:t>II.5.1</w:t>
            </w:r>
            <w:r>
              <w:tab/>
            </w:r>
            <w:r>
              <w:rPr>
                <w:rStyle w:val="Hyperlink"/>
                <w:rFonts w:ascii="Times New Roman" w:hAnsi="Times New Roman" w:eastAsia="Times New Roman" w:cs="Times New Roman"/>
                <w:color w:val="0000FF" w:themeColor="hyperlink"/>
                <w:sz w:val="24"/>
                <w:szCs w:val="24"/>
                <w:u w:val="single"/>
              </w:rPr>
              <w:t>RAG pada Teks Klinis</w:t>
            </w:r>
            <w:r>
              <w:tab/>
            </w:r>
            <w:r>
              <w:rPr>
                <w:rFonts w:ascii="Times New Roman" w:hAnsi="Times New Roman" w:eastAsia="Times New Roman" w:cs="Times New Roman"/>
                <w:sz w:val="24"/>
                <w:szCs w:val="24"/>
              </w:rPr>
              <w:t>14</w:t>
            </w:r>
          </w:hyperlink>
        </w:p>
        <w:p w14:paraId="239D4830">
          <w:pPr>
            <w:pStyle w:val="TOC3"/>
            <w:tabs>
              <w:tab w:val="left" w:pos="1200"/>
              <w:tab w:val="right" w:pos="7927" w:leader="dot"/>
            </w:tabs>
            <w:jc w:val="both"/>
            <w:rPr>
              <w:rFonts w:ascii="Calibri" w:hAnsi="Calibri" w:eastAsia="宋体" w:asciiTheme="minorHAnsi" w:hAnsiTheme="minorHAnsi" w:eastAsiaTheme="minorEastAsia" w:csTheme="minorBidi"/>
              <w:sz w:val="22"/>
              <w:szCs w:val="22"/>
            </w:rPr>
          </w:pPr>
          <w:hyperlink w:anchor="_Toc9009020">
            <w:r>
              <w:rPr>
                <w:rStyle w:val="Hyperlink"/>
                <w:rFonts w:ascii="Times New Roman" w:hAnsi="Times New Roman" w:eastAsia="Times New Roman" w:cs="Times New Roman"/>
                <w:color w:val="0000FF" w:themeColor="hyperlink"/>
                <w:sz w:val="24"/>
                <w:szCs w:val="24"/>
                <w:u w:val="single"/>
              </w:rPr>
              <w:t>II.5.2</w:t>
            </w:r>
            <w:r>
              <w:tab/>
            </w:r>
            <w:r>
              <w:rPr>
                <w:rStyle w:val="Hyperlink"/>
                <w:rFonts w:ascii="Times New Roman" w:hAnsi="Times New Roman" w:eastAsia="Times New Roman" w:cs="Times New Roman"/>
                <w:color w:val="0000FF" w:themeColor="hyperlink"/>
                <w:sz w:val="24"/>
                <w:szCs w:val="24"/>
                <w:u w:val="single"/>
              </w:rPr>
              <w:t>Penjangkaran Bukti dan Pengecekan Keluaran</w:t>
            </w:r>
            <w:r>
              <w:tab/>
            </w:r>
            <w:r>
              <w:rPr>
                <w:rFonts w:ascii="Times New Roman" w:hAnsi="Times New Roman" w:eastAsia="Times New Roman" w:cs="Times New Roman"/>
                <w:sz w:val="24"/>
                <w:szCs w:val="24"/>
              </w:rPr>
              <w:t>14</w:t>
            </w:r>
          </w:hyperlink>
        </w:p>
        <w:p w14:paraId="08094DD8">
          <w:pPr>
            <w:pStyle w:val="TOC3"/>
            <w:tabs>
              <w:tab w:val="left" w:pos="1200"/>
              <w:tab w:val="right" w:pos="7927" w:leader="dot"/>
            </w:tabs>
            <w:jc w:val="both"/>
            <w:rPr>
              <w:rFonts w:ascii="Calibri" w:hAnsi="Calibri" w:eastAsia="宋体" w:asciiTheme="minorHAnsi" w:hAnsiTheme="minorHAnsi" w:eastAsiaTheme="minorEastAsia" w:csTheme="minorBidi"/>
              <w:sz w:val="22"/>
              <w:szCs w:val="22"/>
            </w:rPr>
          </w:pPr>
          <w:hyperlink w:anchor="_Toc9009021">
            <w:r>
              <w:rPr>
                <w:rStyle w:val="Hyperlink"/>
                <w:rFonts w:ascii="Times New Roman" w:hAnsi="Times New Roman" w:eastAsia="Times New Roman" w:cs="Times New Roman"/>
                <w:color w:val="0000FF" w:themeColor="hyperlink"/>
                <w:sz w:val="24"/>
                <w:szCs w:val="24"/>
                <w:u w:val="single"/>
              </w:rPr>
              <w:t>II.5.3</w:t>
            </w:r>
            <w:r>
              <w:tab/>
            </w:r>
            <w:r>
              <w:rPr>
                <w:rStyle w:val="Hyperlink"/>
                <w:rFonts w:ascii="Times New Roman" w:hAnsi="Times New Roman" w:eastAsia="Times New Roman" w:cs="Times New Roman"/>
                <w:color w:val="0000FF" w:themeColor="hyperlink"/>
                <w:sz w:val="24"/>
                <w:szCs w:val="24"/>
                <w:u w:val="single"/>
              </w:rPr>
              <w:t>Representasi Pengetahuan Berbasis Graf</w:t>
            </w:r>
            <w:r>
              <w:tab/>
            </w:r>
            <w:r>
              <w:rPr>
                <w:rFonts w:ascii="Times New Roman" w:hAnsi="Times New Roman" w:eastAsia="Times New Roman" w:cs="Times New Roman"/>
                <w:sz w:val="24"/>
                <w:szCs w:val="24"/>
              </w:rPr>
              <w:t>15</w:t>
            </w:r>
          </w:hyperlink>
        </w:p>
        <w:p w14:paraId="4BF41340">
          <w:pPr>
            <w:pStyle w:val="TOC3"/>
            <w:tabs>
              <w:tab w:val="left" w:pos="1200"/>
              <w:tab w:val="right" w:pos="7927" w:leader="dot"/>
            </w:tabs>
            <w:jc w:val="both"/>
            <w:rPr>
              <w:rFonts w:ascii="Calibri" w:hAnsi="Calibri" w:eastAsia="宋体" w:asciiTheme="minorHAnsi" w:hAnsiTheme="minorHAnsi" w:eastAsiaTheme="minorEastAsia" w:csTheme="minorBidi"/>
              <w:sz w:val="22"/>
              <w:szCs w:val="22"/>
            </w:rPr>
          </w:pPr>
          <w:hyperlink w:anchor="_Toc9009022">
            <w:r>
              <w:rPr>
                <w:rStyle w:val="Hyperlink"/>
                <w:rFonts w:ascii="Times New Roman" w:hAnsi="Times New Roman" w:eastAsia="Times New Roman" w:cs="Times New Roman"/>
                <w:color w:val="0000FF" w:themeColor="hyperlink"/>
                <w:sz w:val="24"/>
                <w:szCs w:val="24"/>
                <w:u w:val="single"/>
              </w:rPr>
              <w:t>II.5.4</w:t>
            </w:r>
            <w:r>
              <w:tab/>
            </w:r>
            <w:r>
              <w:rPr>
                <w:rStyle w:val="Hyperlink"/>
                <w:rFonts w:ascii="Times New Roman" w:hAnsi="Times New Roman" w:eastAsia="Times New Roman" w:cs="Times New Roman"/>
                <w:color w:val="0000FF" w:themeColor="hyperlink"/>
                <w:sz w:val="24"/>
                <w:szCs w:val="24"/>
                <w:u w:val="single"/>
              </w:rPr>
              <w:t>Sintesis dan Celah</w:t>
            </w:r>
            <w:r>
              <w:tab/>
            </w:r>
            <w:r>
              <w:rPr>
                <w:rFonts w:ascii="Times New Roman" w:hAnsi="Times New Roman" w:eastAsia="Times New Roman" w:cs="Times New Roman"/>
                <w:sz w:val="24"/>
                <w:szCs w:val="24"/>
              </w:rPr>
              <w:t>16</w:t>
            </w:r>
          </w:hyperlink>
        </w:p>
        <w:p w14:paraId="6F987C17">
          <w:pPr>
            <w:pStyle w:val="TOC2"/>
            <w:tabs>
              <w:tab w:val="left" w:pos="800"/>
              <w:tab w:val="right" w:pos="7927" w:leader="dot"/>
            </w:tabs>
            <w:jc w:val="both"/>
            <w:rPr>
              <w:rFonts w:ascii="Calibri" w:hAnsi="Calibri" w:eastAsia="宋体" w:asciiTheme="minorHAnsi" w:hAnsiTheme="minorHAnsi" w:eastAsiaTheme="minorEastAsia" w:csTheme="minorBidi"/>
              <w:sz w:val="22"/>
              <w:szCs w:val="22"/>
            </w:rPr>
          </w:pPr>
          <w:hyperlink w:anchor="_Toc9009023">
            <w:r>
              <w:rPr>
                <w:rStyle w:val="Hyperlink"/>
                <w:rFonts w:ascii="Times New Roman" w:hAnsi="Times New Roman" w:eastAsia="Times New Roman" w:cs="Times New Roman"/>
                <w:color w:val="0000FF" w:themeColor="hyperlink"/>
                <w:sz w:val="24"/>
                <w:szCs w:val="24"/>
                <w:u w:val="single"/>
              </w:rPr>
              <w:t>II.6</w:t>
            </w:r>
            <w:r>
              <w:tab/>
            </w:r>
            <w:r>
              <w:rPr>
                <w:rStyle w:val="Hyperlink"/>
                <w:rFonts w:ascii="Times New Roman" w:hAnsi="Times New Roman" w:eastAsia="Times New Roman" w:cs="Times New Roman"/>
                <w:color w:val="0000FF" w:themeColor="hyperlink"/>
                <w:sz w:val="24"/>
                <w:szCs w:val="24"/>
                <w:u w:val="single"/>
              </w:rPr>
              <w:t>De-identifikasi untuk Layanan AI Eksternal</w:t>
            </w:r>
            <w:r>
              <w:tab/>
            </w:r>
            <w:r>
              <w:rPr>
                <w:rFonts w:ascii="Times New Roman" w:hAnsi="Times New Roman" w:eastAsia="Times New Roman" w:cs="Times New Roman"/>
                <w:sz w:val="24"/>
                <w:szCs w:val="24"/>
              </w:rPr>
              <w:t>17</w:t>
            </w:r>
          </w:hyperlink>
        </w:p>
        <w:p w14:paraId="431CFCFF">
          <w:pPr>
            <w:pStyle w:val="TOC3"/>
            <w:tabs>
              <w:tab w:val="left" w:pos="1200"/>
              <w:tab w:val="right" w:pos="7927" w:leader="dot"/>
            </w:tabs>
            <w:jc w:val="both"/>
            <w:rPr>
              <w:rFonts w:ascii="Calibri" w:hAnsi="Calibri" w:eastAsia="宋体" w:asciiTheme="minorHAnsi" w:hAnsiTheme="minorHAnsi" w:eastAsiaTheme="minorEastAsia" w:csTheme="minorBidi"/>
              <w:sz w:val="22"/>
              <w:szCs w:val="22"/>
            </w:rPr>
          </w:pPr>
          <w:hyperlink w:anchor="_Toc9009024">
            <w:r>
              <w:rPr>
                <w:rStyle w:val="Hyperlink"/>
                <w:rFonts w:ascii="Times New Roman" w:hAnsi="Times New Roman" w:eastAsia="Times New Roman" w:cs="Times New Roman"/>
                <w:color w:val="0000FF" w:themeColor="hyperlink"/>
                <w:sz w:val="24"/>
                <w:szCs w:val="24"/>
                <w:u w:val="single"/>
              </w:rPr>
              <w:t>II.6.1</w:t>
            </w:r>
            <w:r>
              <w:tab/>
            </w:r>
            <w:r>
              <w:rPr>
                <w:rStyle w:val="Hyperlink"/>
                <w:rFonts w:ascii="Times New Roman" w:hAnsi="Times New Roman" w:eastAsia="Times New Roman" w:cs="Times New Roman"/>
                <w:color w:val="0000FF" w:themeColor="hyperlink"/>
                <w:sz w:val="24"/>
                <w:szCs w:val="24"/>
                <w:u w:val="single"/>
              </w:rPr>
              <w:t>Pendekatan De-identifikasi dan Bukti yang Tersedia</w:t>
            </w:r>
            <w:r>
              <w:tab/>
            </w:r>
            <w:r>
              <w:rPr>
                <w:rFonts w:ascii="Times New Roman" w:hAnsi="Times New Roman" w:eastAsia="Times New Roman" w:cs="Times New Roman"/>
                <w:sz w:val="24"/>
                <w:szCs w:val="24"/>
              </w:rPr>
              <w:t>17</w:t>
            </w:r>
          </w:hyperlink>
        </w:p>
        <w:p w14:paraId="3FDB123E">
          <w:pPr>
            <w:pStyle w:val="TOC3"/>
            <w:tabs>
              <w:tab w:val="left" w:pos="1200"/>
              <w:tab w:val="right" w:pos="7927" w:leader="dot"/>
            </w:tabs>
            <w:jc w:val="both"/>
            <w:rPr>
              <w:rFonts w:ascii="Calibri" w:hAnsi="Calibri" w:eastAsia="宋体" w:asciiTheme="minorHAnsi" w:hAnsiTheme="minorHAnsi" w:eastAsiaTheme="minorEastAsia" w:csTheme="minorBidi"/>
              <w:sz w:val="22"/>
              <w:szCs w:val="22"/>
            </w:rPr>
          </w:pPr>
          <w:hyperlink w:anchor="_Toc9009025">
            <w:r>
              <w:rPr>
                <w:rStyle w:val="Hyperlink"/>
                <w:rFonts w:ascii="Times New Roman" w:hAnsi="Times New Roman" w:eastAsia="Times New Roman" w:cs="Times New Roman"/>
                <w:color w:val="0000FF" w:themeColor="hyperlink"/>
                <w:sz w:val="24"/>
                <w:szCs w:val="24"/>
                <w:u w:val="single"/>
              </w:rPr>
              <w:t>II.6.2</w:t>
            </w:r>
            <w:r>
              <w:tab/>
            </w:r>
            <w:r>
              <w:rPr>
                <w:rStyle w:val="Hyperlink"/>
                <w:rFonts w:ascii="Times New Roman" w:hAnsi="Times New Roman" w:eastAsia="Times New Roman" w:cs="Times New Roman"/>
                <w:color w:val="0000FF" w:themeColor="hyperlink"/>
                <w:sz w:val="24"/>
                <w:szCs w:val="24"/>
                <w:u w:val="single"/>
              </w:rPr>
              <w:t>Sintesis dan Celah</w:t>
            </w:r>
            <w:r>
              <w:tab/>
            </w:r>
            <w:r>
              <w:rPr>
                <w:rFonts w:ascii="Times New Roman" w:hAnsi="Times New Roman" w:eastAsia="Times New Roman" w:cs="Times New Roman"/>
                <w:sz w:val="24"/>
                <w:szCs w:val="24"/>
              </w:rPr>
              <w:t>18</w:t>
            </w:r>
          </w:hyperlink>
        </w:p>
        <w:p w14:paraId="7C974FF3">
          <w:pPr>
            <w:pStyle w:val="TOC2"/>
            <w:tabs>
              <w:tab w:val="left" w:pos="800"/>
              <w:tab w:val="right" w:pos="7927" w:leader="dot"/>
            </w:tabs>
            <w:jc w:val="both"/>
            <w:rPr>
              <w:rFonts w:ascii="Calibri" w:hAnsi="Calibri" w:eastAsia="宋体" w:asciiTheme="minorHAnsi" w:hAnsiTheme="minorHAnsi" w:eastAsiaTheme="minorEastAsia" w:csTheme="minorBidi"/>
              <w:sz w:val="22"/>
              <w:szCs w:val="22"/>
            </w:rPr>
          </w:pPr>
          <w:hyperlink w:anchor="_Toc9009026">
            <w:r>
              <w:rPr>
                <w:rStyle w:val="Hyperlink"/>
                <w:rFonts w:ascii="Times New Roman" w:hAnsi="Times New Roman" w:eastAsia="Times New Roman" w:cs="Times New Roman"/>
                <w:color w:val="0000FF" w:themeColor="hyperlink"/>
                <w:sz w:val="24"/>
                <w:szCs w:val="24"/>
                <w:u w:val="single"/>
              </w:rPr>
              <w:t>II.7</w:t>
            </w:r>
            <w:r>
              <w:tab/>
            </w:r>
            <w:r>
              <w:rPr>
                <w:rStyle w:val="Hyperlink"/>
                <w:rFonts w:ascii="Times New Roman" w:hAnsi="Times New Roman" w:eastAsia="Times New Roman" w:cs="Times New Roman"/>
                <w:color w:val="0000FF" w:themeColor="hyperlink"/>
                <w:sz w:val="24"/>
                <w:szCs w:val="24"/>
                <w:u w:val="single"/>
              </w:rPr>
              <w:t>Evaluasi Sistem NLP Klinis</w:t>
            </w:r>
            <w:r>
              <w:tab/>
            </w:r>
            <w:r>
              <w:rPr>
                <w:rFonts w:ascii="Times New Roman" w:hAnsi="Times New Roman" w:eastAsia="Times New Roman" w:cs="Times New Roman"/>
                <w:sz w:val="24"/>
                <w:szCs w:val="24"/>
              </w:rPr>
              <w:t>18</w:t>
            </w:r>
          </w:hyperlink>
        </w:p>
        <w:p w14:paraId="1C420714">
          <w:pPr>
            <w:pStyle w:val="TOC3"/>
            <w:tabs>
              <w:tab w:val="left" w:pos="1200"/>
              <w:tab w:val="right" w:pos="7927" w:leader="dot"/>
            </w:tabs>
            <w:jc w:val="both"/>
            <w:rPr>
              <w:rFonts w:ascii="Calibri" w:hAnsi="Calibri" w:eastAsia="宋体" w:asciiTheme="minorHAnsi" w:hAnsiTheme="minorHAnsi" w:eastAsiaTheme="minorEastAsia" w:csTheme="minorBidi"/>
              <w:sz w:val="22"/>
              <w:szCs w:val="22"/>
            </w:rPr>
          </w:pPr>
          <w:hyperlink w:anchor="_Toc9009027">
            <w:r>
              <w:rPr>
                <w:rStyle w:val="Hyperlink"/>
                <w:rFonts w:ascii="Times New Roman" w:hAnsi="Times New Roman" w:eastAsia="Times New Roman" w:cs="Times New Roman"/>
                <w:color w:val="0000FF" w:themeColor="hyperlink"/>
                <w:sz w:val="24"/>
                <w:szCs w:val="24"/>
                <w:u w:val="single"/>
              </w:rPr>
              <w:t>II.7.1</w:t>
            </w:r>
            <w:r>
              <w:tab/>
            </w:r>
            <w:r>
              <w:rPr>
                <w:rStyle w:val="Hyperlink"/>
                <w:rFonts w:ascii="Times New Roman" w:hAnsi="Times New Roman" w:eastAsia="Times New Roman" w:cs="Times New Roman"/>
                <w:color w:val="0000FF" w:themeColor="hyperlink"/>
                <w:sz w:val="24"/>
                <w:szCs w:val="24"/>
                <w:u w:val="single"/>
              </w:rPr>
              <w:t>Acuan Penilaian dan Variabilitas Penilai</w:t>
            </w:r>
            <w:r>
              <w:tab/>
            </w:r>
            <w:r>
              <w:rPr>
                <w:rFonts w:ascii="Times New Roman" w:hAnsi="Times New Roman" w:eastAsia="Times New Roman" w:cs="Times New Roman"/>
                <w:sz w:val="24"/>
                <w:szCs w:val="24"/>
              </w:rPr>
              <w:t>18</w:t>
            </w:r>
          </w:hyperlink>
        </w:p>
        <w:p w14:paraId="15B38699">
          <w:pPr>
            <w:pStyle w:val="TOC3"/>
            <w:tabs>
              <w:tab w:val="left" w:pos="1200"/>
              <w:tab w:val="right" w:pos="7927" w:leader="dot"/>
            </w:tabs>
            <w:jc w:val="both"/>
            <w:rPr>
              <w:rFonts w:ascii="Calibri" w:hAnsi="Calibri" w:eastAsia="宋体" w:asciiTheme="minorHAnsi" w:hAnsiTheme="minorHAnsi" w:eastAsiaTheme="minorEastAsia" w:csTheme="minorBidi"/>
              <w:sz w:val="22"/>
              <w:szCs w:val="22"/>
            </w:rPr>
          </w:pPr>
          <w:hyperlink w:anchor="_Toc9009028">
            <w:r>
              <w:rPr>
                <w:rStyle w:val="Hyperlink"/>
                <w:rFonts w:ascii="Times New Roman" w:hAnsi="Times New Roman" w:eastAsia="Times New Roman" w:cs="Times New Roman"/>
                <w:color w:val="0000FF" w:themeColor="hyperlink"/>
                <w:sz w:val="24"/>
                <w:szCs w:val="24"/>
                <w:u w:val="single"/>
              </w:rPr>
              <w:t>II.7.2</w:t>
            </w:r>
            <w:r>
              <w:tab/>
            </w:r>
            <w:r>
              <w:rPr>
                <w:rStyle w:val="Hyperlink"/>
                <w:rFonts w:ascii="Times New Roman" w:hAnsi="Times New Roman" w:eastAsia="Times New Roman" w:cs="Times New Roman"/>
                <w:color w:val="0000FF" w:themeColor="hyperlink"/>
                <w:sz w:val="24"/>
                <w:szCs w:val="24"/>
                <w:u w:val="single"/>
              </w:rPr>
              <w:t>Sintesis dan Celah</w:t>
            </w:r>
            <w:r>
              <w:tab/>
            </w:r>
            <w:r>
              <w:rPr>
                <w:rFonts w:ascii="Times New Roman" w:hAnsi="Times New Roman" w:eastAsia="Times New Roman" w:cs="Times New Roman"/>
                <w:sz w:val="24"/>
                <w:szCs w:val="24"/>
              </w:rPr>
              <w:t>19</w:t>
            </w:r>
          </w:hyperlink>
        </w:p>
        <w:p w14:paraId="63A41B4D">
          <w:pPr>
            <w:pStyle w:val="TOC2"/>
            <w:tabs>
              <w:tab w:val="left" w:pos="800"/>
              <w:tab w:val="right" w:pos="7927" w:leader="dot"/>
            </w:tabs>
            <w:jc w:val="both"/>
            <w:rPr>
              <w:rFonts w:ascii="Calibri" w:hAnsi="Calibri" w:eastAsia="宋体" w:asciiTheme="minorHAnsi" w:hAnsiTheme="minorHAnsi" w:eastAsiaTheme="minorEastAsia" w:csTheme="minorBidi"/>
              <w:sz w:val="22"/>
              <w:szCs w:val="22"/>
            </w:rPr>
          </w:pPr>
          <w:hyperlink w:anchor="_Toc9009029">
            <w:r>
              <w:rPr>
                <w:rStyle w:val="Hyperlink"/>
                <w:rFonts w:ascii="Times New Roman" w:hAnsi="Times New Roman" w:eastAsia="Times New Roman" w:cs="Times New Roman"/>
                <w:color w:val="0000FF" w:themeColor="hyperlink"/>
                <w:sz w:val="24"/>
                <w:szCs w:val="24"/>
                <w:u w:val="single"/>
              </w:rPr>
              <w:t>II.8</w:t>
            </w:r>
            <w:r>
              <w:tab/>
            </w:r>
            <w:r>
              <w:rPr>
                <w:rStyle w:val="Hyperlink"/>
                <w:rFonts w:ascii="Times New Roman" w:hAnsi="Times New Roman" w:eastAsia="Times New Roman" w:cs="Times New Roman"/>
                <w:color w:val="0000FF" w:themeColor="hyperlink"/>
                <w:sz w:val="24"/>
                <w:szCs w:val="24"/>
                <w:u w:val="single"/>
              </w:rPr>
              <w:t>Perbandingan Karya Terdahulu dan Celah Penelitian</w:t>
            </w:r>
            <w:r>
              <w:tab/>
            </w:r>
            <w:r>
              <w:rPr>
                <w:rFonts w:ascii="Times New Roman" w:hAnsi="Times New Roman" w:eastAsia="Times New Roman" w:cs="Times New Roman"/>
                <w:sz w:val="24"/>
                <w:szCs w:val="24"/>
              </w:rPr>
              <w:t>20</w:t>
            </w:r>
          </w:hyperlink>
        </w:p>
        <w:p w14:paraId="18F197AA">
          <w:pPr>
            <w:pStyle w:val="TOC3"/>
            <w:tabs>
              <w:tab w:val="left" w:pos="1200"/>
              <w:tab w:val="right" w:pos="7927" w:leader="dot"/>
            </w:tabs>
            <w:jc w:val="both"/>
            <w:rPr>
              <w:rFonts w:ascii="Calibri" w:hAnsi="Calibri" w:eastAsia="宋体" w:asciiTheme="minorHAnsi" w:hAnsiTheme="minorHAnsi" w:eastAsiaTheme="minorEastAsia" w:csTheme="minorBidi"/>
              <w:sz w:val="22"/>
              <w:szCs w:val="22"/>
            </w:rPr>
          </w:pPr>
          <w:hyperlink w:anchor="_Toc9009030">
            <w:r>
              <w:rPr>
                <w:rStyle w:val="Hyperlink"/>
                <w:rFonts w:ascii="Times New Roman" w:hAnsi="Times New Roman" w:eastAsia="Times New Roman" w:cs="Times New Roman"/>
                <w:color w:val="0000FF" w:themeColor="hyperlink"/>
                <w:sz w:val="24"/>
                <w:szCs w:val="24"/>
                <w:u w:val="single"/>
              </w:rPr>
              <w:t>II.8.1</w:t>
            </w:r>
            <w:r>
              <w:tab/>
            </w:r>
            <w:r>
              <w:rPr>
                <w:rStyle w:val="Hyperlink"/>
                <w:rFonts w:ascii="Times New Roman" w:hAnsi="Times New Roman" w:eastAsia="Times New Roman" w:cs="Times New Roman"/>
                <w:color w:val="0000FF" w:themeColor="hyperlink"/>
                <w:sz w:val="24"/>
                <w:szCs w:val="24"/>
                <w:u w:val="single"/>
              </w:rPr>
              <w:t>Perbandingan Karya Terdahulu</w:t>
            </w:r>
            <w:r>
              <w:tab/>
            </w:r>
            <w:r>
              <w:rPr>
                <w:rFonts w:ascii="Times New Roman" w:hAnsi="Times New Roman" w:eastAsia="Times New Roman" w:cs="Times New Roman"/>
                <w:sz w:val="24"/>
                <w:szCs w:val="24"/>
              </w:rPr>
              <w:t>20</w:t>
            </w:r>
          </w:hyperlink>
        </w:p>
        <w:p w14:paraId="3C41670C">
          <w:pPr>
            <w:pStyle w:val="TOC3"/>
            <w:tabs>
              <w:tab w:val="left" w:pos="1200"/>
              <w:tab w:val="right" w:pos="7927" w:leader="dot"/>
            </w:tabs>
            <w:jc w:val="both"/>
            <w:rPr>
              <w:rFonts w:ascii="Calibri" w:hAnsi="Calibri" w:eastAsia="宋体" w:asciiTheme="minorHAnsi" w:hAnsiTheme="minorHAnsi" w:eastAsiaTheme="minorEastAsia" w:csTheme="minorBidi"/>
              <w:sz w:val="22"/>
              <w:szCs w:val="22"/>
            </w:rPr>
          </w:pPr>
          <w:hyperlink w:anchor="_Toc9009032">
            <w:r>
              <w:rPr>
                <w:rStyle w:val="Hyperlink"/>
                <w:rFonts w:ascii="Times New Roman" w:hAnsi="Times New Roman" w:eastAsia="Times New Roman" w:cs="Times New Roman"/>
                <w:color w:val="0000FF" w:themeColor="hyperlink"/>
                <w:sz w:val="24"/>
                <w:szCs w:val="24"/>
                <w:u w:val="single"/>
              </w:rPr>
              <w:t>II.8.2</w:t>
            </w:r>
            <w:r>
              <w:tab/>
            </w:r>
            <w:r>
              <w:rPr>
                <w:rStyle w:val="Hyperlink"/>
                <w:rFonts w:ascii="Times New Roman" w:hAnsi="Times New Roman" w:eastAsia="Times New Roman" w:cs="Times New Roman"/>
                <w:color w:val="0000FF" w:themeColor="hyperlink"/>
                <w:sz w:val="24"/>
                <w:szCs w:val="24"/>
                <w:u w:val="single"/>
              </w:rPr>
              <w:t>Celah Penelitian</w:t>
            </w:r>
            <w:r>
              <w:tab/>
            </w:r>
            <w:r>
              <w:rPr>
                <w:rFonts w:ascii="Times New Roman" w:hAnsi="Times New Roman" w:eastAsia="Times New Roman" w:cs="Times New Roman"/>
                <w:sz w:val="24"/>
                <w:szCs w:val="24"/>
              </w:rPr>
              <w:t>21</w:t>
            </w:r>
          </w:hyperlink>
        </w:p>
        <w:p w14:paraId="3676850B">
          <w:pPr>
            <w:pStyle w:val="TOC1"/>
            <w:tabs>
              <w:tab w:val="right" w:pos="7927" w:leader="dot"/>
            </w:tabs>
            <w:jc w:val="both"/>
            <w:rPr>
              <w:rFonts w:ascii="Calibri" w:hAnsi="Calibri" w:eastAsia="宋体" w:asciiTheme="minorHAnsi" w:hAnsiTheme="minorHAnsi" w:eastAsiaTheme="minorEastAsia" w:csTheme="minorBidi"/>
              <w:b w:val="0"/>
              <w:sz w:val="22"/>
              <w:szCs w:val="22"/>
            </w:rPr>
          </w:pPr>
          <w:hyperlink w:anchor="_Toc216028375">
            <w:r>
              <w:rPr>
                <w:rStyle w:val="Hyperlink"/>
                <w:rFonts w:ascii="Times New Roman" w:hAnsi="Times New Roman" w:eastAsia="Times New Roman" w:cs="Times New Roman"/>
                <w:b/>
                <w:bCs/>
                <w:color w:val="0000FF" w:themeColor="hyperlink"/>
                <w:sz w:val="24"/>
                <w:szCs w:val="24"/>
                <w:u w:val="single"/>
              </w:rPr>
              <w:t>BAB III ANALISIS MASALAH DAN RANCANGAN SOLUSI</w:t>
            </w:r>
            <w:r>
              <w:tab/>
            </w:r>
            <w:r>
              <w:rPr>
                <w:rFonts w:ascii="Times New Roman" w:hAnsi="Times New Roman" w:eastAsia="Times New Roman" w:cs="Times New Roman"/>
                <w:b/>
                <w:bCs/>
                <w:sz w:val="24"/>
                <w:szCs w:val="24"/>
              </w:rPr>
              <w:t>22</w:t>
            </w:r>
          </w:hyperlink>
        </w:p>
        <w:p w14:paraId="6893EEA3">
          <w:pPr>
            <w:pStyle w:val="TOC2"/>
            <w:tabs>
              <w:tab w:val="left" w:pos="800"/>
              <w:tab w:val="right" w:pos="7927" w:leader="dot"/>
            </w:tabs>
            <w:jc w:val="both"/>
            <w:rPr>
              <w:rFonts w:ascii="Calibri" w:hAnsi="Calibri" w:eastAsia="宋体" w:asciiTheme="minorHAnsi" w:hAnsiTheme="minorHAnsi" w:eastAsiaTheme="minorEastAsia" w:csTheme="minorBidi"/>
              <w:sz w:val="22"/>
              <w:szCs w:val="22"/>
            </w:rPr>
          </w:pPr>
          <w:hyperlink w:anchor="_Toc216028376">
            <w:r>
              <w:rPr>
                <w:rStyle w:val="Hyperlink"/>
                <w:rFonts w:ascii="Times New Roman" w:hAnsi="Times New Roman" w:eastAsia="Times New Roman" w:cs="Times New Roman"/>
                <w:color w:val="0000FF" w:themeColor="hyperlink"/>
                <w:sz w:val="24"/>
                <w:szCs w:val="24"/>
                <w:u w:val="single"/>
              </w:rPr>
              <w:t>III.1</w:t>
            </w:r>
            <w:r>
              <w:tab/>
            </w:r>
            <w:r>
              <w:rPr>
                <w:rStyle w:val="Hyperlink"/>
                <w:rFonts w:ascii="Times New Roman" w:hAnsi="Times New Roman" w:eastAsia="Times New Roman" w:cs="Times New Roman"/>
                <w:color w:val="0000FF" w:themeColor="hyperlink"/>
                <w:sz w:val="24"/>
                <w:szCs w:val="24"/>
                <w:u w:val="single"/>
              </w:rPr>
              <w:t>Analisis Masalah</w:t>
            </w:r>
            <w:r>
              <w:tab/>
            </w:r>
            <w:r>
              <w:rPr>
                <w:rFonts w:ascii="Times New Roman" w:hAnsi="Times New Roman" w:eastAsia="Times New Roman" w:cs="Times New Roman"/>
                <w:sz w:val="24"/>
                <w:szCs w:val="24"/>
              </w:rPr>
              <w:t>22</w:t>
            </w:r>
          </w:hyperlink>
        </w:p>
        <w:p w14:paraId="3C23CBF1">
          <w:pPr>
            <w:pStyle w:val="TOC2"/>
            <w:tabs>
              <w:tab w:val="left" w:pos="800"/>
              <w:tab w:val="right" w:pos="7927" w:leader="dot"/>
            </w:tabs>
            <w:jc w:val="both"/>
            <w:rPr>
              <w:rFonts w:ascii="Calibri" w:hAnsi="Calibri" w:eastAsia="宋体" w:asciiTheme="minorHAnsi" w:hAnsiTheme="minorHAnsi" w:eastAsiaTheme="minorEastAsia" w:csTheme="minorBidi"/>
              <w:sz w:val="22"/>
              <w:szCs w:val="22"/>
            </w:rPr>
          </w:pPr>
          <w:hyperlink w:anchor="_Toc216028377">
            <w:r>
              <w:rPr>
                <w:rStyle w:val="Hyperlink"/>
                <w:rFonts w:ascii="Times New Roman" w:hAnsi="Times New Roman" w:eastAsia="Times New Roman" w:cs="Times New Roman"/>
                <w:color w:val="0000FF" w:themeColor="hyperlink"/>
                <w:sz w:val="24"/>
                <w:szCs w:val="24"/>
                <w:u w:val="single"/>
              </w:rPr>
              <w:t>III.2</w:t>
            </w:r>
            <w:r>
              <w:tab/>
            </w:r>
            <w:r>
              <w:rPr>
                <w:rStyle w:val="Hyperlink"/>
                <w:rFonts w:ascii="Times New Roman" w:hAnsi="Times New Roman" w:eastAsia="Times New Roman" w:cs="Times New Roman"/>
                <w:color w:val="0000FF" w:themeColor="hyperlink"/>
                <w:sz w:val="24"/>
                <w:szCs w:val="24"/>
                <w:u w:val="single"/>
              </w:rPr>
              <w:t>Gambaran Umum Solusi</w:t>
            </w:r>
            <w:r>
              <w:tab/>
            </w:r>
            <w:r>
              <w:rPr>
                <w:rFonts w:ascii="Times New Roman" w:hAnsi="Times New Roman" w:eastAsia="Times New Roman" w:cs="Times New Roman"/>
                <w:sz w:val="24"/>
                <w:szCs w:val="24"/>
              </w:rPr>
              <w:t>22</w:t>
            </w:r>
          </w:hyperlink>
        </w:p>
        <w:p w14:paraId="0178CCC2">
          <w:pPr>
            <w:pStyle w:val="TOC1"/>
            <w:tabs>
              <w:tab w:val="right" w:pos="7927" w:leader="dot"/>
            </w:tabs>
            <w:jc w:val="both"/>
            <w:rPr>
              <w:rFonts w:ascii="Calibri" w:hAnsi="Calibri" w:eastAsia="宋体" w:asciiTheme="minorHAnsi" w:hAnsiTheme="minorHAnsi" w:eastAsiaTheme="minorEastAsia" w:csTheme="minorBidi"/>
              <w:b w:val="0"/>
              <w:sz w:val="22"/>
              <w:szCs w:val="22"/>
            </w:rPr>
          </w:pPr>
          <w:hyperlink w:anchor="_Toc216028378">
            <w:r>
              <w:rPr>
                <w:rStyle w:val="Hyperlink"/>
                <w:rFonts w:ascii="Times New Roman" w:hAnsi="Times New Roman" w:eastAsia="Times New Roman" w:cs="Times New Roman"/>
                <w:b/>
                <w:bCs/>
                <w:color w:val="0000FF" w:themeColor="hyperlink"/>
                <w:sz w:val="24"/>
                <w:szCs w:val="24"/>
                <w:u w:val="single"/>
              </w:rPr>
              <w:t>BAB IV RENCANA PELAKSANAAN</w:t>
            </w:r>
            <w:r>
              <w:tab/>
            </w:r>
            <w:r>
              <w:rPr>
                <w:rFonts w:ascii="Times New Roman" w:hAnsi="Times New Roman" w:eastAsia="Times New Roman" w:cs="Times New Roman"/>
                <w:b/>
                <w:bCs/>
                <w:sz w:val="24"/>
                <w:szCs w:val="24"/>
              </w:rPr>
              <w:t>23</w:t>
            </w:r>
          </w:hyperlink>
        </w:p>
        <w:p w14:paraId="618E56B6" w14:textId="3CE8A0EC">
          <w:pPr>
            <w:spacing w:before="120" w:after="120" w:line="360" w:lineRule="auto"/>
            <w:jc w:val="both"/>
          </w:pPr>
          <w:r>
            <w:rPr>
              <w:b/>
              <w:bCs/>
            </w:rPr>
          </w:r>
        </w:p>
      </w:sdtContent>
    </w:sdt>
    <w:p w14:paraId="4A412DE2" w14:textId="7E7F7ECB">
      <w:pPr>
        <w:spacing w:before="120" w:after="120" w:line="360" w:lineRule="auto"/>
        <w:jc w:val="both"/>
      </w:pPr>
    </w:p>
    <w:p w14:paraId="418A0B05" w14:textId="77777777">
      <w:pPr>
        <w:jc w:val="both"/>
      </w:pPr>
    </w:p>
    <w:p w14:paraId="67D5A970" w14:textId="77777777">
      <w:pPr>
        <w:jc w:val="both"/>
      </w:pPr>
    </w:p>
    <w:p w14:paraId="5A439D93" w14:textId="77777777">
      <w:pPr>
        <w:pageBreakBefore/>
        <w:spacing w:before="0" w:after="0" w:line="240" w:lineRule="auto"/>
        <w:jc w:val="left"/>
        <w:rPr>
          <w:b/>
          <w:kern w:val="28"/>
          <w:sz w:val="28"/>
        </w:rPr>
      </w:pPr>
      <w:bookmarkStart w:id="1" w:name="_Toc35414442"/>
      <w:bookmarkStart w:id="2" w:name="_Toc35414636"/>
      <w:r>
        <w:lastRenderedPageBreak/>
      </w:r>
      <w:bookmarkEnd w:id="1"/>
      <w:bookmarkEnd w:id="2"/>
    </w:p>
    <w:p w14:paraId="4BDDFA82" w14:textId="2D31602E">
      <w:pPr>
        <w:pStyle w:val="Title"/>
        <w:jc w:val="center"/>
      </w:pPr>
      <w:r>
        <w:lastRenderedPageBreak/>
        <w:rPr>
          <w:rFonts w:ascii="Times New Roman" w:hAnsi="Times New Roman" w:eastAsia="Times New Roman" w:cs="Times New Roman"/>
          <w:b/>
          <w:bCs/>
          <w:kern w:val="28"/>
          <w:sz w:val="28"/>
          <w:szCs w:val="28"/>
        </w:rPr>
        <w:t>DAFTAR LAMPIRAN</w:t>
      </w:r>
    </w:p>
    <w:p w14:paraId="1DE03395" w14:textId="77777777">
      <w:pPr>
        <w:spacing w:before="120" w:after="120" w:line="360" w:lineRule="auto"/>
        <w:jc w:val="both"/>
      </w:pPr>
    </w:p>
    <w:p w14:paraId="3D279340" w14:textId="77777777">
      <w:pPr>
        <w:pStyle w:val="TOC1"/>
        <w:tabs>
          <w:tab w:val="right" w:pos="7927" w:leader="dot"/>
        </w:tabs>
        <w:jc w:val="both"/>
        <w:rPr>
          <w:rFonts w:ascii="Calibri" w:hAnsi="Calibri" w:eastAsia="宋体" w:asciiTheme="minorHAnsi" w:hAnsiTheme="minorHAnsi" w:eastAsiaTheme="minorEastAsia" w:csTheme="minorBidi"/>
          <w:b w:val="0"/>
          <w:sz w:val="22"/>
          <w:szCs w:val="22"/>
        </w:rPr>
      </w:pPr>
      <w:hyperlink w:anchor="_Toc406869964">
        <w:r>
          <w:rPr>
            <w:rStyle w:val="Hyperlink"/>
            <w:rFonts w:ascii="Times New Roman" w:hAnsi="Times New Roman" w:eastAsia="Times New Roman" w:cs="Times New Roman"/>
            <w:b/>
            <w:bCs/>
            <w:color w:val="0000FF" w:themeColor="hyperlink"/>
            <w:sz w:val="24"/>
            <w:szCs w:val="24"/>
            <w:u w:val="single"/>
          </w:rPr>
          <w:t>Lampiran A. Contoh Judul Lampiran</w:t>
        </w:r>
        <w:r>
          <w:tab/>
        </w:r>
        <w:r>
          <w:rPr>
            <w:rFonts w:ascii="Times New Roman" w:hAnsi="Times New Roman" w:eastAsia="Times New Roman" w:cs="Times New Roman"/>
            <w:b/>
            <w:bCs/>
            <w:sz w:val="24"/>
            <w:szCs w:val="24"/>
          </w:rPr>
          <w:t>7</w:t>
        </w:r>
      </w:hyperlink>
    </w:p>
    <w:p w14:paraId="3248D9F7" w14:textId="77777777">
      <w:pPr>
        <w:pStyle w:val="TOC2"/>
        <w:tabs>
          <w:tab w:val="left" w:pos="800"/>
          <w:tab w:val="right" w:pos="7927" w:leader="dot"/>
        </w:tabs>
        <w:jc w:val="both"/>
        <w:rPr>
          <w:rFonts w:ascii="Calibri" w:hAnsi="Calibri" w:eastAsia="宋体" w:asciiTheme="minorHAnsi" w:hAnsiTheme="minorHAnsi" w:eastAsiaTheme="minorEastAsia" w:csTheme="minorBidi"/>
          <w:sz w:val="22"/>
          <w:szCs w:val="22"/>
        </w:rPr>
      </w:pPr>
      <w:hyperlink w:anchor="_Toc406869965">
        <w:r>
          <w:rPr>
            <w:rStyle w:val="Hyperlink"/>
            <w:rFonts w:ascii="Times New Roman" w:hAnsi="Times New Roman" w:eastAsia="Times New Roman" w:cs="Times New Roman"/>
            <w:color w:val="0000FF" w:themeColor="hyperlink"/>
            <w:sz w:val="24"/>
            <w:szCs w:val="24"/>
            <w:u w:val="single"/>
          </w:rPr>
          <w:t>A.1</w:t>
        </w:r>
        <w:r>
          <w:tab/>
        </w:r>
        <w:r>
          <w:rPr>
            <w:rStyle w:val="Hyperlink"/>
            <w:rFonts w:ascii="Times New Roman" w:hAnsi="Times New Roman" w:eastAsia="Times New Roman" w:cs="Times New Roman"/>
            <w:color w:val="0000FF" w:themeColor="hyperlink"/>
            <w:sz w:val="24"/>
            <w:szCs w:val="24"/>
            <w:u w:val="single"/>
          </w:rPr>
          <w:t>Contoh Judul Anak Lampiran</w:t>
        </w:r>
        <w:r>
          <w:tab/>
        </w:r>
        <w:r>
          <w:rPr>
            <w:rFonts w:ascii="Times New Roman" w:hAnsi="Times New Roman" w:eastAsia="Times New Roman" w:cs="Times New Roman"/>
            <w:sz w:val="24"/>
            <w:szCs w:val="24"/>
          </w:rPr>
          <w:t>7</w:t>
        </w:r>
      </w:hyperlink>
    </w:p>
    <w:p w14:paraId="2FDE98CC" w14:textId="77777777">
      <w:pPr>
        <w:spacing w:before="120" w:after="120" w:line="360" w:lineRule="auto"/>
        <w:jc w:val="both"/>
      </w:pPr>
      <w:r>
        <w:rPr>
          <w:b/>
        </w:rPr>
      </w:r>
    </w:p>
    <w:p w14:paraId="09988934" w14:textId="77777777">
      <w:pPr>
        <w:spacing w:before="120" w:after="120" w:line="360" w:lineRule="auto"/>
        <w:jc w:val="both"/>
      </w:pPr>
    </w:p>
    <w:p w14:paraId="3BD4411E" w14:textId="77777777">
      <w:pPr>
        <w:spacing w:before="120" w:after="120" w:line="360" w:lineRule="auto"/>
        <w:jc w:val="both"/>
      </w:pPr>
    </w:p>
    <w:p w14:paraId="58D302B3" w14:textId="77777777">
      <w:pPr>
        <w:pStyle w:val="guidelines"/>
        <w:jc w:val="both"/>
      </w:pPr>
    </w:p>
    <w:p w14:paraId="321B6EF6" w14:textId="47CB871F">
      <w:pPr>
        <w:pStyle w:val="Title"/>
        <w:pageBreakBefore/>
        <w:jc w:val="center"/>
      </w:pPr>
      <w:r>
        <w:lastRenderedPageBreak/>
        <w:rPr>
          <w:kern w:val="0"/>
        </w:rPr>
      </w:r>
      <w:r>
        <w:rPr>
          <w:rFonts w:ascii="Times New Roman" w:hAnsi="Times New Roman" w:eastAsia="Times New Roman" w:cs="Times New Roman"/>
          <w:b/>
          <w:bCs/>
          <w:kern w:val="28"/>
          <w:sz w:val="28"/>
          <w:szCs w:val="28"/>
        </w:rPr>
        <w:t>DAFTAR GAMBAR</w:t>
      </w:r>
    </w:p>
    <w:p w14:paraId="660B9590" w14:textId="6D54768F">
      <w:pPr>
        <w:jc w:val="center"/>
      </w:pPr>
      <w:r>
        <w:rPr>
          <w:rFonts w:ascii="Times New Roman" w:hAnsi="Times New Roman" w:eastAsia="Times New Roman" w:cs="Times New Roman"/>
          <w:sz w:val="24"/>
          <w:szCs w:val="24"/>
        </w:rPr>
        <w:t>&lt;jika diperlukan&gt;</w:t>
      </w:r>
    </w:p>
    <w:p w14:paraId="617C965A" w14:textId="77777777">
      <w:pPr>
        <w:jc w:val="both"/>
        <w:rPr>
          <w:sz w:val="28"/>
        </w:rPr>
      </w:pPr>
    </w:p>
    <w:p w14:paraId="03A0E360" w14:textId="77777777">
      <w:pPr>
        <w:pStyle w:val="TableofFigures"/>
        <w:tabs>
          <w:tab w:val="right" w:pos="7927" w:leader="dot"/>
        </w:tabs>
        <w:jc w:val="both"/>
        <w:rPr>
          <w:rFonts w:ascii="Calibri" w:hAnsi="Calibri" w:eastAsia="宋体" w:asciiTheme="minorHAnsi" w:hAnsiTheme="minorHAnsi" w:eastAsiaTheme="minorEastAsia" w:csTheme="minorBidi"/>
          <w:sz w:val="22"/>
          <w:szCs w:val="22"/>
        </w:rPr>
      </w:pPr>
    </w:p>
    <w:p w14:paraId="4E3F83D6" w14:textId="77777777">
      <w:pPr>
        <w:jc w:val="both"/>
        <w:rPr>
          <w:sz w:val="28"/>
        </w:rPr>
      </w:pPr>
      <w:r>
        <w:rPr>
          <w:sz w:val="28"/>
        </w:rPr>
      </w:r>
    </w:p>
    <w:p w14:paraId="75B177CA" w14:textId="77777777">
      <w:pPr>
        <w:pageBreakBefore/>
        <w:spacing w:before="0" w:after="0" w:line="240" w:lineRule="auto"/>
        <w:jc w:val="left"/>
        <w:rPr>
          <w:b/>
          <w:kern w:val="28"/>
          <w:sz w:val="28"/>
        </w:rPr>
      </w:pPr>
      <w:r>
        <w:lastRenderedPageBreak/>
      </w:r>
    </w:p>
    <w:p w14:paraId="344D726D" w14:textId="7A713855">
      <w:pPr>
        <w:pStyle w:val="Title"/>
        <w:jc w:val="center"/>
      </w:pPr>
      <w:r>
        <w:lastRenderedPageBreak/>
        <w:rPr>
          <w:rFonts w:ascii="Times New Roman" w:hAnsi="Times New Roman" w:eastAsia="Times New Roman" w:cs="Times New Roman"/>
          <w:b/>
          <w:bCs/>
          <w:kern w:val="28"/>
          <w:sz w:val="28"/>
          <w:szCs w:val="28"/>
        </w:rPr>
        <w:t>DAFTAR TABEL</w:t>
      </w:r>
    </w:p>
    <w:p w14:paraId="1A2B84C2" w14:textId="77777777">
      <w:pPr>
        <w:spacing w:before="120" w:after="120" w:line="360" w:lineRule="auto"/>
        <w:jc w:val="both"/>
      </w:pPr>
    </w:p>
    <w:p w14:paraId="1290D30E" w14:textId="63384078">
      <w:pPr>
        <w:pStyle w:val="TableofFigures"/>
        <w:tabs>
          <w:tab w:val="right" w:pos="7927" w:leader="dot"/>
        </w:tabs>
        <w:jc w:val="both"/>
      </w:pPr>
      <w:hyperlink w:anchor="_Toc9009031">
        <w:r>
          <w:rPr>
            <w:rStyle w:val="Hyperlink"/>
            <w:rFonts w:ascii="Times New Roman" w:hAnsi="Times New Roman" w:eastAsia="Times New Roman" w:cs="Times New Roman"/>
            <w:color w:val="0000FF" w:themeColor="hyperlink"/>
            <w:sz w:val="24"/>
            <w:szCs w:val="24"/>
            <w:u w:val="single"/>
          </w:rPr>
          <w:t>Tabel II.1. Perbandingan karya terdahulu yang terdekat dengan penelitian ini</w:t>
        </w:r>
        <w:r>
          <w:tab/>
        </w:r>
        <w:r>
          <w:rPr>
            <w:rFonts w:ascii="Times New Roman" w:hAnsi="Times New Roman" w:eastAsia="Times New Roman" w:cs="Times New Roman"/>
            <w:sz w:val="24"/>
            <w:szCs w:val="24"/>
          </w:rPr>
          <w:t>20</w:t>
        </w:r>
      </w:hyperlink>
    </w:p>
    <w:p w14:paraId="000E1CA1" w14:textId="77777777">
      <w:pPr>
        <w:pageBreakBefore/>
        <w:spacing w:before="0" w:after="0" w:line="240" w:lineRule="auto"/>
        <w:jc w:val="left"/>
      </w:pPr>
      <w:r>
        <w:lastRenderedPageBreak/>
      </w:r>
    </w:p>
    <w:p w14:paraId="222F6335" w14:textId="33DE7CB5">
      <w:pPr>
        <w:pStyle w:val="Title"/>
        <w:jc w:val="center"/>
      </w:pPr>
      <w:r>
        <w:lastRenderedPageBreak/>
        <w:rPr>
          <w:rFonts w:ascii="Times New Roman" w:hAnsi="Times New Roman" w:eastAsia="Times New Roman" w:cs="Times New Roman"/>
          <w:b/>
          <w:bCs/>
          <w:kern w:val="28"/>
          <w:sz w:val="28"/>
          <w:szCs w:val="28"/>
        </w:rPr>
        <w:t>DAFTAR SINGKATAN</w:t>
      </w:r>
    </w:p>
    <w:tbl>
      <w:tblPr>
        <w:tblStyle w:val="TableGrid"/>
        <w:tblW w:w="8306" w:type="dxa"/>
        <w:jc w:val="center"/>
        <w:tblBorders>
          <w:top w:val="nil"/>
          <w:left w:val="nil"/>
          <w:bottom w:val="nil"/>
          <w:right w:val="nil"/>
          <w:insideH w:val="nil"/>
          <w:insideV w:val="nil"/>
        </w:tblBorders>
        <w:tblLayout w:type="fixed"/>
        <w:tblCellMar>
          <w:left w:w="100" w:type="dxa"/>
          <w:right w:w="100" w:type="dxa"/>
        </w:tblCellMar>
        <w:tblLook w:val="0000" w:firstRow="0" w:lastRow="0" w:firstColumn="0" w:lastColumn="0" w:noHBand="1" w:noVBand="1"/>
      </w:tblPr>
      <w:tblGrid>
        <w:gridCol w:w="1700"/>
        <w:gridCol w:w="6606"/>
      </w:tblGrid>
      <w:tr>
        <w:trPr>
          <w:cantSplit/>
        </w:trPr>
        <w:tc>
          <w:tcPr>
            <w:tcW w:w="1700" w:type="dxa"/>
            <w:tcBorders>
              <w:top w:val="nil"/>
              <w:left w:val="nil"/>
              <w:bottom w:val="nil"/>
              <w:right w:val="nil"/>
            </w:tcBorders>
          </w:tcPr>
          <w:p>
            <w:pPr>
              <w:spacing w:before="0" w:after="80" w:line="240" w:lineRule="auto"/>
              <w:jc w:val="left"/>
            </w:pPr>
            <w:r>
              <w:rPr>
                <w:rFonts w:ascii="Times New Roman" w:hAnsi="Times New Roman" w:eastAsia="Times New Roman" w:cs="Times New Roman"/>
                <w:sz w:val="24"/>
                <w:szCs w:val="24"/>
              </w:rPr>
              <w:t xml:space="preserve">ACDIS</w:t>
            </w:r>
          </w:p>
        </w:tc>
        <w:tc>
          <w:tcPr>
            <w:tcW w:w="6606" w:type="dxa"/>
            <w:tcBorders>
              <w:top w:val="nil"/>
              <w:left w:val="nil"/>
              <w:bottom w:val="nil"/>
              <w:right w:val="nil"/>
            </w:tcBorders>
          </w:tcPr>
          <w:p>
            <w:pPr>
              <w:spacing w:before="0" w:after="80" w:line="240" w:lineRule="auto"/>
              <w:jc w:val="left"/>
            </w:pPr>
            <w:r>
              <w:rPr>
                <w:rFonts w:ascii="Times New Roman" w:hAnsi="Times New Roman" w:eastAsia="Times New Roman" w:cs="Times New Roman"/>
                <w:sz w:val="24"/>
                <w:szCs w:val="24"/>
              </w:rPr>
              <w:t xml:space="preserve">Association of Clinical Documentation Integrity Specialists</w:t>
            </w:r>
          </w:p>
        </w:tc>
      </w:tr>
      <w:tr>
        <w:trPr>
          <w:cantSplit/>
        </w:trPr>
        <w:tc>
          <w:tcPr>
            <w:tcW w:w="1700" w:type="dxa"/>
            <w:tcBorders>
              <w:top w:val="nil"/>
              <w:left w:val="nil"/>
              <w:bottom w:val="nil"/>
              <w:right w:val="nil"/>
            </w:tcBorders>
          </w:tcPr>
          <w:p>
            <w:pPr>
              <w:spacing w:before="0" w:after="80" w:line="240" w:lineRule="auto"/>
              <w:jc w:val="left"/>
            </w:pPr>
            <w:r>
              <w:rPr>
                <w:rFonts w:ascii="Times New Roman" w:hAnsi="Times New Roman" w:eastAsia="Times New Roman" w:cs="Times New Roman"/>
                <w:sz w:val="24"/>
                <w:szCs w:val="24"/>
              </w:rPr>
              <w:t xml:space="preserve">AHIMA</w:t>
            </w:r>
          </w:p>
        </w:tc>
        <w:tc>
          <w:tcPr>
            <w:tcW w:w="6606" w:type="dxa"/>
            <w:tcBorders>
              <w:top w:val="nil"/>
              <w:left w:val="nil"/>
              <w:bottom w:val="nil"/>
              <w:right w:val="nil"/>
            </w:tcBorders>
          </w:tcPr>
          <w:p>
            <w:pPr>
              <w:spacing w:before="0" w:after="80" w:line="240" w:lineRule="auto"/>
              <w:jc w:val="left"/>
            </w:pPr>
            <w:r>
              <w:rPr>
                <w:rFonts w:ascii="Times New Roman" w:hAnsi="Times New Roman" w:eastAsia="Times New Roman" w:cs="Times New Roman"/>
                <w:sz w:val="24"/>
                <w:szCs w:val="24"/>
              </w:rPr>
              <w:t xml:space="preserve">American Health Information Management Association</w:t>
            </w:r>
          </w:p>
        </w:tc>
      </w:tr>
      <w:tr>
        <w:trPr>
          <w:cantSplit/>
        </w:trPr>
        <w:tc>
          <w:tcPr>
            <w:tcW w:w="1700" w:type="dxa"/>
            <w:tcBorders>
              <w:top w:val="nil"/>
              <w:left w:val="nil"/>
              <w:bottom w:val="nil"/>
              <w:right w:val="nil"/>
            </w:tcBorders>
          </w:tcPr>
          <w:p>
            <w:pPr>
              <w:spacing w:before="0" w:after="80" w:line="240" w:lineRule="auto"/>
              <w:jc w:val="left"/>
            </w:pPr>
            <w:r>
              <w:rPr>
                <w:rFonts w:ascii="Times New Roman" w:hAnsi="Times New Roman" w:eastAsia="Times New Roman" w:cs="Times New Roman"/>
                <w:sz w:val="24"/>
                <w:szCs w:val="24"/>
              </w:rPr>
              <w:t xml:space="preserve">AI</w:t>
            </w:r>
          </w:p>
        </w:tc>
        <w:tc>
          <w:tcPr>
            <w:tcW w:w="6606" w:type="dxa"/>
            <w:tcBorders>
              <w:top w:val="nil"/>
              <w:left w:val="nil"/>
              <w:bottom w:val="nil"/>
              <w:right w:val="nil"/>
            </w:tcBorders>
          </w:tcPr>
          <w:p>
            <w:pPr>
              <w:spacing w:before="0" w:after="80" w:line="240" w:lineRule="auto"/>
              <w:jc w:val="left"/>
            </w:pPr>
            <w:r>
              <w:rPr>
                <w:rFonts w:ascii="Times New Roman" w:hAnsi="Times New Roman" w:eastAsia="Times New Roman" w:cs="Times New Roman"/>
                <w:i/>
                <w:iCs/>
                <w:sz w:val="24"/>
                <w:szCs w:val="24"/>
              </w:rPr>
              <w:t xml:space="preserve">Artificial Intelligence</w:t>
            </w:r>
          </w:p>
        </w:tc>
      </w:tr>
      <w:tr>
        <w:trPr>
          <w:cantSplit/>
        </w:trPr>
        <w:tc>
          <w:tcPr>
            <w:tcW w:w="1700" w:type="dxa"/>
            <w:tcBorders>
              <w:top w:val="nil"/>
              <w:left w:val="nil"/>
              <w:bottom w:val="nil"/>
              <w:right w:val="nil"/>
            </w:tcBorders>
          </w:tcPr>
          <w:p>
            <w:pPr>
              <w:spacing w:before="0" w:after="80" w:line="240" w:lineRule="auto"/>
              <w:jc w:val="left"/>
            </w:pPr>
            <w:r>
              <w:rPr>
                <w:rFonts w:ascii="Times New Roman" w:hAnsi="Times New Roman" w:eastAsia="Times New Roman" w:cs="Times New Roman"/>
                <w:sz w:val="24"/>
                <w:szCs w:val="24"/>
              </w:rPr>
              <w:t xml:space="preserve">AUC</w:t>
            </w:r>
          </w:p>
        </w:tc>
        <w:tc>
          <w:tcPr>
            <w:tcW w:w="6606" w:type="dxa"/>
            <w:tcBorders>
              <w:top w:val="nil"/>
              <w:left w:val="nil"/>
              <w:bottom w:val="nil"/>
              <w:right w:val="nil"/>
            </w:tcBorders>
          </w:tcPr>
          <w:p>
            <w:pPr>
              <w:spacing w:before="0" w:after="80" w:line="240" w:lineRule="auto"/>
              <w:jc w:val="left"/>
            </w:pPr>
            <w:r>
              <w:rPr>
                <w:rFonts w:ascii="Times New Roman" w:hAnsi="Times New Roman" w:eastAsia="Times New Roman" w:cs="Times New Roman"/>
                <w:i/>
                <w:iCs/>
                <w:sz w:val="24"/>
                <w:szCs w:val="24"/>
              </w:rPr>
              <w:t xml:space="preserve">Area Under the Curve</w:t>
            </w:r>
          </w:p>
        </w:tc>
      </w:tr>
      <w:tr>
        <w:trPr>
          <w:cantSplit/>
        </w:trPr>
        <w:tc>
          <w:tcPr>
            <w:tcW w:w="1700" w:type="dxa"/>
            <w:tcBorders>
              <w:top w:val="nil"/>
              <w:left w:val="nil"/>
              <w:bottom w:val="nil"/>
              <w:right w:val="nil"/>
            </w:tcBorders>
          </w:tcPr>
          <w:p>
            <w:pPr>
              <w:spacing w:before="0" w:after="80" w:line="240" w:lineRule="auto"/>
              <w:jc w:val="left"/>
            </w:pPr>
            <w:r>
              <w:rPr>
                <w:rFonts w:ascii="Times New Roman" w:hAnsi="Times New Roman" w:eastAsia="Times New Roman" w:cs="Times New Roman"/>
                <w:sz w:val="24"/>
                <w:szCs w:val="24"/>
              </w:rPr>
              <w:t xml:space="preserve">BERT</w:t>
            </w:r>
          </w:p>
        </w:tc>
        <w:tc>
          <w:tcPr>
            <w:tcW w:w="6606" w:type="dxa"/>
            <w:tcBorders>
              <w:top w:val="nil"/>
              <w:left w:val="nil"/>
              <w:bottom w:val="nil"/>
              <w:right w:val="nil"/>
            </w:tcBorders>
          </w:tcPr>
          <w:p>
            <w:pPr>
              <w:spacing w:before="0" w:after="80" w:line="240" w:lineRule="auto"/>
              <w:jc w:val="left"/>
            </w:pPr>
            <w:r>
              <w:rPr>
                <w:rFonts w:ascii="Times New Roman" w:hAnsi="Times New Roman" w:eastAsia="Times New Roman" w:cs="Times New Roman"/>
                <w:sz w:val="24"/>
                <w:szCs w:val="24"/>
              </w:rPr>
              <w:t xml:space="preserve">Bidirectional Encoder Representations from Transformers</w:t>
            </w:r>
          </w:p>
        </w:tc>
      </w:tr>
      <w:tr>
        <w:trPr>
          <w:cantSplit/>
        </w:trPr>
        <w:tc>
          <w:tcPr>
            <w:tcW w:w="1700" w:type="dxa"/>
            <w:tcBorders>
              <w:top w:val="nil"/>
              <w:left w:val="nil"/>
              <w:bottom w:val="nil"/>
              <w:right w:val="nil"/>
            </w:tcBorders>
          </w:tcPr>
          <w:p>
            <w:pPr>
              <w:spacing w:before="0" w:after="80" w:line="240" w:lineRule="auto"/>
              <w:jc w:val="left"/>
            </w:pPr>
            <w:r>
              <w:rPr>
                <w:rFonts w:ascii="Times New Roman" w:hAnsi="Times New Roman" w:eastAsia="Times New Roman" w:cs="Times New Roman"/>
                <w:sz w:val="24"/>
                <w:szCs w:val="24"/>
              </w:rPr>
              <w:t xml:space="preserve">BPJS</w:t>
            </w:r>
          </w:p>
        </w:tc>
        <w:tc>
          <w:tcPr>
            <w:tcW w:w="6606" w:type="dxa"/>
            <w:tcBorders>
              <w:top w:val="nil"/>
              <w:left w:val="nil"/>
              <w:bottom w:val="nil"/>
              <w:right w:val="nil"/>
            </w:tcBorders>
          </w:tcPr>
          <w:p>
            <w:pPr>
              <w:spacing w:before="0" w:after="80" w:line="240" w:lineRule="auto"/>
              <w:jc w:val="left"/>
            </w:pPr>
            <w:r>
              <w:rPr>
                <w:rFonts w:ascii="Times New Roman" w:hAnsi="Times New Roman" w:eastAsia="Times New Roman" w:cs="Times New Roman"/>
                <w:sz w:val="24"/>
                <w:szCs w:val="24"/>
              </w:rPr>
              <w:t xml:space="preserve">Badan Penyelenggara Jaminan Sosial</w:t>
            </w:r>
          </w:p>
        </w:tc>
      </w:tr>
      <w:tr>
        <w:trPr>
          <w:cantSplit/>
        </w:trPr>
        <w:tc>
          <w:tcPr>
            <w:tcW w:w="1700" w:type="dxa"/>
            <w:tcBorders>
              <w:top w:val="nil"/>
              <w:left w:val="nil"/>
              <w:bottom w:val="nil"/>
              <w:right w:val="nil"/>
            </w:tcBorders>
          </w:tcPr>
          <w:p>
            <w:pPr>
              <w:spacing w:before="0" w:after="80" w:line="240" w:lineRule="auto"/>
              <w:jc w:val="left"/>
            </w:pPr>
            <w:r>
              <w:rPr>
                <w:rFonts w:ascii="Times New Roman" w:hAnsi="Times New Roman" w:eastAsia="Times New Roman" w:cs="Times New Roman"/>
                <w:sz w:val="24"/>
                <w:szCs w:val="24"/>
              </w:rPr>
              <w:t xml:space="preserve">CASI</w:t>
            </w:r>
          </w:p>
        </w:tc>
        <w:tc>
          <w:tcPr>
            <w:tcW w:w="6606" w:type="dxa"/>
            <w:tcBorders>
              <w:top w:val="nil"/>
              <w:left w:val="nil"/>
              <w:bottom w:val="nil"/>
              <w:right w:val="nil"/>
            </w:tcBorders>
          </w:tcPr>
          <w:p>
            <w:pPr>
              <w:spacing w:before="0" w:after="80" w:line="240" w:lineRule="auto"/>
              <w:jc w:val="left"/>
            </w:pPr>
            <w:r>
              <w:rPr>
                <w:rFonts w:ascii="Times New Roman" w:hAnsi="Times New Roman" w:eastAsia="Times New Roman" w:cs="Times New Roman"/>
                <w:sz w:val="24"/>
                <w:szCs w:val="24"/>
              </w:rPr>
              <w:t xml:space="preserve">Clinical Abbreviation Sense Inventory</w:t>
            </w:r>
          </w:p>
        </w:tc>
      </w:tr>
      <w:tr>
        <w:trPr>
          <w:cantSplit/>
        </w:trPr>
        <w:tc>
          <w:tcPr>
            <w:tcW w:w="1700" w:type="dxa"/>
            <w:tcBorders>
              <w:top w:val="nil"/>
              <w:left w:val="nil"/>
              <w:bottom w:val="nil"/>
              <w:right w:val="nil"/>
            </w:tcBorders>
          </w:tcPr>
          <w:p>
            <w:pPr>
              <w:spacing w:before="0" w:after="80" w:line="240" w:lineRule="auto"/>
              <w:jc w:val="left"/>
            </w:pPr>
            <w:r>
              <w:rPr>
                <w:rFonts w:ascii="Times New Roman" w:hAnsi="Times New Roman" w:eastAsia="Times New Roman" w:cs="Times New Roman"/>
                <w:sz w:val="24"/>
                <w:szCs w:val="24"/>
              </w:rPr>
              <w:t xml:space="preserve">CPPT</w:t>
            </w:r>
          </w:p>
        </w:tc>
        <w:tc>
          <w:tcPr>
            <w:tcW w:w="6606" w:type="dxa"/>
            <w:tcBorders>
              <w:top w:val="nil"/>
              <w:left w:val="nil"/>
              <w:bottom w:val="nil"/>
              <w:right w:val="nil"/>
            </w:tcBorders>
          </w:tcPr>
          <w:p>
            <w:pPr>
              <w:spacing w:before="0" w:after="80" w:line="240" w:lineRule="auto"/>
              <w:jc w:val="left"/>
            </w:pPr>
            <w:r>
              <w:rPr>
                <w:rFonts w:ascii="Times New Roman" w:hAnsi="Times New Roman" w:eastAsia="Times New Roman" w:cs="Times New Roman"/>
                <w:sz w:val="24"/>
                <w:szCs w:val="24"/>
              </w:rPr>
              <w:t xml:space="preserve">Catatan Perkembangan Pasien Terintegrasi</w:t>
            </w:r>
          </w:p>
        </w:tc>
      </w:tr>
      <w:tr>
        <w:trPr>
          <w:cantSplit/>
        </w:trPr>
        <w:tc>
          <w:tcPr>
            <w:tcW w:w="1700" w:type="dxa"/>
            <w:tcBorders>
              <w:top w:val="nil"/>
              <w:left w:val="nil"/>
              <w:bottom w:val="nil"/>
              <w:right w:val="nil"/>
            </w:tcBorders>
          </w:tcPr>
          <w:p>
            <w:pPr>
              <w:spacing w:before="0" w:after="80" w:line="240" w:lineRule="auto"/>
              <w:jc w:val="left"/>
            </w:pPr>
            <w:r>
              <w:rPr>
                <w:rFonts w:ascii="Times New Roman" w:hAnsi="Times New Roman" w:eastAsia="Times New Roman" w:cs="Times New Roman"/>
                <w:sz w:val="24"/>
                <w:szCs w:val="24"/>
              </w:rPr>
              <w:t xml:space="preserve">CRF</w:t>
            </w:r>
          </w:p>
        </w:tc>
        <w:tc>
          <w:tcPr>
            <w:tcW w:w="6606" w:type="dxa"/>
            <w:tcBorders>
              <w:top w:val="nil"/>
              <w:left w:val="nil"/>
              <w:bottom w:val="nil"/>
              <w:right w:val="nil"/>
            </w:tcBorders>
          </w:tcPr>
          <w:p>
            <w:pPr>
              <w:spacing w:before="0" w:after="80" w:line="240" w:lineRule="auto"/>
              <w:jc w:val="left"/>
            </w:pPr>
            <w:r>
              <w:rPr>
                <w:rFonts w:ascii="Times New Roman" w:hAnsi="Times New Roman" w:eastAsia="Times New Roman" w:cs="Times New Roman"/>
                <w:i/>
                <w:iCs/>
                <w:sz w:val="24"/>
                <w:szCs w:val="24"/>
              </w:rPr>
              <w:t xml:space="preserve">Conditional Random Field</w:t>
            </w:r>
          </w:p>
        </w:tc>
      </w:tr>
      <w:tr>
        <w:trPr>
          <w:cantSplit/>
        </w:trPr>
        <w:tc>
          <w:tcPr>
            <w:tcW w:w="1700" w:type="dxa"/>
            <w:tcBorders>
              <w:top w:val="nil"/>
              <w:left w:val="nil"/>
              <w:bottom w:val="nil"/>
              <w:right w:val="nil"/>
            </w:tcBorders>
          </w:tcPr>
          <w:p>
            <w:pPr>
              <w:spacing w:before="0" w:after="80" w:line="240" w:lineRule="auto"/>
              <w:jc w:val="left"/>
            </w:pPr>
            <w:r>
              <w:rPr>
                <w:rFonts w:ascii="Times New Roman" w:hAnsi="Times New Roman" w:eastAsia="Times New Roman" w:cs="Times New Roman"/>
                <w:sz w:val="24"/>
                <w:szCs w:val="24"/>
              </w:rPr>
              <w:t xml:space="preserve">CRRE</w:t>
            </w:r>
          </w:p>
        </w:tc>
        <w:tc>
          <w:tcPr>
            <w:tcW w:w="6606" w:type="dxa"/>
            <w:tcBorders>
              <w:top w:val="nil"/>
              <w:left w:val="nil"/>
              <w:bottom w:val="nil"/>
              <w:right w:val="nil"/>
            </w:tcBorders>
          </w:tcPr>
          <w:p>
            <w:pPr>
              <w:spacing w:before="0" w:after="80" w:line="240" w:lineRule="auto"/>
              <w:jc w:val="left"/>
            </w:pPr>
            <w:r>
              <w:rPr>
                <w:rFonts w:ascii="Times New Roman" w:hAnsi="Times New Roman" w:eastAsia="Times New Roman" w:cs="Times New Roman"/>
                <w:sz w:val="24"/>
                <w:szCs w:val="24"/>
              </w:rPr>
              <w:t xml:space="preserve">Claim Review &amp; Resolution Engineering</w:t>
            </w:r>
          </w:p>
        </w:tc>
      </w:tr>
      <w:tr>
        <w:trPr>
          <w:cantSplit/>
        </w:trPr>
        <w:tc>
          <w:tcPr>
            <w:tcW w:w="1700" w:type="dxa"/>
            <w:tcBorders>
              <w:top w:val="nil"/>
              <w:left w:val="nil"/>
              <w:bottom w:val="nil"/>
              <w:right w:val="nil"/>
            </w:tcBorders>
          </w:tcPr>
          <w:p>
            <w:pPr>
              <w:spacing w:before="0" w:after="80" w:line="240" w:lineRule="auto"/>
              <w:jc w:val="left"/>
            </w:pPr>
            <w:r>
              <w:rPr>
                <w:rFonts w:ascii="Times New Roman" w:hAnsi="Times New Roman" w:eastAsia="Times New Roman" w:cs="Times New Roman"/>
                <w:sz w:val="24"/>
                <w:szCs w:val="24"/>
              </w:rPr>
              <w:t xml:space="preserve">DPJP</w:t>
            </w:r>
          </w:p>
        </w:tc>
        <w:tc>
          <w:tcPr>
            <w:tcW w:w="6606" w:type="dxa"/>
            <w:tcBorders>
              <w:top w:val="nil"/>
              <w:left w:val="nil"/>
              <w:bottom w:val="nil"/>
              <w:right w:val="nil"/>
            </w:tcBorders>
          </w:tcPr>
          <w:p>
            <w:pPr>
              <w:spacing w:before="0" w:after="80" w:line="240" w:lineRule="auto"/>
              <w:jc w:val="left"/>
            </w:pPr>
            <w:r>
              <w:rPr>
                <w:rFonts w:ascii="Times New Roman" w:hAnsi="Times New Roman" w:eastAsia="Times New Roman" w:cs="Times New Roman"/>
                <w:sz w:val="24"/>
                <w:szCs w:val="24"/>
              </w:rPr>
              <w:t xml:space="preserve">Dokter Penanggung Jawab Pelayanan</w:t>
            </w:r>
          </w:p>
        </w:tc>
      </w:tr>
      <w:tr>
        <w:trPr>
          <w:cantSplit/>
        </w:trPr>
        <w:tc>
          <w:tcPr>
            <w:tcW w:w="1700" w:type="dxa"/>
            <w:tcBorders>
              <w:top w:val="nil"/>
              <w:left w:val="nil"/>
              <w:bottom w:val="nil"/>
              <w:right w:val="nil"/>
            </w:tcBorders>
          </w:tcPr>
          <w:p>
            <w:pPr>
              <w:spacing w:before="0" w:after="80" w:line="240" w:lineRule="auto"/>
              <w:jc w:val="left"/>
            </w:pPr>
            <w:r>
              <w:rPr>
                <w:rFonts w:ascii="Times New Roman" w:hAnsi="Times New Roman" w:eastAsia="Times New Roman" w:cs="Times New Roman"/>
                <w:sz w:val="24"/>
                <w:szCs w:val="24"/>
              </w:rPr>
              <w:t xml:space="preserve">DSRM</w:t>
            </w:r>
          </w:p>
        </w:tc>
        <w:tc>
          <w:tcPr>
            <w:tcW w:w="6606" w:type="dxa"/>
            <w:tcBorders>
              <w:top w:val="nil"/>
              <w:left w:val="nil"/>
              <w:bottom w:val="nil"/>
              <w:right w:val="nil"/>
            </w:tcBorders>
          </w:tcPr>
          <w:p>
            <w:pPr>
              <w:spacing w:before="0" w:after="80" w:line="240" w:lineRule="auto"/>
              <w:jc w:val="left"/>
            </w:pPr>
            <w:r>
              <w:rPr>
                <w:rFonts w:ascii="Times New Roman" w:hAnsi="Times New Roman" w:eastAsia="Times New Roman" w:cs="Times New Roman"/>
                <w:i/>
                <w:iCs/>
                <w:sz w:val="24"/>
                <w:szCs w:val="24"/>
              </w:rPr>
              <w:t xml:space="preserve">Design Science Research Methodology</w:t>
            </w:r>
          </w:p>
        </w:tc>
      </w:tr>
      <w:tr>
        <w:trPr>
          <w:cantSplit/>
        </w:trPr>
        <w:tc>
          <w:tcPr>
            <w:tcW w:w="1700" w:type="dxa"/>
            <w:tcBorders>
              <w:top w:val="nil"/>
              <w:left w:val="nil"/>
              <w:bottom w:val="nil"/>
              <w:right w:val="nil"/>
            </w:tcBorders>
          </w:tcPr>
          <w:p>
            <w:pPr>
              <w:spacing w:before="0" w:after="80" w:line="240" w:lineRule="auto"/>
              <w:jc w:val="left"/>
            </w:pPr>
            <w:r>
              <w:rPr>
                <w:rFonts w:ascii="Times New Roman" w:hAnsi="Times New Roman" w:eastAsia="Times New Roman" w:cs="Times New Roman"/>
                <w:sz w:val="24"/>
                <w:szCs w:val="24"/>
              </w:rPr>
              <w:t xml:space="preserve">FHIR</w:t>
            </w:r>
          </w:p>
        </w:tc>
        <w:tc>
          <w:tcPr>
            <w:tcW w:w="6606" w:type="dxa"/>
            <w:tcBorders>
              <w:top w:val="nil"/>
              <w:left w:val="nil"/>
              <w:bottom w:val="nil"/>
              <w:right w:val="nil"/>
            </w:tcBorders>
          </w:tcPr>
          <w:p>
            <w:pPr>
              <w:spacing w:before="0" w:after="80" w:line="240" w:lineRule="auto"/>
              <w:jc w:val="left"/>
            </w:pPr>
            <w:r>
              <w:rPr>
                <w:rFonts w:ascii="Times New Roman" w:hAnsi="Times New Roman" w:eastAsia="Times New Roman" w:cs="Times New Roman"/>
                <w:sz w:val="24"/>
                <w:szCs w:val="24"/>
              </w:rPr>
              <w:t xml:space="preserve">Fast Healthcare Interoperability Resources</w:t>
            </w:r>
          </w:p>
        </w:tc>
      </w:tr>
      <w:tr>
        <w:trPr>
          <w:cantSplit/>
        </w:trPr>
        <w:tc>
          <w:tcPr>
            <w:tcW w:w="1700" w:type="dxa"/>
            <w:tcBorders>
              <w:top w:val="nil"/>
              <w:left w:val="nil"/>
              <w:bottom w:val="nil"/>
              <w:right w:val="nil"/>
            </w:tcBorders>
          </w:tcPr>
          <w:p>
            <w:pPr>
              <w:spacing w:before="0" w:after="80" w:line="240" w:lineRule="auto"/>
              <w:jc w:val="left"/>
            </w:pPr>
            <w:r>
              <w:rPr>
                <w:rFonts w:ascii="Times New Roman" w:hAnsi="Times New Roman" w:eastAsia="Times New Roman" w:cs="Times New Roman"/>
                <w:sz w:val="24"/>
                <w:szCs w:val="24"/>
              </w:rPr>
              <w:t xml:space="preserve">FN</w:t>
            </w:r>
          </w:p>
        </w:tc>
        <w:tc>
          <w:tcPr>
            <w:tcW w:w="6606" w:type="dxa"/>
            <w:tcBorders>
              <w:top w:val="nil"/>
              <w:left w:val="nil"/>
              <w:bottom w:val="nil"/>
              <w:right w:val="nil"/>
            </w:tcBorders>
          </w:tcPr>
          <w:p>
            <w:pPr>
              <w:spacing w:before="0" w:after="80" w:line="240" w:lineRule="auto"/>
              <w:jc w:val="left"/>
            </w:pPr>
            <w:r>
              <w:rPr>
                <w:rFonts w:ascii="Times New Roman" w:hAnsi="Times New Roman" w:eastAsia="Times New Roman" w:cs="Times New Roman"/>
                <w:i/>
                <w:iCs/>
                <w:sz w:val="24"/>
                <w:szCs w:val="24"/>
              </w:rPr>
              <w:t xml:space="preserve">False Negative</w:t>
            </w:r>
          </w:p>
        </w:tc>
      </w:tr>
      <w:tr>
        <w:trPr>
          <w:cantSplit/>
        </w:trPr>
        <w:tc>
          <w:tcPr>
            <w:tcW w:w="1700" w:type="dxa"/>
            <w:tcBorders>
              <w:top w:val="nil"/>
              <w:left w:val="nil"/>
              <w:bottom w:val="nil"/>
              <w:right w:val="nil"/>
            </w:tcBorders>
          </w:tcPr>
          <w:p>
            <w:pPr>
              <w:spacing w:before="0" w:after="80" w:line="240" w:lineRule="auto"/>
              <w:jc w:val="left"/>
            </w:pPr>
            <w:r>
              <w:rPr>
                <w:rFonts w:ascii="Times New Roman" w:hAnsi="Times New Roman" w:eastAsia="Times New Roman" w:cs="Times New Roman"/>
                <w:sz w:val="24"/>
                <w:szCs w:val="24"/>
              </w:rPr>
              <w:t xml:space="preserve">FP</w:t>
            </w:r>
          </w:p>
        </w:tc>
        <w:tc>
          <w:tcPr>
            <w:tcW w:w="6606" w:type="dxa"/>
            <w:tcBorders>
              <w:top w:val="nil"/>
              <w:left w:val="nil"/>
              <w:bottom w:val="nil"/>
              <w:right w:val="nil"/>
            </w:tcBorders>
          </w:tcPr>
          <w:p>
            <w:pPr>
              <w:spacing w:before="0" w:after="80" w:line="240" w:lineRule="auto"/>
              <w:jc w:val="left"/>
            </w:pPr>
            <w:r>
              <w:rPr>
                <w:rFonts w:ascii="Times New Roman" w:hAnsi="Times New Roman" w:eastAsia="Times New Roman" w:cs="Times New Roman"/>
                <w:i/>
                <w:iCs/>
                <w:sz w:val="24"/>
                <w:szCs w:val="24"/>
              </w:rPr>
              <w:t xml:space="preserve">False Positive</w:t>
            </w:r>
          </w:p>
        </w:tc>
      </w:tr>
      <w:tr>
        <w:trPr>
          <w:cantSplit/>
        </w:trPr>
        <w:tc>
          <w:tcPr>
            <w:tcW w:w="1700" w:type="dxa"/>
            <w:tcBorders>
              <w:top w:val="nil"/>
              <w:left w:val="nil"/>
              <w:bottom w:val="nil"/>
              <w:right w:val="nil"/>
            </w:tcBorders>
          </w:tcPr>
          <w:p>
            <w:pPr>
              <w:spacing w:before="0" w:after="80" w:line="240" w:lineRule="auto"/>
              <w:jc w:val="left"/>
            </w:pPr>
            <w:r>
              <w:rPr>
                <w:rFonts w:ascii="Times New Roman" w:hAnsi="Times New Roman" w:eastAsia="Times New Roman" w:cs="Times New Roman"/>
                <w:sz w:val="24"/>
                <w:szCs w:val="24"/>
              </w:rPr>
              <w:t xml:space="preserve">HL7</w:t>
            </w:r>
          </w:p>
        </w:tc>
        <w:tc>
          <w:tcPr>
            <w:tcW w:w="6606" w:type="dxa"/>
            <w:tcBorders>
              <w:top w:val="nil"/>
              <w:left w:val="nil"/>
              <w:bottom w:val="nil"/>
              <w:right w:val="nil"/>
            </w:tcBorders>
          </w:tcPr>
          <w:p>
            <w:pPr>
              <w:spacing w:before="0" w:after="80" w:line="240" w:lineRule="auto"/>
              <w:jc w:val="left"/>
            </w:pPr>
            <w:r>
              <w:rPr>
                <w:rFonts w:ascii="Times New Roman" w:hAnsi="Times New Roman" w:eastAsia="Times New Roman" w:cs="Times New Roman"/>
                <w:sz w:val="24"/>
                <w:szCs w:val="24"/>
              </w:rPr>
              <w:t xml:space="preserve">Health Level Seven</w:t>
            </w:r>
          </w:p>
        </w:tc>
      </w:tr>
      <w:tr>
        <w:trPr>
          <w:cantSplit/>
        </w:trPr>
        <w:tc>
          <w:tcPr>
            <w:tcW w:w="1700" w:type="dxa"/>
            <w:tcBorders>
              <w:top w:val="nil"/>
              <w:left w:val="nil"/>
              <w:bottom w:val="nil"/>
              <w:right w:val="nil"/>
            </w:tcBorders>
          </w:tcPr>
          <w:p>
            <w:pPr>
              <w:spacing w:before="0" w:after="80" w:line="240" w:lineRule="auto"/>
              <w:jc w:val="left"/>
            </w:pPr>
            <w:r>
              <w:rPr>
                <w:rFonts w:ascii="Times New Roman" w:hAnsi="Times New Roman" w:eastAsia="Times New Roman" w:cs="Times New Roman"/>
                <w:sz w:val="24"/>
                <w:szCs w:val="24"/>
              </w:rPr>
              <w:t xml:space="preserve">ICD</w:t>
            </w:r>
          </w:p>
        </w:tc>
        <w:tc>
          <w:tcPr>
            <w:tcW w:w="6606" w:type="dxa"/>
            <w:tcBorders>
              <w:top w:val="nil"/>
              <w:left w:val="nil"/>
              <w:bottom w:val="nil"/>
              <w:right w:val="nil"/>
            </w:tcBorders>
          </w:tcPr>
          <w:p>
            <w:pPr>
              <w:spacing w:before="0" w:after="80" w:line="240" w:lineRule="auto"/>
              <w:jc w:val="left"/>
            </w:pPr>
            <w:r>
              <w:rPr>
                <w:rFonts w:ascii="Times New Roman" w:hAnsi="Times New Roman" w:eastAsia="Times New Roman" w:cs="Times New Roman"/>
                <w:sz w:val="24"/>
                <w:szCs w:val="24"/>
              </w:rPr>
              <w:t xml:space="preserve">International Classification of Diseases</w:t>
            </w:r>
          </w:p>
        </w:tc>
      </w:tr>
      <w:tr>
        <w:trPr>
          <w:cantSplit/>
        </w:trPr>
        <w:tc>
          <w:tcPr>
            <w:tcW w:w="1700" w:type="dxa"/>
            <w:tcBorders>
              <w:top w:val="nil"/>
              <w:left w:val="nil"/>
              <w:bottom w:val="nil"/>
              <w:right w:val="nil"/>
            </w:tcBorders>
          </w:tcPr>
          <w:p>
            <w:pPr>
              <w:spacing w:before="0" w:after="80" w:line="240" w:lineRule="auto"/>
              <w:jc w:val="left"/>
            </w:pPr>
            <w:r>
              <w:rPr>
                <w:rFonts w:ascii="Times New Roman" w:hAnsi="Times New Roman" w:eastAsia="Times New Roman" w:cs="Times New Roman"/>
                <w:sz w:val="24"/>
                <w:szCs w:val="24"/>
              </w:rPr>
              <w:t xml:space="preserve">ICU</w:t>
            </w:r>
          </w:p>
        </w:tc>
        <w:tc>
          <w:tcPr>
            <w:tcW w:w="6606" w:type="dxa"/>
            <w:tcBorders>
              <w:top w:val="nil"/>
              <w:left w:val="nil"/>
              <w:bottom w:val="nil"/>
              <w:right w:val="nil"/>
            </w:tcBorders>
          </w:tcPr>
          <w:p>
            <w:pPr>
              <w:spacing w:before="0" w:after="80" w:line="240" w:lineRule="auto"/>
              <w:jc w:val="left"/>
            </w:pPr>
            <w:r>
              <w:rPr>
                <w:rFonts w:ascii="Times New Roman" w:hAnsi="Times New Roman" w:eastAsia="Times New Roman" w:cs="Times New Roman"/>
                <w:i/>
                <w:iCs/>
                <w:sz w:val="24"/>
                <w:szCs w:val="24"/>
              </w:rPr>
              <w:t xml:space="preserve">Intensive Care Unit</w:t>
            </w:r>
          </w:p>
        </w:tc>
      </w:tr>
      <w:tr>
        <w:trPr>
          <w:cantSplit/>
        </w:trPr>
        <w:tc>
          <w:tcPr>
            <w:tcW w:w="1700" w:type="dxa"/>
            <w:tcBorders>
              <w:top w:val="nil"/>
              <w:left w:val="nil"/>
              <w:bottom w:val="nil"/>
              <w:right w:val="nil"/>
            </w:tcBorders>
          </w:tcPr>
          <w:p>
            <w:pPr>
              <w:spacing w:before="0" w:after="80" w:line="240" w:lineRule="auto"/>
              <w:jc w:val="left"/>
            </w:pPr>
            <w:r>
              <w:rPr>
                <w:rFonts w:ascii="Times New Roman" w:hAnsi="Times New Roman" w:eastAsia="Times New Roman" w:cs="Times New Roman"/>
                <w:sz w:val="24"/>
                <w:szCs w:val="24"/>
              </w:rPr>
              <w:t xml:space="preserve">IGD</w:t>
            </w:r>
          </w:p>
        </w:tc>
        <w:tc>
          <w:tcPr>
            <w:tcW w:w="6606" w:type="dxa"/>
            <w:tcBorders>
              <w:top w:val="nil"/>
              <w:left w:val="nil"/>
              <w:bottom w:val="nil"/>
              <w:right w:val="nil"/>
            </w:tcBorders>
          </w:tcPr>
          <w:p>
            <w:pPr>
              <w:spacing w:before="0" w:after="80" w:line="240" w:lineRule="auto"/>
              <w:jc w:val="left"/>
            </w:pPr>
            <w:r>
              <w:rPr>
                <w:rFonts w:ascii="Times New Roman" w:hAnsi="Times New Roman" w:eastAsia="Times New Roman" w:cs="Times New Roman"/>
                <w:sz w:val="24"/>
                <w:szCs w:val="24"/>
              </w:rPr>
              <w:t xml:space="preserve">Instalasi Gawat Darurat</w:t>
            </w:r>
          </w:p>
        </w:tc>
      </w:tr>
      <w:tr>
        <w:trPr>
          <w:cantSplit/>
        </w:trPr>
        <w:tc>
          <w:tcPr>
            <w:tcW w:w="1700" w:type="dxa"/>
            <w:tcBorders>
              <w:top w:val="nil"/>
              <w:left w:val="nil"/>
              <w:bottom w:val="nil"/>
              <w:right w:val="nil"/>
            </w:tcBorders>
          </w:tcPr>
          <w:p>
            <w:pPr>
              <w:spacing w:before="0" w:after="80" w:line="240" w:lineRule="auto"/>
              <w:jc w:val="left"/>
            </w:pPr>
            <w:r>
              <w:rPr>
                <w:rFonts w:ascii="Times New Roman" w:hAnsi="Times New Roman" w:eastAsia="Times New Roman" w:cs="Times New Roman"/>
                <w:sz w:val="24"/>
                <w:szCs w:val="24"/>
              </w:rPr>
              <w:t xml:space="preserve">INA-CBG</w:t>
            </w:r>
          </w:p>
        </w:tc>
        <w:tc>
          <w:tcPr>
            <w:tcW w:w="6606" w:type="dxa"/>
            <w:tcBorders>
              <w:top w:val="nil"/>
              <w:left w:val="nil"/>
              <w:bottom w:val="nil"/>
              <w:right w:val="nil"/>
            </w:tcBorders>
          </w:tcPr>
          <w:p>
            <w:pPr>
              <w:spacing w:before="0" w:after="80" w:line="240" w:lineRule="auto"/>
              <w:jc w:val="left"/>
            </w:pPr>
            <w:r>
              <w:rPr>
                <w:rFonts w:ascii="Times New Roman" w:hAnsi="Times New Roman" w:eastAsia="Times New Roman" w:cs="Times New Roman"/>
                <w:sz w:val="24"/>
                <w:szCs w:val="24"/>
              </w:rPr>
              <w:t xml:space="preserve">Indonesian Case Base Groups</w:t>
            </w:r>
          </w:p>
        </w:tc>
      </w:tr>
      <w:tr>
        <w:trPr>
          <w:cantSplit/>
        </w:trPr>
        <w:tc>
          <w:tcPr>
            <w:tcW w:w="1700" w:type="dxa"/>
            <w:tcBorders>
              <w:top w:val="nil"/>
              <w:left w:val="nil"/>
              <w:bottom w:val="nil"/>
              <w:right w:val="nil"/>
            </w:tcBorders>
          </w:tcPr>
          <w:p>
            <w:pPr>
              <w:spacing w:before="0" w:after="80" w:line="240" w:lineRule="auto"/>
              <w:jc w:val="left"/>
            </w:pPr>
            <w:r>
              <w:rPr>
                <w:rFonts w:ascii="Times New Roman" w:hAnsi="Times New Roman" w:eastAsia="Times New Roman" w:cs="Times New Roman"/>
                <w:sz w:val="24"/>
                <w:szCs w:val="24"/>
              </w:rPr>
              <w:t xml:space="preserve">ISO</w:t>
            </w:r>
          </w:p>
        </w:tc>
        <w:tc>
          <w:tcPr>
            <w:tcW w:w="6606" w:type="dxa"/>
            <w:tcBorders>
              <w:top w:val="nil"/>
              <w:left w:val="nil"/>
              <w:bottom w:val="nil"/>
              <w:right w:val="nil"/>
            </w:tcBorders>
          </w:tcPr>
          <w:p>
            <w:pPr>
              <w:spacing w:before="0" w:after="80" w:line="240" w:lineRule="auto"/>
              <w:jc w:val="left"/>
            </w:pPr>
            <w:r>
              <w:rPr>
                <w:rFonts w:ascii="Times New Roman" w:hAnsi="Times New Roman" w:eastAsia="Times New Roman" w:cs="Times New Roman"/>
                <w:sz w:val="24"/>
                <w:szCs w:val="24"/>
              </w:rPr>
              <w:t xml:space="preserve">International Organization for Standardization</w:t>
            </w:r>
          </w:p>
        </w:tc>
      </w:tr>
      <w:tr>
        <w:trPr>
          <w:cantSplit/>
        </w:trPr>
        <w:tc>
          <w:tcPr>
            <w:tcW w:w="1700" w:type="dxa"/>
            <w:tcBorders>
              <w:top w:val="nil"/>
              <w:left w:val="nil"/>
              <w:bottom w:val="nil"/>
              <w:right w:val="nil"/>
            </w:tcBorders>
          </w:tcPr>
          <w:p>
            <w:pPr>
              <w:spacing w:before="0" w:after="80" w:line="240" w:lineRule="auto"/>
              <w:jc w:val="left"/>
            </w:pPr>
            <w:r>
              <w:rPr>
                <w:rFonts w:ascii="Times New Roman" w:hAnsi="Times New Roman" w:eastAsia="Times New Roman" w:cs="Times New Roman"/>
                <w:sz w:val="24"/>
                <w:szCs w:val="24"/>
              </w:rPr>
              <w:t xml:space="preserve">JKN</w:t>
            </w:r>
          </w:p>
        </w:tc>
        <w:tc>
          <w:tcPr>
            <w:tcW w:w="6606" w:type="dxa"/>
            <w:tcBorders>
              <w:top w:val="nil"/>
              <w:left w:val="nil"/>
              <w:bottom w:val="nil"/>
              <w:right w:val="nil"/>
            </w:tcBorders>
          </w:tcPr>
          <w:p>
            <w:pPr>
              <w:spacing w:before="0" w:after="80" w:line="240" w:lineRule="auto"/>
              <w:jc w:val="left"/>
            </w:pPr>
            <w:r>
              <w:rPr>
                <w:rFonts w:ascii="Times New Roman" w:hAnsi="Times New Roman" w:eastAsia="Times New Roman" w:cs="Times New Roman"/>
                <w:sz w:val="24"/>
                <w:szCs w:val="24"/>
              </w:rPr>
              <w:t xml:space="preserve">Jaminan Kesehatan Nasional</w:t>
            </w:r>
          </w:p>
        </w:tc>
      </w:tr>
      <w:tr>
        <w:trPr>
          <w:cantSplit/>
        </w:trPr>
        <w:tc>
          <w:tcPr>
            <w:tcW w:w="1700" w:type="dxa"/>
            <w:tcBorders>
              <w:top w:val="nil"/>
              <w:left w:val="nil"/>
              <w:bottom w:val="nil"/>
              <w:right w:val="nil"/>
            </w:tcBorders>
          </w:tcPr>
          <w:p>
            <w:pPr>
              <w:spacing w:before="0" w:after="80" w:line="240" w:lineRule="auto"/>
              <w:jc w:val="left"/>
            </w:pPr>
            <w:r>
              <w:rPr>
                <w:rFonts w:ascii="Times New Roman" w:hAnsi="Times New Roman" w:eastAsia="Times New Roman" w:cs="Times New Roman"/>
                <w:sz w:val="24"/>
                <w:szCs w:val="24"/>
              </w:rPr>
              <w:t xml:space="preserve">KG</w:t>
            </w:r>
          </w:p>
        </w:tc>
        <w:tc>
          <w:tcPr>
            <w:tcW w:w="6606" w:type="dxa"/>
            <w:tcBorders>
              <w:top w:val="nil"/>
              <w:left w:val="nil"/>
              <w:bottom w:val="nil"/>
              <w:right w:val="nil"/>
            </w:tcBorders>
          </w:tcPr>
          <w:p>
            <w:pPr>
              <w:spacing w:before="0" w:after="80" w:line="240" w:lineRule="auto"/>
              <w:jc w:val="left"/>
            </w:pPr>
            <w:r>
              <w:rPr>
                <w:rFonts w:ascii="Times New Roman" w:hAnsi="Times New Roman" w:eastAsia="Times New Roman" w:cs="Times New Roman"/>
                <w:i/>
                <w:iCs/>
                <w:sz w:val="24"/>
                <w:szCs w:val="24"/>
              </w:rPr>
              <w:t xml:space="preserve">Knowledge Graph</w:t>
            </w:r>
          </w:p>
        </w:tc>
      </w:tr>
      <w:tr>
        <w:trPr>
          <w:cantSplit/>
        </w:trPr>
        <w:tc>
          <w:tcPr>
            <w:tcW w:w="1700" w:type="dxa"/>
            <w:tcBorders>
              <w:top w:val="nil"/>
              <w:left w:val="nil"/>
              <w:bottom w:val="nil"/>
              <w:right w:val="nil"/>
            </w:tcBorders>
          </w:tcPr>
          <w:p>
            <w:pPr>
              <w:spacing w:before="0" w:after="80" w:line="240" w:lineRule="auto"/>
              <w:jc w:val="left"/>
            </w:pPr>
            <w:r>
              <w:rPr>
                <w:rFonts w:ascii="Times New Roman" w:hAnsi="Times New Roman" w:eastAsia="Times New Roman" w:cs="Times New Roman"/>
                <w:sz w:val="24"/>
                <w:szCs w:val="24"/>
              </w:rPr>
              <w:t xml:space="preserve">LLM</w:t>
            </w:r>
          </w:p>
        </w:tc>
        <w:tc>
          <w:tcPr>
            <w:tcW w:w="6606" w:type="dxa"/>
            <w:tcBorders>
              <w:top w:val="nil"/>
              <w:left w:val="nil"/>
              <w:bottom w:val="nil"/>
              <w:right w:val="nil"/>
            </w:tcBorders>
          </w:tcPr>
          <w:p>
            <w:pPr>
              <w:spacing w:before="0" w:after="80" w:line="240" w:lineRule="auto"/>
              <w:jc w:val="left"/>
            </w:pPr>
            <w:r>
              <w:rPr>
                <w:rFonts w:ascii="Times New Roman" w:hAnsi="Times New Roman" w:eastAsia="Times New Roman" w:cs="Times New Roman"/>
                <w:i/>
                <w:iCs/>
                <w:sz w:val="24"/>
                <w:szCs w:val="24"/>
              </w:rPr>
              <w:t xml:space="preserve">Large Language Model</w:t>
            </w:r>
          </w:p>
        </w:tc>
      </w:tr>
      <w:tr>
        <w:trPr>
          <w:cantSplit/>
        </w:trPr>
        <w:tc>
          <w:tcPr>
            <w:tcW w:w="1700" w:type="dxa"/>
            <w:tcBorders>
              <w:top w:val="nil"/>
              <w:left w:val="nil"/>
              <w:bottom w:val="nil"/>
              <w:right w:val="nil"/>
            </w:tcBorders>
          </w:tcPr>
          <w:p>
            <w:pPr>
              <w:spacing w:before="0" w:after="80" w:line="240" w:lineRule="auto"/>
              <w:jc w:val="left"/>
            </w:pPr>
            <w:r>
              <w:rPr>
                <w:rFonts w:ascii="Times New Roman" w:hAnsi="Times New Roman" w:eastAsia="Times New Roman" w:cs="Times New Roman"/>
                <w:sz w:val="24"/>
                <w:szCs w:val="24"/>
              </w:rPr>
              <w:t xml:space="preserve">LSTM</w:t>
            </w:r>
          </w:p>
        </w:tc>
        <w:tc>
          <w:tcPr>
            <w:tcW w:w="6606" w:type="dxa"/>
            <w:tcBorders>
              <w:top w:val="nil"/>
              <w:left w:val="nil"/>
              <w:bottom w:val="nil"/>
              <w:right w:val="nil"/>
            </w:tcBorders>
          </w:tcPr>
          <w:p>
            <w:pPr>
              <w:spacing w:before="0" w:after="80" w:line="240" w:lineRule="auto"/>
              <w:jc w:val="left"/>
            </w:pPr>
            <w:r>
              <w:rPr>
                <w:rFonts w:ascii="Times New Roman" w:hAnsi="Times New Roman" w:eastAsia="Times New Roman" w:cs="Times New Roman"/>
                <w:i/>
                <w:iCs/>
                <w:sz w:val="24"/>
                <w:szCs w:val="24"/>
              </w:rPr>
              <w:t xml:space="preserve">Long Short-Term Memory</w:t>
            </w:r>
          </w:p>
        </w:tc>
      </w:tr>
      <w:tr>
        <w:trPr>
          <w:cantSplit/>
        </w:trPr>
        <w:tc>
          <w:tcPr>
            <w:tcW w:w="1700" w:type="dxa"/>
            <w:tcBorders>
              <w:top w:val="nil"/>
              <w:left w:val="nil"/>
              <w:bottom w:val="nil"/>
              <w:right w:val="nil"/>
            </w:tcBorders>
          </w:tcPr>
          <w:p>
            <w:pPr>
              <w:spacing w:before="0" w:after="80" w:line="240" w:lineRule="auto"/>
              <w:jc w:val="left"/>
            </w:pPr>
            <w:r>
              <w:rPr>
                <w:rFonts w:ascii="Times New Roman" w:hAnsi="Times New Roman" w:eastAsia="Times New Roman" w:cs="Times New Roman"/>
                <w:sz w:val="24"/>
                <w:szCs w:val="24"/>
              </w:rPr>
              <w:t xml:space="preserve">MCN</w:t>
            </w:r>
          </w:p>
        </w:tc>
        <w:tc>
          <w:tcPr>
            <w:tcW w:w="6606" w:type="dxa"/>
            <w:tcBorders>
              <w:top w:val="nil"/>
              <w:left w:val="nil"/>
              <w:bottom w:val="nil"/>
              <w:right w:val="nil"/>
            </w:tcBorders>
          </w:tcPr>
          <w:p>
            <w:pPr>
              <w:spacing w:before="0" w:after="80" w:line="240" w:lineRule="auto"/>
              <w:jc w:val="left"/>
            </w:pPr>
            <w:r>
              <w:rPr>
                <w:rFonts w:ascii="Times New Roman" w:hAnsi="Times New Roman" w:eastAsia="Times New Roman" w:cs="Times New Roman"/>
                <w:i/>
                <w:iCs/>
                <w:sz w:val="24"/>
                <w:szCs w:val="24"/>
              </w:rPr>
              <w:t xml:space="preserve">Medical Concept Normalization</w:t>
            </w:r>
          </w:p>
        </w:tc>
      </w:tr>
      <w:tr>
        <w:trPr>
          <w:cantSplit/>
        </w:trPr>
        <w:tc>
          <w:tcPr>
            <w:tcW w:w="1700" w:type="dxa"/>
            <w:tcBorders>
              <w:top w:val="nil"/>
              <w:left w:val="nil"/>
              <w:bottom w:val="nil"/>
              <w:right w:val="nil"/>
            </w:tcBorders>
          </w:tcPr>
          <w:p>
            <w:pPr>
              <w:spacing w:before="0" w:after="80" w:line="240" w:lineRule="auto"/>
              <w:jc w:val="left"/>
            </w:pPr>
            <w:r>
              <w:rPr>
                <w:rFonts w:ascii="Times New Roman" w:hAnsi="Times New Roman" w:eastAsia="Times New Roman" w:cs="Times New Roman"/>
                <w:sz w:val="24"/>
                <w:szCs w:val="24"/>
              </w:rPr>
              <w:t xml:space="preserve">MeSH</w:t>
            </w:r>
          </w:p>
        </w:tc>
        <w:tc>
          <w:tcPr>
            <w:tcW w:w="6606" w:type="dxa"/>
            <w:tcBorders>
              <w:top w:val="nil"/>
              <w:left w:val="nil"/>
              <w:bottom w:val="nil"/>
              <w:right w:val="nil"/>
            </w:tcBorders>
          </w:tcPr>
          <w:p>
            <w:pPr>
              <w:spacing w:before="0" w:after="80" w:line="240" w:lineRule="auto"/>
              <w:jc w:val="left"/>
            </w:pPr>
            <w:r>
              <w:rPr>
                <w:rFonts w:ascii="Times New Roman" w:hAnsi="Times New Roman" w:eastAsia="Times New Roman" w:cs="Times New Roman"/>
                <w:sz w:val="24"/>
                <w:szCs w:val="24"/>
              </w:rPr>
              <w:t xml:space="preserve">Medical Subject Headings</w:t>
            </w:r>
          </w:p>
        </w:tc>
      </w:tr>
      <w:tr>
        <w:trPr>
          <w:cantSplit/>
        </w:trPr>
        <w:tc>
          <w:tcPr>
            <w:tcW w:w="1700" w:type="dxa"/>
            <w:tcBorders>
              <w:top w:val="nil"/>
              <w:left w:val="nil"/>
              <w:bottom w:val="nil"/>
              <w:right w:val="nil"/>
            </w:tcBorders>
          </w:tcPr>
          <w:p>
            <w:pPr>
              <w:spacing w:before="0" w:after="80" w:line="240" w:lineRule="auto"/>
              <w:jc w:val="left"/>
            </w:pPr>
            <w:r>
              <w:rPr>
                <w:rFonts w:ascii="Times New Roman" w:hAnsi="Times New Roman" w:eastAsia="Times New Roman" w:cs="Times New Roman"/>
                <w:sz w:val="24"/>
                <w:szCs w:val="24"/>
              </w:rPr>
              <w:t xml:space="preserve">MIMIC</w:t>
            </w:r>
          </w:p>
        </w:tc>
        <w:tc>
          <w:tcPr>
            <w:tcW w:w="6606" w:type="dxa"/>
            <w:tcBorders>
              <w:top w:val="nil"/>
              <w:left w:val="nil"/>
              <w:bottom w:val="nil"/>
              <w:right w:val="nil"/>
            </w:tcBorders>
          </w:tcPr>
          <w:p>
            <w:pPr>
              <w:spacing w:before="0" w:after="80" w:line="240" w:lineRule="auto"/>
              <w:jc w:val="left"/>
            </w:pPr>
            <w:r>
              <w:rPr>
                <w:rFonts w:ascii="Times New Roman" w:hAnsi="Times New Roman" w:eastAsia="Times New Roman" w:cs="Times New Roman"/>
                <w:sz w:val="24"/>
                <w:szCs w:val="24"/>
              </w:rPr>
              <w:t xml:space="preserve">Medical Information Mart for Intensive Care</w:t>
            </w:r>
          </w:p>
        </w:tc>
      </w:tr>
      <w:tr>
        <w:trPr>
          <w:cantSplit/>
        </w:trPr>
        <w:tc>
          <w:tcPr>
            <w:tcW w:w="1700" w:type="dxa"/>
            <w:tcBorders>
              <w:top w:val="nil"/>
              <w:left w:val="nil"/>
              <w:bottom w:val="nil"/>
              <w:right w:val="nil"/>
            </w:tcBorders>
          </w:tcPr>
          <w:p>
            <w:pPr>
              <w:spacing w:before="0" w:after="80" w:line="240" w:lineRule="auto"/>
              <w:jc w:val="left"/>
            </w:pPr>
            <w:r>
              <w:rPr>
                <w:rFonts w:ascii="Times New Roman" w:hAnsi="Times New Roman" w:eastAsia="Times New Roman" w:cs="Times New Roman"/>
                <w:sz w:val="24"/>
                <w:szCs w:val="24"/>
              </w:rPr>
              <w:t xml:space="preserve">NER</w:t>
            </w:r>
          </w:p>
        </w:tc>
        <w:tc>
          <w:tcPr>
            <w:tcW w:w="6606" w:type="dxa"/>
            <w:tcBorders>
              <w:top w:val="nil"/>
              <w:left w:val="nil"/>
              <w:bottom w:val="nil"/>
              <w:right w:val="nil"/>
            </w:tcBorders>
          </w:tcPr>
          <w:p>
            <w:pPr>
              <w:spacing w:before="0" w:after="80" w:line="240" w:lineRule="auto"/>
              <w:jc w:val="left"/>
            </w:pPr>
            <w:r>
              <w:rPr>
                <w:rFonts w:ascii="Times New Roman" w:hAnsi="Times New Roman" w:eastAsia="Times New Roman" w:cs="Times New Roman"/>
                <w:i/>
                <w:iCs/>
                <w:sz w:val="24"/>
                <w:szCs w:val="24"/>
              </w:rPr>
              <w:t xml:space="preserve">Named Entity Recognition</w:t>
            </w:r>
          </w:p>
        </w:tc>
      </w:tr>
      <w:tr>
        <w:trPr>
          <w:cantSplit/>
        </w:trPr>
        <w:tc>
          <w:tcPr>
            <w:tcW w:w="1700" w:type="dxa"/>
            <w:tcBorders>
              <w:top w:val="nil"/>
              <w:left w:val="nil"/>
              <w:bottom w:val="nil"/>
              <w:right w:val="nil"/>
            </w:tcBorders>
          </w:tcPr>
          <w:p>
            <w:pPr>
              <w:spacing w:before="0" w:after="80" w:line="240" w:lineRule="auto"/>
              <w:jc w:val="left"/>
            </w:pPr>
            <w:r>
              <w:rPr>
                <w:rFonts w:ascii="Times New Roman" w:hAnsi="Times New Roman" w:eastAsia="Times New Roman" w:cs="Times New Roman"/>
                <w:sz w:val="24"/>
                <w:szCs w:val="24"/>
              </w:rPr>
              <w:t xml:space="preserve">NIK</w:t>
            </w:r>
          </w:p>
        </w:tc>
        <w:tc>
          <w:tcPr>
            <w:tcW w:w="6606" w:type="dxa"/>
            <w:tcBorders>
              <w:top w:val="nil"/>
              <w:left w:val="nil"/>
              <w:bottom w:val="nil"/>
              <w:right w:val="nil"/>
            </w:tcBorders>
          </w:tcPr>
          <w:p>
            <w:pPr>
              <w:spacing w:before="0" w:after="80" w:line="240" w:lineRule="auto"/>
              <w:jc w:val="left"/>
            </w:pPr>
            <w:r>
              <w:rPr>
                <w:rFonts w:ascii="Times New Roman" w:hAnsi="Times New Roman" w:eastAsia="Times New Roman" w:cs="Times New Roman"/>
                <w:sz w:val="24"/>
                <w:szCs w:val="24"/>
              </w:rPr>
              <w:t xml:space="preserve">Nomor Induk Kependudukan</w:t>
            </w:r>
          </w:p>
        </w:tc>
      </w:tr>
      <w:tr>
        <w:trPr>
          <w:cantSplit/>
        </w:trPr>
        <w:tc>
          <w:tcPr>
            <w:tcW w:w="1700" w:type="dxa"/>
            <w:tcBorders>
              <w:top w:val="nil"/>
              <w:left w:val="nil"/>
              <w:bottom w:val="nil"/>
              <w:right w:val="nil"/>
            </w:tcBorders>
          </w:tcPr>
          <w:p>
            <w:pPr>
              <w:spacing w:before="0" w:after="80" w:line="240" w:lineRule="auto"/>
              <w:jc w:val="left"/>
            </w:pPr>
            <w:r>
              <w:rPr>
                <w:rFonts w:ascii="Times New Roman" w:hAnsi="Times New Roman" w:eastAsia="Times New Roman" w:cs="Times New Roman"/>
                <w:sz w:val="24"/>
                <w:szCs w:val="24"/>
              </w:rPr>
              <w:t xml:space="preserve">NLP</w:t>
            </w:r>
          </w:p>
        </w:tc>
        <w:tc>
          <w:tcPr>
            <w:tcW w:w="6606" w:type="dxa"/>
            <w:tcBorders>
              <w:top w:val="nil"/>
              <w:left w:val="nil"/>
              <w:bottom w:val="nil"/>
              <w:right w:val="nil"/>
            </w:tcBorders>
          </w:tcPr>
          <w:p>
            <w:pPr>
              <w:spacing w:before="0" w:after="80" w:line="240" w:lineRule="auto"/>
              <w:jc w:val="left"/>
            </w:pPr>
            <w:r>
              <w:rPr>
                <w:rFonts w:ascii="Times New Roman" w:hAnsi="Times New Roman" w:eastAsia="Times New Roman" w:cs="Times New Roman"/>
                <w:i/>
                <w:iCs/>
                <w:sz w:val="24"/>
                <w:szCs w:val="24"/>
              </w:rPr>
              <w:t xml:space="preserve">Natural Language Processing</w:t>
            </w:r>
          </w:p>
        </w:tc>
      </w:tr>
      <w:tr>
        <w:trPr>
          <w:cantSplit/>
        </w:trPr>
        <w:tc>
          <w:tcPr>
            <w:tcW w:w="1700" w:type="dxa"/>
            <w:tcBorders>
              <w:top w:val="nil"/>
              <w:left w:val="nil"/>
              <w:bottom w:val="nil"/>
              <w:right w:val="nil"/>
            </w:tcBorders>
          </w:tcPr>
          <w:p>
            <w:pPr>
              <w:spacing w:before="0" w:after="80" w:line="240" w:lineRule="auto"/>
              <w:jc w:val="left"/>
            </w:pPr>
            <w:r>
              <w:rPr>
                <w:rFonts w:ascii="Times New Roman" w:hAnsi="Times New Roman" w:eastAsia="Times New Roman" w:cs="Times New Roman"/>
                <w:sz w:val="24"/>
                <w:szCs w:val="24"/>
              </w:rPr>
              <w:t xml:space="preserve">PHI</w:t>
            </w:r>
          </w:p>
        </w:tc>
        <w:tc>
          <w:tcPr>
            <w:tcW w:w="6606" w:type="dxa"/>
            <w:tcBorders>
              <w:top w:val="nil"/>
              <w:left w:val="nil"/>
              <w:bottom w:val="nil"/>
              <w:right w:val="nil"/>
            </w:tcBorders>
          </w:tcPr>
          <w:p>
            <w:pPr>
              <w:spacing w:before="0" w:after="80" w:line="240" w:lineRule="auto"/>
              <w:jc w:val="left"/>
            </w:pPr>
            <w:r>
              <w:rPr>
                <w:rFonts w:ascii="Times New Roman" w:hAnsi="Times New Roman" w:eastAsia="Times New Roman" w:cs="Times New Roman"/>
                <w:i/>
                <w:iCs/>
                <w:sz w:val="24"/>
                <w:szCs w:val="24"/>
              </w:rPr>
              <w:t xml:space="preserve">Protected Health Information</w:t>
            </w:r>
          </w:p>
        </w:tc>
      </w:tr>
      <w:tr>
        <w:trPr>
          <w:cantSplit/>
        </w:trPr>
        <w:tc>
          <w:tcPr>
            <w:tcW w:w="1700" w:type="dxa"/>
            <w:tcBorders>
              <w:top w:val="nil"/>
              <w:left w:val="nil"/>
              <w:bottom w:val="nil"/>
              <w:right w:val="nil"/>
            </w:tcBorders>
          </w:tcPr>
          <w:p>
            <w:pPr>
              <w:spacing w:before="0" w:after="80" w:line="240" w:lineRule="auto"/>
              <w:jc w:val="left"/>
            </w:pPr>
            <w:r>
              <w:rPr>
                <w:rFonts w:ascii="Times New Roman" w:hAnsi="Times New Roman" w:eastAsia="Times New Roman" w:cs="Times New Roman"/>
                <w:sz w:val="24"/>
                <w:szCs w:val="24"/>
              </w:rPr>
              <w:t xml:space="preserve">PLM</w:t>
            </w:r>
          </w:p>
        </w:tc>
        <w:tc>
          <w:tcPr>
            <w:tcW w:w="6606" w:type="dxa"/>
            <w:tcBorders>
              <w:top w:val="nil"/>
              <w:left w:val="nil"/>
              <w:bottom w:val="nil"/>
              <w:right w:val="nil"/>
            </w:tcBorders>
          </w:tcPr>
          <w:p>
            <w:pPr>
              <w:spacing w:before="0" w:after="80" w:line="240" w:lineRule="auto"/>
              <w:jc w:val="left"/>
            </w:pPr>
            <w:r>
              <w:rPr>
                <w:rFonts w:ascii="Times New Roman" w:hAnsi="Times New Roman" w:eastAsia="Times New Roman" w:cs="Times New Roman"/>
                <w:i/>
                <w:iCs/>
                <w:sz w:val="24"/>
                <w:szCs w:val="24"/>
              </w:rPr>
              <w:t xml:space="preserve">Pre-trained Language Model</w:t>
            </w:r>
          </w:p>
        </w:tc>
      </w:tr>
      <w:tr>
        <w:trPr>
          <w:cantSplit/>
        </w:trPr>
        <w:tc>
          <w:tcPr>
            <w:tcW w:w="1700" w:type="dxa"/>
            <w:tcBorders>
              <w:top w:val="nil"/>
              <w:left w:val="nil"/>
              <w:bottom w:val="nil"/>
              <w:right w:val="nil"/>
            </w:tcBorders>
          </w:tcPr>
          <w:p>
            <w:pPr>
              <w:spacing w:before="0" w:after="80" w:line="240" w:lineRule="auto"/>
              <w:jc w:val="left"/>
            </w:pPr>
            <w:r>
              <w:rPr>
                <w:rFonts w:ascii="Times New Roman" w:hAnsi="Times New Roman" w:eastAsia="Times New Roman" w:cs="Times New Roman"/>
                <w:sz w:val="24"/>
                <w:szCs w:val="24"/>
              </w:rPr>
              <w:t xml:space="preserve">PROV-DM</w:t>
            </w:r>
          </w:p>
        </w:tc>
        <w:tc>
          <w:tcPr>
            <w:tcW w:w="6606" w:type="dxa"/>
            <w:tcBorders>
              <w:top w:val="nil"/>
              <w:left w:val="nil"/>
              <w:bottom w:val="nil"/>
              <w:right w:val="nil"/>
            </w:tcBorders>
          </w:tcPr>
          <w:p>
            <w:pPr>
              <w:spacing w:before="0" w:after="80" w:line="240" w:lineRule="auto"/>
              <w:jc w:val="left"/>
            </w:pPr>
            <w:r>
              <w:rPr>
                <w:rFonts w:ascii="Times New Roman" w:hAnsi="Times New Roman" w:eastAsia="Times New Roman" w:cs="Times New Roman"/>
                <w:sz w:val="24"/>
                <w:szCs w:val="24"/>
              </w:rPr>
              <w:t xml:space="preserve">PROV Data Model</w:t>
            </w:r>
          </w:p>
        </w:tc>
      </w:tr>
      <w:tr>
        <w:trPr>
          <w:cantSplit/>
        </w:trPr>
        <w:tc>
          <w:tcPr>
            <w:tcW w:w="1700" w:type="dxa"/>
            <w:tcBorders>
              <w:top w:val="nil"/>
              <w:left w:val="nil"/>
              <w:bottom w:val="nil"/>
              <w:right w:val="nil"/>
            </w:tcBorders>
          </w:tcPr>
          <w:p>
            <w:pPr>
              <w:spacing w:before="0" w:after="80" w:line="240" w:lineRule="auto"/>
              <w:jc w:val="left"/>
            </w:pPr>
            <w:r>
              <w:rPr>
                <w:rFonts w:ascii="Times New Roman" w:hAnsi="Times New Roman" w:eastAsia="Times New Roman" w:cs="Times New Roman"/>
                <w:sz w:val="24"/>
                <w:szCs w:val="24"/>
              </w:rPr>
              <w:t xml:space="preserve">RAG</w:t>
            </w:r>
          </w:p>
        </w:tc>
        <w:tc>
          <w:tcPr>
            <w:tcW w:w="6606" w:type="dxa"/>
            <w:tcBorders>
              <w:top w:val="nil"/>
              <w:left w:val="nil"/>
              <w:bottom w:val="nil"/>
              <w:right w:val="nil"/>
            </w:tcBorders>
          </w:tcPr>
          <w:p>
            <w:pPr>
              <w:spacing w:before="0" w:after="80" w:line="240" w:lineRule="auto"/>
              <w:jc w:val="left"/>
            </w:pPr>
            <w:r>
              <w:rPr>
                <w:rFonts w:ascii="Times New Roman" w:hAnsi="Times New Roman" w:eastAsia="Times New Roman" w:cs="Times New Roman"/>
                <w:i/>
                <w:iCs/>
                <w:sz w:val="24"/>
                <w:szCs w:val="24"/>
              </w:rPr>
              <w:t xml:space="preserve">Retrieval-Augmented Generation</w:t>
            </w:r>
          </w:p>
        </w:tc>
      </w:tr>
      <w:tr>
        <w:trPr>
          <w:cantSplit/>
        </w:trPr>
        <w:tc>
          <w:tcPr>
            <w:tcW w:w="1700" w:type="dxa"/>
            <w:tcBorders>
              <w:top w:val="nil"/>
              <w:left w:val="nil"/>
              <w:bottom w:val="nil"/>
              <w:right w:val="nil"/>
            </w:tcBorders>
          </w:tcPr>
          <w:p>
            <w:pPr>
              <w:spacing w:before="0" w:after="80" w:line="240" w:lineRule="auto"/>
              <w:jc w:val="left"/>
            </w:pPr>
            <w:r>
              <w:rPr>
                <w:rFonts w:ascii="Times New Roman" w:hAnsi="Times New Roman" w:eastAsia="Times New Roman" w:cs="Times New Roman"/>
                <w:sz w:val="24"/>
                <w:szCs w:val="24"/>
              </w:rPr>
              <w:t xml:space="preserve">RME</w:t>
            </w:r>
          </w:p>
        </w:tc>
        <w:tc>
          <w:tcPr>
            <w:tcW w:w="6606" w:type="dxa"/>
            <w:tcBorders>
              <w:top w:val="nil"/>
              <w:left w:val="nil"/>
              <w:bottom w:val="nil"/>
              <w:right w:val="nil"/>
            </w:tcBorders>
          </w:tcPr>
          <w:p>
            <w:pPr>
              <w:spacing w:before="0" w:after="80" w:line="240" w:lineRule="auto"/>
              <w:jc w:val="left"/>
            </w:pPr>
            <w:r>
              <w:rPr>
                <w:rFonts w:ascii="Times New Roman" w:hAnsi="Times New Roman" w:eastAsia="Times New Roman" w:cs="Times New Roman"/>
                <w:sz w:val="24"/>
                <w:szCs w:val="24"/>
              </w:rPr>
              <w:t xml:space="preserve">Rekam Medis Elektronik</w:t>
            </w:r>
          </w:p>
        </w:tc>
      </w:tr>
      <w:tr>
        <w:trPr>
          <w:cantSplit/>
        </w:trPr>
        <w:tc>
          <w:tcPr>
            <w:tcW w:w="1700" w:type="dxa"/>
            <w:tcBorders>
              <w:top w:val="nil"/>
              <w:left w:val="nil"/>
              <w:bottom w:val="nil"/>
              <w:right w:val="nil"/>
            </w:tcBorders>
          </w:tcPr>
          <w:p>
            <w:pPr>
              <w:spacing w:before="0" w:after="80" w:line="240" w:lineRule="auto"/>
              <w:jc w:val="left"/>
            </w:pPr>
            <w:r>
              <w:rPr>
                <w:rFonts w:ascii="Times New Roman" w:hAnsi="Times New Roman" w:eastAsia="Times New Roman" w:cs="Times New Roman"/>
                <w:sz w:val="24"/>
                <w:szCs w:val="24"/>
              </w:rPr>
              <w:t xml:space="preserve">RSAB</w:t>
            </w:r>
          </w:p>
        </w:tc>
        <w:tc>
          <w:tcPr>
            <w:tcW w:w="6606" w:type="dxa"/>
            <w:tcBorders>
              <w:top w:val="nil"/>
              <w:left w:val="nil"/>
              <w:bottom w:val="nil"/>
              <w:right w:val="nil"/>
            </w:tcBorders>
          </w:tcPr>
          <w:p>
            <w:pPr>
              <w:spacing w:before="0" w:after="80" w:line="240" w:lineRule="auto"/>
              <w:jc w:val="left"/>
            </w:pPr>
            <w:r>
              <w:rPr>
                <w:rFonts w:ascii="Times New Roman" w:hAnsi="Times New Roman" w:eastAsia="Times New Roman" w:cs="Times New Roman"/>
                <w:sz w:val="24"/>
                <w:szCs w:val="24"/>
              </w:rPr>
              <w:t xml:space="preserve">Rumah Sakit Anak dan Bunda</w:t>
            </w:r>
          </w:p>
        </w:tc>
      </w:tr>
      <w:tr>
        <w:trPr>
          <w:cantSplit/>
        </w:trPr>
        <w:tc>
          <w:tcPr>
            <w:tcW w:w="1700" w:type="dxa"/>
            <w:tcBorders>
              <w:top w:val="nil"/>
              <w:left w:val="nil"/>
              <w:bottom w:val="nil"/>
              <w:right w:val="nil"/>
            </w:tcBorders>
          </w:tcPr>
          <w:p>
            <w:pPr>
              <w:spacing w:before="0" w:after="80" w:line="240" w:lineRule="auto"/>
              <w:jc w:val="left"/>
            </w:pPr>
            <w:r>
              <w:rPr>
                <w:rFonts w:ascii="Times New Roman" w:hAnsi="Times New Roman" w:eastAsia="Times New Roman" w:cs="Times New Roman"/>
                <w:sz w:val="24"/>
                <w:szCs w:val="24"/>
              </w:rPr>
              <w:t xml:space="preserve">RSIA</w:t>
            </w:r>
          </w:p>
        </w:tc>
        <w:tc>
          <w:tcPr>
            <w:tcW w:w="6606" w:type="dxa"/>
            <w:tcBorders>
              <w:top w:val="nil"/>
              <w:left w:val="nil"/>
              <w:bottom w:val="nil"/>
              <w:right w:val="nil"/>
            </w:tcBorders>
          </w:tcPr>
          <w:p>
            <w:pPr>
              <w:spacing w:before="0" w:after="80" w:line="240" w:lineRule="auto"/>
              <w:jc w:val="left"/>
            </w:pPr>
            <w:r>
              <w:rPr>
                <w:rFonts w:ascii="Times New Roman" w:hAnsi="Times New Roman" w:eastAsia="Times New Roman" w:cs="Times New Roman"/>
                <w:sz w:val="24"/>
                <w:szCs w:val="24"/>
              </w:rPr>
              <w:t xml:space="preserve">Rumah Sakit Ibu dan Anak</w:t>
            </w:r>
          </w:p>
        </w:tc>
      </w:tr>
      <w:tr>
        <w:trPr>
          <w:cantSplit/>
        </w:trPr>
        <w:tc>
          <w:tcPr>
            <w:tcW w:w="1700" w:type="dxa"/>
            <w:tcBorders>
              <w:top w:val="nil"/>
              <w:left w:val="nil"/>
              <w:bottom w:val="nil"/>
              <w:right w:val="nil"/>
            </w:tcBorders>
          </w:tcPr>
          <w:p>
            <w:pPr>
              <w:spacing w:before="0" w:after="80" w:line="240" w:lineRule="auto"/>
              <w:jc w:val="left"/>
            </w:pPr>
            <w:r>
              <w:rPr>
                <w:rFonts w:ascii="Times New Roman" w:hAnsi="Times New Roman" w:eastAsia="Times New Roman" w:cs="Times New Roman"/>
                <w:sz w:val="24"/>
                <w:szCs w:val="24"/>
              </w:rPr>
              <w:t xml:space="preserve">SEP</w:t>
            </w:r>
          </w:p>
        </w:tc>
        <w:tc>
          <w:tcPr>
            <w:tcW w:w="6606" w:type="dxa"/>
            <w:tcBorders>
              <w:top w:val="nil"/>
              <w:left w:val="nil"/>
              <w:bottom w:val="nil"/>
              <w:right w:val="nil"/>
            </w:tcBorders>
          </w:tcPr>
          <w:p>
            <w:pPr>
              <w:spacing w:before="0" w:after="80" w:line="240" w:lineRule="auto"/>
              <w:jc w:val="left"/>
            </w:pPr>
            <w:r>
              <w:rPr>
                <w:rFonts w:ascii="Times New Roman" w:hAnsi="Times New Roman" w:eastAsia="Times New Roman" w:cs="Times New Roman"/>
                <w:sz w:val="24"/>
                <w:szCs w:val="24"/>
              </w:rPr>
              <w:t xml:space="preserve">Surat Eligibilitas Peserta</w:t>
            </w:r>
          </w:p>
        </w:tc>
      </w:tr>
      <w:tr>
        <w:trPr>
          <w:cantSplit/>
        </w:trPr>
        <w:tc>
          <w:tcPr>
            <w:tcW w:w="1700" w:type="dxa"/>
            <w:tcBorders>
              <w:top w:val="nil"/>
              <w:left w:val="nil"/>
              <w:bottom w:val="nil"/>
              <w:right w:val="nil"/>
            </w:tcBorders>
          </w:tcPr>
          <w:p>
            <w:pPr>
              <w:spacing w:before="0" w:after="80" w:line="240" w:lineRule="auto"/>
              <w:jc w:val="left"/>
            </w:pPr>
            <w:r>
              <w:rPr>
                <w:rFonts w:ascii="Times New Roman" w:hAnsi="Times New Roman" w:eastAsia="Times New Roman" w:cs="Times New Roman"/>
                <w:sz w:val="24"/>
                <w:szCs w:val="24"/>
              </w:rPr>
              <w:t xml:space="preserve">SNOMED CT</w:t>
            </w:r>
          </w:p>
        </w:tc>
        <w:tc>
          <w:tcPr>
            <w:tcW w:w="6606" w:type="dxa"/>
            <w:tcBorders>
              <w:top w:val="nil"/>
              <w:left w:val="nil"/>
              <w:bottom w:val="nil"/>
              <w:right w:val="nil"/>
            </w:tcBorders>
          </w:tcPr>
          <w:p>
            <w:pPr>
              <w:spacing w:before="0" w:after="80" w:line="240" w:lineRule="auto"/>
              <w:jc w:val="left"/>
            </w:pPr>
            <w:r>
              <w:rPr>
                <w:rFonts w:ascii="Times New Roman" w:hAnsi="Times New Roman" w:eastAsia="Times New Roman" w:cs="Times New Roman"/>
                <w:sz w:val="24"/>
                <w:szCs w:val="24"/>
              </w:rPr>
              <w:t xml:space="preserve">Systematized Nomenclature of Medicine Clinical Terms</w:t>
            </w:r>
          </w:p>
        </w:tc>
      </w:tr>
      <w:tr>
        <w:trPr>
          <w:cantSplit/>
        </w:trPr>
        <w:tc>
          <w:tcPr>
            <w:tcW w:w="1700" w:type="dxa"/>
            <w:tcBorders>
              <w:top w:val="nil"/>
              <w:left w:val="nil"/>
              <w:bottom w:val="nil"/>
              <w:right w:val="nil"/>
            </w:tcBorders>
          </w:tcPr>
          <w:p>
            <w:pPr>
              <w:spacing w:before="0" w:after="80" w:line="240" w:lineRule="auto"/>
              <w:jc w:val="left"/>
            </w:pPr>
            <w:r>
              <w:rPr>
                <w:rFonts w:ascii="Times New Roman" w:hAnsi="Times New Roman" w:eastAsia="Times New Roman" w:cs="Times New Roman"/>
                <w:sz w:val="24"/>
                <w:szCs w:val="24"/>
              </w:rPr>
              <w:t xml:space="preserve">SUS</w:t>
            </w:r>
          </w:p>
        </w:tc>
        <w:tc>
          <w:tcPr>
            <w:tcW w:w="6606" w:type="dxa"/>
            <w:tcBorders>
              <w:top w:val="nil"/>
              <w:left w:val="nil"/>
              <w:bottom w:val="nil"/>
              <w:right w:val="nil"/>
            </w:tcBorders>
          </w:tcPr>
          <w:p>
            <w:pPr>
              <w:spacing w:before="0" w:after="80" w:line="240" w:lineRule="auto"/>
              <w:jc w:val="left"/>
            </w:pPr>
            <w:r>
              <w:rPr>
                <w:rFonts w:ascii="Times New Roman" w:hAnsi="Times New Roman" w:eastAsia="Times New Roman" w:cs="Times New Roman"/>
                <w:sz w:val="24"/>
                <w:szCs w:val="24"/>
              </w:rPr>
              <w:t xml:space="preserve">System Usability Scale</w:t>
            </w:r>
          </w:p>
        </w:tc>
      </w:tr>
      <w:tr>
        <w:trPr>
          <w:cantSplit/>
        </w:trPr>
        <w:tc>
          <w:tcPr>
            <w:tcW w:w="1700" w:type="dxa"/>
            <w:tcBorders>
              <w:top w:val="nil"/>
              <w:left w:val="nil"/>
              <w:bottom w:val="nil"/>
              <w:right w:val="nil"/>
            </w:tcBorders>
          </w:tcPr>
          <w:p>
            <w:pPr>
              <w:spacing w:before="0" w:after="80" w:line="240" w:lineRule="auto"/>
              <w:jc w:val="left"/>
            </w:pPr>
            <w:r>
              <w:rPr>
                <w:rFonts w:ascii="Times New Roman" w:hAnsi="Times New Roman" w:eastAsia="Times New Roman" w:cs="Times New Roman"/>
                <w:sz w:val="24"/>
                <w:szCs w:val="24"/>
              </w:rPr>
              <w:t xml:space="preserve">TA</w:t>
            </w:r>
          </w:p>
        </w:tc>
        <w:tc>
          <w:tcPr>
            <w:tcW w:w="6606" w:type="dxa"/>
            <w:tcBorders>
              <w:top w:val="nil"/>
              <w:left w:val="nil"/>
              <w:bottom w:val="nil"/>
              <w:right w:val="nil"/>
            </w:tcBorders>
          </w:tcPr>
          <w:p>
            <w:pPr>
              <w:spacing w:before="0" w:after="80" w:line="240" w:lineRule="auto"/>
              <w:jc w:val="left"/>
            </w:pPr>
            <w:r>
              <w:rPr>
                <w:rFonts w:ascii="Times New Roman" w:hAnsi="Times New Roman" w:eastAsia="Times New Roman" w:cs="Times New Roman"/>
                <w:sz w:val="24"/>
                <w:szCs w:val="24"/>
              </w:rPr>
              <w:t xml:space="preserve">Tugas Akhir</w:t>
            </w:r>
          </w:p>
        </w:tc>
      </w:tr>
      <w:tr>
        <w:trPr>
          <w:cantSplit/>
        </w:trPr>
        <w:tc>
          <w:tcPr>
            <w:tcW w:w="1700" w:type="dxa"/>
            <w:tcBorders>
              <w:top w:val="nil"/>
              <w:left w:val="nil"/>
              <w:bottom w:val="nil"/>
              <w:right w:val="nil"/>
            </w:tcBorders>
          </w:tcPr>
          <w:p>
            <w:pPr>
              <w:spacing w:before="0" w:after="80" w:line="240" w:lineRule="auto"/>
              <w:jc w:val="left"/>
            </w:pPr>
            <w:r>
              <w:rPr>
                <w:rFonts w:ascii="Times New Roman" w:hAnsi="Times New Roman" w:eastAsia="Times New Roman" w:cs="Times New Roman"/>
                <w:sz w:val="24"/>
                <w:szCs w:val="24"/>
              </w:rPr>
              <w:t xml:space="preserve">TMS</w:t>
            </w:r>
          </w:p>
        </w:tc>
        <w:tc>
          <w:tcPr>
            <w:tcW w:w="6606" w:type="dxa"/>
            <w:tcBorders>
              <w:top w:val="nil"/>
              <w:left w:val="nil"/>
              <w:bottom w:val="nil"/>
              <w:right w:val="nil"/>
            </w:tcBorders>
          </w:tcPr>
          <w:p>
            <w:pPr>
              <w:spacing w:before="0" w:after="80" w:line="240" w:lineRule="auto"/>
              <w:jc w:val="left"/>
            </w:pPr>
            <w:r>
              <w:rPr>
                <w:rFonts w:ascii="Times New Roman" w:hAnsi="Times New Roman" w:eastAsia="Times New Roman" w:cs="Times New Roman"/>
                <w:i/>
                <w:iCs/>
                <w:sz w:val="24"/>
                <w:szCs w:val="24"/>
              </w:rPr>
              <w:t xml:space="preserve">Truth Maintenance System</w:t>
            </w:r>
          </w:p>
        </w:tc>
      </w:tr>
      <w:tr>
        <w:trPr>
          <w:cantSplit/>
        </w:trPr>
        <w:tc>
          <w:tcPr>
            <w:tcW w:w="1700" w:type="dxa"/>
            <w:tcBorders>
              <w:top w:val="nil"/>
              <w:left w:val="nil"/>
              <w:bottom w:val="nil"/>
              <w:right w:val="nil"/>
            </w:tcBorders>
          </w:tcPr>
          <w:p>
            <w:pPr>
              <w:spacing w:before="0" w:after="80" w:line="240" w:lineRule="auto"/>
              <w:jc w:val="left"/>
            </w:pPr>
            <w:r>
              <w:rPr>
                <w:rFonts w:ascii="Times New Roman" w:hAnsi="Times New Roman" w:eastAsia="Times New Roman" w:cs="Times New Roman"/>
                <w:sz w:val="24"/>
                <w:szCs w:val="24"/>
              </w:rPr>
              <w:t xml:space="preserve">TP</w:t>
            </w:r>
          </w:p>
        </w:tc>
        <w:tc>
          <w:tcPr>
            <w:tcW w:w="6606" w:type="dxa"/>
            <w:tcBorders>
              <w:top w:val="nil"/>
              <w:left w:val="nil"/>
              <w:bottom w:val="nil"/>
              <w:right w:val="nil"/>
            </w:tcBorders>
          </w:tcPr>
          <w:p>
            <w:pPr>
              <w:spacing w:before="0" w:after="80" w:line="240" w:lineRule="auto"/>
              <w:jc w:val="left"/>
            </w:pPr>
            <w:r>
              <w:rPr>
                <w:rFonts w:ascii="Times New Roman" w:hAnsi="Times New Roman" w:eastAsia="Times New Roman" w:cs="Times New Roman"/>
                <w:i/>
                <w:iCs/>
                <w:sz w:val="24"/>
                <w:szCs w:val="24"/>
              </w:rPr>
              <w:t xml:space="preserve">True Positive</w:t>
            </w:r>
          </w:p>
        </w:tc>
      </w:tr>
      <w:tr>
        <w:trPr>
          <w:cantSplit/>
        </w:trPr>
        <w:tc>
          <w:tcPr>
            <w:tcW w:w="1700" w:type="dxa"/>
            <w:tcBorders>
              <w:top w:val="nil"/>
              <w:left w:val="nil"/>
              <w:bottom w:val="nil"/>
              <w:right w:val="nil"/>
            </w:tcBorders>
          </w:tcPr>
          <w:p>
            <w:pPr>
              <w:spacing w:before="0" w:after="80" w:line="240" w:lineRule="auto"/>
              <w:jc w:val="left"/>
            </w:pPr>
            <w:r>
              <w:rPr>
                <w:rFonts w:ascii="Times New Roman" w:hAnsi="Times New Roman" w:eastAsia="Times New Roman" w:cs="Times New Roman"/>
                <w:sz w:val="24"/>
                <w:szCs w:val="24"/>
              </w:rPr>
              <w:t xml:space="preserve">UMLS</w:t>
            </w:r>
          </w:p>
        </w:tc>
        <w:tc>
          <w:tcPr>
            <w:tcW w:w="6606" w:type="dxa"/>
            <w:tcBorders>
              <w:top w:val="nil"/>
              <w:left w:val="nil"/>
              <w:bottom w:val="nil"/>
              <w:right w:val="nil"/>
            </w:tcBorders>
          </w:tcPr>
          <w:p>
            <w:pPr>
              <w:spacing w:before="0" w:after="80" w:line="240" w:lineRule="auto"/>
              <w:jc w:val="left"/>
            </w:pPr>
            <w:r>
              <w:rPr>
                <w:rFonts w:ascii="Times New Roman" w:hAnsi="Times New Roman" w:eastAsia="Times New Roman" w:cs="Times New Roman"/>
                <w:sz w:val="24"/>
                <w:szCs w:val="24"/>
              </w:rPr>
              <w:t xml:space="preserve">Unified Medical Language System</w:t>
            </w:r>
          </w:p>
        </w:tc>
      </w:tr>
      <w:tr>
        <w:trPr>
          <w:cantSplit/>
        </w:trPr>
        <w:tc>
          <w:tcPr>
            <w:tcW w:w="1700" w:type="dxa"/>
            <w:tcBorders>
              <w:top w:val="nil"/>
              <w:left w:val="nil"/>
              <w:bottom w:val="nil"/>
              <w:right w:val="nil"/>
            </w:tcBorders>
          </w:tcPr>
          <w:p>
            <w:pPr>
              <w:spacing w:before="0" w:after="80" w:line="240" w:lineRule="auto"/>
              <w:jc w:val="left"/>
            </w:pPr>
            <w:r>
              <w:rPr>
                <w:rFonts w:ascii="Times New Roman" w:hAnsi="Times New Roman" w:eastAsia="Times New Roman" w:cs="Times New Roman"/>
                <w:sz w:val="24"/>
                <w:szCs w:val="24"/>
              </w:rPr>
              <w:t xml:space="preserve">USMLE</w:t>
            </w:r>
          </w:p>
        </w:tc>
        <w:tc>
          <w:tcPr>
            <w:tcW w:w="6606" w:type="dxa"/>
            <w:tcBorders>
              <w:top w:val="nil"/>
              <w:left w:val="nil"/>
              <w:bottom w:val="nil"/>
              <w:right w:val="nil"/>
            </w:tcBorders>
          </w:tcPr>
          <w:p>
            <w:pPr>
              <w:spacing w:before="0" w:after="80" w:line="240" w:lineRule="auto"/>
              <w:jc w:val="left"/>
            </w:pPr>
            <w:r>
              <w:rPr>
                <w:rFonts w:ascii="Times New Roman" w:hAnsi="Times New Roman" w:eastAsia="Times New Roman" w:cs="Times New Roman"/>
                <w:sz w:val="24"/>
                <w:szCs w:val="24"/>
              </w:rPr>
              <w:t xml:space="preserve">United States Medical Licensing Examination</w:t>
            </w:r>
          </w:p>
        </w:tc>
      </w:tr>
      <w:tr>
        <w:trPr>
          <w:cantSplit/>
        </w:trPr>
        <w:tc>
          <w:tcPr>
            <w:tcW w:w="1700" w:type="dxa"/>
            <w:tcBorders>
              <w:top w:val="nil"/>
              <w:left w:val="nil"/>
              <w:bottom w:val="nil"/>
              <w:right w:val="nil"/>
            </w:tcBorders>
          </w:tcPr>
          <w:p>
            <w:pPr>
              <w:spacing w:before="0" w:after="80" w:line="240" w:lineRule="auto"/>
              <w:jc w:val="left"/>
            </w:pPr>
            <w:r>
              <w:rPr>
                <w:rFonts w:ascii="Times New Roman" w:hAnsi="Times New Roman" w:eastAsia="Times New Roman" w:cs="Times New Roman"/>
                <w:sz w:val="24"/>
                <w:szCs w:val="24"/>
              </w:rPr>
              <w:t xml:space="preserve">W3C</w:t>
            </w:r>
          </w:p>
        </w:tc>
        <w:tc>
          <w:tcPr>
            <w:tcW w:w="6606" w:type="dxa"/>
            <w:tcBorders>
              <w:top w:val="nil"/>
              <w:left w:val="nil"/>
              <w:bottom w:val="nil"/>
              <w:right w:val="nil"/>
            </w:tcBorders>
          </w:tcPr>
          <w:p>
            <w:pPr>
              <w:spacing w:before="0" w:after="80" w:line="240" w:lineRule="auto"/>
              <w:jc w:val="left"/>
            </w:pPr>
            <w:r>
              <w:rPr>
                <w:rFonts w:ascii="Times New Roman" w:hAnsi="Times New Roman" w:eastAsia="Times New Roman" w:cs="Times New Roman"/>
                <w:sz w:val="24"/>
                <w:szCs w:val="24"/>
              </w:rPr>
              <w:t xml:space="preserve">World Wide Web Consortium</w:t>
            </w:r>
          </w:p>
        </w:tc>
      </w:tr>
    </w:tbl>
    <w:p w14:paraId="79630178" w14:textId="77777777">
      <w:pPr>
        <w:pStyle w:val="Title"/>
        <w:jc w:val="center"/>
      </w:pPr>
    </w:p>
    <w:p w14:paraId="0EFDAFF7" w14:textId="77777777">
      <w:pPr>
        <w:spacing w:before="120" w:after="120" w:line="360" w:lineRule="auto"/>
        <w:jc w:val="both"/>
      </w:pPr>
    </w:p>
    <w:p w14:paraId="750F3384" w14:textId="36745BF6">
      <w:pPr>
        <w:pStyle w:val="TableofFigures"/>
        <w:tabs>
          <w:tab w:val="right" w:pos="7927" w:leader="dot"/>
        </w:tabs>
        <w:jc w:val="both"/>
        <w:rPr>
          <w:rFonts w:ascii="Calibri" w:hAnsi="Calibri" w:eastAsia="宋体" w:asciiTheme="minorHAnsi" w:hAnsiTheme="minorHAnsi" w:eastAsiaTheme="minorEastAsia" w:csTheme="minorBidi"/>
          <w:sz w:val="22"/>
          <w:szCs w:val="22"/>
        </w:rPr>
      </w:pPr>
    </w:p>
    <w:p w14:paraId="58FD8BFD" w14:textId="67255114">
      <w:pPr>
        <w:spacing w:before="120" w:after="120" w:line="360" w:lineRule="auto"/>
        <w:jc w:val="both"/>
      </w:pPr>
      <w:r/>
    </w:p>
    <w:p w14:paraId="4EA33B43" w14:textId="76167E82">
      <w:pPr>
        <w:pageBreakBefore/>
        <w:spacing w:before="0" w:after="0" w:line="240" w:lineRule="auto"/>
        <w:jc w:val="left"/>
      </w:pPr>
      <w:r>
        <w:lastRenderedPageBreak/>
      </w:r>
    </w:p>
    <w:p w14:paraId="6E2E8786" w14:textId="361C264C">
      <w:pPr>
        <w:pStyle w:val="Title"/>
        <w:jc w:val="center"/>
      </w:pPr>
      <w:bookmarkStart w:id="3" w:name="_Toc40514135"/>
      <w:r>
        <w:lastRenderedPageBreak/>
        <w:rPr>
          <w:rFonts w:ascii="Times New Roman" w:hAnsi="Times New Roman" w:eastAsia="Times New Roman" w:cs="Times New Roman"/>
          <w:b/>
          <w:bCs/>
          <w:kern w:val="28"/>
          <w:sz w:val="28"/>
          <w:szCs w:val="28"/>
        </w:rPr>
        <w:t>DAFTAR ISTILAH</w:t>
      </w:r>
      <w:bookmarkEnd w:id="3"/>
    </w:p>
    <w:tbl>
      <w:tblPr>
        <w:tblStyle w:val="TableGrid"/>
        <w:tblW w:w="8306" w:type="dxa"/>
        <w:jc w:val="center"/>
        <w:tblBorders>
          <w:top w:val="nil"/>
          <w:left w:val="nil"/>
          <w:bottom w:val="nil"/>
          <w:right w:val="nil"/>
          <w:insideH w:val="nil"/>
          <w:insideV w:val="nil"/>
        </w:tblBorders>
        <w:tblLayout w:type="fixed"/>
        <w:tblCellMar>
          <w:left w:w="100" w:type="dxa"/>
          <w:right w:w="100" w:type="dxa"/>
        </w:tblCellMar>
        <w:tblLook w:val="0000" w:firstRow="0" w:lastRow="0" w:firstColumn="0" w:lastColumn="0" w:noHBand="1" w:noVBand="1"/>
      </w:tblPr>
      <w:tblGrid>
        <w:gridCol w:w="2600"/>
        <w:gridCol w:w="5706"/>
      </w:tblGrid>
      <w:tr>
        <w:trPr>
          <w:cantSplit/>
        </w:trPr>
        <w:tc>
          <w:tcPr>
            <w:tcW w:w="2600" w:type="dxa"/>
            <w:tcBorders>
              <w:top w:val="nil"/>
              <w:left w:val="nil"/>
              <w:bottom w:val="nil"/>
              <w:right w:val="nil"/>
            </w:tcBorders>
          </w:tcPr>
          <w:p>
            <w:pPr>
              <w:spacing w:before="0" w:after="80" w:line="240" w:lineRule="auto"/>
              <w:jc w:val="left"/>
            </w:pPr>
            <w:r>
              <w:rPr>
                <w:rFonts w:ascii="Times New Roman" w:hAnsi="Times New Roman" w:eastAsia="Times New Roman" w:cs="Times New Roman"/>
                <w:sz w:val="24"/>
                <w:szCs w:val="24"/>
              </w:rPr>
              <w:t xml:space="preserve">Analisis semantik</w:t>
            </w:r>
          </w:p>
        </w:tc>
        <w:tc>
          <w:tcPr>
            <w:tcW w:w="5706" w:type="dxa"/>
            <w:tcBorders>
              <w:top w:val="nil"/>
              <w:left w:val="nil"/>
              <w:bottom w:val="nil"/>
              <w:right w:val="nil"/>
            </w:tcBorders>
          </w:tcPr>
          <w:p>
            <w:pPr>
              <w:spacing w:before="0" w:after="80" w:line="240" w:lineRule="auto"/>
              <w:jc w:val="left"/>
            </w:pPr>
            <w:r>
              <w:rPr>
                <w:rFonts w:ascii="Times New Roman" w:hAnsi="Times New Roman" w:eastAsia="Times New Roman" w:cs="Times New Roman"/>
                <w:sz w:val="24"/>
                <w:szCs w:val="24"/>
              </w:rPr>
              <w:t xml:space="preserve">Kemampuan membandingkan isi klinis lintas dokumen dalam satu episode rawat inap, mencari bukti pendukung, dan membentuk temuan yang dapat diperiksa tenaga ahli.</w:t>
            </w:r>
          </w:p>
        </w:tc>
      </w:tr>
      <w:tr>
        <w:trPr>
          <w:cantSplit/>
        </w:trPr>
        <w:tc>
          <w:tcPr>
            <w:tcW w:w="2600" w:type="dxa"/>
            <w:tcBorders>
              <w:top w:val="nil"/>
              <w:left w:val="nil"/>
              <w:bottom w:val="nil"/>
              <w:right w:val="nil"/>
            </w:tcBorders>
          </w:tcPr>
          <w:p>
            <w:pPr>
              <w:spacing w:before="0" w:after="80" w:line="240" w:lineRule="auto"/>
              <w:jc w:val="left"/>
            </w:pPr>
            <w:r>
              <w:rPr>
                <w:rFonts w:ascii="Times New Roman" w:hAnsi="Times New Roman" w:eastAsia="Times New Roman" w:cs="Times New Roman"/>
                <w:i/>
                <w:iCs/>
                <w:sz w:val="24"/>
                <w:szCs w:val="24"/>
              </w:rPr>
              <w:t xml:space="preserve">Casemix</w:t>
            </w:r>
          </w:p>
        </w:tc>
        <w:tc>
          <w:tcPr>
            <w:tcW w:w="5706" w:type="dxa"/>
            <w:tcBorders>
              <w:top w:val="nil"/>
              <w:left w:val="nil"/>
              <w:bottom w:val="nil"/>
              <w:right w:val="nil"/>
            </w:tcBorders>
          </w:tcPr>
          <w:p>
            <w:pPr>
              <w:spacing w:before="0" w:after="80" w:line="240" w:lineRule="auto"/>
              <w:jc w:val="left"/>
            </w:pPr>
            <w:r>
              <w:rPr>
                <w:rFonts w:ascii="Times New Roman" w:hAnsi="Times New Roman" w:eastAsia="Times New Roman" w:cs="Times New Roman"/>
                <w:sz w:val="24"/>
                <w:szCs w:val="24"/>
              </w:rPr>
              <w:t xml:space="preserve">Tahap di rumah sakit tempat berkas yang sudah terkunci dikodekan dan diajukan sebagai klaim.</w:t>
            </w:r>
          </w:p>
        </w:tc>
      </w:tr>
      <w:tr>
        <w:trPr>
          <w:cantSplit/>
        </w:trPr>
        <w:tc>
          <w:tcPr>
            <w:tcW w:w="2600" w:type="dxa"/>
            <w:tcBorders>
              <w:top w:val="nil"/>
              <w:left w:val="nil"/>
              <w:bottom w:val="nil"/>
              <w:right w:val="nil"/>
            </w:tcBorders>
          </w:tcPr>
          <w:p>
            <w:pPr>
              <w:spacing w:before="0" w:after="80" w:line="240" w:lineRule="auto"/>
              <w:jc w:val="left"/>
            </w:pPr>
            <w:r>
              <w:rPr>
                <w:rFonts w:ascii="Times New Roman" w:hAnsi="Times New Roman" w:eastAsia="Times New Roman" w:cs="Times New Roman"/>
                <w:sz w:val="24"/>
                <w:szCs w:val="24"/>
              </w:rPr>
              <w:t xml:space="preserve">De-identifikasi</w:t>
            </w:r>
          </w:p>
        </w:tc>
        <w:tc>
          <w:tcPr>
            <w:tcW w:w="5706" w:type="dxa"/>
            <w:tcBorders>
              <w:top w:val="nil"/>
              <w:left w:val="nil"/>
              <w:bottom w:val="nil"/>
              <w:right w:val="nil"/>
            </w:tcBorders>
          </w:tcPr>
          <w:p>
            <w:pPr>
              <w:spacing w:before="0" w:after="80" w:line="240" w:lineRule="auto"/>
              <w:jc w:val="left"/>
            </w:pPr>
            <w:r>
              <w:rPr>
                <w:rFonts w:ascii="Times New Roman" w:hAnsi="Times New Roman" w:eastAsia="Times New Roman" w:cs="Times New Roman"/>
                <w:sz w:val="24"/>
                <w:szCs w:val="24"/>
              </w:rPr>
              <w:t xml:space="preserve">Pendeteksian, penggantian, atau penghapusan informasi kesehatan yang dilindungi (PHI) dari teks klinis.</w:t>
            </w:r>
          </w:p>
        </w:tc>
      </w:tr>
      <w:tr>
        <w:trPr>
          <w:cantSplit/>
        </w:trPr>
        <w:tc>
          <w:tcPr>
            <w:tcW w:w="2600" w:type="dxa"/>
            <w:tcBorders>
              <w:top w:val="nil"/>
              <w:left w:val="nil"/>
              <w:bottom w:val="nil"/>
              <w:right w:val="nil"/>
            </w:tcBorders>
          </w:tcPr>
          <w:p>
            <w:pPr>
              <w:spacing w:before="0" w:after="80" w:line="240" w:lineRule="auto"/>
              <w:jc w:val="left"/>
            </w:pPr>
            <w:r>
              <w:rPr>
                <w:rFonts w:ascii="Times New Roman" w:hAnsi="Times New Roman" w:eastAsia="Times New Roman" w:cs="Times New Roman"/>
                <w:sz w:val="24"/>
                <w:szCs w:val="24"/>
              </w:rPr>
              <w:t xml:space="preserve">Evaluasi ulang berbasis versi</w:t>
            </w:r>
          </w:p>
        </w:tc>
        <w:tc>
          <w:tcPr>
            <w:tcW w:w="5706" w:type="dxa"/>
            <w:tcBorders>
              <w:top w:val="nil"/>
              <w:left w:val="nil"/>
              <w:bottom w:val="nil"/>
              <w:right w:val="nil"/>
            </w:tcBorders>
          </w:tcPr>
          <w:p>
            <w:pPr>
              <w:spacing w:before="0" w:after="80" w:line="240" w:lineRule="auto"/>
              <w:jc w:val="left"/>
            </w:pPr>
            <w:r>
              <w:rPr>
                <w:rFonts w:ascii="Times New Roman" w:hAnsi="Times New Roman" w:eastAsia="Times New Roman" w:cs="Times New Roman"/>
                <w:sz w:val="24"/>
                <w:szCs w:val="24"/>
              </w:rPr>
              <w:t xml:space="preserve">Penetapan status temuan dan pencocokan temuan lama dengan temuan baru setiap kali versi dokumen berubah.</w:t>
            </w:r>
          </w:p>
        </w:tc>
      </w:tr>
      <w:tr>
        <w:trPr>
          <w:cantSplit/>
        </w:trPr>
        <w:tc>
          <w:tcPr>
            <w:tcW w:w="2600" w:type="dxa"/>
            <w:tcBorders>
              <w:top w:val="nil"/>
              <w:left w:val="nil"/>
              <w:bottom w:val="nil"/>
              <w:right w:val="nil"/>
            </w:tcBorders>
          </w:tcPr>
          <w:p>
            <w:pPr>
              <w:spacing w:before="0" w:after="80" w:line="240" w:lineRule="auto"/>
              <w:jc w:val="left"/>
            </w:pPr>
            <w:r>
              <w:rPr>
                <w:rFonts w:ascii="Times New Roman" w:hAnsi="Times New Roman" w:eastAsia="Times New Roman" w:cs="Times New Roman"/>
                <w:i/>
                <w:iCs/>
                <w:sz w:val="24"/>
                <w:szCs w:val="24"/>
              </w:rPr>
              <w:t xml:space="preserve">Evidence locator</w:t>
            </w:r>
          </w:p>
        </w:tc>
        <w:tc>
          <w:tcPr>
            <w:tcW w:w="5706" w:type="dxa"/>
            <w:tcBorders>
              <w:top w:val="nil"/>
              <w:left w:val="nil"/>
              <w:bottom w:val="nil"/>
              <w:right w:val="nil"/>
            </w:tcBorders>
          </w:tcPr>
          <w:p>
            <w:pPr>
              <w:spacing w:before="0" w:after="80" w:line="240" w:lineRule="auto"/>
              <w:jc w:val="left"/>
            </w:pPr>
            <w:r>
              <w:rPr>
                <w:rFonts w:ascii="Times New Roman" w:hAnsi="Times New Roman" w:eastAsia="Times New Roman" w:cs="Times New Roman"/>
                <w:sz w:val="24"/>
                <w:szCs w:val="24"/>
              </w:rPr>
              <w:t xml:space="preserve">Penunjuk lokasi bukti pada versi dokumen tertentu yang dirujuk oleh sebuah temuan.</w:t>
            </w:r>
          </w:p>
        </w:tc>
      </w:tr>
      <w:tr>
        <w:trPr>
          <w:cantSplit/>
        </w:trPr>
        <w:tc>
          <w:tcPr>
            <w:tcW w:w="2600" w:type="dxa"/>
            <w:tcBorders>
              <w:top w:val="nil"/>
              <w:left w:val="nil"/>
              <w:bottom w:val="nil"/>
              <w:right w:val="nil"/>
            </w:tcBorders>
          </w:tcPr>
          <w:p>
            <w:pPr>
              <w:spacing w:before="0" w:after="80" w:line="240" w:lineRule="auto"/>
              <w:jc w:val="left"/>
            </w:pPr>
            <w:r>
              <w:rPr>
                <w:rFonts w:ascii="Times New Roman" w:hAnsi="Times New Roman" w:eastAsia="Times New Roman" w:cs="Times New Roman"/>
                <w:sz w:val="24"/>
                <w:szCs w:val="24"/>
              </w:rPr>
              <w:t xml:space="preserve">Graf pengetahuan</w:t>
            </w:r>
          </w:p>
        </w:tc>
        <w:tc>
          <w:tcPr>
            <w:tcW w:w="5706" w:type="dxa"/>
            <w:tcBorders>
              <w:top w:val="nil"/>
              <w:left w:val="nil"/>
              <w:bottom w:val="nil"/>
              <w:right w:val="nil"/>
            </w:tcBorders>
          </w:tcPr>
          <w:p>
            <w:pPr>
              <w:spacing w:before="0" w:after="80" w:line="240" w:lineRule="auto"/>
              <w:jc w:val="left"/>
            </w:pPr>
            <w:r>
              <w:rPr>
                <w:rFonts w:ascii="Times New Roman" w:hAnsi="Times New Roman" w:eastAsia="Times New Roman" w:cs="Times New Roman"/>
                <w:sz w:val="24"/>
                <w:szCs w:val="24"/>
              </w:rPr>
              <w:t xml:space="preserve">Representasi pengetahuan sebagai entitas dan relasi antarentitas (</w:t>
            </w:r>
            <w:r>
              <w:rPr>
                <w:rFonts w:ascii="Times New Roman" w:hAnsi="Times New Roman" w:eastAsia="Times New Roman" w:cs="Times New Roman"/>
                <w:i/>
                <w:iCs/>
                <w:sz w:val="24"/>
                <w:szCs w:val="24"/>
              </w:rPr>
              <w:t xml:space="preserve">knowledge graph</w:t>
            </w:r>
            <w:r>
              <w:rPr>
                <w:rFonts w:ascii="Times New Roman" w:hAnsi="Times New Roman" w:eastAsia="Times New Roman" w:cs="Times New Roman"/>
                <w:sz w:val="24"/>
                <w:szCs w:val="24"/>
              </w:rPr>
              <w:t xml:space="preserve">).</w:t>
            </w:r>
          </w:p>
        </w:tc>
      </w:tr>
      <w:tr>
        <w:trPr>
          <w:cantSplit/>
        </w:trPr>
        <w:tc>
          <w:tcPr>
            <w:tcW w:w="2600" w:type="dxa"/>
            <w:tcBorders>
              <w:top w:val="nil"/>
              <w:left w:val="nil"/>
              <w:bottom w:val="nil"/>
              <w:right w:val="nil"/>
            </w:tcBorders>
          </w:tcPr>
          <w:p>
            <w:pPr>
              <w:spacing w:before="0" w:after="80" w:line="240" w:lineRule="auto"/>
              <w:jc w:val="left"/>
            </w:pPr>
            <w:r>
              <w:rPr>
                <w:rFonts w:ascii="Times New Roman" w:hAnsi="Times New Roman" w:eastAsia="Times New Roman" w:cs="Times New Roman"/>
                <w:sz w:val="24"/>
                <w:szCs w:val="24"/>
              </w:rPr>
              <w:t xml:space="preserve">Halusinasi</w:t>
            </w:r>
          </w:p>
        </w:tc>
        <w:tc>
          <w:tcPr>
            <w:tcW w:w="5706" w:type="dxa"/>
            <w:tcBorders>
              <w:top w:val="nil"/>
              <w:left w:val="nil"/>
              <w:bottom w:val="nil"/>
              <w:right w:val="nil"/>
            </w:tcBorders>
          </w:tcPr>
          <w:p>
            <w:pPr>
              <w:spacing w:before="0" w:after="80" w:line="240" w:lineRule="auto"/>
              <w:jc w:val="left"/>
            </w:pPr>
            <w:r>
              <w:rPr>
                <w:rFonts w:ascii="Times New Roman" w:hAnsi="Times New Roman" w:eastAsia="Times New Roman" w:cs="Times New Roman"/>
                <w:sz w:val="24"/>
                <w:szCs w:val="24"/>
              </w:rPr>
              <w:t xml:space="preserve">Keluaran model yang bertentangan dengan fakta, tidak sesuai dengan masukan, tidak logis, atau keliru secara temporal.</w:t>
            </w:r>
          </w:p>
        </w:tc>
      </w:tr>
      <w:tr>
        <w:trPr>
          <w:cantSplit/>
        </w:trPr>
        <w:tc>
          <w:tcPr>
            <w:tcW w:w="2600" w:type="dxa"/>
            <w:tcBorders>
              <w:top w:val="nil"/>
              <w:left w:val="nil"/>
              <w:bottom w:val="nil"/>
              <w:right w:val="nil"/>
            </w:tcBorders>
          </w:tcPr>
          <w:p>
            <w:pPr>
              <w:spacing w:before="0" w:after="80" w:line="240" w:lineRule="auto"/>
              <w:jc w:val="left"/>
            </w:pPr>
            <w:r>
              <w:rPr>
                <w:rFonts w:ascii="Times New Roman" w:hAnsi="Times New Roman" w:eastAsia="Times New Roman" w:cs="Times New Roman"/>
                <w:sz w:val="24"/>
                <w:szCs w:val="24"/>
              </w:rPr>
              <w:t xml:space="preserve">Klaim </w:t>
            </w:r>
            <w:r>
              <w:rPr>
                <w:rFonts w:ascii="Times New Roman" w:hAnsi="Times New Roman" w:eastAsia="Times New Roman" w:cs="Times New Roman"/>
                <w:i/>
                <w:iCs/>
                <w:sz w:val="24"/>
                <w:szCs w:val="24"/>
              </w:rPr>
              <w:t xml:space="preserve">pending</w:t>
            </w:r>
          </w:p>
        </w:tc>
        <w:tc>
          <w:tcPr>
            <w:tcW w:w="5706" w:type="dxa"/>
            <w:tcBorders>
              <w:top w:val="nil"/>
              <w:left w:val="nil"/>
              <w:bottom w:val="nil"/>
              <w:right w:val="nil"/>
            </w:tcBorders>
          </w:tcPr>
          <w:p>
            <w:pPr>
              <w:spacing w:before="0" w:after="80" w:line="240" w:lineRule="auto"/>
              <w:jc w:val="left"/>
            </w:pPr>
            <w:r>
              <w:rPr>
                <w:rFonts w:ascii="Times New Roman" w:hAnsi="Times New Roman" w:eastAsia="Times New Roman" w:cs="Times New Roman"/>
                <w:sz w:val="24"/>
                <w:szCs w:val="24"/>
              </w:rPr>
              <w:t xml:space="preserve">Klaim rawat inap yang ditunda karena ketidaksesuaian ditemukan saat verifikasi, sehingga berkas dikembalikan ke rumah sakit dan dana klaim tertunda.</w:t>
            </w:r>
          </w:p>
        </w:tc>
      </w:tr>
      <w:tr>
        <w:trPr>
          <w:cantSplit/>
        </w:trPr>
        <w:tc>
          <w:tcPr>
            <w:tcW w:w="2600" w:type="dxa"/>
            <w:tcBorders>
              <w:top w:val="nil"/>
              <w:left w:val="nil"/>
              <w:bottom w:val="nil"/>
              <w:right w:val="nil"/>
            </w:tcBorders>
          </w:tcPr>
          <w:p>
            <w:pPr>
              <w:spacing w:before="0" w:after="80" w:line="240" w:lineRule="auto"/>
              <w:jc w:val="left"/>
            </w:pPr>
            <w:r>
              <w:rPr>
                <w:rFonts w:ascii="Times New Roman" w:hAnsi="Times New Roman" w:eastAsia="Times New Roman" w:cs="Times New Roman"/>
                <w:sz w:val="24"/>
                <w:szCs w:val="24"/>
              </w:rPr>
              <w:t xml:space="preserve">Koder</w:t>
            </w:r>
          </w:p>
        </w:tc>
        <w:tc>
          <w:tcPr>
            <w:tcW w:w="5706" w:type="dxa"/>
            <w:tcBorders>
              <w:top w:val="nil"/>
              <w:left w:val="nil"/>
              <w:bottom w:val="nil"/>
              <w:right w:val="nil"/>
            </w:tcBorders>
          </w:tcPr>
          <w:p>
            <w:pPr>
              <w:spacing w:before="0" w:after="80" w:line="240" w:lineRule="auto"/>
              <w:jc w:val="left"/>
            </w:pPr>
            <w:r>
              <w:rPr>
                <w:rFonts w:ascii="Times New Roman" w:hAnsi="Times New Roman" w:eastAsia="Times New Roman" w:cs="Times New Roman"/>
                <w:sz w:val="24"/>
                <w:szCs w:val="24"/>
              </w:rPr>
              <w:t xml:space="preserve">Petugas yang mengodekan diagnosis dan tindakan pada resume medis untuk keperluan INA-CBG.</w:t>
            </w:r>
          </w:p>
        </w:tc>
      </w:tr>
      <w:tr>
        <w:trPr>
          <w:cantSplit/>
        </w:trPr>
        <w:tc>
          <w:tcPr>
            <w:tcW w:w="2600" w:type="dxa"/>
            <w:tcBorders>
              <w:top w:val="nil"/>
              <w:left w:val="nil"/>
              <w:bottom w:val="nil"/>
              <w:right w:val="nil"/>
            </w:tcBorders>
          </w:tcPr>
          <w:p>
            <w:pPr>
              <w:spacing w:before="0" w:after="80" w:line="240" w:lineRule="auto"/>
              <w:jc w:val="left"/>
            </w:pPr>
            <w:r>
              <w:rPr>
                <w:rFonts w:ascii="Times New Roman" w:hAnsi="Times New Roman" w:eastAsia="Times New Roman" w:cs="Times New Roman"/>
                <w:sz w:val="24"/>
                <w:szCs w:val="24"/>
              </w:rPr>
              <w:t xml:space="preserve">Negatif palsu</w:t>
            </w:r>
          </w:p>
        </w:tc>
        <w:tc>
          <w:tcPr>
            <w:tcW w:w="5706" w:type="dxa"/>
            <w:tcBorders>
              <w:top w:val="nil"/>
              <w:left w:val="nil"/>
              <w:bottom w:val="nil"/>
              <w:right w:val="nil"/>
            </w:tcBorders>
          </w:tcPr>
          <w:p>
            <w:pPr>
              <w:spacing w:before="0" w:after="80" w:line="240" w:lineRule="auto"/>
              <w:jc w:val="left"/>
            </w:pPr>
            <w:r>
              <w:rPr>
                <w:rFonts w:ascii="Times New Roman" w:hAnsi="Times New Roman" w:eastAsia="Times New Roman" w:cs="Times New Roman"/>
                <w:sz w:val="24"/>
                <w:szCs w:val="24"/>
              </w:rPr>
              <w:t xml:space="preserve">Ketidaksesuaian yang tercatat pada acuan tenaga ahli, tetapi tidak ditemukan sistem.</w:t>
            </w:r>
          </w:p>
        </w:tc>
      </w:tr>
      <w:tr>
        <w:trPr>
          <w:cantSplit/>
        </w:trPr>
        <w:tc>
          <w:tcPr>
            <w:tcW w:w="2600" w:type="dxa"/>
            <w:tcBorders>
              <w:top w:val="nil"/>
              <w:left w:val="nil"/>
              <w:bottom w:val="nil"/>
              <w:right w:val="nil"/>
            </w:tcBorders>
          </w:tcPr>
          <w:p>
            <w:pPr>
              <w:spacing w:before="0" w:after="80" w:line="240" w:lineRule="auto"/>
              <w:jc w:val="left"/>
            </w:pPr>
            <w:r>
              <w:rPr>
                <w:rFonts w:ascii="Times New Roman" w:hAnsi="Times New Roman" w:eastAsia="Times New Roman" w:cs="Times New Roman"/>
                <w:sz w:val="24"/>
                <w:szCs w:val="24"/>
              </w:rPr>
              <w:t xml:space="preserve">Normalisasi konsep medis</w:t>
            </w:r>
          </w:p>
        </w:tc>
        <w:tc>
          <w:tcPr>
            <w:tcW w:w="5706" w:type="dxa"/>
            <w:tcBorders>
              <w:top w:val="nil"/>
              <w:left w:val="nil"/>
              <w:bottom w:val="nil"/>
              <w:right w:val="nil"/>
            </w:tcBorders>
          </w:tcPr>
          <w:p>
            <w:pPr>
              <w:spacing w:before="0" w:after="80" w:line="240" w:lineRule="auto"/>
              <w:jc w:val="left"/>
            </w:pPr>
            <w:r>
              <w:rPr>
                <w:rFonts w:ascii="Times New Roman" w:hAnsi="Times New Roman" w:eastAsia="Times New Roman" w:cs="Times New Roman"/>
                <w:sz w:val="24"/>
                <w:szCs w:val="24"/>
              </w:rPr>
              <w:t xml:space="preserve">Pemetaan frasa medis informal ke konsep baku dalam basis terstandar seperti UMLS atau SNOMED CT.</w:t>
            </w:r>
          </w:p>
        </w:tc>
      </w:tr>
      <w:tr>
        <w:trPr>
          <w:cantSplit/>
        </w:trPr>
        <w:tc>
          <w:tcPr>
            <w:tcW w:w="2600" w:type="dxa"/>
            <w:tcBorders>
              <w:top w:val="nil"/>
              <w:left w:val="nil"/>
              <w:bottom w:val="nil"/>
              <w:right w:val="nil"/>
            </w:tcBorders>
          </w:tcPr>
          <w:p>
            <w:pPr>
              <w:spacing w:before="0" w:after="80" w:line="240" w:lineRule="auto"/>
              <w:jc w:val="left"/>
            </w:pPr>
            <w:r>
              <w:rPr>
                <w:rFonts w:ascii="Times New Roman" w:hAnsi="Times New Roman" w:eastAsia="Times New Roman" w:cs="Times New Roman"/>
                <w:sz w:val="24"/>
                <w:szCs w:val="24"/>
              </w:rPr>
              <w:t xml:space="preserve">Pemeriksaan ulang penuh</w:t>
            </w:r>
          </w:p>
        </w:tc>
        <w:tc>
          <w:tcPr>
            <w:tcW w:w="5706" w:type="dxa"/>
            <w:tcBorders>
              <w:top w:val="nil"/>
              <w:left w:val="nil"/>
              <w:bottom w:val="nil"/>
              <w:right w:val="nil"/>
            </w:tcBorders>
          </w:tcPr>
          <w:p>
            <w:pPr>
              <w:spacing w:before="0" w:after="80" w:line="240" w:lineRule="auto"/>
              <w:jc w:val="left"/>
            </w:pPr>
            <w:r>
              <w:rPr>
                <w:rFonts w:ascii="Times New Roman" w:hAnsi="Times New Roman" w:eastAsia="Times New Roman" w:cs="Times New Roman"/>
                <w:sz w:val="24"/>
                <w:szCs w:val="24"/>
              </w:rPr>
              <w:t xml:space="preserve">Pemeriksaan ulang seluruh dokumen pada setiap perubahan tanpa pencocokan dengan temuan sebelumnya; menjadi pembanding mekanisme evaluasi ulang.</w:t>
            </w:r>
          </w:p>
        </w:tc>
      </w:tr>
      <w:tr>
        <w:trPr>
          <w:cantSplit/>
        </w:trPr>
        <w:tc>
          <w:tcPr>
            <w:tcW w:w="2600" w:type="dxa"/>
            <w:tcBorders>
              <w:top w:val="nil"/>
              <w:left w:val="nil"/>
              <w:bottom w:val="nil"/>
              <w:right w:val="nil"/>
            </w:tcBorders>
          </w:tcPr>
          <w:p>
            <w:pPr>
              <w:spacing w:before="0" w:after="80" w:line="240" w:lineRule="auto"/>
              <w:jc w:val="left"/>
            </w:pPr>
            <w:r>
              <w:rPr>
                <w:rFonts w:ascii="Times New Roman" w:hAnsi="Times New Roman" w:eastAsia="Times New Roman" w:cs="Times New Roman"/>
                <w:sz w:val="24"/>
                <w:szCs w:val="24"/>
              </w:rPr>
              <w:t xml:space="preserve">Pengguna proksi</w:t>
            </w:r>
          </w:p>
        </w:tc>
        <w:tc>
          <w:tcPr>
            <w:tcW w:w="5706" w:type="dxa"/>
            <w:tcBorders>
              <w:top w:val="nil"/>
              <w:left w:val="nil"/>
              <w:bottom w:val="nil"/>
              <w:right w:val="nil"/>
            </w:tcBorders>
          </w:tcPr>
          <w:p>
            <w:pPr>
              <w:spacing w:before="0" w:after="80" w:line="240" w:lineRule="auto"/>
              <w:jc w:val="left"/>
            </w:pPr>
            <w:r>
              <w:rPr>
                <w:rFonts w:ascii="Times New Roman" w:hAnsi="Times New Roman" w:eastAsia="Times New Roman" w:cs="Times New Roman"/>
                <w:sz w:val="24"/>
                <w:szCs w:val="24"/>
              </w:rPr>
              <w:t xml:space="preserve">Pengguna pengganti yang berperan sebagai pengguna sesungguhnya pada evaluasi, bukan DPJP, bidan, perawat, atau petugas </w:t>
            </w:r>
            <w:r>
              <w:rPr>
                <w:rFonts w:ascii="Times New Roman" w:hAnsi="Times New Roman" w:eastAsia="Times New Roman" w:cs="Times New Roman"/>
                <w:i/>
                <w:iCs/>
                <w:sz w:val="24"/>
                <w:szCs w:val="24"/>
              </w:rPr>
              <w:t xml:space="preserve">casemix</w:t>
            </w:r>
            <w:r>
              <w:rPr>
                <w:rFonts w:ascii="Times New Roman" w:hAnsi="Times New Roman" w:eastAsia="Times New Roman" w:cs="Times New Roman"/>
                <w:sz w:val="24"/>
                <w:szCs w:val="24"/>
              </w:rPr>
              <w:t xml:space="preserve"> yang bekerja di RSIA.</w:t>
            </w:r>
          </w:p>
        </w:tc>
      </w:tr>
      <w:tr>
        <w:trPr>
          <w:cantSplit/>
        </w:trPr>
        <w:tc>
          <w:tcPr>
            <w:tcW w:w="2600" w:type="dxa"/>
            <w:tcBorders>
              <w:top w:val="nil"/>
              <w:left w:val="nil"/>
              <w:bottom w:val="nil"/>
              <w:right w:val="nil"/>
            </w:tcBorders>
          </w:tcPr>
          <w:p>
            <w:pPr>
              <w:spacing w:before="0" w:after="80" w:line="240" w:lineRule="auto"/>
              <w:jc w:val="left"/>
            </w:pPr>
            <w:r>
              <w:rPr>
                <w:rFonts w:ascii="Times New Roman" w:hAnsi="Times New Roman" w:eastAsia="Times New Roman" w:cs="Times New Roman"/>
                <w:sz w:val="24"/>
                <w:szCs w:val="24"/>
              </w:rPr>
              <w:t xml:space="preserve">Penjangkaran bukti</w:t>
            </w:r>
          </w:p>
        </w:tc>
        <w:tc>
          <w:tcPr>
            <w:tcW w:w="5706" w:type="dxa"/>
            <w:tcBorders>
              <w:top w:val="nil"/>
              <w:left w:val="nil"/>
              <w:bottom w:val="nil"/>
              <w:right w:val="nil"/>
            </w:tcBorders>
          </w:tcPr>
          <w:p>
            <w:pPr>
              <w:spacing w:before="0" w:after="80" w:line="240" w:lineRule="auto"/>
              <w:jc w:val="left"/>
            </w:pPr>
            <w:r>
              <w:rPr>
                <w:rFonts w:ascii="Times New Roman" w:hAnsi="Times New Roman" w:eastAsia="Times New Roman" w:cs="Times New Roman"/>
                <w:sz w:val="24"/>
                <w:szCs w:val="24"/>
              </w:rPr>
              <w:t xml:space="preserve">Pengaitan keluaran model dengan bagian sumber yang mendukungnya sehingga keluaran itu dapat ditelusuri dan diperiksa.</w:t>
            </w:r>
          </w:p>
        </w:tc>
      </w:tr>
      <w:tr>
        <w:trPr>
          <w:cantSplit/>
        </w:trPr>
        <w:tc>
          <w:tcPr>
            <w:tcW w:w="2600" w:type="dxa"/>
            <w:tcBorders>
              <w:top w:val="nil"/>
              <w:left w:val="nil"/>
              <w:bottom w:val="nil"/>
              <w:right w:val="nil"/>
            </w:tcBorders>
          </w:tcPr>
          <w:p>
            <w:pPr>
              <w:spacing w:before="0" w:after="80" w:line="240" w:lineRule="auto"/>
              <w:jc w:val="left"/>
            </w:pPr>
            <w:r>
              <w:rPr>
                <w:rFonts w:ascii="Times New Roman" w:hAnsi="Times New Roman" w:eastAsia="Times New Roman" w:cs="Times New Roman"/>
                <w:sz w:val="24"/>
                <w:szCs w:val="24"/>
              </w:rPr>
              <w:t xml:space="preserve">Positif palsu</w:t>
            </w:r>
          </w:p>
        </w:tc>
        <w:tc>
          <w:tcPr>
            <w:tcW w:w="5706" w:type="dxa"/>
            <w:tcBorders>
              <w:top w:val="nil"/>
              <w:left w:val="nil"/>
              <w:bottom w:val="nil"/>
              <w:right w:val="nil"/>
            </w:tcBorders>
          </w:tcPr>
          <w:p>
            <w:pPr>
              <w:spacing w:before="0" w:after="80" w:line="240" w:lineRule="auto"/>
              <w:jc w:val="left"/>
            </w:pPr>
            <w:r>
              <w:rPr>
                <w:rFonts w:ascii="Times New Roman" w:hAnsi="Times New Roman" w:eastAsia="Times New Roman" w:cs="Times New Roman"/>
                <w:sz w:val="24"/>
                <w:szCs w:val="24"/>
              </w:rPr>
              <w:t xml:space="preserve">Temuan sistem yang menurut acuan tenaga ahli tidak benar atau tidak relevan.</w:t>
            </w:r>
          </w:p>
        </w:tc>
      </w:tr>
      <w:tr>
        <w:trPr>
          <w:cantSplit/>
        </w:trPr>
        <w:tc>
          <w:tcPr>
            <w:tcW w:w="2600" w:type="dxa"/>
            <w:tcBorders>
              <w:top w:val="nil"/>
              <w:left w:val="nil"/>
              <w:bottom w:val="nil"/>
              <w:right w:val="nil"/>
            </w:tcBorders>
          </w:tcPr>
          <w:p>
            <w:pPr>
              <w:spacing w:before="0" w:after="80" w:line="240" w:lineRule="auto"/>
              <w:jc w:val="left"/>
            </w:pPr>
            <w:r>
              <w:rPr>
                <w:rFonts w:ascii="Times New Roman" w:hAnsi="Times New Roman" w:eastAsia="Times New Roman" w:cs="Times New Roman"/>
                <w:sz w:val="24"/>
                <w:szCs w:val="24"/>
              </w:rPr>
              <w:t xml:space="preserve">Proposisi atomik</w:t>
            </w:r>
          </w:p>
        </w:tc>
        <w:tc>
          <w:tcPr>
            <w:tcW w:w="5706" w:type="dxa"/>
            <w:tcBorders>
              <w:top w:val="nil"/>
              <w:left w:val="nil"/>
              <w:bottom w:val="nil"/>
              <w:right w:val="nil"/>
            </w:tcBorders>
          </w:tcPr>
          <w:p>
            <w:pPr>
              <w:spacing w:before="0" w:after="80" w:line="240" w:lineRule="auto"/>
              <w:jc w:val="left"/>
            </w:pPr>
            <w:r>
              <w:rPr>
                <w:rFonts w:ascii="Times New Roman" w:hAnsi="Times New Roman" w:eastAsia="Times New Roman" w:cs="Times New Roman"/>
                <w:sz w:val="24"/>
                <w:szCs w:val="24"/>
              </w:rPr>
              <w:t xml:space="preserve">Satuan pernyataan terkecil yang dapat dinilai didukung atau tidak didukung oleh sumber secara mandiri.</w:t>
            </w:r>
          </w:p>
        </w:tc>
      </w:tr>
      <w:tr>
        <w:trPr>
          <w:cantSplit/>
        </w:trPr>
        <w:tc>
          <w:tcPr>
            <w:tcW w:w="2600" w:type="dxa"/>
            <w:tcBorders>
              <w:top w:val="nil"/>
              <w:left w:val="nil"/>
              <w:bottom w:val="nil"/>
              <w:right w:val="nil"/>
            </w:tcBorders>
          </w:tcPr>
          <w:p>
            <w:pPr>
              <w:spacing w:before="0" w:after="80" w:line="240" w:lineRule="auto"/>
              <w:jc w:val="left"/>
            </w:pPr>
            <w:r>
              <w:rPr>
                <w:rFonts w:ascii="Times New Roman" w:hAnsi="Times New Roman" w:eastAsia="Times New Roman" w:cs="Times New Roman"/>
                <w:sz w:val="24"/>
                <w:szCs w:val="24"/>
              </w:rPr>
              <w:t xml:space="preserve">Siklus hidup temuan</w:t>
            </w:r>
          </w:p>
        </w:tc>
        <w:tc>
          <w:tcPr>
            <w:tcW w:w="5706" w:type="dxa"/>
            <w:tcBorders>
              <w:top w:val="nil"/>
              <w:left w:val="nil"/>
              <w:bottom w:val="nil"/>
              <w:right w:val="nil"/>
            </w:tcBorders>
          </w:tcPr>
          <w:p>
            <w:pPr>
              <w:spacing w:before="0" w:after="80" w:line="240" w:lineRule="auto"/>
              <w:jc w:val="left"/>
            </w:pPr>
            <w:r>
              <w:rPr>
                <w:rFonts w:ascii="Times New Roman" w:hAnsi="Times New Roman" w:eastAsia="Times New Roman" w:cs="Times New Roman"/>
                <w:sz w:val="24"/>
                <w:szCs w:val="24"/>
              </w:rPr>
              <w:t xml:space="preserve">Rangkaian keadaan temuan sejak dihasilkan, disatukan ke skema, dicocokkan, dinilai, dan ditindaklanjuti, hingga dievaluasi ulang ketika versi dokumen berubah.</w:t>
            </w:r>
          </w:p>
        </w:tc>
      </w:tr>
      <w:tr>
        <w:trPr>
          <w:cantSplit/>
        </w:trPr>
        <w:tc>
          <w:tcPr>
            <w:tcW w:w="2600" w:type="dxa"/>
            <w:tcBorders>
              <w:top w:val="nil"/>
              <w:left w:val="nil"/>
              <w:bottom w:val="nil"/>
              <w:right w:val="nil"/>
            </w:tcBorders>
          </w:tcPr>
          <w:p>
            <w:pPr>
              <w:spacing w:before="0" w:after="80" w:line="240" w:lineRule="auto"/>
              <w:jc w:val="left"/>
            </w:pPr>
            <w:r>
              <w:rPr>
                <w:rFonts w:ascii="Times New Roman" w:hAnsi="Times New Roman" w:eastAsia="Times New Roman" w:cs="Times New Roman"/>
                <w:sz w:val="24"/>
                <w:szCs w:val="24"/>
              </w:rPr>
              <w:t xml:space="preserve">Status acuan</w:t>
            </w:r>
          </w:p>
        </w:tc>
        <w:tc>
          <w:tcPr>
            <w:tcW w:w="5706" w:type="dxa"/>
            <w:tcBorders>
              <w:top w:val="nil"/>
              <w:left w:val="nil"/>
              <w:bottom w:val="nil"/>
              <w:right w:val="nil"/>
            </w:tcBorders>
          </w:tcPr>
          <w:p>
            <w:pPr>
              <w:spacing w:before="0" w:after="80" w:line="240" w:lineRule="auto"/>
              <w:jc w:val="left"/>
            </w:pPr>
            <w:r>
              <w:rPr>
                <w:rFonts w:ascii="Times New Roman" w:hAnsi="Times New Roman" w:eastAsia="Times New Roman" w:cs="Times New Roman"/>
                <w:sz w:val="24"/>
                <w:szCs w:val="24"/>
              </w:rPr>
              <w:t xml:space="preserve">Status temuan yang ditetapkan tenaga ahli tanpa melihat keluaran sistem, dan menjadi dasar menilai ketepatan status serta pencocokan.</w:t>
            </w:r>
          </w:p>
        </w:tc>
      </w:tr>
      <w:tr>
        <w:trPr>
          <w:cantSplit/>
        </w:trPr>
        <w:tc>
          <w:tcPr>
            <w:tcW w:w="2600" w:type="dxa"/>
            <w:tcBorders>
              <w:top w:val="nil"/>
              <w:left w:val="nil"/>
              <w:bottom w:val="nil"/>
              <w:right w:val="nil"/>
            </w:tcBorders>
          </w:tcPr>
          <w:p>
            <w:pPr>
              <w:spacing w:before="0" w:after="80" w:line="240" w:lineRule="auto"/>
              <w:jc w:val="left"/>
            </w:pPr>
            <w:r>
              <w:rPr>
                <w:rFonts w:ascii="Times New Roman" w:hAnsi="Times New Roman" w:eastAsia="Times New Roman" w:cs="Times New Roman"/>
                <w:sz w:val="24"/>
                <w:szCs w:val="24"/>
              </w:rPr>
              <w:t xml:space="preserve">Temuan</w:t>
            </w:r>
          </w:p>
        </w:tc>
        <w:tc>
          <w:tcPr>
            <w:tcW w:w="5706" w:type="dxa"/>
            <w:tcBorders>
              <w:top w:val="nil"/>
              <w:left w:val="nil"/>
              <w:bottom w:val="nil"/>
              <w:right w:val="nil"/>
            </w:tcBorders>
          </w:tcPr>
          <w:p>
            <w:pPr>
              <w:spacing w:before="0" w:after="80" w:line="240" w:lineRule="auto"/>
              <w:jc w:val="left"/>
            </w:pPr>
            <w:r>
              <w:rPr>
                <w:rFonts w:ascii="Times New Roman" w:hAnsi="Times New Roman" w:eastAsia="Times New Roman" w:cs="Times New Roman"/>
                <w:sz w:val="24"/>
                <w:szCs w:val="24"/>
              </w:rPr>
              <w:t xml:space="preserve">Satu ketidaksesuaian pada satu episode, satu kategori, dan satu objek informasi; unit utama evaluasi.</w:t>
            </w:r>
          </w:p>
        </w:tc>
      </w:tr>
      <w:tr>
        <w:trPr>
          <w:cantSplit/>
        </w:trPr>
        <w:tc>
          <w:tcPr>
            <w:tcW w:w="2600" w:type="dxa"/>
            <w:tcBorders>
              <w:top w:val="nil"/>
              <w:left w:val="nil"/>
              <w:bottom w:val="nil"/>
              <w:right w:val="nil"/>
            </w:tcBorders>
          </w:tcPr>
          <w:p>
            <w:pPr>
              <w:spacing w:before="0" w:after="80" w:line="240" w:lineRule="auto"/>
              <w:jc w:val="left"/>
            </w:pPr>
            <w:r>
              <w:rPr>
                <w:rFonts w:ascii="Times New Roman" w:hAnsi="Times New Roman" w:eastAsia="Times New Roman" w:cs="Times New Roman"/>
                <w:sz w:val="24"/>
                <w:szCs w:val="24"/>
              </w:rPr>
              <w:t xml:space="preserve">Temuan ganda</w:t>
            </w:r>
          </w:p>
        </w:tc>
        <w:tc>
          <w:tcPr>
            <w:tcW w:w="5706" w:type="dxa"/>
            <w:tcBorders>
              <w:top w:val="nil"/>
              <w:left w:val="nil"/>
              <w:bottom w:val="nil"/>
              <w:right w:val="nil"/>
            </w:tcBorders>
          </w:tcPr>
          <w:p>
            <w:pPr>
              <w:spacing w:before="0" w:after="80" w:line="240" w:lineRule="auto"/>
              <w:jc w:val="left"/>
            </w:pPr>
            <w:r>
              <w:rPr>
                <w:rFonts w:ascii="Times New Roman" w:hAnsi="Times New Roman" w:eastAsia="Times New Roman" w:cs="Times New Roman"/>
                <w:sz w:val="24"/>
                <w:szCs w:val="24"/>
              </w:rPr>
              <w:t xml:space="preserve">Temuan pada versi baru yang menurut acuan sama dengan temuan lama tetapi tampil sebagai temuan baru.</w:t>
            </w:r>
          </w:p>
        </w:tc>
      </w:tr>
      <w:tr>
        <w:trPr>
          <w:cantSplit/>
        </w:trPr>
        <w:tc>
          <w:tcPr>
            <w:tcW w:w="2600" w:type="dxa"/>
            <w:tcBorders>
              <w:top w:val="nil"/>
              <w:left w:val="nil"/>
              <w:bottom w:val="nil"/>
              <w:right w:val="nil"/>
            </w:tcBorders>
          </w:tcPr>
          <w:p>
            <w:pPr>
              <w:spacing w:before="0" w:after="80" w:line="240" w:lineRule="auto"/>
              <w:jc w:val="left"/>
            </w:pPr>
            <w:r>
              <w:rPr>
                <w:rFonts w:ascii="Times New Roman" w:hAnsi="Times New Roman" w:eastAsia="Times New Roman" w:cs="Times New Roman"/>
                <w:i/>
                <w:iCs/>
                <w:sz w:val="24"/>
                <w:szCs w:val="24"/>
              </w:rPr>
              <w:t xml:space="preserve">Upcoding</w:t>
            </w:r>
          </w:p>
        </w:tc>
        <w:tc>
          <w:tcPr>
            <w:tcW w:w="5706" w:type="dxa"/>
            <w:tcBorders>
              <w:top w:val="nil"/>
              <w:left w:val="nil"/>
              <w:bottom w:val="nil"/>
              <w:right w:val="nil"/>
            </w:tcBorders>
          </w:tcPr>
          <w:p>
            <w:pPr>
              <w:spacing w:before="0" w:after="80" w:line="240" w:lineRule="auto"/>
              <w:jc w:val="left"/>
            </w:pPr>
            <w:r>
              <w:rPr>
                <w:rFonts w:ascii="Times New Roman" w:hAnsi="Times New Roman" w:eastAsia="Times New Roman" w:cs="Times New Roman"/>
                <w:sz w:val="24"/>
                <w:szCs w:val="24"/>
              </w:rPr>
              <w:t xml:space="preserve">Pengubahan kode diagnosis atau prosedur agar klaim ditagihkan pada tarif lebih tinggi tanpa dasar medis.</w:t>
            </w:r>
          </w:p>
        </w:tc>
      </w:tr>
    </w:tbl>
    <w:p w14:paraId="63E5FEA7" w14:textId="09673CD7">
      <w:pPr>
        <w:jc w:val="center"/>
      </w:pPr>
    </w:p>
    <w:p w14:paraId="25F8BB97" w14:textId="77777777">
      <w:pPr>
        <w:jc w:val="left"/>
        <w:sectPr>
          <w:footerReference w:type="default" r:id="rId10"/>
          <w:pgSz w:w="11906" w:h="16838"/>
          <w:pgMar w:top="1440" w:right="1800" w:bottom="1440" w:left="1800" w:header="720" w:footer="528" w:gutter="0"/>
          <w:docGrid w:linePitch="326"/>
        </w:sectPr>
      </w:pPr>
    </w:p>
    <w:p w14:paraId="11F042D4" w14:textId="77777777">
      <w:pPr>
        <w:pStyle w:val="Heading1"/>
        <w:pageBreakBefore/>
        <w:ind w:left="0" w:firstLine="288"/>
        <w:jc w:val="center"/>
      </w:pPr>
      <w:bookmarkStart w:id="4" w:name="_Toc180649367"/>
      <w:bookmarkStart w:id="5" w:name="_Toc216028366"/>
      <w:r>
        <w:lastRenderedPageBreak/>
        <w:br w:type="textWrapping"/>
      </w:r>
      <w:r>
        <w:rPr>
          <w:rFonts w:ascii="Times New Roman" w:hAnsi="Times New Roman" w:eastAsia="Times New Roman" w:cs="Times New Roman"/>
          <w:b/>
          <w:bCs/>
          <w:caps/>
          <w:sz w:val="28"/>
          <w:szCs w:val="28"/>
        </w:rPr>
        <w:t>PENDAHULUAN</w:t>
      </w:r>
      <w:bookmarkEnd w:id="4"/>
      <w:bookmarkEnd w:id="5"/>
    </w:p>
    <w:p w14:paraId="4940714B" w14:textId="77777777">
      <w:pPr>
        <w:jc w:val="both"/>
      </w:pPr>
    </w:p>
    <w:p w14:paraId="48471F84" w14:textId="0450CA10">
      <w:pPr>
        <w:jc w:val="both"/>
      </w:pPr>
      <w:r>
        <w:rPr>
          <w:rFonts w:ascii="Times New Roman" w:hAnsi="Times New Roman" w:eastAsia="Times New Roman" w:cs="Times New Roman"/>
          <w:sz w:val="24"/>
          <w:szCs w:val="24"/>
        </w:rPr>
        <w:t>Bab Pendahuluan secara umum yang dijadikan landasan kerja dan arah kerja penulis tugas akhir, berfungsi mengantar pembaca untuk membaca laporan tugas akhir secara keseluruhan spesifik masing-masing individu anggota tim capstone.</w:t>
      </w:r>
    </w:p>
    <w:p w14:paraId="6B90D98D" w14:textId="77777777">
      <w:pPr>
        <w:pStyle w:val="Heading2"/>
        <w:ind w:left="576" w:hanging="576"/>
        <w:jc w:val="both"/>
      </w:pPr>
      <w:bookmarkStart w:id="6" w:name="_Toc35414443"/>
      <w:bookmarkStart w:id="7" w:name="_Toc35414637"/>
      <w:bookmarkStart w:id="8" w:name="_Toc40514136"/>
      <w:bookmarkStart w:id="9" w:name="_Toc180649368"/>
      <w:bookmarkStart w:id="10" w:name="_Toc216028367"/>
      <w:r>
        <w:rPr>
          <w:rFonts w:ascii="Times New Roman" w:hAnsi="Times New Roman" w:eastAsia="Times New Roman" w:cs="Times New Roman"/>
          <w:b/>
          <w:bCs/>
          <w:sz w:val="24"/>
          <w:szCs w:val="24"/>
        </w:rPr>
        <w:t>Latar Belakang</w:t>
      </w:r>
      <w:bookmarkEnd w:id="6"/>
      <w:bookmarkEnd w:id="7"/>
      <w:bookmarkEnd w:id="8"/>
      <w:bookmarkEnd w:id="9"/>
      <w:bookmarkEnd w:id="10"/>
    </w:p>
    <w:p w14:paraId="67AF8CE0" w14:textId="31CE486C">
      <w:pPr>
        <w:spacing w:before="120" w:after="120" w:line="360" w:lineRule="auto"/>
        <w:jc w:val="both"/>
      </w:pPr>
      <w:r>
        <w:rPr>
          <w:rFonts w:ascii="Times New Roman" w:hAnsi="Times New Roman" w:eastAsia="Times New Roman" w:cs="Times New Roman"/>
          <w:sz w:val="24"/>
          <w:szCs w:val="24"/>
        </w:rPr>
        <w:t xml:space="preserve">Awali tulisan dengan mengacu kepada latar belakang dan tujuan capstone yang dijelaskan pada laporan utama capstone. </w:t>
      </w:r>
    </w:p>
    <w:p w14:paraId="013CE6ED" w14:textId="69B919B2">
      <w:pPr>
        <w:spacing w:before="120" w:after="120" w:line="360" w:lineRule="auto"/>
        <w:jc w:val="both"/>
      </w:pPr>
      <w:r>
        <w:rPr>
          <w:rFonts w:ascii="Times New Roman" w:hAnsi="Times New Roman" w:eastAsia="Times New Roman" w:cs="Times New Roman"/>
          <w:sz w:val="24"/>
          <w:szCs w:val="24"/>
        </w:rPr>
        <w:t>Kemudian dilanjutkan dengan penjelasan ringkas tentang latar belakang dan masalah yang menjadi dasar perlunya penyelesaian porsi spesifik yang dikerjakan oleh masing-masing individu anggota tim pelaksana tugas akhir capstone. Saat menuliskan bagian ini, posisikan anda sebagai pembaca – apakah anda tertarik untuk terus membaca?</w:t>
      </w:r>
    </w:p>
    <w:p w14:paraId="50B503A9" w14:textId="77777777">
      <w:pPr>
        <w:pStyle w:val="Heading2"/>
        <w:ind w:left="576" w:hanging="576"/>
        <w:jc w:val="both"/>
      </w:pPr>
      <w:bookmarkStart w:id="11" w:name="_Toc180649369"/>
      <w:bookmarkStart w:id="12" w:name="_Toc216028368"/>
      <w:r>
        <w:rPr>
          <w:rFonts w:ascii="Times New Roman" w:hAnsi="Times New Roman" w:eastAsia="Times New Roman" w:cs="Times New Roman"/>
          <w:b/>
          <w:bCs/>
          <w:sz w:val="24"/>
          <w:szCs w:val="24"/>
        </w:rPr>
        <w:t>Rumusan Masalah</w:t>
      </w:r>
      <w:bookmarkEnd w:id="11"/>
      <w:bookmarkEnd w:id="12"/>
    </w:p>
    <w:p w14:paraId="08FDE815" w14:textId="0DE4C438">
      <w:pPr>
        <w:spacing w:before="120" w:after="120" w:line="360" w:lineRule="auto"/>
        <w:jc w:val="both"/>
      </w:pPr>
      <w:r>
        <w:rPr>
          <w:rFonts w:ascii="Times New Roman" w:hAnsi="Times New Roman" w:eastAsia="Times New Roman" w:cs="Times New Roman"/>
          <w:sz w:val="24"/>
          <w:szCs w:val="24"/>
        </w:rPr>
        <w:t xml:space="preserve">Tuliskan rumusan masalah spesifik individu anggota tim pelaksana tugas akhir capstone yang harus diselesaikan. </w:t>
      </w:r>
    </w:p>
    <w:p w14:paraId="4B5A4D26" w14:textId="6BAB1998">
      <w:pPr>
        <w:spacing w:before="120" w:after="120" w:line="360" w:lineRule="auto"/>
        <w:jc w:val="both"/>
      </w:pPr>
      <w:r>
        <w:rPr>
          <w:rFonts w:ascii="Times New Roman" w:hAnsi="Times New Roman" w:eastAsia="Times New Roman" w:cs="Times New Roman"/>
          <w:sz w:val="24"/>
          <w:szCs w:val="24"/>
        </w:rPr>
        <w:t>Rumusan masalah spesifik individu anggota tim pelaksana tugas akhir capstone memiliki struktur sebagai berikut:</w:t>
      </w:r>
    </w:p>
    <w:p w14:paraId="6A205560" w14:textId="5B86E1DE">
      <w:pPr>
        <w:pStyle w:val="ListNumber"/>
        <w:ind w:left="360" w:hanging="360"/>
        <w:jc w:val="both"/>
      </w:pPr>
      <w:r>
        <w:rPr>
          <w:rFonts w:ascii="Times New Roman" w:hAnsi="Times New Roman" w:eastAsia="Times New Roman" w:cs="Times New Roman"/>
          <w:sz w:val="24"/>
          <w:szCs w:val="24"/>
        </w:rPr>
        <w:t xml:space="preserve">Diawali dengan ringkasan dalam satu atau dua kalimat tentang kondisi/situasi dalam bentuk </w:t>
      </w:r>
      <w:r>
        <w:rPr>
          <w:rFonts w:ascii="Times New Roman" w:hAnsi="Times New Roman" w:eastAsia="Times New Roman" w:cs="Times New Roman"/>
          <w:b/>
          <w:bCs/>
          <w:i/>
          <w:iCs/>
          <w:sz w:val="24"/>
          <w:szCs w:val="24"/>
        </w:rPr>
        <w:t xml:space="preserve">problem statement </w:t>
      </w:r>
      <w:r>
        <w:rPr>
          <w:rFonts w:ascii="Times New Roman" w:hAnsi="Times New Roman" w:eastAsia="Times New Roman" w:cs="Times New Roman"/>
          <w:sz w:val="24"/>
          <w:szCs w:val="24"/>
        </w:rPr>
        <w:t xml:space="preserve">yang ada sekarang terkait dengan topik utama yang dibahas spesifik individu sebagai bagian dari tugas akhir capstone. </w:t>
      </w:r>
    </w:p>
    <w:p w14:paraId="75782880" w14:textId="77777777">
      <w:pPr>
        <w:pStyle w:val="ListNumber"/>
        <w:numPr>
          <w:ilvl w:val="0"/>
          <w:numId w:val="0"/>
        </w:numPr>
        <w:ind w:left="360"/>
        <w:jc w:val="both"/>
      </w:pPr>
      <w:r>
        <w:rPr>
          <w:rFonts w:ascii="Times New Roman" w:hAnsi="Times New Roman" w:eastAsia="Times New Roman" w:cs="Times New Roman"/>
          <w:sz w:val="24"/>
          <w:szCs w:val="24"/>
        </w:rPr>
        <w:t xml:space="preserve">Pokok persoalan dari kondisi/situasi yang ada, dapat dilihat dari kelemahan atau kekurangannya. </w:t>
      </w:r>
      <w:r>
        <w:rPr>
          <w:rFonts w:ascii="Times New Roman" w:hAnsi="Times New Roman" w:eastAsia="Times New Roman" w:cs="Times New Roman"/>
          <w:b/>
          <w:bCs/>
          <w:sz w:val="24"/>
          <w:szCs w:val="24"/>
        </w:rPr>
        <w:t>Bagian ini merupakan inti dari rumusan masalah</w:t>
      </w:r>
      <w:r>
        <w:rPr>
          <w:rFonts w:ascii="Times New Roman" w:hAnsi="Times New Roman" w:eastAsia="Times New Roman" w:cs="Times New Roman"/>
          <w:sz w:val="24"/>
          <w:szCs w:val="24"/>
        </w:rPr>
        <w:t>.</w:t>
      </w:r>
    </w:p>
    <w:p w14:paraId="1DB6B488" w14:textId="7F1B4A68">
      <w:pPr>
        <w:pStyle w:val="ListNumber"/>
        <w:ind w:left="360" w:hanging="360"/>
        <w:jc w:val="both"/>
      </w:pPr>
      <w:r>
        <w:rPr>
          <w:rFonts w:ascii="Times New Roman" w:hAnsi="Times New Roman" w:eastAsia="Times New Roman" w:cs="Times New Roman"/>
          <w:sz w:val="24"/>
          <w:szCs w:val="24"/>
        </w:rPr>
        <w:t>Elaborasi lebih lanjut yang menekankan hal-hal penting sebagai pokok kajian untuk menyelesaikan persoalan spesifik individu tim TA capstone.</w:t>
      </w:r>
    </w:p>
    <w:p w14:paraId="05388CF7" w14:textId="07ED2E18">
      <w:pPr>
        <w:pStyle w:val="ListNumber"/>
        <w:ind w:left="360" w:hanging="360"/>
        <w:jc w:val="both"/>
      </w:pPr>
      <w:r>
        <w:rPr>
          <w:rFonts w:ascii="Times New Roman" w:hAnsi="Times New Roman" w:eastAsia="Times New Roman" w:cs="Times New Roman"/>
          <w:sz w:val="24"/>
          <w:szCs w:val="24"/>
        </w:rPr>
        <w:t>Dapat ditambahkan usulan singkat terkait dengan solusi yang ditawarkan untuk menyelesaikan persoalan spesifik individu tim TA capstone.</w:t>
      </w:r>
    </w:p>
    <w:p w14:paraId="2E5D2A4A" w14:textId="3BFB68D6">
      <w:pPr>
        <w:pStyle w:val="ListNumber"/>
        <w:numPr>
          <w:ilvl w:val="0"/>
          <w:numId w:val="0"/>
        </w:numPr>
        <w:jc w:val="both"/>
      </w:pPr>
      <w:r>
        <w:lastRenderedPageBreak/>
        <w:rPr>
          <w:rFonts w:ascii="Times New Roman" w:hAnsi="Times New Roman" w:eastAsia="Times New Roman" w:cs="Times New Roman"/>
          <w:sz w:val="24"/>
          <w:szCs w:val="24"/>
        </w:rPr>
        <w:t>Penting untuk diperhatikan bahwa persoalan yang dideskripsikan pada subbab ini akan dipertanggungjawabkan di akhir pelaksanaan tugas akhir, apakah terselesaikan atau tidak?</w:t>
      </w:r>
    </w:p>
    <w:p w14:paraId="472C2E60" w14:textId="2D205245">
      <w:pPr>
        <w:pStyle w:val="Heading2"/>
        <w:ind w:left="576" w:hanging="576"/>
        <w:jc w:val="both"/>
      </w:pPr>
      <w:bookmarkStart w:id="13" w:name="_Toc180649370"/>
      <w:bookmarkStart w:id="14" w:name="_Toc216028369"/>
      <w:r>
        <w:rPr>
          <w:rFonts w:ascii="Times New Roman" w:hAnsi="Times New Roman" w:eastAsia="Times New Roman" w:cs="Times New Roman"/>
          <w:b/>
          <w:bCs/>
          <w:sz w:val="24"/>
          <w:szCs w:val="24"/>
        </w:rPr>
        <w:t>Tujuan dan Ukuran Keberhasilan Pencapaian</w:t>
      </w:r>
      <w:bookmarkEnd w:id="13"/>
      <w:bookmarkEnd w:id="14"/>
    </w:p>
    <w:p w14:paraId="04FBFC62" w14:textId="58485485">
      <w:pPr>
        <w:pStyle w:val="ListNumber"/>
        <w:numPr>
          <w:ilvl w:val="0"/>
          <w:numId w:val="0"/>
        </w:numPr>
        <w:jc w:val="both"/>
      </w:pPr>
      <w:r>
        <w:rPr>
          <w:rFonts w:ascii="Times New Roman" w:hAnsi="Times New Roman" w:eastAsia="Times New Roman" w:cs="Times New Roman"/>
          <w:sz w:val="24"/>
          <w:szCs w:val="24"/>
        </w:rPr>
        <w:t>Tuliskan tujuan spesifik individu anggota tim tugas akhir capstone. Fokuskan pada hasil akhir yang ingin diperoleh setelah tugas akhir diselesaikan, terkait dengan penyelesaian persoalan pada rumusan masalah. Penting untuk diperhatikan bahwa tujuan yang dideskripsikan pada subbab ini akan dipertanggungjawabkan di akhir pelaksanaan tugas akhir apakah tercapai atau tidak. Tuliskan juga ukuran keberhasilan pencapaian tujuan spesifik individu anggota tim TA capstone.</w:t>
      </w:r>
    </w:p>
    <w:p w14:paraId="520DF778" w14:textId="77777777">
      <w:pPr>
        <w:pStyle w:val="Heading2"/>
        <w:ind w:left="576" w:hanging="576"/>
        <w:jc w:val="both"/>
      </w:pPr>
      <w:bookmarkStart w:id="15" w:name="_Toc180649371"/>
      <w:bookmarkStart w:id="16" w:name="_Toc216028370"/>
      <w:r>
        <w:rPr>
          <w:rFonts w:ascii="Times New Roman" w:hAnsi="Times New Roman" w:eastAsia="Times New Roman" w:cs="Times New Roman"/>
          <w:b/>
          <w:bCs/>
          <w:sz w:val="24"/>
          <w:szCs w:val="24"/>
        </w:rPr>
        <w:t>Batasan Masalah</w:t>
      </w:r>
      <w:bookmarkEnd w:id="15"/>
      <w:bookmarkEnd w:id="16"/>
    </w:p>
    <w:p w14:paraId="7CDB9573" w14:textId="3ABC4924">
      <w:pPr>
        <w:pStyle w:val="ListNumber"/>
        <w:numPr>
          <w:ilvl w:val="0"/>
          <w:numId w:val="0"/>
        </w:numPr>
        <w:jc w:val="both"/>
      </w:pPr>
      <w:r>
        <w:rPr>
          <w:rFonts w:ascii="Times New Roman" w:hAnsi="Times New Roman" w:eastAsia="Times New Roman" w:cs="Times New Roman"/>
          <w:sz w:val="24"/>
          <w:szCs w:val="24"/>
        </w:rPr>
        <w:t>Tuliskan batasan-batasan kajian yang diambil dalam pelaksanaan peran spesifik individu anggota tim TA capstone dan bukan merupakan batasan implementasi solusi. Tuliskan batasan yang dicakup tersebut dalam kalimat positif. Batasan ini dapat dihindari (tidak perlu ada) jika topik/judul tugas akhir dibuat cukup spesifik.</w:t>
      </w:r>
    </w:p>
    <w:p w14:paraId="0F015B56" w14:textId="77777777">
      <w:pPr>
        <w:pStyle w:val="Heading2"/>
        <w:ind w:left="576" w:hanging="576"/>
        <w:jc w:val="both"/>
      </w:pPr>
      <w:bookmarkStart w:id="17" w:name="_Toc180649372"/>
      <w:bookmarkStart w:id="18" w:name="_Toc216028371"/>
      <w:r>
        <w:rPr>
          <w:rFonts w:ascii="Times New Roman" w:hAnsi="Times New Roman" w:eastAsia="Times New Roman" w:cs="Times New Roman"/>
          <w:b/>
          <w:bCs/>
          <w:sz w:val="24"/>
          <w:szCs w:val="24"/>
        </w:rPr>
        <w:t>Metodologi</w:t>
      </w:r>
      <w:bookmarkEnd w:id="17"/>
      <w:bookmarkEnd w:id="18"/>
    </w:p>
    <w:p w14:paraId="42199DC7" w14:textId="315CB63A">
      <w:pPr>
        <w:pStyle w:val="ListNumber"/>
        <w:numPr>
          <w:ilvl w:val="0"/>
          <w:numId w:val="0"/>
        </w:numPr>
        <w:jc w:val="both"/>
      </w:pPr>
      <w:r>
        <w:rPr>
          <w:rFonts w:ascii="Times New Roman" w:hAnsi="Times New Roman" w:eastAsia="Times New Roman" w:cs="Times New Roman"/>
          <w:sz w:val="24"/>
          <w:szCs w:val="24"/>
        </w:rPr>
        <w:t>Tuliskan tahapan spesifik yang dilaksanakan oleh masing-masing individu anggota tim capstone untuk menyelesaikan persoalan tugas akhir. Tahapan studi literatur tidak perlu dituliskan karena ini adalah pekerjaan yang harus Anda lakukan selama proses pelaksanaan tugas akhir.</w:t>
      </w:r>
    </w:p>
    <w:p w14:paraId="033402C8" w14:textId="77777777">
      <w:pPr>
        <w:jc w:val="both"/>
      </w:pPr>
      <w:bookmarkStart w:id="19" w:name="_Toc505219821"/>
      <w:bookmarkEnd w:id="19"/>
    </w:p>
    <w:p w14:paraId="7D5B54AC" w14:textId="77777777">
      <w:pPr>
        <w:pageBreakBefore/>
        <w:spacing w:before="0" w:after="0" w:line="240" w:lineRule="auto"/>
        <w:jc w:val="left"/>
      </w:pPr>
      <w:r>
        <w:lastRenderedPageBreak/>
      </w:r>
    </w:p>
    <w:p w14:paraId="33CC3629" w14:textId="7AE707CC">
      <w:pPr>
        <w:pStyle w:val="Heading1"/>
        <w:pageBreakBefore/>
        <w:ind w:left="0" w:firstLine="288"/>
        <w:jc w:val="center"/>
      </w:pPr>
      <w:bookmarkStart w:id="20" w:name="_Toc180649373"/>
      <w:bookmarkStart w:id="21" w:name="_Toc216028372"/>
      <w:r>
        <w:lastRenderedPageBreak/>
        <w:br w:type="textWrapping"/>
      </w:r>
      <w:r>
        <w:rPr>
          <w:rFonts w:ascii="Times New Roman" w:hAnsi="Times New Roman" w:eastAsia="Times New Roman" w:cs="Times New Roman"/>
          <w:b/>
          <w:bCs/>
          <w:caps/>
          <w:sz w:val="28"/>
          <w:szCs w:val="28"/>
        </w:rPr>
        <w:t>KAJIAN PUSTAKA</w:t>
      </w:r>
      <w:bookmarkEnd w:id="20"/>
      <w:bookmarkEnd w:id="21"/>
    </w:p>
    <w:p w14:paraId="3C468E0C" w14:textId="77777777">
      <w:pPr>
        <w:spacing w:before="120" w:after="120" w:line="360" w:lineRule="auto"/>
        <w:jc w:val="both"/>
      </w:pPr>
    </w:p>
    <w:p w14:paraId="507D3975">
      <w:pPr>
        <w:jc w:val="both"/>
      </w:pPr>
      <w:r>
        <w:rPr>
          <w:rFonts w:ascii="Times New Roman" w:hAnsi="Times New Roman" w:eastAsia="Times New Roman" w:cs="Times New Roman"/>
          <w:sz w:val="24"/>
          <w:szCs w:val="24"/>
        </w:rPr>
        <w:t>Bab ini menelaah literatur yang terkait langsung dengan peran penulis dalam tim, yaitu komponen AI/NLP untuk memeriksa dokumentasi klaim rawat inap kasus kebidanan dan anak sebelum diajukan ke BPJS Kesehatan. Istilah analisis semantik dipakai di sini untuk kemampuan membandingkan isi klinis lintas dokumen dalam satu episode rawat inap, mencari bukti pendukung, dan membentuk temuan yang dapat diperiksa tenaga ahli. Telaah bergerak dari konteks klaim JKN (II.1) ke pemrosesan teks klinis dan LLM (II.2), audit otomatis, pendekatan hibrida, RAG dan graf pengetahuan, de-identifikasi, dan evaluasi (II.3 sampai II.7), lalu membandingkan karya terdekat dan menyatakan celah yang menjadi sasaran penelitian ini (II.8).</w:t>
      </w:r>
    </w:p>
    <w:p w14:paraId="6BE47F5E">
      <w:pPr>
        <w:pStyle w:val="Heading2"/>
        <w:ind w:left="576" w:hanging="576"/>
        <w:jc w:val="both"/>
      </w:pPr>
      <w:bookmarkStart w:id="9001" w:name="_Toc9009001"/>
      <w:r>
        <w:rPr>
          <w:rFonts w:ascii="Times New Roman" w:hAnsi="Times New Roman" w:eastAsia="Times New Roman" w:cs="Times New Roman"/>
          <w:b/>
          <w:bCs/>
          <w:sz w:val="24"/>
          <w:szCs w:val="24"/>
        </w:rPr>
        <w:t>Dokumentasi Klinis dan Klaim JKN</w:t>
      </w:r>
      <w:bookmarkEnd w:id="9001"/>
    </w:p>
    <w:p w14:paraId="686ECE12">
      <w:pPr>
        <w:pStyle w:val="Heading3"/>
        <w:ind w:left="720" w:hanging="720"/>
        <w:jc w:val="both"/>
      </w:pPr>
      <w:bookmarkStart w:id="9002" w:name="_Toc9009002"/>
      <w:r>
        <w:rPr>
          <w:rFonts w:ascii="Times New Roman" w:hAnsi="Times New Roman" w:eastAsia="Times New Roman" w:cs="Times New Roman"/>
          <w:b/>
          <w:bCs/>
          <w:sz w:val="24"/>
          <w:szCs w:val="24"/>
        </w:rPr>
        <w:t>Alur Klaim JKN dan Studi tentang Klaim Rawat Inap</w:t>
      </w:r>
      <w:bookmarkEnd w:id="9002"/>
    </w:p>
    <w:p w14:paraId="4CE08B60">
      <w:pPr>
        <w:jc w:val="both"/>
      </w:pPr>
      <w:r>
        <w:rPr>
          <w:rFonts w:ascii="Times New Roman" w:hAnsi="Times New Roman" w:eastAsia="Times New Roman" w:cs="Times New Roman"/>
          <w:sz w:val="24"/>
          <w:szCs w:val="24"/>
        </w:rPr>
        <w:t xml:space="preserve">Dalam Jaminan Kesehatan Nasional (JKN), BPJS Kesehatan menangani pendaftaran peserta, pengumpulan iuran, kontrak dengan penyedia layanan, dan pemrosesan klaim. Rumah sakit dibayar per kasus menurut tarif </w:t>
      </w:r>
      <w:r>
        <w:rPr>
          <w:rFonts w:ascii="Times New Roman" w:hAnsi="Times New Roman" w:eastAsia="Times New Roman" w:cs="Times New Roman"/>
          <w:i/>
          <w:iCs/>
          <w:sz w:val="24"/>
          <w:szCs w:val="24"/>
        </w:rPr>
        <w:t>Indonesian Case Base Groups</w:t>
      </w:r>
      <w:r>
        <w:rPr>
          <w:rFonts w:ascii="Times New Roman" w:hAnsi="Times New Roman" w:eastAsia="Times New Roman" w:cs="Times New Roman"/>
          <w:sz w:val="24"/>
          <w:szCs w:val="24"/>
        </w:rPr>
        <w:t xml:space="preserve"> (INA-CBG) untuk rawat inap maupun rawat jalan (Susilo dkk., 2025, hlm. 2), dan pembayaran prospektif berbasis INA-CBG itu berlaku sejak 2014 (Rachmawaty dkk., 2021, hlm. S613). Klaim diajukan setelah pasien selesai dirawat, lalu diverifikasi pada aspek administrasi kepesertaan, administrasi pelayanan, dan pelayanan kesehatan. Berkas pendukungnya mencakup surat eligibilitas peserta (SEP) dan resume medis yang memuat diagnosis awal serta diagnosis akhir, yang ditulis dan ditetapkan oleh dokter yang bertanggung jawab (Simbolon &amp; Gani, 2023, hlm. 72–73).</w:t>
      </w:r>
    </w:p>
    <w:p w14:paraId="6A29E96B">
      <w:pPr>
        <w:jc w:val="both"/>
      </w:pPr>
      <w:r>
        <w:rPr>
          <w:rFonts w:ascii="Times New Roman" w:hAnsi="Times New Roman" w:eastAsia="Times New Roman" w:cs="Times New Roman"/>
          <w:sz w:val="24"/>
          <w:szCs w:val="24"/>
        </w:rPr>
        <w:t xml:space="preserve">Simbolon dan Gani (2023) merangkum lima artikel tahun 2020–2022 tentang penyebab klaim rawat inap yang </w:t>
      </w:r>
      <w:r>
        <w:rPr>
          <w:rFonts w:ascii="Times New Roman" w:hAnsi="Times New Roman" w:eastAsia="Times New Roman" w:cs="Times New Roman"/>
          <w:i/>
          <w:iCs/>
          <w:sz w:val="24"/>
          <w:szCs w:val="24"/>
        </w:rPr>
        <w:t>pending</w:t>
      </w:r>
      <w:r>
        <w:rPr>
          <w:rFonts w:ascii="Times New Roman" w:hAnsi="Times New Roman" w:eastAsia="Times New Roman" w:cs="Times New Roman"/>
          <w:sz w:val="24"/>
          <w:szCs w:val="24"/>
        </w:rPr>
        <w:t>. Faktor yang muncul ialah pengodean yang tidak sesuai, kelengkapan berkas, dan perbedaan penegakan diagnosis antara dokter penanggung jawab pelayanan (DPJP) dan verifikator BPJS (hlm. 72, 77). Tabel ulasan tersebut memuat studi Muroli dkk. (2020) di RSAB Harapan Kita, Jakarta Barat. Menurut ringkasan dalam tabel itu, resume medis tidak lengkap pada 38 berkas (41,8%), pengodean tidak tepat pada 44 berkas (48,4%), dan berkas klaim tidak lengkap pada 27 berkas (29,7%) (hlm. 75). Angka tersebut berasal dari ringkasan dalam ulasan, bukan dari artikel Muroli dkk., dan ulasan itu tidak menguraikan penilaian mutu terhadap kelima artikel yang dimasukkan.</w:t>
      </w:r>
    </w:p>
    <w:p w14:paraId="30FE47C7">
      <w:pPr>
        <w:jc w:val="both"/>
      </w:pPr>
      <w:r>
        <w:rPr>
          <w:rFonts w:ascii="Times New Roman" w:hAnsi="Times New Roman" w:eastAsia="Times New Roman" w:cs="Times New Roman"/>
          <w:sz w:val="24"/>
          <w:szCs w:val="24"/>
        </w:rPr>
        <w:t xml:space="preserve">Tiga studi lain membahas klaim JKN dari sudut berbeda. Rachmawaty dkk. (2021) menganalisis basis data e-klaim BPJS satu rumah sakit ibu dan anak di Makassar, dengan 2.870 rawat inap pada 2019 dan 1.533 pada Januari–Juni 2020. Kerugian finansial rumah sakit terjadi pada 42,9% rawat inap tahun 2019 dan 61,3% tahun 2020 (hlm. S613). Penulis mengaitkan kerugian itu terutama dengan tarif rumah sakit yang lebih tinggi daripada tarif BPJS, dan menyebut tidak adanya audit rekam medis pasien secara rutin oleh manajer sebagai salah satu alasan variasi lama rawat (hlm. S617). Studi ini tidak menilai mutu dokumentasi. Barsasella dkk. (2021) memakai data klaim INA-CBG 4.376 pasien rawat inap diabetes melitus tipe 2 atau hipertensi di satu rumah sakit di Tasikmalaya (2016–2019) untuk memprediksi lama rawat dan kematian dengan pembelajaran mesin (hlm. 1). Variabelnya antara lain kode diagnosis, kode prosedur, kode INA-CBG, dan status pulang (hlm. 2); teks klinis tidak dibahas. Nilasari dan Soelistijanto (2026) merancang sistem di sisi BPJS yang memilih klaim untuk diaudit manusia dalam batas kapasitas auditor, dengan sasaran kecurangan seperti </w:t>
      </w:r>
      <w:r>
        <w:rPr>
          <w:rFonts w:ascii="Times New Roman" w:hAnsi="Times New Roman" w:eastAsia="Times New Roman" w:cs="Times New Roman"/>
          <w:i/>
          <w:iCs/>
          <w:sz w:val="24"/>
          <w:szCs w:val="24"/>
        </w:rPr>
        <w:t>upcoding</w:t>
      </w:r>
      <w:r>
        <w:rPr>
          <w:rFonts w:ascii="Times New Roman" w:hAnsi="Times New Roman" w:eastAsia="Times New Roman" w:cs="Times New Roman"/>
          <w:sz w:val="24"/>
          <w:szCs w:val="24"/>
        </w:rPr>
        <w:t xml:space="preserve"> (hlm. 851, 852). Simulasi empirisnya belum selesai dan tidak ada data yang dipakai (hlm. 855, 857).</w:t>
      </w:r>
    </w:p>
    <w:p w14:paraId="0E9CADBF">
      <w:pPr>
        <w:pStyle w:val="Heading3"/>
        <w:ind w:left="720" w:hanging="720"/>
        <w:jc w:val="both"/>
      </w:pPr>
      <w:bookmarkStart w:id="9003" w:name="_Toc9009003"/>
      <w:r>
        <w:rPr>
          <w:rFonts w:ascii="Times New Roman" w:hAnsi="Times New Roman" w:eastAsia="Times New Roman" w:cs="Times New Roman"/>
          <w:b/>
          <w:bCs/>
          <w:sz w:val="24"/>
          <w:szCs w:val="24"/>
        </w:rPr>
        <w:t>Sintesis dan Celah</w:t>
      </w:r>
      <w:bookmarkEnd w:id="9003"/>
    </w:p>
    <w:p w14:paraId="53D178D2">
      <w:pPr>
        <w:jc w:val="both"/>
      </w:pPr>
      <w:r>
        <w:rPr>
          <w:rFonts w:ascii="Times New Roman" w:hAnsi="Times New Roman" w:eastAsia="Times New Roman" w:cs="Times New Roman"/>
          <w:sz w:val="24"/>
          <w:szCs w:val="24"/>
        </w:rPr>
        <w:t>Dokumentasi medis, kode diagnosis, dan keputusan klaim saling terkait dalam JKN, tetapi tidak satu pun sumber di atas mengukur ketidaksesuaian di dalam dokumen klinis sebelum klaim diajukan. Ulasan Simbolon dan Gani (2023) merangkum faktor penyebab dari artikel lain, Rachmawaty dkk. (2021) menganalisis biaya dan mutu layanan, Barsasella dkk. (2021) memodelkan luaran pasien dari variabel klaim terstruktur, dan Nilasari dan Soelistijanto (2026) merancang audit di sisi BPJS tanpa evaluasi. Ringkasan Muroli dkk. (2020) dalam ulasan itu memberi proporsi berkas yang tidak lengkap atau tidak tepat, tetapi tidak merinci jenis ketidaksesuaian antardokumen, misalnya diagnosis pada resume yang tidak sejalan dengan catatan harian.</w:t>
      </w:r>
    </w:p>
    <w:p w14:paraId="2CCB9210">
      <w:pPr>
        <w:pStyle w:val="Heading2"/>
        <w:ind w:left="576" w:hanging="576"/>
        <w:jc w:val="both"/>
      </w:pPr>
      <w:bookmarkStart w:id="9004" w:name="_Toc9009004"/>
      <w:r>
        <w:rPr>
          <w:rFonts w:ascii="Times New Roman" w:hAnsi="Times New Roman" w:eastAsia="Times New Roman" w:cs="Times New Roman"/>
          <w:b/>
          <w:bCs/>
          <w:sz w:val="24"/>
          <w:szCs w:val="24"/>
        </w:rPr>
        <w:t>NLP dan LLM pada Teks Klinis</w:t>
      </w:r>
      <w:bookmarkEnd w:id="9004"/>
    </w:p>
    <w:p w14:paraId="476BC072">
      <w:pPr>
        <w:pStyle w:val="Heading3"/>
        <w:ind w:left="720" w:hanging="720"/>
        <w:jc w:val="both"/>
      </w:pPr>
      <w:bookmarkStart w:id="9005" w:name="_Toc9009005"/>
      <w:r>
        <w:rPr>
          <w:rFonts w:ascii="Times New Roman" w:hAnsi="Times New Roman" w:eastAsia="Times New Roman" w:cs="Times New Roman"/>
          <w:b/>
          <w:bCs/>
          <w:sz w:val="24"/>
          <w:szCs w:val="24"/>
        </w:rPr>
        <w:t>Tugas dan Model Bahasa untuk Teks Klinis</w:t>
      </w:r>
      <w:bookmarkEnd w:id="9005"/>
    </w:p>
    <w:p w14:paraId="2244A854">
      <w:pPr>
        <w:jc w:val="both"/>
      </w:pPr>
      <w:r>
        <w:rPr>
          <w:rFonts w:ascii="Times New Roman" w:hAnsi="Times New Roman" w:eastAsia="Times New Roman" w:cs="Times New Roman"/>
          <w:sz w:val="24"/>
          <w:szCs w:val="24"/>
        </w:rPr>
        <w:t>Pemrosesan bahasa alami (</w:t>
      </w:r>
      <w:r>
        <w:rPr>
          <w:rFonts w:ascii="Times New Roman" w:hAnsi="Times New Roman" w:eastAsia="Times New Roman" w:cs="Times New Roman"/>
          <w:i/>
          <w:iCs/>
          <w:sz w:val="24"/>
          <w:szCs w:val="24"/>
        </w:rPr>
        <w:t>natural language processing</w:t>
      </w:r>
      <w:r>
        <w:rPr>
          <w:rFonts w:ascii="Times New Roman" w:hAnsi="Times New Roman" w:eastAsia="Times New Roman" w:cs="Times New Roman"/>
          <w:sz w:val="24"/>
          <w:szCs w:val="24"/>
        </w:rPr>
        <w:t>, NLP) klinis bertujuan mengekstraksi informasi medis yang relevan dari teks klinis tidak terstruktur (Olex &amp; McInnes, 2021, hlm. 1). Luo dkk. (2024) mensurvei penerapan model bahasa pralatih (</w:t>
      </w:r>
      <w:r>
        <w:rPr>
          <w:rFonts w:ascii="Times New Roman" w:hAnsi="Times New Roman" w:eastAsia="Times New Roman" w:cs="Times New Roman"/>
          <w:i/>
          <w:iCs/>
          <w:sz w:val="24"/>
          <w:szCs w:val="24"/>
        </w:rPr>
        <w:t>pre-trained language model</w:t>
      </w:r>
      <w:r>
        <w:rPr>
          <w:rFonts w:ascii="Times New Roman" w:hAnsi="Times New Roman" w:eastAsia="Times New Roman" w:cs="Times New Roman"/>
          <w:sz w:val="24"/>
          <w:szCs w:val="24"/>
        </w:rPr>
        <w:t>, PLM) seperti BERT, BioBERT, dan ChatGPT pada tugas NLP medis, antara lain peringkasan teks, tanya jawab, pengenalan entitas bernama (</w:t>
      </w:r>
      <w:r>
        <w:rPr>
          <w:rFonts w:ascii="Times New Roman" w:hAnsi="Times New Roman" w:eastAsia="Times New Roman" w:cs="Times New Roman"/>
          <w:i/>
          <w:iCs/>
          <w:sz w:val="24"/>
          <w:szCs w:val="24"/>
        </w:rPr>
        <w:t>named entity recognition</w:t>
      </w:r>
      <w:r>
        <w:rPr>
          <w:rFonts w:ascii="Times New Roman" w:hAnsi="Times New Roman" w:eastAsia="Times New Roman" w:cs="Times New Roman"/>
          <w:sz w:val="24"/>
          <w:szCs w:val="24"/>
        </w:rPr>
        <w:t>, NER), dan ekstraksi informasi (hlm. 1). Elvas dkk. (2025) meninjau 31 studi tahun 2019–2024 yang berfokus pada NER dan melaporkan bahwa pendekatan berbasis BERT, jaringan saraf, serta CRF/LSTM mendominasi dengan F1 di atas 85% (hlm. 1). Kajian itu tidak menilai mutu studi secara formal dan sengaja mengecualikan model bahasa besar (</w:t>
      </w:r>
      <w:r>
        <w:rPr>
          <w:rFonts w:ascii="Times New Roman" w:hAnsi="Times New Roman" w:eastAsia="Times New Roman" w:cs="Times New Roman"/>
          <w:i/>
          <w:iCs/>
          <w:sz w:val="24"/>
          <w:szCs w:val="24"/>
        </w:rPr>
        <w:t>large language model</w:t>
      </w:r>
      <w:r>
        <w:rPr>
          <w:rFonts w:ascii="Times New Roman" w:hAnsi="Times New Roman" w:eastAsia="Times New Roman" w:cs="Times New Roman"/>
          <w:sz w:val="24"/>
          <w:szCs w:val="24"/>
        </w:rPr>
        <w:t>, LLM) (hlm. 2), sehingga tidak menggambarkan penggunaan model generatif.</w:t>
      </w:r>
    </w:p>
    <w:p w14:paraId="663F01EB">
      <w:pPr>
        <w:jc w:val="both"/>
      </w:pPr>
      <w:r>
        <w:rPr>
          <w:rFonts w:ascii="Times New Roman" w:hAnsi="Times New Roman" w:eastAsia="Times New Roman" w:cs="Times New Roman"/>
          <w:sz w:val="24"/>
          <w:szCs w:val="24"/>
        </w:rPr>
        <w:t xml:space="preserve">Bukti tersebut berasal terutama dari bahasa Inggris. Dari 31 studi dalam kajian Elvas dkk., 17 memakai teks berbahasa Inggris (hlm. 4). Kumar dkk. (2026), yang menelaah 153 studi secara sistematis (hlm. 3), menyatakan bahwa kemajuan NLP klinis terpusat pada bahasa Inggris dan bahasa bersumber daya tinggi lainnya, serta bahwa alih kode, transliterasi, dan ortografi tidak baku mempersulit tokenisasi dan </w:t>
      </w:r>
      <w:r>
        <w:rPr>
          <w:rFonts w:ascii="Times New Roman" w:hAnsi="Times New Roman" w:eastAsia="Times New Roman" w:cs="Times New Roman"/>
          <w:i/>
          <w:iCs/>
          <w:sz w:val="24"/>
          <w:szCs w:val="24"/>
        </w:rPr>
        <w:t>parsing</w:t>
      </w:r>
      <w:r>
        <w:rPr>
          <w:rFonts w:ascii="Times New Roman" w:hAnsi="Times New Roman" w:eastAsia="Times New Roman" w:cs="Times New Roman"/>
          <w:sz w:val="24"/>
          <w:szCs w:val="24"/>
        </w:rPr>
        <w:t xml:space="preserve"> (hlm. 21).</w:t>
      </w:r>
    </w:p>
    <w:p w14:paraId="5E407CC1">
      <w:pPr>
        <w:pStyle w:val="Heading3"/>
        <w:ind w:left="720" w:hanging="720"/>
        <w:jc w:val="both"/>
      </w:pPr>
      <w:bookmarkStart w:id="9006" w:name="_Toc9009006"/>
      <w:r>
        <w:rPr>
          <w:rFonts w:ascii="Times New Roman" w:hAnsi="Times New Roman" w:eastAsia="Times New Roman" w:cs="Times New Roman"/>
          <w:b/>
          <w:bCs/>
          <w:sz w:val="24"/>
          <w:szCs w:val="24"/>
        </w:rPr>
        <w:t>LLM untuk Dokumentasi Klinis dan Ringkasan Pulang</w:t>
      </w:r>
      <w:bookmarkEnd w:id="9006"/>
    </w:p>
    <w:p w14:paraId="0E14A523">
      <w:pPr>
        <w:jc w:val="both"/>
      </w:pPr>
      <w:r>
        <w:rPr>
          <w:rFonts w:ascii="Times New Roman" w:hAnsi="Times New Roman" w:eastAsia="Times New Roman" w:cs="Times New Roman"/>
          <w:sz w:val="24"/>
          <w:szCs w:val="24"/>
        </w:rPr>
        <w:t>Woo dkk. (2026) menelaah 41 studi penggunaan LLM untuk dokumentasi klinis, terutama pembuatan catatan klinis, ringkasan pulang, dan dokumentasi pertemuan tenaga kesehatan dan pasien (hlm. 1). Sebagian studi melaporkan penghematan waktu hingga 40%, tetapi ketidakakuratan faktual, halusinasi, dan penurunan kinerja pada kasus kompleks sering ditemukan (hlm. 1). Cakupan kajian ini terbatas: 17 dari 41 studi berasal dari Amerika Serikat (hlm. 4), studi nonbahasa Inggris dikecualikan, dan menurut penulisnya sebagian besar studi dilakukan pada lingkungan terkendali atau simulasi (hlm. 11).</w:t>
      </w:r>
    </w:p>
    <w:p w14:paraId="5275D70B">
      <w:pPr>
        <w:jc w:val="both"/>
      </w:pPr>
      <w:r>
        <w:rPr>
          <w:rFonts w:ascii="Times New Roman" w:hAnsi="Times New Roman" w:eastAsia="Times New Roman" w:cs="Times New Roman"/>
          <w:sz w:val="24"/>
          <w:szCs w:val="24"/>
        </w:rPr>
        <w:t>Dua studi primer membandingkan ringkasan pulang buatan LLM dengan tulisan dokter, dan hasilnya berbeda. Schwieger dkk. (2024) membandingkan 20 ringkasan pulang rawat inap psikiatri tulisan dokter residen dengan ringkasan buatan ChatGPT-4 dari catatan residen yang telah dipseudonimkan (hlm. 1). Delapan spesialis psikiatri yang tidak mengetahui sumbernya memberi skor rata-rata 3,78 untuk tulisan residen dan 3,12 untuk ChatGPT-4, dan halusinasi ditemukan pada 40% ringkasan ChatGPT-4 (hlm. 1). Mehri dkk. (2026) menilai 292 pasang ringkasan pulang dari 16 departemen di satu rumah sakit akademik Belanda, dengan versi LLM dibuat otomatis oleh sistem yang terintegrasi dengan rekam medis elektronik (hlm. 1, 5). Kelengkapan versi LLM lebih rendah (median 4,5 terhadap 5,0), ketepatannya serupa, dan skor total tidak berbeda; kedua penilai mempercayai 249 ringkasan LLM (85,3%), dibandingkan 279 ringkasan dokter (95,5%) (hlm. 6). Penilai menyatakan tidak menemukan halusinasi atau informasi yang tidak masuk akal secara klinis, tetapi halusinasi tidak dinilai sebagai domain tersendiri (hlm. 9).</w:t>
      </w:r>
    </w:p>
    <w:p w14:paraId="5676B721">
      <w:pPr>
        <w:jc w:val="both"/>
      </w:pPr>
      <w:r>
        <w:rPr>
          <w:rFonts w:ascii="Times New Roman" w:hAnsi="Times New Roman" w:eastAsia="Times New Roman" w:cs="Times New Roman"/>
          <w:sz w:val="24"/>
          <w:szCs w:val="24"/>
        </w:rPr>
        <w:t>Schwieger dkk. menyebut sampel kecil dan kesepakatan antarpenilai yang rendah sampai sedang sebagai batasan (hlm. 8). Mehri dkk. membatasi diri pada satu rumah sakit dan ringkasan berbahasa Belanda (hlm. 9); dari 292 pasang, 12 berasal dari kebidanan dan kandungan serta 29 dari pediatri (hlm. 6). Penilaian pada kedua studi dilakukan oleh manusia dengan tulisan dokter sebagai pembanding, bukan melalui pemeriksaan otomatis kesesuaian ringkasan dengan catatan sumbernya, dan keduanya tidak memakai data berbahasa Indonesia.</w:t>
      </w:r>
    </w:p>
    <w:p w14:paraId="0A01D2ED">
      <w:pPr>
        <w:pStyle w:val="Heading3"/>
        <w:ind w:left="720" w:hanging="720"/>
        <w:jc w:val="both"/>
      </w:pPr>
      <w:bookmarkStart w:id="9007" w:name="_Toc9009007"/>
      <w:r>
        <w:rPr>
          <w:rFonts w:ascii="Times New Roman" w:hAnsi="Times New Roman" w:eastAsia="Times New Roman" w:cs="Times New Roman"/>
          <w:b/>
          <w:bCs/>
          <w:sz w:val="24"/>
          <w:szCs w:val="24"/>
        </w:rPr>
        <w:t>Singkatan, Normalisasi Istilah, dan Penalaran Temporal</w:t>
      </w:r>
      <w:bookmarkEnd w:id="9007"/>
    </w:p>
    <w:p w14:paraId="267BB8F1">
      <w:pPr>
        <w:jc w:val="both"/>
      </w:pPr>
      <w:r>
        <w:rPr>
          <w:rFonts w:ascii="Times New Roman" w:hAnsi="Times New Roman" w:eastAsia="Times New Roman" w:cs="Times New Roman"/>
          <w:sz w:val="24"/>
          <w:szCs w:val="24"/>
        </w:rPr>
        <w:t>Jafarpour dkk. (2025) menyebut kalimat tidak gramatikal, singkatan, akronim, karakter khusus yang bermakna, negasi, dan salah ketik sesekali sebagai ciri catatan rekam medis elektronik naratif (hlm. 1). Ambiguitas singkatan menjadi salah satu persoalan praktisnya. Wei dkk. (2026) mengubah disambiguasi singkatan klinis dari pembangkitan terbuka menjadi pemilihan terbatas dari sejumlah kandidat ekspansi (hlm. 1). Pada dataset CASI berbahasa Inggris versi bersih buatan Adams, Gemma-2-9B-IT mencapai akurasi 0,9228 dan macro-F1 0,9279, sedangkan pada versi asli yang memuat lebih banyak derau (</w:t>
      </w:r>
      <w:r>
        <w:rPr>
          <w:rFonts w:ascii="Times New Roman" w:hAnsi="Times New Roman" w:eastAsia="Times New Roman" w:cs="Times New Roman"/>
          <w:i/>
          <w:iCs/>
          <w:sz w:val="24"/>
          <w:szCs w:val="24"/>
        </w:rPr>
        <w:t>noise</w:t>
      </w:r>
      <w:r>
        <w:rPr>
          <w:rFonts w:ascii="Times New Roman" w:hAnsi="Times New Roman" w:eastAsia="Times New Roman" w:cs="Times New Roman"/>
          <w:sz w:val="24"/>
          <w:szCs w:val="24"/>
        </w:rPr>
        <w:t>) akurasinya 0,7585 (hlm. 1, 5). Penulisnya menyatakan tiga keterbatasan: akurasi bergantung pada inventori makna sehingga istilah di luar inventori dan istilah baru sulit ditangani, seleksi peka terhadap mutu konteks, dan evaluasi hanya memakai satu tolok ukur sehingga korpus klinis nonbahasa Inggris belum diuji (hlm. 9).</w:t>
      </w:r>
    </w:p>
    <w:p w14:paraId="25C41879">
      <w:pPr>
        <w:jc w:val="both"/>
      </w:pPr>
      <w:r>
        <w:rPr>
          <w:rFonts w:ascii="Times New Roman" w:hAnsi="Times New Roman" w:eastAsia="Times New Roman" w:cs="Times New Roman"/>
          <w:sz w:val="24"/>
          <w:szCs w:val="24"/>
        </w:rPr>
        <w:t xml:space="preserve">Normalisasi istilah ke konsep baku berkaitan erat dengan persoalan itu. Chen dkk. (2026) mensurvei </w:t>
      </w:r>
      <w:r>
        <w:rPr>
          <w:rFonts w:ascii="Times New Roman" w:hAnsi="Times New Roman" w:eastAsia="Times New Roman" w:cs="Times New Roman"/>
          <w:i/>
          <w:iCs/>
          <w:sz w:val="24"/>
          <w:szCs w:val="24"/>
        </w:rPr>
        <w:t>medical concept normalization</w:t>
      </w:r>
      <w:r>
        <w:rPr>
          <w:rFonts w:ascii="Times New Roman" w:hAnsi="Times New Roman" w:eastAsia="Times New Roman" w:cs="Times New Roman"/>
          <w:sz w:val="24"/>
          <w:szCs w:val="24"/>
        </w:rPr>
        <w:t xml:space="preserve"> (MCN), yaitu pemetaan frasa medis informal ke konsep baku dalam basis terstandar seperti UMLS, SNOMED CT, atau MeSH (hlm. 1, 4); UMLS memuat ICD (hlm. 6). Survei itu menilai korpus berbahasa Inggris mendominasi penelitian MCN, sedangkan penggabungan sumber multibahasa terhambat oleh pedoman anotasi yang berbeda antarbahasa, granularitas ontologi yang berbeda, dan terjemahan harfiah yang menghilangkan nuansa (hlm. 8).</w:t>
      </w:r>
    </w:p>
    <w:p w14:paraId="0C2935D9">
      <w:pPr>
        <w:jc w:val="both"/>
      </w:pPr>
      <w:r>
        <w:rPr>
          <w:rFonts w:ascii="Times New Roman" w:hAnsi="Times New Roman" w:eastAsia="Times New Roman" w:cs="Times New Roman"/>
          <w:sz w:val="24"/>
          <w:szCs w:val="24"/>
        </w:rPr>
        <w:t xml:space="preserve">Penalaran temporal merupakan komponen kunci NLP klinis karena pemahaman riwayat pasien sangat bergantung pada kemampuan mengidentifikasi dan menalar informasi temporal (Olex &amp; McInnes, 2021, hlm. 1). Olex dan McInnes mencontohkan bahwa ungkapan “3 hari lalu” bergantung pada waktu pembuatan dokumen, sedangkan “2 jam setelah minum obat” bergantung pada kejadian lain (hlm. 2). Mereka menyimpulkan bahwa sistem ekstraksi lini masa belum cukup baik untuk praktik klinis; penanganan ungkapan temporal relatif dan implisit termasuk bidang yang memerlukan solusi baru (hlm. 1). Pada tugas bersama (</w:t>
      </w:r>
      <w:r>
        <w:rPr>
          <w:rFonts w:ascii="Times New Roman" w:hAnsi="Times New Roman" w:eastAsia="Times New Roman" w:cs="Times New Roman"/>
          <w:i/>
          <w:iCs/>
          <w:sz w:val="24"/>
          <w:szCs w:val="24"/>
        </w:rPr>
        <w:t>shared task</w:t>
      </w:r>
      <w:r>
        <w:rPr>
          <w:rFonts w:ascii="Times New Roman" w:hAnsi="Times New Roman" w:eastAsia="Times New Roman" w:cs="Times New Roman"/>
          <w:sz w:val="24"/>
          <w:szCs w:val="24"/>
        </w:rPr>
        <w:t>) yang mereka tinjau, sistem berbasis aturan terbaik untuk mengenali dan menormalkan ekspresi temporal, sedangkan metode pembelajaran mesin statistik unggul untuk mengenali kejadian dan mengklasifikasi relasi temporal (hlm. 2). Tinjauan itu terbit tahun 2021 dan tidak menyebut LLM. Untuk LLM, Woo dkk. (2026) melaporkan bahwa GPT-4o dalam salah satu studi yang mereka rangkum andal pada konsultasi neurovaskular tetapi kesulitan pada lintasan pasien yang kompleks secara temporal (hlm. 9). Menurut Jafarpour dkk. (2025), yang menelaah deteksi kejadian tidak diharapkan di rumah sakit dengan teks berbahasa Inggris (hlm. 1, 4), ketiadaan informasi temporal dapat membuat model keliru membedakan kejadian sebelum dan selama rawat inap (hlm. 9).</w:t>
      </w:r>
    </w:p>
    <w:p w14:paraId="2A2B7446">
      <w:pPr>
        <w:pStyle w:val="Heading3"/>
        <w:ind w:left="720" w:hanging="720"/>
        <w:jc w:val="both"/>
      </w:pPr>
      <w:bookmarkStart w:id="9008" w:name="_Toc9009008"/>
      <w:r>
        <w:rPr>
          <w:rFonts w:ascii="Times New Roman" w:hAnsi="Times New Roman" w:eastAsia="Times New Roman" w:cs="Times New Roman"/>
          <w:b/>
          <w:bCs/>
          <w:sz w:val="24"/>
          <w:szCs w:val="24"/>
        </w:rPr>
        <w:t>Sintesis dan Celah</w:t>
      </w:r>
      <w:bookmarkEnd w:id="9008"/>
    </w:p>
    <w:p w14:paraId="6CE2E899">
      <w:pPr>
        <w:jc w:val="both"/>
      </w:pPr>
      <w:r>
        <w:rPr>
          <w:rFonts w:ascii="Times New Roman" w:hAnsi="Times New Roman" w:eastAsia="Times New Roman" w:cs="Times New Roman"/>
          <w:sz w:val="24"/>
          <w:szCs w:val="24"/>
        </w:rPr>
        <w:t>Kesepuluh sumber menunjukkan bahwa PLM dan LLM telah luas dipakai pada teks klinis, tetapi bukti yang tersedia memiliki tiga keterbatasan bagi penelitian ini. Pertama, tidak ada sumber yang mengevaluasi teks klinis berbahasa Indonesia, dan sebagian menyebut dominasi bahasa Inggris pada penelitian di bidangnya (Chen dkk., 2026, hlm. 8; Kumar dkk., 2026, hlm. 21). Kedua, bukti tentang LLM pada dokumentasi klinis berpusat pada pembuatan dokumen, bukan pemeriksaan kesesuaian antardokumen (Woo dkk., 2026, hlm. 1), dan hasilnya tidak seragam: halusinasi ditemukan pada 40% ringkasan pulang dalam satu studi (Schwieger dkk., 2024, hlm. 1), sedangkan penilai pada studi lain tidak menemukannya (Mehri dkk., 2026, hlm. 9). Ketiga, hasil disambiguasi singkatan yang dikaji di sini berasal dari satu dataset berbahasa Inggris dan turun dari akurasi 0,9228 menjadi 0,7585 pada versi yang memuat lebih banyak derau (Wei dkk., 2026, hlm. 1, 5, 9). Karena itu, kinerja teknik-teknik ini pada rekam medis rawat inap kebidanan dan anak berbahasa Indonesia tidak dapat diasumsikan dan harus diukur langsung pada data tersebut.</w:t>
      </w:r>
    </w:p>
    <w:p w14:paraId="26FD627E">
      <w:pPr>
        <w:pStyle w:val="Heading2"/>
        <w:ind w:left="576" w:hanging="576"/>
        <w:jc w:val="both"/>
      </w:pPr>
      <w:bookmarkStart w:id="9009" w:name="_Toc9009009"/>
      <w:r>
        <w:rPr>
          <w:rFonts w:ascii="Times New Roman" w:hAnsi="Times New Roman" w:eastAsia="Times New Roman" w:cs="Times New Roman"/>
          <w:b/>
          <w:bCs/>
          <w:sz w:val="24"/>
          <w:szCs w:val="24"/>
        </w:rPr>
        <w:t>Audit Otomatis Dokumentasi Klinis dan Kode Diagnosis</w:t>
      </w:r>
      <w:bookmarkEnd w:id="9009"/>
    </w:p>
    <w:p w14:paraId="7F0FCCB2">
      <w:pPr>
        <w:jc w:val="both"/>
      </w:pPr>
      <w:r>
        <w:rPr>
          <w:rFonts w:ascii="Times New Roman" w:hAnsi="Times New Roman" w:eastAsia="Times New Roman" w:cs="Times New Roman"/>
          <w:sz w:val="24"/>
          <w:szCs w:val="24"/>
        </w:rPr>
        <w:t>Subbab ini menelaah enam studi yang memeriksa dokumentasi klinis atau kode diagnosis secara otomatis.</w:t>
      </w:r>
    </w:p>
    <w:p w14:paraId="16AE5BB6">
      <w:pPr>
        <w:pStyle w:val="Heading3"/>
        <w:ind w:left="720" w:hanging="720"/>
        <w:jc w:val="both"/>
      </w:pPr>
      <w:bookmarkStart w:id="9010" w:name="_Toc9009010"/>
      <w:r>
        <w:rPr>
          <w:rFonts w:ascii="Times New Roman" w:hAnsi="Times New Roman" w:eastAsia="Times New Roman" w:cs="Times New Roman"/>
          <w:b/>
          <w:bCs/>
          <w:sz w:val="24"/>
          <w:szCs w:val="24"/>
        </w:rPr>
        <w:t>Model Bahasa Besar sebagai Pemeriksa Dokumentasi</w:t>
      </w:r>
      <w:bookmarkEnd w:id="9010"/>
    </w:p>
    <w:p w14:paraId="3A8FEA9C">
      <w:pPr>
        <w:jc w:val="both"/>
      </w:pPr>
      <w:r>
        <w:rPr>
          <w:rFonts w:ascii="Times New Roman" w:hAnsi="Times New Roman" w:eastAsia="Times New Roman" w:cs="Times New Roman"/>
          <w:sz w:val="24"/>
          <w:szCs w:val="24"/>
        </w:rPr>
        <w:t xml:space="preserve">Dietrich dan Stubbert (2026) mengevaluasi empat LLM sebagai pemeriksa catatan pemulangan instalasi gawat darurat (IGD). Data berasal dari 600 kunjungan pada basis data MIMIC-IV-ED. Sebanyak 500 catatan masing-masing disisipi satu kesalahan dari lima kategori, dan 100 catatan lain tidak memuat kesalahan (hlm. 95–96). Akurasi deteksi kesalahan apa pun berkisar 93,2–94,2%, presisi 98,3–99,1%, dan spesifisitas 92,0–96,0% (hlm. 98). Kinerja berbeda menurut kategori. Ketidaksesuaian identitas atau waktu kunjungan serta kesalahan obat dan alergi terdeteksi dengan F1 ≥0,96, sedangkan ketidaksesuaian antara tanda vital atau pemeriksaan fisik dan interpretasi naratif paling sulit, dengan F1 0,75–0,84 yang terutama disebabkan oleh rendahnya </w:t>
      </w:r>
      <w:r>
        <w:rPr>
          <w:rFonts w:ascii="Times New Roman" w:hAnsi="Times New Roman" w:eastAsia="Times New Roman" w:cs="Times New Roman"/>
          <w:i/>
          <w:iCs/>
          <w:sz w:val="24"/>
          <w:szCs w:val="24"/>
        </w:rPr>
        <w:t>recall</w:t>
      </w:r>
      <w:r>
        <w:rPr>
          <w:rFonts w:ascii="Times New Roman" w:hAnsi="Times New Roman" w:eastAsia="Times New Roman" w:cs="Times New Roman"/>
          <w:sz w:val="24"/>
          <w:szCs w:val="24"/>
        </w:rPr>
        <w:t xml:space="preserve"> (hlm. 98).</w:t>
      </w:r>
    </w:p>
    <w:p w14:paraId="7F7D0836">
      <w:pPr>
        <w:jc w:val="both"/>
      </w:pPr>
      <w:r>
        <w:rPr>
          <w:rFonts w:ascii="Times New Roman" w:hAnsi="Times New Roman" w:eastAsia="Times New Roman" w:cs="Times New Roman"/>
          <w:sz w:val="24"/>
          <w:szCs w:val="24"/>
        </w:rPr>
        <w:t>Rancangan itu membatasi cakupan kesimpulannya. Kesalahan disisipkan oleh peneliti, bukan muncul secara alami, dan seluruh data berasal dari satu institusi (hlm. 100). Setiap catatan hanya memuat satu kesalahan, dan catatan yang dinilai adalah satu dokumen yang disusun dari elemen data terstruktur kunjungan (hlm. 96). Karena 500 dari 600 catatan memuat kesalahan (hlm. 95), presisi yang tinggi itu tidak dapat langsung dipindahkan ke populasi dengan proporsi ketidaksesuaian yang lebih rendah. Penulis sendiri menyebut kerangka audit berbasis agen yang mengambil pedoman dan memeriksa konsistensi lintas dokumen sebagai arah penelitian lanjutan (hlm. 100).</w:t>
      </w:r>
    </w:p>
    <w:p w14:paraId="7862B601">
      <w:pPr>
        <w:jc w:val="both"/>
      </w:pPr>
      <w:r>
        <w:rPr>
          <w:rFonts w:ascii="Times New Roman" w:hAnsi="Times New Roman" w:eastAsia="Times New Roman" w:cs="Times New Roman"/>
          <w:sz w:val="24"/>
          <w:szCs w:val="24"/>
        </w:rPr>
        <w:t>Skrabic dkk. (2026) menguji tiga model penalaran sebagai pemeriksa kedua (</w:t>
      </w:r>
      <w:r>
        <w:rPr>
          <w:rFonts w:ascii="Times New Roman" w:hAnsi="Times New Roman" w:eastAsia="Times New Roman" w:cs="Times New Roman"/>
          <w:i/>
          <w:iCs/>
          <w:sz w:val="24"/>
          <w:szCs w:val="24"/>
        </w:rPr>
        <w:t>second reviewer</w:t>
      </w:r>
      <w:r>
        <w:rPr>
          <w:rFonts w:ascii="Times New Roman" w:hAnsi="Times New Roman" w:eastAsia="Times New Roman" w:cs="Times New Roman"/>
          <w:sz w:val="24"/>
          <w:szCs w:val="24"/>
        </w:rPr>
        <w:t>) pada 102 laporan unit gawat darurat penyakit dalam yang identitasnya telah dihapus (hlm. 1–2). Dua dokter spesialis menyisipkan 99 kesalahan yang realistis dan menandai tiga kesalahan yang sudah ada dalam laporan asli (hlm. 2). Model menerima satu perintah seragam tanpa pengambilan referensi atau pemanggilan fungsi (hlm. 3). Model menemukan lokasi kesalahan dengan benar pada 65,7–79,2% laporan, sedangkan tiga dokter pembanding, yang masing-masing meninjau sepertiga kasus, menemukan 48,0% (hlm. 4). Studi ini tidak menyertakan catatan tanpa kesalahan sehingga perilaku positif palsu belum dapat dipastikan, dan datanya berasal dari satu pusat layanan (hlm. 6).</w:t>
      </w:r>
    </w:p>
    <w:p w14:paraId="5D957232">
      <w:pPr>
        <w:pStyle w:val="Heading3"/>
        <w:ind w:left="720" w:hanging="720"/>
        <w:jc w:val="both"/>
      </w:pPr>
      <w:bookmarkStart w:id="9011" w:name="_Toc9009011"/>
      <w:r>
        <w:rPr>
          <w:rFonts w:ascii="Times New Roman" w:hAnsi="Times New Roman" w:eastAsia="Times New Roman" w:cs="Times New Roman"/>
          <w:b/>
          <w:bCs/>
          <w:sz w:val="24"/>
          <w:szCs w:val="24"/>
        </w:rPr>
        <w:t>Audit Label Diagnosis dan Kesesuaian Kode dengan Catatan Klinis</w:t>
      </w:r>
      <w:bookmarkEnd w:id="9011"/>
    </w:p>
    <w:p w14:paraId="4B0F1B2D">
      <w:pPr>
        <w:jc w:val="both"/>
      </w:pPr>
      <w:r>
        <w:rPr>
          <w:rFonts w:ascii="Times New Roman" w:hAnsi="Times New Roman" w:eastAsia="Times New Roman" w:cs="Times New Roman"/>
          <w:sz w:val="24"/>
          <w:szCs w:val="24"/>
        </w:rPr>
        <w:t>Du dkk. (2026) memeriksa label diagnosis, bukan kesalahan yang disisipkan. Penelitian itu mengubah klasifikasi multilabel kode diagnosis psikiatri menjadi tugas tanya jawab dengan deskripsi dan penjelasan kode pada masukan (hlm. 1, 4), memakai 48.492 rekam dari 7.000 pasien di satu klinik psikiatri (hlm. 3, 12). Model terbaik memperoleh sum-F1 0,7417 (ukuran F1 berbasis ROUGE rancangan penulis, hlm. 6), hanya 0,013 di atas BERT dengan penjelasan kode (hlm. 8), dan selisih antara kode klinisi dan keluaran model dikelompokkan menjadi tiga tingkat risiko untuk menentukan kasus yang perlu ditinjau manusia (hlm. 7).</w:t>
      </w:r>
    </w:p>
    <w:p w14:paraId="101A8C87">
      <w:pPr>
        <w:jc w:val="both"/>
      </w:pPr>
      <w:r>
        <w:rPr>
          <w:rFonts w:ascii="Times New Roman" w:hAnsi="Times New Roman" w:eastAsia="Times New Roman" w:cs="Times New Roman"/>
          <w:sz w:val="24"/>
          <w:szCs w:val="24"/>
        </w:rPr>
        <w:t>Acuan penilaiannya adalah diagnosis yang dicatat klinisi, yang menurut penulis dapat mengandung derau (</w:t>
      </w:r>
      <w:r>
        <w:rPr>
          <w:rFonts w:ascii="Times New Roman" w:hAnsi="Times New Roman" w:eastAsia="Times New Roman" w:cs="Times New Roman"/>
          <w:i/>
          <w:iCs/>
          <w:sz w:val="24"/>
          <w:szCs w:val="24"/>
        </w:rPr>
        <w:t>label noise</w:t>
      </w:r>
      <w:r>
        <w:rPr>
          <w:rFonts w:ascii="Times New Roman" w:hAnsi="Times New Roman" w:eastAsia="Times New Roman" w:cs="Times New Roman"/>
          <w:sz w:val="24"/>
          <w:szCs w:val="24"/>
        </w:rPr>
        <w:t>), tidak stabil dari waktu ke waktu, dan dipengaruhi tuntutan penagihan serta dokumentasi, tanpa pemodelan derau itu (hlm. 12). Mutu penjelasan model tidak dinilai klinisi (hlm. 13), dan pengetahuan acuan yang dimasukkan bersifat statis, yaitu deskripsi sepuluh kelompok kode dalam urutan tetap (hlm. 5), bukan referensi yang diambil sesuai kasus.</w:t>
      </w:r>
    </w:p>
    <w:p w14:paraId="4E15BA65">
      <w:pPr>
        <w:jc w:val="both"/>
      </w:pPr>
      <w:r>
        <w:rPr>
          <w:rFonts w:ascii="Times New Roman" w:hAnsi="Times New Roman" w:eastAsia="Times New Roman" w:cs="Times New Roman"/>
          <w:sz w:val="24"/>
          <w:szCs w:val="24"/>
        </w:rPr>
        <w:t>Mwogosi dan Mambile (2026) menelaah dari sisi lain, yaitu kesesuaian kode ICD dalam rekam medis elektronik dengan acuan klinis. Tinjauan sistematis dan metaanalisis ini merangkum 17 studi validasi (hlm. 1). Spesifisitas dan nilai prediktif positif kode konsisten tinggi, sering melebihi 90%, tetapi sensitivitas rata-rata hanya 64,5%, dengan catatan sebagian estimasi memakai prevalensi pengodean sebagai proksi sensitivitas (hlm. 1). Penulis menyimpulkan bahwa pendekatan hibrida yang menggabungkan kode, data klinis, dan narasi diperlukan (hlm. 1), tetapi acuan validasinya, yaitu penelusuran rekam medis, juga dapat bias akibat penyalinan teks dan terbawanya diagnosis usang (hlm. 11). Seluruh studi yang ditinjau berasal dari negara berpenghasilan tinggi (hlm. 4–5).</w:t>
      </w:r>
    </w:p>
    <w:p w14:paraId="7A33C160">
      <w:pPr>
        <w:pStyle w:val="Heading3"/>
        <w:ind w:left="720" w:hanging="720"/>
        <w:jc w:val="both"/>
      </w:pPr>
      <w:bookmarkStart w:id="9012" w:name="_Toc9009012"/>
      <w:r>
        <w:rPr>
          <w:rFonts w:ascii="Times New Roman" w:hAnsi="Times New Roman" w:eastAsia="Times New Roman" w:cs="Times New Roman"/>
          <w:b/>
          <w:bCs/>
          <w:sz w:val="24"/>
          <w:szCs w:val="24"/>
        </w:rPr>
        <w:t>Pengodean ICD Otomatis dan Ketahanannya terhadap Variasi Teks</w:t>
      </w:r>
      <w:bookmarkEnd w:id="9012"/>
    </w:p>
    <w:p w14:paraId="7D157382">
      <w:pPr>
        <w:jc w:val="both"/>
      </w:pPr>
      <w:r>
        <w:rPr>
          <w:rFonts w:ascii="Times New Roman" w:hAnsi="Times New Roman" w:eastAsia="Times New Roman" w:cs="Times New Roman"/>
          <w:sz w:val="24"/>
          <w:szCs w:val="24"/>
        </w:rPr>
        <w:t>Hou dkk. (2024) menyatakan bahwa pengodean otomatis umumnya diperlakukan sebagai klasifikasi teks multilabel, yaitu menetapkan kode ICD pada dokumen klinis (hlm. 1). Mereka memakai Clinical-Longformer untuk dokumen panjang dan mekanisme perhatian per label agar prediksi dapat diinterpretasi (hlm. 1–2). Pada 50 kode ICD-9 teratas di MIMIC-III, model memperoleh macro-F1 0,688 dan micro-F1 0,727 (hlm. 2). Mereka menilai pendekatan berbasis aturan kurang fleksibel dan sulit diperluas karena aturan dapat saling bertentangan seiring bertambahnya kode (hlm. 2).</w:t>
      </w:r>
    </w:p>
    <w:p w14:paraId="540A4EE6">
      <w:pPr>
        <w:jc w:val="both"/>
      </w:pPr>
      <w:r>
        <w:rPr>
          <w:rFonts w:ascii="Times New Roman" w:hAnsi="Times New Roman" w:eastAsia="Times New Roman" w:cs="Times New Roman"/>
          <w:sz w:val="24"/>
          <w:szCs w:val="24"/>
        </w:rPr>
        <w:t>Jaganathan dkk. (2025) menguji ketahanan model pengode ICD, yaitu PLM-ICD, dengan pengujian metamorfik (</w:t>
      </w:r>
      <w:r>
        <w:rPr>
          <w:rFonts w:ascii="Times New Roman" w:hAnsi="Times New Roman" w:eastAsia="Times New Roman" w:cs="Times New Roman"/>
          <w:i/>
          <w:iCs/>
          <w:sz w:val="24"/>
          <w:szCs w:val="24"/>
        </w:rPr>
        <w:t>metamorphic testing</w:t>
      </w:r>
      <w:r>
        <w:rPr>
          <w:rFonts w:ascii="Times New Roman" w:hAnsi="Times New Roman" w:eastAsia="Times New Roman" w:cs="Times New Roman"/>
          <w:sz w:val="24"/>
          <w:szCs w:val="24"/>
        </w:rPr>
        <w:t>). Catatan diubah secara sederhana, lalu daftar kode keluarannya dibandingkan dengan keluaran catatan asli. Pada 3.372 catatan uji MIMIC-III, penggantian akronim, penghapusan kata, dan salah ketik menyebabkan perbedaan pada lima kode teratas di 70–81% catatan (hlm. 4); penggantian dua puluh akronim yang paling sering muncul mencapai 80,7% (hlm. 5). Kriteria kegagalannya ketat, yaitu setiap perbedaan pada himpunan lima kode teratas (hlm. 4), sehingga angka itu menunjukkan ketidakstabilan keluaran, bukan persentase kode yang salah. Hanya satu aplikasi yang dapat diuji (hlm. 3).</w:t>
      </w:r>
    </w:p>
    <w:p w14:paraId="154A2F0B">
      <w:pPr>
        <w:pStyle w:val="Heading3"/>
        <w:ind w:left="720" w:hanging="720"/>
        <w:jc w:val="both"/>
      </w:pPr>
      <w:bookmarkStart w:id="9013" w:name="_Toc9009013"/>
      <w:r>
        <w:rPr>
          <w:rFonts w:ascii="Times New Roman" w:hAnsi="Times New Roman" w:eastAsia="Times New Roman" w:cs="Times New Roman"/>
          <w:b/>
          <w:bCs/>
          <w:sz w:val="24"/>
          <w:szCs w:val="24"/>
        </w:rPr>
        <w:t>Sintesis dan Posisi Penelitian</w:t>
      </w:r>
      <w:bookmarkEnd w:id="9013"/>
    </w:p>
    <w:p w14:paraId="33C8F903">
      <w:pPr>
        <w:jc w:val="both"/>
      </w:pPr>
      <w:r>
        <w:rPr>
          <w:rFonts w:ascii="Times New Roman" w:hAnsi="Times New Roman" w:eastAsia="Times New Roman" w:cs="Times New Roman"/>
          <w:sz w:val="24"/>
          <w:szCs w:val="24"/>
        </w:rPr>
        <w:t xml:space="preserve">Dua studi yang membedakan kategori kesalahan menunjukkan pola yang sama: pemeriksaan otomatis lebih baik pada kesalahan eksplisit dalam satu dokumen daripada pada kesalahan yang menuntut penilaian klinis. Pada Dietrich dan Stubbert (2026, hlm. 98), ketidaksesuaian temuan klinis memiliki </w:t>
      </w:r>
      <w:r>
        <w:rPr>
          <w:rFonts w:ascii="Times New Roman" w:hAnsi="Times New Roman" w:eastAsia="Times New Roman" w:cs="Times New Roman"/>
          <w:i/>
          <w:iCs/>
          <w:sz w:val="24"/>
          <w:szCs w:val="24"/>
        </w:rPr>
        <w:t>recall</w:t>
      </w:r>
      <w:r>
        <w:rPr>
          <w:rFonts w:ascii="Times New Roman" w:hAnsi="Times New Roman" w:eastAsia="Times New Roman" w:cs="Times New Roman"/>
          <w:sz w:val="24"/>
          <w:szCs w:val="24"/>
        </w:rPr>
        <w:t xml:space="preserve"> terendah, dan pada Skrabic dkk. (2026, hlm. 4), kategori diagnostik dan pemeriksaan penunjang paling sulit.</w:t>
      </w:r>
    </w:p>
    <w:p w14:paraId="786E7907">
      <w:pPr>
        <w:jc w:val="both"/>
      </w:pPr>
      <w:r>
        <w:rPr>
          <w:rFonts w:ascii="Times New Roman" w:hAnsi="Times New Roman" w:eastAsia="Times New Roman" w:cs="Times New Roman"/>
          <w:sz w:val="24"/>
          <w:szCs w:val="24"/>
        </w:rPr>
        <w:t>Seluruh kategori yang diuji berada di dalam satu dokumen. Dietrich dan Stubbert (2026, hlm. 96–97) menguji lima kategori pada satu catatan pemulangan, antara lain ketidaksesuaian waktu kunjungan dan hasil pemeriksaan penunjang abnormal yang diabaikan atau dikontradiksi pada penilaian atau rencana. Ketidaksesuaian diagnosis atau kode diuji terhadap label klinisi (Du dkk., 2026) dan terhadap penelusuran rekam medis (Mwogosi &amp; Mambile, 2026), bukan antara dua dokumen klinis dalam satu episode rawat inap. Perbedaan diagnosis antara catatan perkembangan harian dan resume medis, ketidaksesuaian temporal antardokumen, serta hasil pemeriksaan yang tidak ditindaklanjuti pada dokumen lain termasuk jenis yang direncanakan ditangani komponen AI/NLP dalam penelitian ini. Jenis-jenis itu perlu didefinisikan dan dievaluasi terpisah, karena kinerja pada satu jenis tidak mewakili jenis lain.</w:t>
      </w:r>
    </w:p>
    <w:p w14:paraId="0F10C0C9">
      <w:pPr>
        <w:jc w:val="both"/>
      </w:pPr>
      <w:r>
        <w:rPr>
          <w:rFonts w:ascii="Times New Roman" w:hAnsi="Times New Roman" w:eastAsia="Times New Roman" w:cs="Times New Roman"/>
          <w:sz w:val="24"/>
          <w:szCs w:val="24"/>
        </w:rPr>
        <w:t>Bukti tentang positif palsu (</w:t>
      </w:r>
      <w:r>
        <w:rPr>
          <w:rFonts w:ascii="Times New Roman" w:hAnsi="Times New Roman" w:eastAsia="Times New Roman" w:cs="Times New Roman"/>
          <w:i/>
          <w:iCs/>
          <w:sz w:val="24"/>
          <w:szCs w:val="24"/>
        </w:rPr>
        <w:t>false positive</w:t>
      </w:r>
      <w:r>
        <w:rPr>
          <w:rFonts w:ascii="Times New Roman" w:hAnsi="Times New Roman" w:eastAsia="Times New Roman" w:cs="Times New Roman"/>
          <w:sz w:val="24"/>
          <w:szCs w:val="24"/>
        </w:rPr>
        <w:t>) belum seragam. Hanya Dietrich dan Stubbert (2026, hlm. 95) menyertakan catatan tanpa kesalahan, sebanyak 100 catatan. Skrabic dkk. (2026, hlm. 6) tidak menyertakannya, dan Du dkk. (2026, hlm. 7, 12) menilai selisih terhadap label klinisi yang sendiri dapat mengandung derau, sehingga angka presisi ketiga studi tidak sebanding. Ketidakstabilan satu model klasifikasi kode terhadap akronim dan salah ketik (Jaganathan dkk., 2025, hlm. 4–5) menunjukkan bahwa ketahanan terhadap variasi penulisan, termasuk singkatan lokal, perlu diuji secara khusus, meskipun hasilnya belum tentu berlaku bagi LLM.</w:t>
      </w:r>
    </w:p>
    <w:p w14:paraId="3260086B">
      <w:pPr>
        <w:jc w:val="both"/>
      </w:pPr>
      <w:r>
        <w:rPr>
          <w:rFonts w:ascii="Times New Roman" w:hAnsi="Times New Roman" w:eastAsia="Times New Roman" w:cs="Times New Roman"/>
          <w:sz w:val="24"/>
          <w:szCs w:val="24"/>
        </w:rPr>
        <w:t>Di antara keenam studi, tidak ada yang melaporkan data dari Indonesia, membandingkan catatan perkembangan harian dengan ringkasan akhir dalam satu episode rawat inap, atau mengambil pedoman sesuai kasus sebagai dasar temuan. Karena itu, angka kinerja yang dilaporkan tidak dapat dipindahkan begitu saja ke dokumentasi rawat inap kebidanan dan anak di Indonesia, dan kinerja harus diukur ulang dengan menyertakan dokumen tanpa ketidaksesuaian agar positif palsu dapat dihitung.</w:t>
      </w:r>
    </w:p>
    <w:p w14:paraId="162F091B">
      <w:pPr>
        <w:pStyle w:val="Heading2"/>
        <w:ind w:left="576" w:hanging="576"/>
        <w:jc w:val="both"/>
      </w:pPr>
      <w:bookmarkStart w:id="9014" w:name="_Toc9009014"/>
      <w:r>
        <w:rPr>
          <w:rFonts w:ascii="Times New Roman" w:hAnsi="Times New Roman" w:eastAsia="Times New Roman" w:cs="Times New Roman"/>
          <w:b/>
          <w:bCs/>
          <w:sz w:val="24"/>
          <w:szCs w:val="24"/>
        </w:rPr>
        <w:t>Pendekatan Hibrida Berbasis Aturan dan AI/NLP</w:t>
      </w:r>
      <w:bookmarkEnd w:id="9014"/>
    </w:p>
    <w:p w14:paraId="1A9B814D">
      <w:pPr>
        <w:pStyle w:val="Heading3"/>
        <w:ind w:left="720" w:hanging="720"/>
        <w:jc w:val="both"/>
      </w:pPr>
      <w:bookmarkStart w:id="9015" w:name="_Toc9009015"/>
      <w:r>
        <w:rPr>
          <w:rFonts w:ascii="Times New Roman" w:hAnsi="Times New Roman" w:eastAsia="Times New Roman" w:cs="Times New Roman"/>
          <w:b/>
          <w:bCs/>
          <w:sz w:val="24"/>
          <w:szCs w:val="24"/>
        </w:rPr>
        <w:t>Kekuatan dan Batas Sistem Berbasis Aturan</w:t>
      </w:r>
      <w:bookmarkEnd w:id="9015"/>
    </w:p>
    <w:p w14:paraId="72421A73">
      <w:pPr>
        <w:jc w:val="both"/>
      </w:pPr>
      <w:r>
        <w:rPr>
          <w:rFonts w:ascii="Times New Roman" w:hAnsi="Times New Roman" w:eastAsia="Times New Roman" w:cs="Times New Roman"/>
          <w:sz w:val="24"/>
          <w:szCs w:val="24"/>
        </w:rPr>
        <w:t>Kumar dkk. (2026) menilai sistem berbasis aturan (</w:t>
      </w:r>
      <w:r>
        <w:rPr>
          <w:rFonts w:ascii="Times New Roman" w:hAnsi="Times New Roman" w:eastAsia="Times New Roman" w:cs="Times New Roman"/>
          <w:i/>
          <w:iCs/>
          <w:sz w:val="24"/>
          <w:szCs w:val="24"/>
        </w:rPr>
        <w:t>rule-based</w:t>
      </w:r>
      <w:r>
        <w:rPr>
          <w:rFonts w:ascii="Times New Roman" w:hAnsi="Times New Roman" w:eastAsia="Times New Roman" w:cs="Times New Roman"/>
          <w:sz w:val="24"/>
          <w:szCs w:val="24"/>
        </w:rPr>
        <w:t>) dan hibrida layak dipakai di layanan kesehatan karena transparan dan dapat ditafsirkan (hlm. 12). Keunggulan utama sistem berbasis aturan ialah hasilnya dapat diprediksi dan mudah divalidasi, terutama pada kondisi klinis yang diatur regulasi (hlm. 12). Kelemahannya, menurut Kumar dkk., sistem itu tidak dapat diskalakan lintas institusi dan spesialisasi karena perbedaan bahasa klinis harus dipelihara secara manual, dan kinerjanya umumnya buruk pada dataset baru atau kebiasaan dokumentasi yang berubah (hlm. 12). Chen dkk. (2026) sejalan dengan itu: aturan dan leksikon eksplisit masih efektif untuk subtugas sempit seperti disambiguasi singkatan (hlm. 13).</w:t>
      </w:r>
    </w:p>
    <w:p w14:paraId="3D62906D">
      <w:pPr>
        <w:jc w:val="both"/>
      </w:pPr>
      <w:r>
        <w:rPr>
          <w:rFonts w:ascii="Times New Roman" w:hAnsi="Times New Roman" w:eastAsia="Times New Roman" w:cs="Times New Roman"/>
          <w:sz w:val="24"/>
          <w:szCs w:val="24"/>
        </w:rPr>
        <w:t>Domingues (2026) menunjukkan sisi keterlacakan sistem berbasis aturan lewat OnCATs, sistem pendukung keputusan klinis untuk kanker prostat yang mengubah 23 pedoman internasional menjadi 1.236 aturan dalam format JSON (hlm. 1, 2). Setiap rekomendasi disertai jejak pembenaran yang menyebut aturan dan sumber pedoman yang aktif (hlm. 2). Sistem itu diuji pada sepuluh laporan kasus terbitan, dan penulisnya menyebut pengujian itu sebagai uji kelayakan teknis, bukan validasi klinis (hlm. 3, 5). Penulis memperingatkan bahwa pembaruan basis pengetahuan secara manual berisiko tertinggal dari praktik klinis (hlm. 7). Meskipun judul artikelnya menyebut metode berbasis aturan dan AI, yang diuji hanya lapisan berbasis aturan; penulis sendiri menyebut sistemnya "</w:t>
      </w:r>
      <w:r>
        <w:rPr>
          <w:rFonts w:ascii="Times New Roman" w:hAnsi="Times New Roman" w:eastAsia="Times New Roman" w:cs="Times New Roman"/>
          <w:i/>
          <w:iCs/>
          <w:sz w:val="24"/>
          <w:szCs w:val="24"/>
        </w:rPr>
        <w:t>hybrid-ready</w:t>
      </w:r>
      <w:r>
        <w:rPr>
          <w:rFonts w:ascii="Times New Roman" w:hAnsi="Times New Roman" w:eastAsia="Times New Roman" w:cs="Times New Roman"/>
          <w:sz w:val="24"/>
          <w:szCs w:val="24"/>
        </w:rPr>
        <w:t>", dengan modul pembelajaran mesin baru direncanakan (hlm. 2). Artikel ini karenanya tidak memberi bukti tentang kinerja sistem hibrida, dan domainnya ialah pedoman terapi onkologi, bukan audit dokumentasi.</w:t>
      </w:r>
    </w:p>
    <w:p w14:paraId="0E8109DC">
      <w:pPr>
        <w:pStyle w:val="Heading3"/>
        <w:ind w:left="720" w:hanging="720"/>
        <w:jc w:val="both"/>
      </w:pPr>
      <w:bookmarkStart w:id="9016" w:name="_Toc9009016"/>
      <w:r>
        <w:rPr>
          <w:rFonts w:ascii="Times New Roman" w:hAnsi="Times New Roman" w:eastAsia="Times New Roman" w:cs="Times New Roman"/>
          <w:b/>
          <w:bCs/>
          <w:sz w:val="24"/>
          <w:szCs w:val="24"/>
        </w:rPr>
        <w:t>Pola Hibrida dan Bukti yang Tersedia</w:t>
      </w:r>
      <w:bookmarkEnd w:id="9016"/>
    </w:p>
    <w:p w14:paraId="761F3A89">
      <w:pPr>
        <w:jc w:val="both"/>
      </w:pPr>
      <w:r>
        <w:rPr>
          <w:rFonts w:ascii="Times New Roman" w:hAnsi="Times New Roman" w:eastAsia="Times New Roman" w:cs="Times New Roman"/>
          <w:sz w:val="24"/>
          <w:szCs w:val="24"/>
        </w:rPr>
        <w:t>Ijadi Maghsoodi dkk. (2026) menyusun tinjauan naratif kritis atas 101 sumber yang dipilih dari 3.892 rekaman, dengan fokus pada sistem hibrida yang lapisan simboliknya, yaitu aturan, ontologi, atau batasan, disusun atau disetujui pemangku kepentingan (hlm. 1, 4). Salah satu dari setidaknya lima pola rancangan yang mereka identifikasi ialah ekstraksi saraf disertai validasi simbolik, tempat pemeriksaan konsistensi dan aturan dokumentasi memvalidasi keluaran model NLP atau model fondasi untuk abstraksi laporan, pengodean, dan pencatatan registri (hlm. 5). Tinjauan itu menyimpulkan bahwa desain hibrida tampak paling kredibel pada situasi yang terikat aturan, peka terhadap audit, dan bergantung pada alur kerja, termasuk validasi dokumentasi (hlm. 1), serta bahwa bukti empiris lebih kuat untuk tugas terbatas seperti validasi laporan dan ekstraksi informasi daripada untuk klaim yang ambisius tentang penalaran klinis, kalibrasi kepercayaan, atau perbaikan luaran pasien (hlm. 7). Untuk dokumentasi buatan model generatif, penulisnya berargumen bahwa validasi hibrida dapat menegakkan elemen wajib dan mendeteksi inkonsistensi (hlm. 7); ini argumen konseptual, bukan hasil uji.</w:t>
      </w:r>
    </w:p>
    <w:p w14:paraId="76223207">
      <w:pPr>
        <w:jc w:val="both"/>
      </w:pPr>
      <w:r>
        <w:rPr>
          <w:rFonts w:ascii="Times New Roman" w:hAnsi="Times New Roman" w:eastAsia="Times New Roman" w:cs="Times New Roman"/>
          <w:sz w:val="24"/>
          <w:szCs w:val="24"/>
        </w:rPr>
        <w:t>Penulisnya sendiri membatasi kesimpulan itu. Basis empiris masih terbatas dan bukti prospektif jarang (hlm. 1), dan klaim tentang dampak pada mutu keputusan sebaiknya dibaca sebagai pembangkit hipotesis, bukan temuan konfirmatif (hlm. 6). Lapisan simbolik menimbulkan beban akuisisi pengetahuan, ketidakselarasan ontologi, konflik aturan, dan pemeliharaan (hlm. 1, 9). Proses penyaringan tinjauan itu mengecualikan rekaman nonbahasa Inggris (hlm. 2), dan literaturnya terkonsentrasi pada sistem kesehatan berpendapatan tinggi dan matang secara digital (hlm. 9).</w:t>
      </w:r>
    </w:p>
    <w:p w14:paraId="27386F71">
      <w:pPr>
        <w:pStyle w:val="Heading3"/>
        <w:ind w:left="720" w:hanging="720"/>
        <w:jc w:val="both"/>
      </w:pPr>
      <w:bookmarkStart w:id="9017" w:name="_Toc9009017"/>
      <w:r>
        <w:rPr>
          <w:rFonts w:ascii="Times New Roman" w:hAnsi="Times New Roman" w:eastAsia="Times New Roman" w:cs="Times New Roman"/>
          <w:b/>
          <w:bCs/>
          <w:sz w:val="24"/>
          <w:szCs w:val="24"/>
        </w:rPr>
        <w:t>Sintesis dan Celah</w:t>
      </w:r>
      <w:bookmarkEnd w:id="9017"/>
    </w:p>
    <w:p w14:paraId="3CFA504F">
      <w:pPr>
        <w:jc w:val="both"/>
      </w:pPr>
      <w:r>
        <w:rPr>
          <w:rFonts w:ascii="Times New Roman" w:hAnsi="Times New Roman" w:eastAsia="Times New Roman" w:cs="Times New Roman"/>
          <w:sz w:val="24"/>
          <w:szCs w:val="24"/>
        </w:rPr>
        <w:t>Dukungan literatur berbeda menurut tiga pernyataan. Pertama, aturan eksplisit menghasilkan pemeriksaan yang dapat diprediksi dan ditelusuri, tetapi mahal dipelihara (Kumar dkk., 2026, hlm. 12; Domingues, 2026, hlm. 2, 7). Kedua, komponen AI/NLP dapat menemukan sebagian ketidaksesuaian yang tidak berbentuk aturan eksplisit, dengan kinerja lebih rendah pada kategori yang menuntut penilaian klinis (II.3). Ketiga, kombinasi keduanya dinilai paling kredibel untuk validasi dokumentasi, tetapi hanya sebagai argumen konseptual pada satu tinjauan naratif (Ijadi Maghsoodi dkk., 2026, hlm. 1, 7), sehingga peningkatan mutu audit oleh kombinasi itu masih berupa hipotesis. Hipotesis ini belum teruji pada tugas yang dikerjakan: di antara sumber yang dibaca, tidak ada yang membandingkan aturan saja dengan aturan ditambah AI/NLP pada audit dokumentasi klinis, dan satu-satunya sistem yang diuji (Domingues, 2026) hanya berbasis aturan, di bidang onkologi, pada sepuluh kasus. Selain itu, tidak ada sumber yang menyangkut aturan atau dokumen klaim berbahasa Indonesia. Pembagian kerja antara aturan dan AI/NLP pada penelitian ini karenanya merupakan pilihan rancangan yang perlu dibenarkan lewat perbandingan konfigurasi aturan saja dengan aturan ditambah AI/NLP.</w:t>
      </w:r>
    </w:p>
    <w:p w14:paraId="4EB27EA3">
      <w:pPr>
        <w:pStyle w:val="Heading2"/>
        <w:ind w:left="576" w:hanging="576"/>
        <w:jc w:val="both"/>
      </w:pPr>
      <w:bookmarkStart w:id="9018" w:name="_Toc9009018"/>
      <w:r>
        <w:rPr>
          <w:rFonts w:ascii="Times New Roman" w:hAnsi="Times New Roman" w:eastAsia="Times New Roman" w:cs="Times New Roman"/>
          <w:b/>
          <w:bCs/>
          <w:sz w:val="24"/>
          <w:szCs w:val="24"/>
        </w:rPr>
        <w:t>RAG, Graf Pengetahuan, Penjangkaran Bukti, dan Halusinasi</w:t>
      </w:r>
      <w:bookmarkEnd w:id="9018"/>
    </w:p>
    <w:p w14:paraId="39CFB491">
      <w:pPr>
        <w:pStyle w:val="Heading3"/>
        <w:ind w:left="720" w:hanging="720"/>
        <w:jc w:val="both"/>
      </w:pPr>
      <w:bookmarkStart w:id="9019" w:name="_Toc9009019"/>
      <w:r>
        <w:rPr>
          <w:rFonts w:ascii="Times New Roman" w:hAnsi="Times New Roman" w:eastAsia="Times New Roman" w:cs="Times New Roman"/>
          <w:b/>
          <w:bCs/>
          <w:sz w:val="24"/>
          <w:szCs w:val="24"/>
        </w:rPr>
        <w:t>RAG pada Teks Klinis</w:t>
      </w:r>
      <w:bookmarkEnd w:id="9019"/>
    </w:p>
    <w:p w14:paraId="1D15C221">
      <w:pPr>
        <w:jc w:val="both"/>
      </w:pPr>
      <w:r>
        <w:rPr>
          <w:rFonts w:ascii="Times New Roman" w:hAnsi="Times New Roman" w:eastAsia="Times New Roman" w:cs="Times New Roman"/>
          <w:i/>
          <w:iCs/>
          <w:sz w:val="24"/>
          <w:szCs w:val="24"/>
        </w:rPr>
        <w:t>Retrieval-augmented generation</w:t>
      </w:r>
      <w:r>
        <w:rPr>
          <w:rFonts w:ascii="Times New Roman" w:hAnsi="Times New Roman" w:eastAsia="Times New Roman" w:cs="Times New Roman"/>
          <w:sz w:val="24"/>
          <w:szCs w:val="24"/>
        </w:rPr>
        <w:t xml:space="preserve"> (RAG) menyisipkan bukti yang diambil dari sumber luar ke dalam masukan LLM sebelum model membangkitkan jawaban. R. Yang dkk. (2026) menelaah 251 studi RAG di bidang medis dan menemukan bahwa aplikasinya terkonsentrasi pada tanya jawab, pembuatan laporan, peringkasan teks, dan ekstraksi informasi (hlm. 2). Dari 188 studi yang memakai </w:t>
      </w:r>
      <w:r>
        <w:rPr>
          <w:rFonts w:ascii="Times New Roman" w:hAnsi="Times New Roman" w:eastAsia="Times New Roman" w:cs="Times New Roman"/>
          <w:i/>
          <w:iCs/>
          <w:sz w:val="24"/>
          <w:szCs w:val="24"/>
        </w:rPr>
        <w:t>retrieval</w:t>
      </w:r>
      <w:r>
        <w:rPr>
          <w:rFonts w:ascii="Times New Roman" w:hAnsi="Times New Roman" w:eastAsia="Times New Roman" w:cs="Times New Roman"/>
          <w:sz w:val="24"/>
          <w:szCs w:val="24"/>
        </w:rPr>
        <w:t xml:space="preserve"> padat, hanya 24 yang secara eksplisit memakai model </w:t>
      </w:r>
      <w:r>
        <w:rPr>
          <w:rFonts w:ascii="Times New Roman" w:hAnsi="Times New Roman" w:eastAsia="Times New Roman" w:cs="Times New Roman"/>
          <w:i/>
          <w:iCs/>
          <w:sz w:val="24"/>
          <w:szCs w:val="24"/>
        </w:rPr>
        <w:t>embedding</w:t>
      </w:r>
      <w:r>
        <w:rPr>
          <w:rFonts w:ascii="Times New Roman" w:hAnsi="Times New Roman" w:eastAsia="Times New Roman" w:cs="Times New Roman"/>
          <w:sz w:val="24"/>
          <w:szCs w:val="24"/>
        </w:rPr>
        <w:t xml:space="preserve"> Karena mutu pembangkitan bergantung pada ketepatan dan urutan bukti yang diambil, Landolsi dkk. mencatat pemakaian ukuran berbasis peringkat seperti Recall@k, yaitu apakah dokumen relevan muncul di antara k hasil teratas (hlm. 5), dan R. Yang dkk. (2026) menyarankan agar tahap </w:t>
      </w:r>
      <w:r>
        <w:rPr>
          <w:rFonts w:ascii="Times New Roman" w:hAnsi="Times New Roman" w:eastAsia="Times New Roman" w:cs="Times New Roman"/>
          <w:i/>
          <w:iCs/>
          <w:sz w:val="24"/>
          <w:szCs w:val="24"/>
        </w:rPr>
        <w:t xml:space="preserve">retrieval</w:t>
      </w:r>
      <w:r>
        <w:rPr>
          <w:rFonts w:ascii="Times New Roman" w:hAnsi="Times New Roman" w:eastAsia="Times New Roman" w:cs="Times New Roman"/>
          <w:sz w:val="24"/>
          <w:szCs w:val="24"/>
        </w:rPr>
        <w:t xml:space="preserve"> dievaluasi tersendiri untuk melacak sumber galat (hlm. 7). Ukuran sejenis, P@k, didefinisikan Hou dkk. (2024, hlm. 6) sebagai proporsi label benar di antara k label teratas. Bila diterapkan pada referensi yang diambil untuk kueri q, dengan R</w:t>
      </w:r>
      <w:r>
        <w:rPr>
          <w:rFonts w:ascii="Times New Roman" w:hAnsi="Times New Roman" w:eastAsia="Times New Roman" w:cs="Times New Roman"/>
          <w:sz w:val="24"/>
          <w:szCs w:val="24"/>
          <w:vertAlign w:val="subscript"/>
        </w:rPr>
        <w:t xml:space="preserve">q</w:t>
      </w:r>
      <w:r>
        <w:rPr>
          <w:rFonts w:ascii="Times New Roman" w:hAnsi="Times New Roman" w:eastAsia="Times New Roman" w:cs="Times New Roman"/>
          <w:sz w:val="24"/>
          <w:szCs w:val="24"/>
        </w:rPr>
        <w:t xml:space="preserve"> sebagai himpunan referensi relevan dan T</w:t>
      </w:r>
      <w:r>
        <w:rPr>
          <w:rFonts w:ascii="Times New Roman" w:hAnsi="Times New Roman" w:eastAsia="Times New Roman" w:cs="Times New Roman"/>
          <w:sz w:val="24"/>
          <w:szCs w:val="24"/>
          <w:vertAlign w:val="subscript"/>
        </w:rPr>
        <w:t xml:space="preserve">q</w:t>
      </w:r>
      <w:r>
        <w:rPr>
          <w:rFonts w:ascii="Times New Roman" w:hAnsi="Times New Roman" w:eastAsia="Times New Roman" w:cs="Times New Roman"/>
          <w:sz w:val="24"/>
          <w:szCs w:val="24"/>
        </w:rPr>
        <w:t xml:space="preserve"> sebagai himpunan k referensi teratas, ukuran itu menjadi</w:t>
      </w:r>
    </w:p>
    <w:p>
      <w:pPr>
        <w:tabs>
          <w:tab w:val="center" w:pos="4153"/>
          <w:tab w:val="right" w:pos="8306"/>
        </w:tabs>
        <w:jc w:val="left"/>
      </w:pPr>
      <w:r>
        <w:tab/>
      </w:r>
      <m:oMath>
        <m:r>
          <m:rPr>
            <m:nor/>
          </m:rPr>
          <m:t xml:space="preserve">P@</m:t>
        </m:r>
        <m:r>
          <m:t xml:space="preserve">k</m:t>
        </m:r>
        <m:r>
          <m:t xml:space="preserve">=</m:t>
        </m:r>
        <m:f>
          <m:num>
            <m:d>
              <m:dPr>
                <m:begChr m:val="|"/>
                <m:endChr m:val="|"/>
              </m:dPr>
              <m:e>
                <m:sSub>
                  <m:e>
                    <m:r>
                      <m:t xml:space="preserve">R</m:t>
                    </m:r>
                  </m:e>
                  <m:sub>
                    <m:r>
                      <m:t xml:space="preserve">q</m:t>
                    </m:r>
                  </m:sub>
                </m:sSub>
                <m:r>
                  <m:t xml:space="preserve">∩</m:t>
                </m:r>
                <m:sSub>
                  <m:e>
                    <m:r>
                      <m:t xml:space="preserve">T</m:t>
                    </m:r>
                  </m:e>
                  <m:sub>
                    <m:r>
                      <m:t xml:space="preserve">q</m:t>
                    </m:r>
                  </m:sub>
                </m:sSub>
              </m:e>
            </m:d>
          </m:num>
          <m:den>
            <m:r>
              <m:t xml:space="preserve">k</m:t>
            </m:r>
          </m:den>
        </m:f>
      </m:oMath>
      <w:r>
        <w:tab/>
      </w:r>
      <w:r>
        <w:rPr>
          <w:rFonts w:ascii="Times New Roman" w:hAnsi="Times New Roman" w:eastAsia="Times New Roman" w:cs="Times New Roman"/>
          <w:sz w:val="24"/>
          <w:szCs w:val="24"/>
        </w:rPr>
        <w:t xml:space="preserve">(II.1)</w:t>
      </w:r>
    </w:p>
    <w:p w14:paraId="1C2F7214">
      <w:pPr>
        <w:jc w:val="both"/>
      </w:pPr>
      <w:r>
        <w:rPr>
          <w:rFonts w:ascii="Times New Roman" w:hAnsi="Times New Roman" w:eastAsia="Times New Roman" w:cs="Times New Roman"/>
          <w:sz w:val="24"/>
          <w:szCs w:val="24"/>
        </w:rPr>
        <w:t xml:space="preserve">Zhang dkk. (2026) memberi bukti yang paling dekat dengan catatan klinis sehari-hari. Mereka membandingkan enam strategi </w:t>
      </w:r>
      <w:r>
        <w:rPr>
          <w:rFonts w:ascii="Times New Roman" w:hAnsi="Times New Roman" w:eastAsia="Times New Roman" w:cs="Times New Roman"/>
          <w:i/>
          <w:iCs/>
          <w:sz w:val="24"/>
          <w:szCs w:val="24"/>
        </w:rPr>
        <w:t>retrieval</w:t>
      </w:r>
      <w:r>
        <w:rPr>
          <w:rFonts w:ascii="Times New Roman" w:hAnsi="Times New Roman" w:eastAsia="Times New Roman" w:cs="Times New Roman"/>
          <w:sz w:val="24"/>
          <w:szCs w:val="24"/>
        </w:rPr>
        <w:t xml:space="preserve"> pada catatan keperawatan fasilitas perawatan lansia di Australia, dengan indeks yang dibangun dari segmen catatan itu sendiri, untuk dua tugas ekstraksi entitas yang masing-masing diuji pada 208 rekaman (hlm. 1, 5). Tanpa </w:t>
      </w:r>
      <w:r>
        <w:rPr>
          <w:rFonts w:ascii="Times New Roman" w:hAnsi="Times New Roman" w:eastAsia="Times New Roman" w:cs="Times New Roman"/>
          <w:i/>
          <w:iCs/>
          <w:sz w:val="24"/>
          <w:szCs w:val="24"/>
        </w:rPr>
        <w:t>retrieval</w:t>
      </w:r>
      <w:r>
        <w:rPr>
          <w:rFonts w:ascii="Times New Roman" w:hAnsi="Times New Roman" w:eastAsia="Times New Roman" w:cs="Times New Roman"/>
          <w:sz w:val="24"/>
          <w:szCs w:val="24"/>
        </w:rPr>
        <w:t xml:space="preserve">, F1 jawaban ialah 0,702 untuk gejala agitasi pada demensia dan 0,722 untuk faktor risiko malnutrisi; dengan </w:t>
      </w:r>
      <w:r>
        <w:rPr>
          <w:rFonts w:ascii="Times New Roman" w:hAnsi="Times New Roman" w:eastAsia="Times New Roman" w:cs="Times New Roman"/>
          <w:i/>
          <w:iCs/>
          <w:sz w:val="24"/>
          <w:szCs w:val="24"/>
        </w:rPr>
        <w:t>dense reranking</w:t>
      </w:r>
      <w:r>
        <w:rPr>
          <w:rFonts w:ascii="Times New Roman" w:hAnsi="Times New Roman" w:eastAsia="Times New Roman" w:cs="Times New Roman"/>
          <w:sz w:val="24"/>
          <w:szCs w:val="24"/>
        </w:rPr>
        <w:t xml:space="preserve">, angkanya 0,946 dan 0,953 (hlm. 6). F1 jawaban itu dihitung dengan BERTScore, yaitu kemiripan semantik terhadap anotasi acuan (hlm. 3), bukan kecocokan label persis. Penulisnya membatasi kesimpulan pada dua tugas berbasis skema; ekstraksi relasi, penalaran temporal, dan tanya jawab terbuka tidak dievaluasi (hlm. 11). Jia dkk. (2026) melaporkan akurasi 82,98% pada soal ujian USMLE Step 1 untuk agen RAG dengan penjangkaran bukti (hlm. 2).</w:t>
      </w:r>
    </w:p>
    <w:p w14:paraId="2E354434">
      <w:pPr>
        <w:pStyle w:val="Heading3"/>
        <w:ind w:left="720" w:hanging="720"/>
        <w:jc w:val="both"/>
      </w:pPr>
      <w:bookmarkStart w:id="9020" w:name="_Toc9009020"/>
      <w:r>
        <w:rPr>
          <w:rFonts w:ascii="Times New Roman" w:hAnsi="Times New Roman" w:eastAsia="Times New Roman" w:cs="Times New Roman"/>
          <w:b/>
          <w:bCs/>
          <w:sz w:val="24"/>
          <w:szCs w:val="24"/>
        </w:rPr>
        <w:t>Penjangkaran Bukti dan Pengecekan Keluaran</w:t>
      </w:r>
      <w:bookmarkEnd w:id="9020"/>
    </w:p>
    <w:p w14:paraId="2C5BA782">
      <w:pPr>
        <w:jc w:val="both"/>
      </w:pPr>
      <w:r>
        <w:rPr>
          <w:rFonts w:ascii="Times New Roman" w:hAnsi="Times New Roman" w:eastAsia="Times New Roman" w:cs="Times New Roman"/>
          <w:sz w:val="24"/>
          <w:szCs w:val="24"/>
        </w:rPr>
        <w:t xml:space="preserve">Waqas dkk. (2026) membedakan halusinasi faktual, </w:t>
      </w:r>
      <w:r>
        <w:rPr>
          <w:rFonts w:ascii="Times New Roman" w:hAnsi="Times New Roman" w:eastAsia="Times New Roman" w:cs="Times New Roman"/>
          <w:i/>
          <w:iCs/>
          <w:sz w:val="24"/>
          <w:szCs w:val="24"/>
        </w:rPr>
        <w:t>faithful</w:t>
      </w:r>
      <w:r>
        <w:rPr>
          <w:rFonts w:ascii="Times New Roman" w:hAnsi="Times New Roman" w:eastAsia="Times New Roman" w:cs="Times New Roman"/>
          <w:sz w:val="24"/>
          <w:szCs w:val="24"/>
        </w:rPr>
        <w:t xml:space="preserve"> (tidak sesuai dengan masukan), logis, dan temporal (hlm. 4). Survei atas 90 publikasi itu mengutip RAGTruth bahwa halusinasi tetap terjadi ketika konteks ambigu atau </w:t>
      </w:r>
      <w:r>
        <w:rPr>
          <w:rFonts w:ascii="Times New Roman" w:hAnsi="Times New Roman" w:eastAsia="Times New Roman" w:cs="Times New Roman"/>
          <w:i/>
          <w:iCs/>
          <w:sz w:val="24"/>
          <w:szCs w:val="24"/>
        </w:rPr>
        <w:t>retrieval</w:t>
      </w:r>
      <w:r>
        <w:rPr>
          <w:rFonts w:ascii="Times New Roman" w:hAnsi="Times New Roman" w:eastAsia="Times New Roman" w:cs="Times New Roman"/>
          <w:sz w:val="24"/>
          <w:szCs w:val="24"/>
        </w:rPr>
        <w:t xml:space="preserve"> gagal menemukan semua bukti yang relevan (hlm. 10), dan menyatakan bahwa bidang kesehatan membutuhkan laju positif palsu yang sangat rendah (hlm. 18). Sun dkk. (2025) menelaah 55 artikel, 15 di antaranya tentang halusinasi, dan menemukan bahwa mitigasi halusinasi sebagian besar dikaji pada tugas tanya jawab, dataset deteksi halusinasi langka, serta evaluasinya bergantung pada penilaian pakar tanpa kerangka baku (hlm. 15, 18).</w:t>
      </w:r>
    </w:p>
    <w:p w14:paraId="14A4307E">
      <w:pPr>
        <w:jc w:val="both"/>
      </w:pPr>
      <w:r>
        <w:rPr>
          <w:rFonts w:ascii="Times New Roman" w:hAnsi="Times New Roman" w:eastAsia="Times New Roman" w:cs="Times New Roman"/>
          <w:sz w:val="24"/>
          <w:szCs w:val="24"/>
        </w:rPr>
        <w:t xml:space="preserve">Li dkk. (2026) mencontohkan penjangkaran bukti pada pendukung keputusan bedah tulang belakang. Pangkalan pengetahuannya memuat pedoman dan literatur yang masing-masing diberi ID, sumber, tahun, dan tingkat bukti (hlm. 3). Empat paragraf teratas disisipkan ke masukan model, keluaran berformat “rekomendasi + paragraf kutipan”, dan model diinstruksikan menjawab </w:t>
      </w:r>
      <w:r>
        <w:rPr>
          <w:rFonts w:ascii="Times New Roman" w:hAnsi="Times New Roman" w:eastAsia="Times New Roman" w:cs="Times New Roman"/>
          <w:i/>
          <w:iCs/>
          <w:sz w:val="24"/>
          <w:szCs w:val="24"/>
        </w:rPr>
        <w:t>“no clear conclusions available”</w:t>
      </w:r>
      <w:r>
        <w:rPr>
          <w:rFonts w:ascii="Times New Roman" w:hAnsi="Times New Roman" w:eastAsia="Times New Roman" w:cs="Times New Roman"/>
          <w:sz w:val="24"/>
          <w:szCs w:val="24"/>
        </w:rPr>
        <w:t xml:space="preserve"> bila literatur tidak memberi jawaban pasti (hlm. 4). Lima ahli bedah menilai 200 kasus dengan rubrik 11 dimensi, termasuk ketepatan bukti yang dikutip (hlm. 1, 5). Namun yang dibandingkan ialah empat agen LLM dalam satu kerangka RAG di satu pusat, bukan RAG terhadap tanpa RAG (hlm. 9), dan artikelnya tidak menguraikan pemeriksaan kutipan otomatis.</w:t>
      </w:r>
    </w:p>
    <w:p w14:paraId="27093989">
      <w:pPr>
        <w:jc w:val="both"/>
      </w:pPr>
      <w:r>
        <w:rPr>
          <w:rFonts w:ascii="Times New Roman" w:hAnsi="Times New Roman" w:eastAsia="Times New Roman" w:cs="Times New Roman"/>
          <w:sz w:val="24"/>
          <w:szCs w:val="24"/>
        </w:rPr>
        <w:t xml:space="preserve">Zeba dkk. (2026) menempuh cara lain: modul pemeriksa fakta tanpa LLM yang memeriksa keluaran LLM terhadap rekam medis sumber (hlm. 1). Ringkasan dan rekam medis dipecah menjadi proposisi atomik (hlm. 7), lalu setiap proposisi diberi vonis Didukung atau Tidak Didukung melalui pemeriksaan negasi, implikasi, konsistensi temporal, eksklusivitas bersama, kecocokan numerik, dan keberadaan (hlm. 6, 14). Pada 104 ringkasan yang diekstrak menjadi 3.786 proposisi dan divalidasi dokter, modul itu mencapai presisi 0,8904, </w:t>
      </w:r>
      <w:r>
        <w:rPr>
          <w:rFonts w:ascii="Times New Roman" w:hAnsi="Times New Roman" w:eastAsia="Times New Roman" w:cs="Times New Roman"/>
          <w:i/>
          <w:iCs/>
          <w:sz w:val="24"/>
          <w:szCs w:val="24"/>
        </w:rPr>
        <w:t>recall</w:t>
      </w:r>
      <w:r>
        <w:rPr>
          <w:rFonts w:ascii="Times New Roman" w:hAnsi="Times New Roman" w:eastAsia="Times New Roman" w:cs="Times New Roman"/>
          <w:sz w:val="24"/>
          <w:szCs w:val="24"/>
        </w:rPr>
        <w:t xml:space="preserve"> 0,8234, dan F1 0,8556 (hlm. 1). Datanya berasal dari MIMIC-III, rekam medis unit perawatan intensif (hlm. 10), dan penulisnya menyatakan sistem kurang andal pada bidang yang kurang terwakili, termasuk gangguan metabolik anak, serta hanya memberi vonis biner tanpa usul perbaikan (hlm. 15).</w:t>
      </w:r>
    </w:p>
    <w:p w14:paraId="52F21685">
      <w:pPr>
        <w:pStyle w:val="Heading3"/>
        <w:ind w:left="720" w:hanging="720"/>
        <w:jc w:val="both"/>
      </w:pPr>
      <w:bookmarkStart w:id="9021" w:name="_Toc9009021"/>
      <w:r>
        <w:rPr>
          <w:rFonts w:ascii="Times New Roman" w:hAnsi="Times New Roman" w:eastAsia="Times New Roman" w:cs="Times New Roman"/>
          <w:b/>
          <w:bCs/>
          <w:sz w:val="24"/>
          <w:szCs w:val="24"/>
        </w:rPr>
        <w:t>Representasi Pengetahuan Berbasis Graf</w:t>
      </w:r>
      <w:bookmarkEnd w:id="9021"/>
    </w:p>
    <w:p w14:paraId="6D3D765A">
      <w:pPr>
        <w:jc w:val="both"/>
      </w:pPr>
      <w:r>
        <w:rPr>
          <w:rFonts w:ascii="Times New Roman" w:hAnsi="Times New Roman" w:eastAsia="Times New Roman" w:cs="Times New Roman"/>
          <w:sz w:val="24"/>
          <w:szCs w:val="24"/>
        </w:rPr>
        <w:t>Graf pengetahuan (</w:t>
      </w:r>
      <w:r>
        <w:rPr>
          <w:rFonts w:ascii="Times New Roman" w:hAnsi="Times New Roman" w:eastAsia="Times New Roman" w:cs="Times New Roman"/>
          <w:i/>
          <w:iCs/>
          <w:sz w:val="24"/>
          <w:szCs w:val="24"/>
        </w:rPr>
        <w:t>knowledge graph</w:t>
      </w:r>
      <w:r>
        <w:rPr>
          <w:rFonts w:ascii="Times New Roman" w:hAnsi="Times New Roman" w:eastAsia="Times New Roman" w:cs="Times New Roman"/>
          <w:sz w:val="24"/>
          <w:szCs w:val="24"/>
        </w:rPr>
        <w:t>, KG) menyimpan pengetahuan sebagai entitas dan relasi. Syeda dan Reddy (2026) mensurvei integrasinya dengan LLM dalam tiga bentuk, yaitu KG yang memperkuat LLM, LLM yang membantu membangun KG, dan gabungan keduanya, serta mencatat GraphRAG dan HybridRAG sebagai RAG berbasis graf (hlm. 1). Mereka menilai penyelesaian KG oleh LLM di bidang kesehatan lebih berisiko sehingga memerlukan validasi pakar klinis (hlm. 18), dan menyatakan belum ada tolok ukur untuk seluruh alur KG–LLM (hlm. 27).</w:t>
      </w:r>
    </w:p>
    <w:p w14:paraId="551A660C">
      <w:pPr>
        <w:jc w:val="both"/>
      </w:pPr>
      <w:r>
        <w:rPr>
          <w:rFonts w:ascii="Times New Roman" w:hAnsi="Times New Roman" w:eastAsia="Times New Roman" w:cs="Times New Roman"/>
          <w:sz w:val="24"/>
          <w:szCs w:val="24"/>
        </w:rPr>
        <w:t>Dua studi primer memakai KG untuk fungsi yang berbeda. KG-ACE memverifikasi penalaran medis yang sudah dibangkitkan LLM dengan dua graf, satu untuk konsep baku dan satu untuk aturan klinis, termasuk urutan waktu, dan menerima revisi hanya bila skor kesesuaian membaik (Sun dkk., 2027, hlm. 1, 4). Dua dari empat tolok ukurnya sintetis atau semisintetis, tidak ada yang memuat catatan klinis nyata, dan cakupan graf yang kurang dapat meloloskan penalaran tanpa tantangan (hlm. 15). CTKGR membangun KG temporal dari rekam medis 3.214 pasien pneumonia di satu rumah sakit untuk memprediksi gejala dan merekomendasikan obat, dengan AUC 0,745 dan 0,798 (Y. Yang dkk., 2026, hlm. 1, 2); penulisnya mencatat cakupan graf yang terbatas (hlm. 8).</w:t>
      </w:r>
    </w:p>
    <w:p w14:paraId="56BC3B9B">
      <w:pPr>
        <w:pStyle w:val="Heading3"/>
        <w:ind w:left="720" w:hanging="720"/>
        <w:jc w:val="both"/>
      </w:pPr>
      <w:bookmarkStart w:id="9022" w:name="_Toc9009022"/>
      <w:r>
        <w:rPr>
          <w:rFonts w:ascii="Times New Roman" w:hAnsi="Times New Roman" w:eastAsia="Times New Roman" w:cs="Times New Roman"/>
          <w:b/>
          <w:bCs/>
          <w:sz w:val="24"/>
          <w:szCs w:val="24"/>
        </w:rPr>
        <w:t>Sintesis dan Celah</w:t>
      </w:r>
      <w:bookmarkEnd w:id="9022"/>
    </w:p>
    <w:p w14:paraId="07C0BC77">
      <w:pPr>
        <w:jc w:val="both"/>
      </w:pPr>
      <w:r>
        <w:rPr>
          <w:rFonts w:ascii="Times New Roman" w:hAnsi="Times New Roman" w:eastAsia="Times New Roman" w:cs="Times New Roman"/>
          <w:sz w:val="24"/>
          <w:szCs w:val="24"/>
        </w:rPr>
        <w:t xml:space="preserve">Manfaat </w:t>
      </w:r>
      <w:r>
        <w:rPr>
          <w:rFonts w:ascii="Times New Roman" w:hAnsi="Times New Roman" w:eastAsia="Times New Roman" w:cs="Times New Roman"/>
          <w:i/>
          <w:iCs/>
          <w:sz w:val="24"/>
          <w:szCs w:val="24"/>
        </w:rPr>
        <w:t>retrieval</w:t>
      </w:r>
      <w:r>
        <w:rPr>
          <w:rFonts w:ascii="Times New Roman" w:hAnsi="Times New Roman" w:eastAsia="Times New Roman" w:cs="Times New Roman"/>
          <w:sz w:val="24"/>
          <w:szCs w:val="24"/>
        </w:rPr>
        <w:t xml:space="preserve"> baru ditunjukkan untuk ekstraksi pada catatan klinis, dan keterlacakan keluaran terhadap sumbernya baru didemonstrasikan pada contoh yang terbatas, sehingga ada lima celah bagi penelitian ini. Pertama, aplikasi RAG terkonsentrasi pada tanya jawab, pembuatan laporan, peringkasan, dan ekstraksi (R. Yang dkk., 2026, hlm. 2), dan bukti kinerja yang paling mencolok berasal dari soal ujian (Jia dkk., 2026, hlm. 2); di antara sumber yang dibaca, tidak ada yang menguji RAG untuk memeriksa kesesuaian antardokumen dalam satu episode rawat. Kedua, tidak ada sumber yang menguji teks klinis berbahasa Indonesia, dan </w:t>
      </w:r>
      <w:r>
        <w:rPr>
          <w:rFonts w:ascii="Times New Roman" w:hAnsi="Times New Roman" w:eastAsia="Times New Roman" w:cs="Times New Roman"/>
          <w:i/>
          <w:iCs/>
          <w:sz w:val="24"/>
          <w:szCs w:val="24"/>
        </w:rPr>
        <w:t>retrieval</w:t>
      </w:r>
      <w:r>
        <w:rPr>
          <w:rFonts w:ascii="Times New Roman" w:hAnsi="Times New Roman" w:eastAsia="Times New Roman" w:cs="Times New Roman"/>
          <w:sz w:val="24"/>
          <w:szCs w:val="24"/>
        </w:rPr>
        <w:t xml:space="preserve"> umumnya memakai model berpusat pada bahasa Inggris (R. Yang dkk., 2026, hlm. 4; Landolsi dkk., 2026, hlm. 19). Ketiga, pemeriksaan keluaran terhadap sumber baru didemonstrasikan pada ringkasan LLM atas rekam medis berbahasa Inggris (Zeba dkk., 2026), sedangkan ketepatan kutipan pada Li dkk. (2026) dinilai ahli. Keempat, kontribusi </w:t>
      </w:r>
      <w:r>
        <w:rPr>
          <w:rFonts w:ascii="Times New Roman" w:hAnsi="Times New Roman" w:eastAsia="Times New Roman" w:cs="Times New Roman"/>
          <w:i/>
          <w:iCs/>
          <w:sz w:val="24"/>
          <w:szCs w:val="24"/>
        </w:rPr>
        <w:t>retrieval</w:t>
      </w:r>
      <w:r>
        <w:rPr>
          <w:rFonts w:ascii="Times New Roman" w:hAnsi="Times New Roman" w:eastAsia="Times New Roman" w:cs="Times New Roman"/>
          <w:sz w:val="24"/>
          <w:szCs w:val="24"/>
        </w:rPr>
        <w:t xml:space="preserve"> dibandingkan dengan kondisi tanpa </w:t>
      </w:r>
      <w:r>
        <w:rPr>
          <w:rFonts w:ascii="Times New Roman" w:hAnsi="Times New Roman" w:eastAsia="Times New Roman" w:cs="Times New Roman"/>
          <w:i/>
          <w:iCs/>
          <w:sz w:val="24"/>
          <w:szCs w:val="24"/>
        </w:rPr>
        <w:t>retrieval</w:t>
      </w:r>
      <w:r>
        <w:rPr>
          <w:rFonts w:ascii="Times New Roman" w:hAnsi="Times New Roman" w:eastAsia="Times New Roman" w:cs="Times New Roman"/>
          <w:sz w:val="24"/>
          <w:szCs w:val="24"/>
        </w:rPr>
        <w:t xml:space="preserve"> hanya pada dua tugas ekstraksi berbasis skema (Zhang dkk., 2026, hlm. 6, 11); pada audit, kontribusinya terhadap mutu temuan dan biaya positif palsunya belum diukur. Kelima, KG dipakai untuk memverifikasi penalaran pada soal medis (Sun dkk., 2027, hlm. 1, 15) dan memprediksi kejadian pada satu penyakit (Y. Yang dkk., 2026, hlm. 1, 2), bukan memeriksa kesesuaian antardokumen, dan manfaatnya tidak dibandingkan dengan </w:t>
      </w:r>
      <w:r>
        <w:rPr>
          <w:rFonts w:ascii="Times New Roman" w:hAnsi="Times New Roman" w:eastAsia="Times New Roman" w:cs="Times New Roman"/>
          <w:i/>
          <w:iCs/>
          <w:sz w:val="24"/>
          <w:szCs w:val="24"/>
        </w:rPr>
        <w:t>retrieval</w:t>
      </w:r>
      <w:r>
        <w:rPr>
          <w:rFonts w:ascii="Times New Roman" w:hAnsi="Times New Roman" w:eastAsia="Times New Roman" w:cs="Times New Roman"/>
          <w:sz w:val="24"/>
          <w:szCs w:val="24"/>
        </w:rPr>
        <w:t xml:space="preserve"> tanpa graf. Karena itu, manfaat RAG pada audit dokumentasi rawat inap kebidanan dan anak perlu diuji terhadap pembanding yang ditetapkan sebelum eksperimen. Dalam penelitian ini, KG berkedudukan sebagai calon pendekatan pendukung, bukan komponen inti, karena manfaatnya untuk pemeriksaan antardokumen belum ditunjukkan pada sumber yang ditelaah, penyelesaian KG oleh LLM di bidang kesehatan memerlukan validasi pakar klinis (Syeda &amp; Reddy, 2026, hlm. 18), dan cakupan graf yang kurang dapat membuat penalaran yang berisiko lolos tanpa ditandai (Sun dkk., 2027, hlm. 15). Pemakaian KG diputuskan melalui uji kelayakan, dan manfaatnya baru diklaim bila konfigurasi dengan graf telah dibandingkan dengan konfigurasi tanpa graf.</w:t>
      </w:r>
    </w:p>
    <w:p w14:paraId="5E883851">
      <w:pPr>
        <w:pStyle w:val="Heading2"/>
        <w:ind w:left="576" w:hanging="576"/>
        <w:jc w:val="both"/>
      </w:pPr>
      <w:bookmarkStart w:id="9023" w:name="_Toc9009023"/>
      <w:r>
        <w:rPr>
          <w:rFonts w:ascii="Times New Roman" w:hAnsi="Times New Roman" w:eastAsia="Times New Roman" w:cs="Times New Roman"/>
          <w:b/>
          <w:bCs/>
          <w:sz w:val="24"/>
          <w:szCs w:val="24"/>
        </w:rPr>
        <w:t>De-identifikasi untuk Layanan AI Eksternal</w:t>
      </w:r>
      <w:bookmarkEnd w:id="9023"/>
    </w:p>
    <w:p w14:paraId="1CBAD8DF">
      <w:pPr>
        <w:pStyle w:val="Heading3"/>
        <w:ind w:left="720" w:hanging="720"/>
        <w:jc w:val="both"/>
      </w:pPr>
      <w:bookmarkStart w:id="9024" w:name="_Toc9009024"/>
      <w:r>
        <w:rPr>
          <w:rFonts w:ascii="Times New Roman" w:hAnsi="Times New Roman" w:eastAsia="Times New Roman" w:cs="Times New Roman"/>
          <w:b/>
          <w:bCs/>
          <w:sz w:val="24"/>
          <w:szCs w:val="24"/>
        </w:rPr>
        <w:t>Pendekatan De-identifikasi dan Bukti yang Tersedia</w:t>
      </w:r>
      <w:bookmarkEnd w:id="9024"/>
    </w:p>
    <w:p w14:paraId="66D1966A">
      <w:pPr>
        <w:jc w:val="both"/>
      </w:pPr>
      <w:r>
        <w:rPr>
          <w:rFonts w:ascii="Times New Roman" w:hAnsi="Times New Roman" w:eastAsia="Times New Roman" w:cs="Times New Roman"/>
          <w:sz w:val="24"/>
          <w:szCs w:val="24"/>
        </w:rPr>
        <w:t>Faustini dkk. (2026) menelaah 83 artikel tentang de-identifikasi data klinis berbasis NLP pada tahun 2015–2024, dengan de-identifikasi didefinisikan sebagai pendeteksian, penggantian, atau penghapusan informasi kesehatan yang dilindungi (</w:t>
      </w:r>
      <w:r>
        <w:rPr>
          <w:rFonts w:ascii="Times New Roman" w:hAnsi="Times New Roman" w:eastAsia="Times New Roman" w:cs="Times New Roman"/>
          <w:i/>
          <w:iCs/>
          <w:sz w:val="24"/>
          <w:szCs w:val="24"/>
        </w:rPr>
        <w:t>protected health information</w:t>
      </w:r>
      <w:r>
        <w:rPr>
          <w:rFonts w:ascii="Times New Roman" w:hAnsi="Times New Roman" w:eastAsia="Times New Roman" w:cs="Times New Roman"/>
          <w:sz w:val="24"/>
          <w:szCs w:val="24"/>
        </w:rPr>
        <w:t>, PHI) (hlm. 1, 2). Sebagian besar studi menggarap konten berbahasa Inggris karena dataset yang tersedia berbahasa Inggris, metode berbasis aturan tetap umum di luar bahasa Inggris (hlm. 1, 6), dan tantangan utamanya ialah campur kode serta kelangkaan dataset yang dapat direproduksi (hlm. 1). Faustini dkk. juga melaporkan temuan studi lain bahwa Presidio kesulitan mengenali nama Slavia serta nama Asia Tengah dan Asia Tenggara dibandingkan nama Inggris (hlm. 5).</w:t>
      </w:r>
    </w:p>
    <w:p w14:paraId="57C1E36A">
      <w:pPr>
        <w:jc w:val="both"/>
      </w:pPr>
      <w:r>
        <w:rPr>
          <w:rFonts w:ascii="Times New Roman" w:hAnsi="Times New Roman" w:eastAsia="Times New Roman" w:cs="Times New Roman"/>
          <w:sz w:val="24"/>
          <w:szCs w:val="24"/>
        </w:rPr>
        <w:t xml:space="preserve">Azzam dkk. (2026) mengusulkan sistem agentik tempat LLM yang dihosting lokal menangani semua langkah sensitif, sedangkan LLM publik hanya menalar atas masukan yang sudah dianonimkan (hlm. 1). Pada dataset rekam medis sintetis, sistem itu mencapai presisi 1,000 dan </w:t>
      </w:r>
      <w:r>
        <w:rPr>
          <w:rFonts w:ascii="Times New Roman" w:hAnsi="Times New Roman" w:eastAsia="Times New Roman" w:cs="Times New Roman"/>
          <w:i/>
          <w:iCs/>
          <w:sz w:val="24"/>
          <w:szCs w:val="24"/>
        </w:rPr>
        <w:t>recall</w:t>
      </w:r>
      <w:r>
        <w:rPr>
          <w:rFonts w:ascii="Times New Roman" w:hAnsi="Times New Roman" w:eastAsia="Times New Roman" w:cs="Times New Roman"/>
          <w:sz w:val="24"/>
          <w:szCs w:val="24"/>
        </w:rPr>
        <w:t xml:space="preserve"> 0,936, sedangkan spaCy dan Presidio berpresisi 0,329 dan 0,405 dengan </w:t>
      </w:r>
      <w:r>
        <w:rPr>
          <w:rFonts w:ascii="Times New Roman" w:hAnsi="Times New Roman" w:eastAsia="Times New Roman" w:cs="Times New Roman"/>
          <w:i/>
          <w:iCs/>
          <w:sz w:val="24"/>
          <w:szCs w:val="24"/>
        </w:rPr>
        <w:t>recall</w:t>
      </w:r>
      <w:r>
        <w:rPr>
          <w:rFonts w:ascii="Times New Roman" w:hAnsi="Times New Roman" w:eastAsia="Times New Roman" w:cs="Times New Roman"/>
          <w:sz w:val="24"/>
          <w:szCs w:val="24"/>
        </w:rPr>
        <w:t xml:space="preserve"> sekitar 0,89 (hlm. 12). Pengujian pada 100 catatan MIMIC-III memakai penanda redaksi bawaan sebagai pengganti label acuan karena catatannya sudah dide-identifikasi (hlm. 15). Sebutan obat terjaga 0,974, tetapi dosis hanya 0,769 (hlm. 12), dan sistem baru mendukung masukan berbahasa Inggris (hlm. 19).</w:t>
      </w:r>
    </w:p>
    <w:p w14:paraId="2E72E609">
      <w:pPr>
        <w:jc w:val="both"/>
      </w:pPr>
      <w:r>
        <w:rPr>
          <w:rFonts w:ascii="Times New Roman" w:hAnsi="Times New Roman" w:eastAsia="Times New Roman" w:cs="Times New Roman"/>
          <w:sz w:val="24"/>
          <w:szCs w:val="24"/>
        </w:rPr>
        <w:t>Tchouka dkk. (2024) menguji de-identifikasi pada dokumen medis berbahasa Prancis di sebuah rumah sakit publik, dengan seluruh eksperimen di lokasi rumah sakit (hlm. 2). Tanggal, usia, dan lokasi diganti dengan privasi diferensial lokal agar aspek kronologis dan geografisnya tidak hilang (hlm. 1, 7). Pada tugas asosiasi kode ICD-10, skor F1 turun 6,8% terhadap korpus asli dengan pendekatan itu, dibandingkan sekitar 12% bila setiap entitas diganti dengan labelnya (hlm. 2, 12, 13). Dataset hasil de-identifikasi tetap tidak kebal terhadap serangan re-identifikasi dan keanggotaan sehingga tidak dapat disebarluaskan (hlm. 13).</w:t>
      </w:r>
    </w:p>
    <w:p w14:paraId="2235653A">
      <w:pPr>
        <w:pStyle w:val="Heading3"/>
        <w:ind w:left="720" w:hanging="720"/>
        <w:jc w:val="both"/>
      </w:pPr>
      <w:bookmarkStart w:id="9025" w:name="_Toc9009025"/>
      <w:r>
        <w:rPr>
          <w:rFonts w:ascii="Times New Roman" w:hAnsi="Times New Roman" w:eastAsia="Times New Roman" w:cs="Times New Roman"/>
          <w:b/>
          <w:bCs/>
          <w:sz w:val="24"/>
          <w:szCs w:val="24"/>
        </w:rPr>
        <w:t>Sintesis dan Celah</w:t>
      </w:r>
      <w:bookmarkEnd w:id="9025"/>
    </w:p>
    <w:p w14:paraId="26DF7124">
      <w:pPr>
        <w:jc w:val="both"/>
      </w:pPr>
      <w:r>
        <w:rPr>
          <w:rFonts w:ascii="Times New Roman" w:hAnsi="Times New Roman" w:eastAsia="Times New Roman" w:cs="Times New Roman"/>
          <w:sz w:val="24"/>
          <w:szCs w:val="24"/>
        </w:rPr>
        <w:t>Dua hal didukung secara terbatas: de-identifikasi oleh LLM lokal dapat memisahkan data sensitif dari LLM publik pada pengujian awal, dan penggantian yang memperhatikan utilitas mengurangi kehilangan kinerja pada tugas hilir berbasis kode. Bukti itu memiliki tiga keterbatasan. Pertama, tidak ada sumber yang menguji teks klinis berbahasa Indonesia atau pengenal khas Indonesia seperti NIK dan nomor rekam medis; temuan tentang nama Asia Tenggara bersifat sekunder dan menyangkut perkakas yang diuji pada data lain (Faustini dkk., 2026, hlm. 5). Kedua, bukti untuk pendekatan berbasis LLM lokal berasal dari data sintetis dan catatan berbahasa Inggris yang sudah dide-identifikasi (Azzam dkk., 2026, hlm. 15), sehingga kebocoran PHI pada catatan baru yang belum diredaksi belum terukur. Ketiga, kehilangan utilitas baru diukur pada asosiasi kode ICD-10 (Tchouka dkk., 2024, hlm. 13) atau pada sebutan obat dan dosis (Azzam dkk., 2026, hlm. 12); dampak de-identifikasi terhadap temuan audit yang bergantung pada tanggal, dosis, dan urutan waktu belum diukur. De-identifikasi pada penelitian ini perlu diuji pada data berbahasa Indonesia, dengan ukuran kebocoran pengenal dan dampaknya pada mutu temuan.</w:t>
      </w:r>
    </w:p>
    <w:p w14:paraId="270E68D1">
      <w:pPr>
        <w:pStyle w:val="Heading2"/>
        <w:ind w:left="576" w:hanging="576"/>
        <w:jc w:val="both"/>
      </w:pPr>
      <w:bookmarkStart w:id="9026" w:name="_Toc9009026"/>
      <w:r>
        <w:rPr>
          <w:rFonts w:ascii="Times New Roman" w:hAnsi="Times New Roman" w:eastAsia="Times New Roman" w:cs="Times New Roman"/>
          <w:b/>
          <w:bCs/>
          <w:sz w:val="24"/>
          <w:szCs w:val="24"/>
        </w:rPr>
        <w:t>Evaluasi Sistem NLP Klinis</w:t>
      </w:r>
      <w:bookmarkEnd w:id="9026"/>
    </w:p>
    <w:p w14:paraId="7BCC5110">
      <w:pPr>
        <w:pStyle w:val="Heading3"/>
        <w:ind w:left="720" w:hanging="720"/>
        <w:jc w:val="both"/>
      </w:pPr>
      <w:bookmarkStart w:id="9027" w:name="_Toc9009027"/>
      <w:r>
        <w:rPr>
          <w:rFonts w:ascii="Times New Roman" w:hAnsi="Times New Roman" w:eastAsia="Times New Roman" w:cs="Times New Roman"/>
          <w:b/>
          <w:bCs/>
          <w:sz w:val="24"/>
          <w:szCs w:val="24"/>
        </w:rPr>
        <w:t>Acuan Penilaian dan Variabilitas Penilai</w:t>
      </w:r>
      <w:bookmarkEnd w:id="9027"/>
    </w:p>
    <w:p w14:paraId="0172B189">
      <w:pPr>
        <w:jc w:val="both"/>
      </w:pPr>
      <w:r>
        <w:rPr>
          <w:rFonts w:ascii="Times New Roman" w:hAnsi="Times New Roman" w:eastAsia="Times New Roman" w:cs="Times New Roman"/>
          <w:sz w:val="24"/>
          <w:szCs w:val="24"/>
        </w:rPr>
        <w:t xml:space="preserve">Becker dkk. (2025) memperluas korpus CARDIO:DE, yaitu 500 surat dokter berbahasa Jerman di bidang kardiovaskular (hlm. 2), dengan lima label entitas: diagnosis, tindakan diagnostik, obat, temuan medis, dan terapi (hlm. 1). Seorang apoteker dan seorang ekonom kesehatan menganotasi sekitar 15% korpus secara tumpang tindih, membahas ketidaksesuaiannya, lalu menganotasi 5% tambahan, dengan ambang kesepakatan Krippendorff's alpha </w:t>
      </w:r>
      <w:r>
        <w:rPr>
          <w:rFonts w:ascii="Times New Roman" w:hAnsi="Times New Roman" w:eastAsia="Times New Roman" w:cs="Times New Roman"/>
          <w:i/>
          <w:iCs/>
          <w:sz w:val="24"/>
          <w:szCs w:val="24"/>
        </w:rPr>
        <w:t>unitizing</w:t>
      </w:r>
      <w:r>
        <w:rPr>
          <w:rFonts w:ascii="Times New Roman" w:hAnsi="Times New Roman" w:eastAsia="Times New Roman" w:cs="Times New Roman"/>
          <w:sz w:val="24"/>
          <w:szCs w:val="24"/>
        </w:rPr>
        <w:t xml:space="preserve"> 0,85 yang ditetapkan sebelumnya (hlm. 2). Kesepakatan mencapai 0,98 pada beberapa subset (hlm. 1), tetapi prosesnya memakan tujuh bulan (hlm. 2). Empat model diuji, dan semuanya sering menukar temuan medis dengan diagnosis (hlm. 4); penulisnya menunjukkan bahwa frasa seperti "80 % main stem stenosis" dapat dilabeli keduanya bergantung pada konteks (hlm. 3).</w:t>
      </w:r>
    </w:p>
    <w:p w14:paraId="76CDE7FA">
      <w:pPr>
        <w:jc w:val="both"/>
      </w:pPr>
      <w:r>
        <w:rPr>
          <w:rFonts w:ascii="Times New Roman" w:hAnsi="Times New Roman" w:eastAsia="Times New Roman" w:cs="Times New Roman"/>
          <w:sz w:val="24"/>
          <w:szCs w:val="24"/>
        </w:rPr>
        <w:t>van Koevorden dkk. (2026) memvalidasi ekstraksi data oleh LLM sumber terbuka pada 1.482 halaman dokumen klinis 60 pasien onkologi kepala dan leher untuk 29 kategori, dengan enam pakar menilai 2.555 nilai: penilaian cocok atau tidak cocok secara buta, lalu pengkategorian galat (hlm. 1). Akurasi per kategori berkisar 74% sampai 90%, dan penulis menegaskan bahwa metrik itu adalah metrik yang ditetapkan pakar karena keluaran model berupa teks bebas, bukan prediksi kategorikal (hlm. 1, 4). Dua dokter yang mengekstraksi secara independen berselisih pada 29,0% nilai, sedangkan LLM berselisih dari konsensus mereka pada 41,4% dalam pemetaan awal (hlm. 4). Setelah peninjauan, lebih dari separuh keluaran LLM yang semula dinilai berbeda dinyatakan cocok (hlm. 5), dan dari 65 keluaran yang semula dikategorikan halusinasi hanya empat yang terkonfirmasi setelah dicek ke dokumen asli (hlm. 6). Penulisnya menyimpulkan bahwa taksonomi galat dan metrik saja tidak cukup untuk menilai konsekuensi klinis (hlm. 5), dan bahwa jumlah ekstraktor manusia yang kecil membatasi estimasi variabilitas antarpenilai (hlm. 7).</w:t>
      </w:r>
    </w:p>
    <w:p w14:paraId="3EB94096">
      <w:pPr>
        <w:pStyle w:val="Heading3"/>
        <w:ind w:left="720" w:hanging="720"/>
        <w:jc w:val="both"/>
      </w:pPr>
      <w:bookmarkStart w:id="9028" w:name="_Toc9009028"/>
      <w:r>
        <w:rPr>
          <w:rFonts w:ascii="Times New Roman" w:hAnsi="Times New Roman" w:eastAsia="Times New Roman" w:cs="Times New Roman"/>
          <w:b/>
          <w:bCs/>
          <w:sz w:val="24"/>
          <w:szCs w:val="24"/>
        </w:rPr>
        <w:t>Sintesis dan Celah</w:t>
      </w:r>
      <w:bookmarkEnd w:id="9028"/>
    </w:p>
    <w:p w14:paraId="4998F0F4">
      <w:pPr>
        <w:jc w:val="both"/>
      </w:pPr>
      <w:r>
        <w:rPr>
          <w:rFonts w:ascii="Times New Roman" w:hAnsi="Times New Roman" w:eastAsia="Times New Roman" w:cs="Times New Roman"/>
          <w:sz w:val="24"/>
          <w:szCs w:val="24"/>
        </w:rPr>
        <w:t>Kedua sumber menunjukkan bahwa acuan penilaian perlu dirancang dan diukur, bukan diasumsikan: kesepakatan antarpenilai dapat diukur dengan ambang yang ditetapkan sebelumnya (Becker dkk., 2025, hlm. 2), dan ketidaksepakatan antarmanusia dapat mencapai 29,0% pada ekstraksi klinis (van Koevorden dkk., 2026, hlm. 4). Namun, ada tiga keterbatasan. Pertama, keduanya mengevaluasi ekstraksi entitas atau nilai dari satu dokumen, bukan temuan ketidaksesuaian antardokumen. Kedua, teks yang dievaluasi berbahasa Jerman dan Belanda (Becker dkk., 2025, hlm. 2; van Koevorden dkk., 2026, hlm. 7), bukan Indonesia, dan van Koevorden dkk. membatasi generalisasi pada satu pusat rujukan tersier (hlm. 8). Ketiga, hanya Becker dkk. yang mengukur kesepakatan antarpenilai secara formal; pada van Koevorden dkk. jumlah penilai manusia terlalu kecil untuk estimasi itu. Akibatnya, evaluasi audit dokumentasi perlu menetapkan unit temuan, perlakuan kasus ambigu, ukuran kesepakatan penilai, serta ukuran dan ambang kegagalan sebelum eksperimen; acuan yang ditetapkan satu penilai tidak dapat memperkirakan variabilitas antarpenilai. Metrik ekstraksi juga tidak dapat dipindahkan langsung sebagai ukuran keberhasilan audit, karena temuan yang masuk akal secara semantik harus didukung bukti dari episode pasien yang tepat, dan ketepatan menemukan satu masalah perlu dibaca bersama jumlah temuan yang bukan masalah.</w:t>
      </w:r>
    </w:p>
    <w:p>
      <w:pPr>
        <w:jc w:val="both"/>
      </w:pPr>
      <w:r>
        <w:rPr>
          <w:rFonts w:ascii="Times New Roman" w:hAnsi="Times New Roman" w:eastAsia="Times New Roman" w:cs="Times New Roman"/>
          <w:sz w:val="24"/>
          <w:szCs w:val="24"/>
        </w:rPr>
        <w:t xml:space="preserve">Ketepatan dan kelengkapan temuan audit diukur dengan presisi (P), </w:t>
      </w:r>
      <w:r>
        <w:rPr>
          <w:rFonts w:ascii="Times New Roman" w:hAnsi="Times New Roman" w:eastAsia="Times New Roman" w:cs="Times New Roman"/>
          <w:i/>
          <w:iCs/>
          <w:sz w:val="24"/>
          <w:szCs w:val="24"/>
        </w:rPr>
        <w:t xml:space="preserve">recall</w:t>
      </w:r>
      <w:r>
        <w:rPr>
          <w:rFonts w:ascii="Times New Roman" w:hAnsi="Times New Roman" w:eastAsia="Times New Roman" w:cs="Times New Roman"/>
          <w:sz w:val="24"/>
          <w:szCs w:val="24"/>
        </w:rPr>
        <w:t xml:space="preserve"> (R), dan F1 (Domingues, 2026, hlm. 3):</w:t>
      </w:r>
    </w:p>
    <w:p>
      <w:pPr>
        <w:tabs>
          <w:tab w:val="center" w:pos="4153"/>
          <w:tab w:val="right" w:pos="8306"/>
        </w:tabs>
        <w:jc w:val="left"/>
      </w:pPr>
      <w:r>
        <w:tab/>
      </w:r>
      <m:oMath>
        <m:r>
          <m:t xml:space="preserve">P=</m:t>
        </m:r>
        <m:f>
          <m:num>
            <m:r>
              <m:t xml:space="preserve">TP</m:t>
            </m:r>
          </m:num>
          <m:den>
            <m:r>
              <m:t xml:space="preserve">TP+FP</m:t>
            </m:r>
          </m:den>
        </m:f>
        <m:r>
          <m:t>,     R=</m:t>
        </m:r>
        <m:f>
          <m:num>
            <m:r>
              <m:t xml:space="preserve">TP</m:t>
            </m:r>
          </m:num>
          <m:den>
            <m:r>
              <m:t xml:space="preserve">TP+FN</m:t>
            </m:r>
          </m:den>
        </m:f>
        <m:r>
          <m:t xml:space="preserve">,     </m:t>
        </m:r>
        <m:sSub>
          <m:e>
            <m:r>
              <m:t xml:space="preserve">F</m:t>
            </m:r>
          </m:e>
          <m:sub>
            <m:r>
              <m:t xml:space="preserve">1</m:t>
            </m:r>
          </m:sub>
        </m:sSub>
        <m:r>
          <m:t xml:space="preserve">=</m:t>
        </m:r>
        <m:f>
          <m:num>
            <m:r>
              <m:t xml:space="preserve">2PR</m:t>
            </m:r>
          </m:num>
          <m:den>
            <m:r>
              <m:t xml:space="preserve">P+R</m:t>
            </m:r>
          </m:den>
        </m:f>
      </m:oMath>
      <w:r>
        <w:tab/>
      </w:r>
      <w:r>
        <w:rPr>
          <w:rFonts w:ascii="Times New Roman" w:hAnsi="Times New Roman" w:eastAsia="Times New Roman" w:cs="Times New Roman"/>
          <w:sz w:val="24"/>
          <w:szCs w:val="24"/>
        </w:rPr>
        <w:t xml:space="preserve">(II.2)</w:t>
      </w:r>
    </w:p>
    <w:p>
      <w:pPr>
        <w:jc w:val="both"/>
      </w:pPr>
      <w:r>
        <w:rPr>
          <w:rFonts w:ascii="Times New Roman" w:hAnsi="Times New Roman" w:eastAsia="Times New Roman" w:cs="Times New Roman"/>
          <w:sz w:val="24"/>
          <w:szCs w:val="24"/>
        </w:rPr>
        <w:t xml:space="preserve">dengan TP temuan yang dinilai benar oleh tenaga ahli, FP temuan yang dinilai tidak benar atau tidak relevan, dan FN ketidaksesuaian pada acuan yang tidak ditemukan sistem; keluaran “bukti belum cukup” dan temuan yang belum dapat dinilai dilaporkan terpisah. Bila jumlah temuan antarkategori timpang, macro-F1, yaitu rata-rata sederhana F1 per kategori, lebih mencerminkan kinerja pada kategori yang jarang (Hou dkk., 2024, hlm. 6). Untuk C kategori ketidaksesuaian, ukuran itu dihitung sebagai</w:t>
      </w:r>
    </w:p>
    <w:p>
      <w:pPr>
        <w:tabs>
          <w:tab w:val="center" w:pos="4153"/>
          <w:tab w:val="right" w:pos="8306"/>
        </w:tabs>
        <w:jc w:val="left"/>
      </w:pPr>
      <w:r>
        <w:tab/>
      </w:r>
      <m:oMath>
        <m:r>
          <m:rPr>
            <m:nor/>
          </m:rPr>
          <m:t xml:space="preserve">macro-</m:t>
        </m:r>
        <m:sSub>
          <m:e>
            <m:r>
              <m:t xml:space="preserve">F</m:t>
            </m:r>
          </m:e>
          <m:sub>
            <m:r>
              <m:t xml:space="preserve">1</m:t>
            </m:r>
          </m:sub>
        </m:sSub>
        <m:r>
          <m:t xml:space="preserve">=</m:t>
        </m:r>
        <m:f>
          <m:num>
            <m:r>
              <m:t xml:space="preserve">1</m:t>
            </m:r>
          </m:num>
          <m:den>
            <m:r>
              <m:t xml:space="preserve">C</m:t>
            </m:r>
          </m:den>
        </m:f>
        <m:nary>
          <m:naryPr>
            <m:chr m:val="∑"/>
          </m:naryPr>
          <m:sub>
            <m:r>
              <m:t xml:space="preserve">c=1</m:t>
            </m:r>
          </m:sub>
          <m:sup>
            <m:r>
              <m:t xml:space="preserve">C</m:t>
            </m:r>
          </m:sup>
          <m:e>
            <m:sSub>
              <m:e>
                <m:r>
                  <m:t xml:space="preserve">F</m:t>
                </m:r>
              </m:e>
              <m:sub>
                <m:r>
                  <m:t xml:space="preserve">1,c</m:t>
                </m:r>
              </m:sub>
            </m:sSub>
          </m:e>
        </m:nary>
      </m:oMath>
      <w:r>
        <w:tab/>
      </w:r>
      <w:r>
        <w:rPr>
          <w:rFonts w:ascii="Times New Roman" w:hAnsi="Times New Roman" w:eastAsia="Times New Roman" w:cs="Times New Roman"/>
          <w:sz w:val="24"/>
          <w:szCs w:val="24"/>
        </w:rPr>
        <w:t xml:space="preserve">(II.3)</w:t>
      </w:r>
    </w:p>
    <w:p w14:paraId="3EF6AB7C">
      <w:pPr>
        <w:pStyle w:val="Heading2"/>
        <w:ind w:left="576" w:hanging="576"/>
        <w:jc w:val="both"/>
      </w:pPr>
      <w:bookmarkStart w:id="9029" w:name="_Toc9009029"/>
      <w:r>
        <w:rPr>
          <w:rFonts w:ascii="Times New Roman" w:hAnsi="Times New Roman" w:eastAsia="Times New Roman" w:cs="Times New Roman"/>
          <w:b/>
          <w:bCs/>
          <w:sz w:val="24"/>
          <w:szCs w:val="24"/>
        </w:rPr>
        <w:t>Perbandingan Karya Terdahulu dan Celah Penelitian</w:t>
      </w:r>
      <w:bookmarkEnd w:id="9029"/>
    </w:p>
    <w:p w14:paraId="2EE64462">
      <w:pPr>
        <w:pStyle w:val="Heading3"/>
        <w:ind w:left="720" w:hanging="720"/>
        <w:jc w:val="both"/>
      </w:pPr>
      <w:bookmarkStart w:id="9030" w:name="_Toc9009030"/>
      <w:r>
        <w:rPr>
          <w:rFonts w:ascii="Times New Roman" w:hAnsi="Times New Roman" w:eastAsia="Times New Roman" w:cs="Times New Roman"/>
          <w:b/>
          <w:bCs/>
          <w:sz w:val="24"/>
          <w:szCs w:val="24"/>
        </w:rPr>
        <w:t>Perbandingan Karya Terdahulu</w:t>
      </w:r>
      <w:bookmarkEnd w:id="9030"/>
    </w:p>
    <w:p w14:paraId="0DC68392">
      <w:pPr>
        <w:jc w:val="both"/>
      </w:pPr>
      <w:r>
        <w:rPr>
          <w:rFonts w:ascii="Times New Roman" w:hAnsi="Times New Roman" w:eastAsia="Times New Roman" w:cs="Times New Roman"/>
          <w:sz w:val="24"/>
          <w:szCs w:val="24"/>
        </w:rPr>
        <w:t>Karya yang paling dekat dengan masalah penelitian ini pada tiap tema subbab sebelumnya dirangkum pada Tabel II.1, lengkap dengan halaman sumber pada kolom pertama.</w:t>
      </w:r>
    </w:p>
    <w:p w14:paraId="31ED21B7">
      <w:pPr>
        <w:pStyle w:val="Caption"/>
        <w:keepNext/>
        <w:spacing w:before="120" w:after="80"/>
        <w:ind w:left="0"/>
        <w:jc w:val="center"/>
      </w:pPr>
      <w:bookmarkStart w:id="9031" w:name="_Toc9009031"/>
      <w:r>
        <w:rPr>
          <w:rFonts w:ascii="Times New Roman" w:hAnsi="Times New Roman" w:eastAsia="Times New Roman" w:cs="Times New Roman"/>
          <w:sz w:val="24"/>
          <w:szCs w:val="18"/>
        </w:rPr>
        <w:t>Tabel II.</w:t>
        <w:fldChar w:fldCharType="begin"/>
        <w:instrText>SEQ Tabel \* ARABIC \s 1</w:instrText>
        <w:fldChar w:fldCharType="separate"/>
        <w:t>1</w:t>
        <w:fldChar w:fldCharType="end"/>
        <w:t>. Perbandingan karya terdahulu yang terdekat dengan penelitian ini</w:t>
      </w:r>
      <w:bookmarkEnd w:id="9031"/>
    </w:p>
    <w:tbl>
      <w:tblPr>
        <w:tblStyle w:val="TableGrid"/>
        <w:tblW w:w="830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70" w:type="dxa"/>
          <w:right w:w="70" w:type="dxa"/>
        </w:tblCellMar>
        <w:tblLook w:firstRow="1" w:firstColumn="1" w:noVBand="1"/>
      </w:tblPr>
      <w:tblGrid>
        <w:gridCol w:w="1750"/>
        <w:gridCol w:w="2300"/>
        <w:gridCol w:w="2150"/>
        <w:gridCol w:w="2106"/>
      </w:tblGrid>
      <w:tr>
        <w:trPr>
          <w:tblHeader/>
        </w:trPr>
        <w:tc>
          <w:tcPr>
            <w:tcW w:w="1750" w:type="dxa"/>
            <w:tcBorders>
              <w:top w:val="single" w:sz="4" w:space="0" w:color="000000"/>
              <w:left w:val="single" w:sz="4" w:space="0" w:color="000000"/>
              <w:bottom w:val="single" w:sz="4" w:space="0" w:color="000000"/>
              <w:right w:val="single" w:sz="4" w:space="0" w:color="000000"/>
            </w:tcBorders>
            <w:tcMar>
              <w:left w:w="70" w:type="dxa"/>
              <w:right w:w="70" w:type="dxa"/>
            </w:tcMar>
          </w:tcPr>
          <w:p w14:paraId="7F1D98B4">
            <w:pPr>
              <w:spacing w:before="20" w:after="20" w:line="240" w:lineRule="auto"/>
              <w:jc w:val="left"/>
            </w:pPr>
            <w:r>
              <w:rPr>
                <w:rFonts w:ascii="Times New Roman" w:hAnsi="Times New Roman" w:eastAsia="Times New Roman" w:cs="Times New Roman"/>
                <w:b/>
                <w:bCs/>
                <w:sz w:val="20"/>
                <w:szCs w:val="20"/>
              </w:rPr>
              <w:t>Karya</w:t>
            </w:r>
          </w:p>
        </w:tc>
        <w:tc>
          <w:tcPr>
            <w:tcW w:w="2300" w:type="dxa"/>
            <w:tcBorders>
              <w:top w:val="single" w:sz="4" w:space="0" w:color="000000"/>
              <w:left w:val="single" w:sz="4" w:space="0" w:color="000000"/>
              <w:bottom w:val="single" w:sz="4" w:space="0" w:color="000000"/>
              <w:right w:val="single" w:sz="4" w:space="0" w:color="000000"/>
            </w:tcBorders>
            <w:tcMar>
              <w:left w:w="70" w:type="dxa"/>
              <w:right w:w="70" w:type="dxa"/>
            </w:tcMar>
          </w:tcPr>
          <w:p w14:paraId="7959BF66">
            <w:pPr>
              <w:spacing w:before="20" w:after="20" w:line="240" w:lineRule="auto"/>
              <w:jc w:val="left"/>
            </w:pPr>
            <w:r>
              <w:rPr>
                <w:rFonts w:ascii="Times New Roman" w:hAnsi="Times New Roman" w:eastAsia="Times New Roman" w:cs="Times New Roman"/>
                <w:b/>
                <w:bCs/>
                <w:sz w:val="20"/>
                <w:szCs w:val="20"/>
              </w:rPr>
              <w:t>Data dan metode</w:t>
            </w:r>
          </w:p>
        </w:tc>
        <w:tc>
          <w:tcPr>
            <w:tcW w:w="2150" w:type="dxa"/>
            <w:tcBorders>
              <w:top w:val="single" w:sz="4" w:space="0" w:color="000000"/>
              <w:left w:val="single" w:sz="4" w:space="0" w:color="000000"/>
              <w:bottom w:val="single" w:sz="4" w:space="0" w:color="000000"/>
              <w:right w:val="single" w:sz="4" w:space="0" w:color="000000"/>
            </w:tcBorders>
            <w:tcMar>
              <w:left w:w="70" w:type="dxa"/>
              <w:right w:w="70" w:type="dxa"/>
            </w:tcMar>
          </w:tcPr>
          <w:p w14:paraId="4FF3FCB9">
            <w:pPr>
              <w:spacing w:before="20" w:after="20" w:line="240" w:lineRule="auto"/>
              <w:jc w:val="left"/>
            </w:pPr>
            <w:r>
              <w:rPr>
                <w:rFonts w:ascii="Times New Roman" w:hAnsi="Times New Roman" w:eastAsia="Times New Roman" w:cs="Times New Roman"/>
                <w:b/>
                <w:bCs/>
                <w:sz w:val="20"/>
                <w:szCs w:val="20"/>
              </w:rPr>
              <w:t>Hasil utama</w:t>
            </w:r>
          </w:p>
        </w:tc>
        <w:tc>
          <w:tcPr>
            <w:tcW w:w="2106" w:type="dxa"/>
            <w:tcBorders>
              <w:top w:val="single" w:sz="4" w:space="0" w:color="000000"/>
              <w:left w:val="single" w:sz="4" w:space="0" w:color="000000"/>
              <w:bottom w:val="single" w:sz="4" w:space="0" w:color="000000"/>
              <w:right w:val="single" w:sz="4" w:space="0" w:color="000000"/>
            </w:tcBorders>
            <w:tcMar>
              <w:left w:w="70" w:type="dxa"/>
              <w:right w:w="70" w:type="dxa"/>
            </w:tcMar>
          </w:tcPr>
          <w:p w14:paraId="4437D2B4">
            <w:pPr>
              <w:spacing w:before="20" w:after="20" w:line="240" w:lineRule="auto"/>
              <w:jc w:val="left"/>
            </w:pPr>
            <w:r>
              <w:rPr>
                <w:rFonts w:ascii="Times New Roman" w:hAnsi="Times New Roman" w:eastAsia="Times New Roman" w:cs="Times New Roman"/>
                <w:b/>
                <w:bCs/>
                <w:sz w:val="20"/>
                <w:szCs w:val="20"/>
              </w:rPr>
              <w:t>Keterbatasan bagi penelitian ini</w:t>
            </w:r>
          </w:p>
        </w:tc>
      </w:tr>
      <w:tr>
        <w:tc>
          <w:tcPr>
            <w:tcW w:w="1750" w:type="dxa"/>
            <w:tcBorders>
              <w:top w:val="single" w:sz="4" w:space="0" w:color="000000"/>
              <w:left w:val="single" w:sz="4" w:space="0" w:color="000000"/>
              <w:bottom w:val="single" w:sz="4" w:space="0" w:color="000000"/>
              <w:right w:val="single" w:sz="4" w:space="0" w:color="000000"/>
            </w:tcBorders>
            <w:tcMar>
              <w:left w:w="70" w:type="dxa"/>
              <w:right w:w="70" w:type="dxa"/>
            </w:tcMar>
          </w:tcPr>
          <w:p w14:paraId="4FC0B1F7">
            <w:pPr>
              <w:spacing w:before="20" w:after="20" w:line="240" w:lineRule="auto"/>
              <w:jc w:val="left"/>
            </w:pPr>
            <w:r>
              <w:rPr>
                <w:rFonts w:ascii="Times New Roman" w:hAnsi="Times New Roman" w:eastAsia="Times New Roman" w:cs="Times New Roman"/>
                <w:sz w:val="20"/>
                <w:szCs w:val="20"/>
              </w:rPr>
              <w:t>Simbolon &amp; Gani (2023, hlm. 72, 77)</w:t>
            </w:r>
          </w:p>
        </w:tc>
        <w:tc>
          <w:tcPr>
            <w:tcW w:w="2300" w:type="dxa"/>
            <w:tcBorders>
              <w:top w:val="single" w:sz="4" w:space="0" w:color="000000"/>
              <w:left w:val="single" w:sz="4" w:space="0" w:color="000000"/>
              <w:bottom w:val="single" w:sz="4" w:space="0" w:color="000000"/>
              <w:right w:val="single" w:sz="4" w:space="0" w:color="000000"/>
            </w:tcBorders>
            <w:tcMar>
              <w:left w:w="70" w:type="dxa"/>
              <w:right w:w="70" w:type="dxa"/>
            </w:tcMar>
          </w:tcPr>
          <w:p w14:paraId="4E1C80C5">
            <w:pPr>
              <w:spacing w:before="20" w:after="20" w:line="240" w:lineRule="auto"/>
              <w:jc w:val="left"/>
            </w:pPr>
            <w:r>
              <w:rPr>
                <w:rFonts w:ascii="Times New Roman" w:hAnsi="Times New Roman" w:eastAsia="Times New Roman" w:cs="Times New Roman"/>
                <w:sz w:val="20"/>
                <w:szCs w:val="20"/>
              </w:rPr>
              <w:t xml:space="preserve">Ulasan lima artikel tentang klaim rawat inap JKN yang </w:t>
            </w:r>
            <w:r>
              <w:rPr>
                <w:rFonts w:ascii="Times New Roman" w:hAnsi="Times New Roman" w:eastAsia="Times New Roman" w:cs="Times New Roman"/>
                <w:i/>
                <w:iCs/>
                <w:sz w:val="20"/>
                <w:szCs w:val="20"/>
              </w:rPr>
              <w:t>pending</w:t>
            </w:r>
          </w:p>
        </w:tc>
        <w:tc>
          <w:tcPr>
            <w:tcW w:w="2150" w:type="dxa"/>
            <w:tcBorders>
              <w:top w:val="single" w:sz="4" w:space="0" w:color="000000"/>
              <w:left w:val="single" w:sz="4" w:space="0" w:color="000000"/>
              <w:bottom w:val="single" w:sz="4" w:space="0" w:color="000000"/>
              <w:right w:val="single" w:sz="4" w:space="0" w:color="000000"/>
            </w:tcBorders>
            <w:tcMar>
              <w:left w:w="70" w:type="dxa"/>
              <w:right w:w="70" w:type="dxa"/>
            </w:tcMar>
          </w:tcPr>
          <w:p w14:paraId="22527762">
            <w:pPr>
              <w:spacing w:before="20" w:after="20" w:line="240" w:lineRule="auto"/>
              <w:jc w:val="left"/>
            </w:pPr>
            <w:r>
              <w:rPr>
                <w:rFonts w:ascii="Times New Roman" w:hAnsi="Times New Roman" w:eastAsia="Times New Roman" w:cs="Times New Roman"/>
                <w:sz w:val="20"/>
                <w:szCs w:val="20"/>
              </w:rPr>
              <w:t>Pengodean tidak sesuai, berkas tidak lengkap, dan beda diagnosis DPJP–verifikator</w:t>
            </w:r>
          </w:p>
        </w:tc>
        <w:tc>
          <w:tcPr>
            <w:tcW w:w="2106" w:type="dxa"/>
            <w:tcBorders>
              <w:top w:val="single" w:sz="4" w:space="0" w:color="000000"/>
              <w:left w:val="single" w:sz="4" w:space="0" w:color="000000"/>
              <w:bottom w:val="single" w:sz="4" w:space="0" w:color="000000"/>
              <w:right w:val="single" w:sz="4" w:space="0" w:color="000000"/>
            </w:tcBorders>
            <w:tcMar>
              <w:left w:w="70" w:type="dxa"/>
              <w:right w:w="70" w:type="dxa"/>
            </w:tcMar>
          </w:tcPr>
          <w:p w14:paraId="330B50AB">
            <w:pPr>
              <w:spacing w:before="20" w:after="20" w:line="240" w:lineRule="auto"/>
              <w:jc w:val="left"/>
            </w:pPr>
            <w:r>
              <w:rPr>
                <w:rFonts w:ascii="Times New Roman" w:hAnsi="Times New Roman" w:eastAsia="Times New Roman" w:cs="Times New Roman"/>
                <w:sz w:val="20"/>
                <w:szCs w:val="20"/>
              </w:rPr>
              <w:t>Ringkasan sekunder; jenis ketidaksesuaian antardokumen tidak dirinci</w:t>
            </w:r>
          </w:p>
        </w:tc>
      </w:tr>
      <w:tr>
        <w:tc>
          <w:tcPr>
            <w:tcW w:w="1750" w:type="dxa"/>
            <w:tcBorders>
              <w:top w:val="single" w:sz="4" w:space="0" w:color="000000"/>
              <w:left w:val="single" w:sz="4" w:space="0" w:color="000000"/>
              <w:bottom w:val="single" w:sz="4" w:space="0" w:color="000000"/>
              <w:right w:val="single" w:sz="4" w:space="0" w:color="000000"/>
            </w:tcBorders>
            <w:tcMar>
              <w:left w:w="70" w:type="dxa"/>
              <w:right w:w="70" w:type="dxa"/>
            </w:tcMar>
          </w:tcPr>
          <w:p w14:paraId="5DAFBF1D">
            <w:pPr>
              <w:spacing w:before="20" w:after="20" w:line="240" w:lineRule="auto"/>
              <w:jc w:val="left"/>
            </w:pPr>
            <w:r>
              <w:rPr>
                <w:rFonts w:ascii="Times New Roman" w:hAnsi="Times New Roman" w:eastAsia="Times New Roman" w:cs="Times New Roman"/>
                <w:sz w:val="20"/>
                <w:szCs w:val="20"/>
              </w:rPr>
              <w:t>Dietrich &amp; Stubbert (2026, hlm. 95–98, 100)</w:t>
            </w:r>
          </w:p>
        </w:tc>
        <w:tc>
          <w:tcPr>
            <w:tcW w:w="2300" w:type="dxa"/>
            <w:tcBorders>
              <w:top w:val="single" w:sz="4" w:space="0" w:color="000000"/>
              <w:left w:val="single" w:sz="4" w:space="0" w:color="000000"/>
              <w:bottom w:val="single" w:sz="4" w:space="0" w:color="000000"/>
              <w:right w:val="single" w:sz="4" w:space="0" w:color="000000"/>
            </w:tcBorders>
            <w:tcMar>
              <w:left w:w="70" w:type="dxa"/>
              <w:right w:w="70" w:type="dxa"/>
            </w:tcMar>
          </w:tcPr>
          <w:p w14:paraId="18847852">
            <w:pPr>
              <w:spacing w:before="20" w:after="20" w:line="240" w:lineRule="auto"/>
              <w:jc w:val="left"/>
            </w:pPr>
            <w:r>
              <w:rPr>
                <w:rFonts w:ascii="Times New Roman" w:hAnsi="Times New Roman" w:eastAsia="Times New Roman" w:cs="Times New Roman"/>
                <w:sz w:val="20"/>
                <w:szCs w:val="20"/>
              </w:rPr>
              <w:t>600 catatan pemulangan IGD (MIMIC-IV-ED); empat LLM</w:t>
            </w:r>
          </w:p>
        </w:tc>
        <w:tc>
          <w:tcPr>
            <w:tcW w:w="2150" w:type="dxa"/>
            <w:tcBorders>
              <w:top w:val="single" w:sz="4" w:space="0" w:color="000000"/>
              <w:left w:val="single" w:sz="4" w:space="0" w:color="000000"/>
              <w:bottom w:val="single" w:sz="4" w:space="0" w:color="000000"/>
              <w:right w:val="single" w:sz="4" w:space="0" w:color="000000"/>
            </w:tcBorders>
            <w:tcMar>
              <w:left w:w="70" w:type="dxa"/>
              <w:right w:w="70" w:type="dxa"/>
            </w:tcMar>
          </w:tcPr>
          <w:p w14:paraId="7BB5116C">
            <w:pPr>
              <w:spacing w:before="20" w:after="20" w:line="240" w:lineRule="auto"/>
              <w:jc w:val="left"/>
            </w:pPr>
            <w:r>
              <w:rPr>
                <w:rFonts w:ascii="Times New Roman" w:hAnsi="Times New Roman" w:eastAsia="Times New Roman" w:cs="Times New Roman"/>
                <w:sz w:val="20"/>
                <w:szCs w:val="20"/>
              </w:rPr>
              <w:t>Akurasi 93,2–94,2%; temuan klinis tersulit</w:t>
            </w:r>
          </w:p>
        </w:tc>
        <w:tc>
          <w:tcPr>
            <w:tcW w:w="2106" w:type="dxa"/>
            <w:tcBorders>
              <w:top w:val="single" w:sz="4" w:space="0" w:color="000000"/>
              <w:left w:val="single" w:sz="4" w:space="0" w:color="000000"/>
              <w:bottom w:val="single" w:sz="4" w:space="0" w:color="000000"/>
              <w:right w:val="single" w:sz="4" w:space="0" w:color="000000"/>
            </w:tcBorders>
            <w:tcMar>
              <w:left w:w="70" w:type="dxa"/>
              <w:right w:w="70" w:type="dxa"/>
            </w:tcMar>
          </w:tcPr>
          <w:p w14:paraId="3A0B1590">
            <w:pPr>
              <w:spacing w:before="20" w:after="20" w:line="240" w:lineRule="auto"/>
              <w:jc w:val="left"/>
            </w:pPr>
            <w:r>
              <w:rPr>
                <w:rFonts w:ascii="Times New Roman" w:hAnsi="Times New Roman" w:eastAsia="Times New Roman" w:cs="Times New Roman"/>
                <w:sz w:val="20"/>
                <w:szCs w:val="20"/>
              </w:rPr>
              <w:t>500 dari 600 catatan bersisipan kesalahan; satu dokumen; tanpa pedoman</w:t>
            </w:r>
          </w:p>
        </w:tc>
      </w:tr>
      <w:tr>
        <w:tc>
          <w:tcPr>
            <w:tcW w:w="1750" w:type="dxa"/>
            <w:tcBorders>
              <w:top w:val="single" w:sz="4" w:space="0" w:color="000000"/>
              <w:left w:val="single" w:sz="4" w:space="0" w:color="000000"/>
              <w:bottom w:val="single" w:sz="4" w:space="0" w:color="000000"/>
              <w:right w:val="single" w:sz="4" w:space="0" w:color="000000"/>
            </w:tcBorders>
            <w:tcMar>
              <w:left w:w="70" w:type="dxa"/>
              <w:right w:w="70" w:type="dxa"/>
            </w:tcMar>
          </w:tcPr>
          <w:p w14:paraId="08F4330E">
            <w:pPr>
              <w:spacing w:before="20" w:after="20" w:line="240" w:lineRule="auto"/>
              <w:jc w:val="left"/>
            </w:pPr>
            <w:r>
              <w:rPr>
                <w:rFonts w:ascii="Times New Roman" w:hAnsi="Times New Roman" w:eastAsia="Times New Roman" w:cs="Times New Roman"/>
                <w:sz w:val="20"/>
                <w:szCs w:val="20"/>
              </w:rPr>
              <w:t>Skrabic dkk. (2026, hlm. 1–2, 4, 6)</w:t>
            </w:r>
          </w:p>
        </w:tc>
        <w:tc>
          <w:tcPr>
            <w:tcW w:w="2300" w:type="dxa"/>
            <w:tcBorders>
              <w:top w:val="single" w:sz="4" w:space="0" w:color="000000"/>
              <w:left w:val="single" w:sz="4" w:space="0" w:color="000000"/>
              <w:bottom w:val="single" w:sz="4" w:space="0" w:color="000000"/>
              <w:right w:val="single" w:sz="4" w:space="0" w:color="000000"/>
            </w:tcBorders>
            <w:tcMar>
              <w:left w:w="70" w:type="dxa"/>
              <w:right w:w="70" w:type="dxa"/>
            </w:tcMar>
          </w:tcPr>
          <w:p w14:paraId="7664843C">
            <w:pPr>
              <w:spacing w:before="20" w:after="20" w:line="240" w:lineRule="auto"/>
              <w:jc w:val="left"/>
            </w:pPr>
            <w:r>
              <w:rPr>
                <w:rFonts w:ascii="Times New Roman" w:hAnsi="Times New Roman" w:eastAsia="Times New Roman" w:cs="Times New Roman"/>
                <w:sz w:val="20"/>
                <w:szCs w:val="20"/>
              </w:rPr>
              <w:t>102 laporan IGD; tiga model penalaran vs tiga dokter</w:t>
            </w:r>
          </w:p>
        </w:tc>
        <w:tc>
          <w:tcPr>
            <w:tcW w:w="2150" w:type="dxa"/>
            <w:tcBorders>
              <w:top w:val="single" w:sz="4" w:space="0" w:color="000000"/>
              <w:left w:val="single" w:sz="4" w:space="0" w:color="000000"/>
              <w:bottom w:val="single" w:sz="4" w:space="0" w:color="000000"/>
              <w:right w:val="single" w:sz="4" w:space="0" w:color="000000"/>
            </w:tcBorders>
            <w:tcMar>
              <w:left w:w="70" w:type="dxa"/>
              <w:right w:w="70" w:type="dxa"/>
            </w:tcMar>
          </w:tcPr>
          <w:p w14:paraId="01DACE52">
            <w:pPr>
              <w:spacing w:before="20" w:after="20" w:line="240" w:lineRule="auto"/>
              <w:jc w:val="left"/>
            </w:pPr>
            <w:r>
              <w:rPr>
                <w:rFonts w:ascii="Times New Roman" w:hAnsi="Times New Roman" w:eastAsia="Times New Roman" w:cs="Times New Roman"/>
                <w:sz w:val="20"/>
                <w:szCs w:val="20"/>
              </w:rPr>
              <w:t>Lokasi benar 65,7–79,2% vs dokter 48,0%</w:t>
            </w:r>
          </w:p>
        </w:tc>
        <w:tc>
          <w:tcPr>
            <w:tcW w:w="2106" w:type="dxa"/>
            <w:tcBorders>
              <w:top w:val="single" w:sz="4" w:space="0" w:color="000000"/>
              <w:left w:val="single" w:sz="4" w:space="0" w:color="000000"/>
              <w:bottom w:val="single" w:sz="4" w:space="0" w:color="000000"/>
              <w:right w:val="single" w:sz="4" w:space="0" w:color="000000"/>
            </w:tcBorders>
            <w:tcMar>
              <w:left w:w="70" w:type="dxa"/>
              <w:right w:w="70" w:type="dxa"/>
            </w:tcMar>
          </w:tcPr>
          <w:p w14:paraId="71EAA730">
            <w:pPr>
              <w:spacing w:before="20" w:after="20" w:line="240" w:lineRule="auto"/>
              <w:jc w:val="left"/>
            </w:pPr>
            <w:r>
              <w:rPr>
                <w:rFonts w:ascii="Times New Roman" w:hAnsi="Times New Roman" w:eastAsia="Times New Roman" w:cs="Times New Roman"/>
                <w:sz w:val="20"/>
                <w:szCs w:val="20"/>
              </w:rPr>
              <w:t>Tanpa catatan bebas kesalahan, sehingga positif palsu tidak terukur</w:t>
            </w:r>
          </w:p>
        </w:tc>
      </w:tr>
      <w:tr>
        <w:tc>
          <w:tcPr>
            <w:tcW w:w="1750" w:type="dxa"/>
            <w:tcBorders>
              <w:top w:val="single" w:sz="4" w:space="0" w:color="000000"/>
              <w:left w:val="single" w:sz="4" w:space="0" w:color="000000"/>
              <w:bottom w:val="single" w:sz="4" w:space="0" w:color="000000"/>
              <w:right w:val="single" w:sz="4" w:space="0" w:color="000000"/>
            </w:tcBorders>
            <w:tcMar>
              <w:left w:w="70" w:type="dxa"/>
              <w:right w:w="70" w:type="dxa"/>
            </w:tcMar>
          </w:tcPr>
          <w:p w14:paraId="0B122593">
            <w:pPr>
              <w:spacing w:before="20" w:after="20" w:line="240" w:lineRule="auto"/>
              <w:jc w:val="left"/>
            </w:pPr>
            <w:r>
              <w:rPr>
                <w:rFonts w:ascii="Times New Roman" w:hAnsi="Times New Roman" w:eastAsia="Times New Roman" w:cs="Times New Roman"/>
                <w:sz w:val="20"/>
                <w:szCs w:val="20"/>
              </w:rPr>
              <w:t>Jaganathan dkk. (2025, hlm. 3–4)</w:t>
            </w:r>
          </w:p>
        </w:tc>
        <w:tc>
          <w:tcPr>
            <w:tcW w:w="2300" w:type="dxa"/>
            <w:tcBorders>
              <w:top w:val="single" w:sz="4" w:space="0" w:color="000000"/>
              <w:left w:val="single" w:sz="4" w:space="0" w:color="000000"/>
              <w:bottom w:val="single" w:sz="4" w:space="0" w:color="000000"/>
              <w:right w:val="single" w:sz="4" w:space="0" w:color="000000"/>
            </w:tcBorders>
            <w:tcMar>
              <w:left w:w="70" w:type="dxa"/>
              <w:right w:w="70" w:type="dxa"/>
            </w:tcMar>
          </w:tcPr>
          <w:p w14:paraId="320C0CEB">
            <w:pPr>
              <w:spacing w:before="20" w:after="20" w:line="240" w:lineRule="auto"/>
              <w:jc w:val="left"/>
            </w:pPr>
            <w:r>
              <w:rPr>
                <w:rFonts w:ascii="Times New Roman" w:hAnsi="Times New Roman" w:eastAsia="Times New Roman" w:cs="Times New Roman"/>
                <w:sz w:val="20"/>
                <w:szCs w:val="20"/>
              </w:rPr>
              <w:t>3.372 catatan MIMIC-III; pengujian metamorfik pada model pengodean ICD</w:t>
            </w:r>
          </w:p>
        </w:tc>
        <w:tc>
          <w:tcPr>
            <w:tcW w:w="2150" w:type="dxa"/>
            <w:tcBorders>
              <w:top w:val="single" w:sz="4" w:space="0" w:color="000000"/>
              <w:left w:val="single" w:sz="4" w:space="0" w:color="000000"/>
              <w:bottom w:val="single" w:sz="4" w:space="0" w:color="000000"/>
              <w:right w:val="single" w:sz="4" w:space="0" w:color="000000"/>
            </w:tcBorders>
            <w:tcMar>
              <w:left w:w="70" w:type="dxa"/>
              <w:right w:w="70" w:type="dxa"/>
            </w:tcMar>
          </w:tcPr>
          <w:p w14:paraId="614B0B94">
            <w:pPr>
              <w:spacing w:before="20" w:after="20" w:line="240" w:lineRule="auto"/>
              <w:jc w:val="left"/>
            </w:pPr>
            <w:r>
              <w:rPr>
                <w:rFonts w:ascii="Times New Roman" w:hAnsi="Times New Roman" w:eastAsia="Times New Roman" w:cs="Times New Roman"/>
                <w:sz w:val="20"/>
                <w:szCs w:val="20"/>
              </w:rPr>
              <w:t>Lima kode teratas berubah pada 70–81% catatan</w:t>
            </w:r>
          </w:p>
        </w:tc>
        <w:tc>
          <w:tcPr>
            <w:tcW w:w="2106" w:type="dxa"/>
            <w:tcBorders>
              <w:top w:val="single" w:sz="4" w:space="0" w:color="000000"/>
              <w:left w:val="single" w:sz="4" w:space="0" w:color="000000"/>
              <w:bottom w:val="single" w:sz="4" w:space="0" w:color="000000"/>
              <w:right w:val="single" w:sz="4" w:space="0" w:color="000000"/>
            </w:tcBorders>
            <w:tcMar>
              <w:left w:w="70" w:type="dxa"/>
              <w:right w:w="70" w:type="dxa"/>
            </w:tcMar>
          </w:tcPr>
          <w:p w14:paraId="3CF31863">
            <w:pPr>
              <w:spacing w:before="20" w:after="20" w:line="240" w:lineRule="auto"/>
              <w:jc w:val="left"/>
            </w:pPr>
            <w:r>
              <w:rPr>
                <w:rFonts w:ascii="Times New Roman" w:hAnsi="Times New Roman" w:eastAsia="Times New Roman" w:cs="Times New Roman"/>
                <w:sz w:val="20"/>
                <w:szCs w:val="20"/>
              </w:rPr>
              <w:t>Satu model; mengukur stabilitas, bukan kebenaran</w:t>
            </w:r>
          </w:p>
        </w:tc>
      </w:tr>
      <w:tr>
        <w:tc>
          <w:tcPr>
            <w:tcW w:w="1750" w:type="dxa"/>
            <w:tcBorders>
              <w:top w:val="single" w:sz="4" w:space="0" w:color="000000"/>
              <w:left w:val="single" w:sz="4" w:space="0" w:color="000000"/>
              <w:bottom w:val="single" w:sz="4" w:space="0" w:color="000000"/>
              <w:right w:val="single" w:sz="4" w:space="0" w:color="000000"/>
            </w:tcBorders>
            <w:tcMar>
              <w:left w:w="70" w:type="dxa"/>
              <w:right w:w="70" w:type="dxa"/>
            </w:tcMar>
          </w:tcPr>
          <w:p w14:paraId="15592E24">
            <w:pPr>
              <w:spacing w:before="20" w:after="20" w:line="240" w:lineRule="auto"/>
              <w:jc w:val="left"/>
            </w:pPr>
            <w:r>
              <w:rPr>
                <w:rFonts w:ascii="Times New Roman" w:hAnsi="Times New Roman" w:eastAsia="Times New Roman" w:cs="Times New Roman"/>
                <w:sz w:val="20"/>
                <w:szCs w:val="20"/>
              </w:rPr>
              <w:t>Wei dkk. (2026, hlm. 1, 5, 9)</w:t>
            </w:r>
          </w:p>
        </w:tc>
        <w:tc>
          <w:tcPr>
            <w:tcW w:w="2300" w:type="dxa"/>
            <w:tcBorders>
              <w:top w:val="single" w:sz="4" w:space="0" w:color="000000"/>
              <w:left w:val="single" w:sz="4" w:space="0" w:color="000000"/>
              <w:bottom w:val="single" w:sz="4" w:space="0" w:color="000000"/>
              <w:right w:val="single" w:sz="4" w:space="0" w:color="000000"/>
            </w:tcBorders>
            <w:tcMar>
              <w:left w:w="70" w:type="dxa"/>
              <w:right w:w="70" w:type="dxa"/>
            </w:tcMar>
          </w:tcPr>
          <w:p w14:paraId="0A5EF42C">
            <w:pPr>
              <w:spacing w:before="20" w:after="20" w:line="240" w:lineRule="auto"/>
              <w:jc w:val="left"/>
            </w:pPr>
            <w:r>
              <w:rPr>
                <w:rFonts w:ascii="Times New Roman" w:hAnsi="Times New Roman" w:eastAsia="Times New Roman" w:cs="Times New Roman"/>
                <w:sz w:val="20"/>
                <w:szCs w:val="20"/>
              </w:rPr>
              <w:t>Disambiguasi singkatan; dataset CASI berbahasa Inggris</w:t>
            </w:r>
          </w:p>
        </w:tc>
        <w:tc>
          <w:tcPr>
            <w:tcW w:w="2150" w:type="dxa"/>
            <w:tcBorders>
              <w:top w:val="single" w:sz="4" w:space="0" w:color="000000"/>
              <w:left w:val="single" w:sz="4" w:space="0" w:color="000000"/>
              <w:bottom w:val="single" w:sz="4" w:space="0" w:color="000000"/>
              <w:right w:val="single" w:sz="4" w:space="0" w:color="000000"/>
            </w:tcBorders>
            <w:tcMar>
              <w:left w:w="70" w:type="dxa"/>
              <w:right w:w="70" w:type="dxa"/>
            </w:tcMar>
          </w:tcPr>
          <w:p w14:paraId="670B8B95">
            <w:pPr>
              <w:spacing w:before="20" w:after="20" w:line="240" w:lineRule="auto"/>
              <w:jc w:val="left"/>
            </w:pPr>
            <w:r>
              <w:rPr>
                <w:rFonts w:ascii="Times New Roman" w:hAnsi="Times New Roman" w:eastAsia="Times New Roman" w:cs="Times New Roman"/>
                <w:sz w:val="20"/>
                <w:szCs w:val="20"/>
              </w:rPr>
              <w:t>Akurasi 0,9228 (bersih) dan 0,7585 (asli)</w:t>
            </w:r>
          </w:p>
        </w:tc>
        <w:tc>
          <w:tcPr>
            <w:tcW w:w="2106" w:type="dxa"/>
            <w:tcBorders>
              <w:top w:val="single" w:sz="4" w:space="0" w:color="000000"/>
              <w:left w:val="single" w:sz="4" w:space="0" w:color="000000"/>
              <w:bottom w:val="single" w:sz="4" w:space="0" w:color="000000"/>
              <w:right w:val="single" w:sz="4" w:space="0" w:color="000000"/>
            </w:tcBorders>
            <w:tcMar>
              <w:left w:w="70" w:type="dxa"/>
              <w:right w:w="70" w:type="dxa"/>
            </w:tcMar>
          </w:tcPr>
          <w:p w14:paraId="027F0502">
            <w:pPr>
              <w:spacing w:before="20" w:after="20" w:line="240" w:lineRule="auto"/>
              <w:jc w:val="left"/>
            </w:pPr>
            <w:r>
              <w:rPr>
                <w:rFonts w:ascii="Times New Roman" w:hAnsi="Times New Roman" w:eastAsia="Times New Roman" w:cs="Times New Roman"/>
                <w:sz w:val="20"/>
                <w:szCs w:val="20"/>
              </w:rPr>
              <w:t>Satu tolok ukur Inggris; bergantung pada inventori makna</w:t>
            </w:r>
          </w:p>
        </w:tc>
      </w:tr>
      <w:tr>
        <w:tc>
          <w:tcPr>
            <w:tcW w:w="1750" w:type="dxa"/>
            <w:tcBorders>
              <w:top w:val="single" w:sz="4" w:space="0" w:color="000000"/>
              <w:left w:val="single" w:sz="4" w:space="0" w:color="000000"/>
              <w:bottom w:val="single" w:sz="4" w:space="0" w:color="000000"/>
              <w:right w:val="single" w:sz="4" w:space="0" w:color="000000"/>
            </w:tcBorders>
            <w:tcMar>
              <w:left w:w="70" w:type="dxa"/>
              <w:right w:w="70" w:type="dxa"/>
            </w:tcMar>
          </w:tcPr>
          <w:p w14:paraId="5040A71B">
            <w:pPr>
              <w:spacing w:before="20" w:after="20" w:line="240" w:lineRule="auto"/>
              <w:jc w:val="left"/>
            </w:pPr>
            <w:r>
              <w:rPr>
                <w:rFonts w:ascii="Times New Roman" w:hAnsi="Times New Roman" w:eastAsia="Times New Roman" w:cs="Times New Roman"/>
                <w:sz w:val="20"/>
                <w:szCs w:val="20"/>
              </w:rPr>
              <w:t>Ijadi Maghsoodi dkk. (2026, hlm. 1, 4, 7); Domingues (2026, hlm. 1–2)</w:t>
            </w:r>
          </w:p>
        </w:tc>
        <w:tc>
          <w:tcPr>
            <w:tcW w:w="2300" w:type="dxa"/>
            <w:tcBorders>
              <w:top w:val="single" w:sz="4" w:space="0" w:color="000000"/>
              <w:left w:val="single" w:sz="4" w:space="0" w:color="000000"/>
              <w:bottom w:val="single" w:sz="4" w:space="0" w:color="000000"/>
              <w:right w:val="single" w:sz="4" w:space="0" w:color="000000"/>
            </w:tcBorders>
            <w:tcMar>
              <w:left w:w="70" w:type="dxa"/>
              <w:right w:w="70" w:type="dxa"/>
            </w:tcMar>
          </w:tcPr>
          <w:p w14:paraId="4CB642C1">
            <w:pPr>
              <w:spacing w:before="20" w:after="20" w:line="240" w:lineRule="auto"/>
              <w:jc w:val="left"/>
            </w:pPr>
            <w:r>
              <w:rPr>
                <w:rFonts w:ascii="Times New Roman" w:hAnsi="Times New Roman" w:eastAsia="Times New Roman" w:cs="Times New Roman"/>
                <w:sz w:val="20"/>
                <w:szCs w:val="20"/>
              </w:rPr>
              <w:t>Tinjauan naratif hibrida; sistem berbasis aturan untuk onkologi prostat</w:t>
            </w:r>
          </w:p>
        </w:tc>
        <w:tc>
          <w:tcPr>
            <w:tcW w:w="2150" w:type="dxa"/>
            <w:tcBorders>
              <w:top w:val="single" w:sz="4" w:space="0" w:color="000000"/>
              <w:left w:val="single" w:sz="4" w:space="0" w:color="000000"/>
              <w:bottom w:val="single" w:sz="4" w:space="0" w:color="000000"/>
              <w:right w:val="single" w:sz="4" w:space="0" w:color="000000"/>
            </w:tcBorders>
            <w:tcMar>
              <w:left w:w="70" w:type="dxa"/>
              <w:right w:w="70" w:type="dxa"/>
            </w:tcMar>
          </w:tcPr>
          <w:p w14:paraId="0BC262D9">
            <w:pPr>
              <w:spacing w:before="20" w:after="20" w:line="240" w:lineRule="auto"/>
              <w:jc w:val="left"/>
            </w:pPr>
            <w:r>
              <w:rPr>
                <w:rFonts w:ascii="Times New Roman" w:hAnsi="Times New Roman" w:eastAsia="Times New Roman" w:cs="Times New Roman"/>
                <w:sz w:val="20"/>
                <w:szCs w:val="20"/>
              </w:rPr>
              <w:t>Hibrida paling kredibel pada validasi dokumentasi; bukti prospektif jarang</w:t>
            </w:r>
          </w:p>
        </w:tc>
        <w:tc>
          <w:tcPr>
            <w:tcW w:w="2106" w:type="dxa"/>
            <w:tcBorders>
              <w:top w:val="single" w:sz="4" w:space="0" w:color="000000"/>
              <w:left w:val="single" w:sz="4" w:space="0" w:color="000000"/>
              <w:bottom w:val="single" w:sz="4" w:space="0" w:color="000000"/>
              <w:right w:val="single" w:sz="4" w:space="0" w:color="000000"/>
            </w:tcBorders>
            <w:tcMar>
              <w:left w:w="70" w:type="dxa"/>
              <w:right w:w="70" w:type="dxa"/>
            </w:tcMar>
          </w:tcPr>
          <w:p w14:paraId="1DB0A420">
            <w:pPr>
              <w:spacing w:before="20" w:after="20" w:line="240" w:lineRule="auto"/>
              <w:jc w:val="left"/>
            </w:pPr>
            <w:r>
              <w:rPr>
                <w:rFonts w:ascii="Times New Roman" w:hAnsi="Times New Roman" w:eastAsia="Times New Roman" w:cs="Times New Roman"/>
                <w:sz w:val="20"/>
                <w:szCs w:val="20"/>
              </w:rPr>
              <w:t>Konseptual; yang diuji hanya aturan; tanpa perbandingan aturan vs aturan + AI</w:t>
            </w:r>
          </w:p>
        </w:tc>
      </w:tr>
      <w:tr>
        <w:tc>
          <w:tcPr>
            <w:tcW w:w="1750" w:type="dxa"/>
            <w:tcBorders>
              <w:top w:val="single" w:sz="4" w:space="0" w:color="000000"/>
              <w:left w:val="single" w:sz="4" w:space="0" w:color="000000"/>
              <w:bottom w:val="single" w:sz="4" w:space="0" w:color="000000"/>
              <w:right w:val="single" w:sz="4" w:space="0" w:color="000000"/>
            </w:tcBorders>
            <w:tcMar>
              <w:left w:w="70" w:type="dxa"/>
              <w:right w:w="70" w:type="dxa"/>
            </w:tcMar>
          </w:tcPr>
          <w:p w14:paraId="68B75ED5">
            <w:pPr>
              <w:spacing w:before="20" w:after="20" w:line="240" w:lineRule="auto"/>
              <w:jc w:val="left"/>
            </w:pPr>
            <w:r>
              <w:rPr>
                <w:rFonts w:ascii="Times New Roman" w:hAnsi="Times New Roman" w:eastAsia="Times New Roman" w:cs="Times New Roman"/>
                <w:sz w:val="20"/>
                <w:szCs w:val="20"/>
              </w:rPr>
              <w:t>Zhang dkk. (2026, hlm. 1, 5–6, 11)</w:t>
            </w:r>
          </w:p>
        </w:tc>
        <w:tc>
          <w:tcPr>
            <w:tcW w:w="2300" w:type="dxa"/>
            <w:tcBorders>
              <w:top w:val="single" w:sz="4" w:space="0" w:color="000000"/>
              <w:left w:val="single" w:sz="4" w:space="0" w:color="000000"/>
              <w:bottom w:val="single" w:sz="4" w:space="0" w:color="000000"/>
              <w:right w:val="single" w:sz="4" w:space="0" w:color="000000"/>
            </w:tcBorders>
            <w:tcMar>
              <w:left w:w="70" w:type="dxa"/>
              <w:right w:w="70" w:type="dxa"/>
            </w:tcMar>
          </w:tcPr>
          <w:p w14:paraId="386282A2">
            <w:pPr>
              <w:spacing w:before="20" w:after="20" w:line="240" w:lineRule="auto"/>
              <w:jc w:val="left"/>
            </w:pPr>
            <w:r>
              <w:rPr>
                <w:rFonts w:ascii="Times New Roman" w:hAnsi="Times New Roman" w:eastAsia="Times New Roman" w:cs="Times New Roman"/>
                <w:sz w:val="20"/>
                <w:szCs w:val="20"/>
              </w:rPr>
              <w:t>RAG pada catatan perawatan lansia; Llama 3.1 8B</w:t>
            </w:r>
          </w:p>
        </w:tc>
        <w:tc>
          <w:tcPr>
            <w:tcW w:w="2150" w:type="dxa"/>
            <w:tcBorders>
              <w:top w:val="single" w:sz="4" w:space="0" w:color="000000"/>
              <w:left w:val="single" w:sz="4" w:space="0" w:color="000000"/>
              <w:bottom w:val="single" w:sz="4" w:space="0" w:color="000000"/>
              <w:right w:val="single" w:sz="4" w:space="0" w:color="000000"/>
            </w:tcBorders>
            <w:tcMar>
              <w:left w:w="70" w:type="dxa"/>
              <w:right w:w="70" w:type="dxa"/>
            </w:tcMar>
          </w:tcPr>
          <w:p w14:paraId="72C8AFC0">
            <w:pPr>
              <w:spacing w:before="20" w:after="20" w:line="240" w:lineRule="auto"/>
              <w:jc w:val="left"/>
            </w:pPr>
            <w:r>
              <w:rPr>
                <w:rFonts w:ascii="Times New Roman" w:hAnsi="Times New Roman" w:eastAsia="Times New Roman" w:cs="Times New Roman"/>
                <w:sz w:val="20"/>
                <w:szCs w:val="20"/>
              </w:rPr>
              <w:t>F1 jawaban 0,702/0,722 menjadi 0,946/0,953</w:t>
            </w:r>
          </w:p>
        </w:tc>
        <w:tc>
          <w:tcPr>
            <w:tcW w:w="2106" w:type="dxa"/>
            <w:tcBorders>
              <w:top w:val="single" w:sz="4" w:space="0" w:color="000000"/>
              <w:left w:val="single" w:sz="4" w:space="0" w:color="000000"/>
              <w:bottom w:val="single" w:sz="4" w:space="0" w:color="000000"/>
              <w:right w:val="single" w:sz="4" w:space="0" w:color="000000"/>
            </w:tcBorders>
            <w:tcMar>
              <w:left w:w="70" w:type="dxa"/>
              <w:right w:w="70" w:type="dxa"/>
            </w:tcMar>
          </w:tcPr>
          <w:p w14:paraId="505644FC">
            <w:pPr>
              <w:spacing w:before="20" w:after="20" w:line="240" w:lineRule="auto"/>
              <w:jc w:val="left"/>
            </w:pPr>
            <w:r>
              <w:rPr>
                <w:rFonts w:ascii="Times New Roman" w:hAnsi="Times New Roman" w:eastAsia="Times New Roman" w:cs="Times New Roman"/>
                <w:sz w:val="20"/>
                <w:szCs w:val="20"/>
              </w:rPr>
              <w:t>Dua tugas ekstraksi berbasis skema; tanpa penalaran temporal</w:t>
            </w:r>
          </w:p>
        </w:tc>
      </w:tr>
      <w:tr>
        <w:tc>
          <w:tcPr>
            <w:tcW w:w="1750" w:type="dxa"/>
            <w:tcBorders>
              <w:top w:val="single" w:sz="4" w:space="0" w:color="000000"/>
              <w:left w:val="single" w:sz="4" w:space="0" w:color="000000"/>
              <w:bottom w:val="single" w:sz="4" w:space="0" w:color="000000"/>
              <w:right w:val="single" w:sz="4" w:space="0" w:color="000000"/>
            </w:tcBorders>
            <w:tcMar>
              <w:left w:w="70" w:type="dxa"/>
              <w:right w:w="70" w:type="dxa"/>
            </w:tcMar>
          </w:tcPr>
          <w:p w14:paraId="369A117F">
            <w:pPr>
              <w:spacing w:before="20" w:after="20" w:line="240" w:lineRule="auto"/>
              <w:jc w:val="left"/>
            </w:pPr>
            <w:r>
              <w:rPr>
                <w:rFonts w:ascii="Times New Roman" w:hAnsi="Times New Roman" w:eastAsia="Times New Roman" w:cs="Times New Roman"/>
                <w:sz w:val="20"/>
                <w:szCs w:val="20"/>
              </w:rPr>
              <w:t>Zeba dkk. (2026, hlm. 1, 10, 15)</w:t>
            </w:r>
          </w:p>
        </w:tc>
        <w:tc>
          <w:tcPr>
            <w:tcW w:w="2300" w:type="dxa"/>
            <w:tcBorders>
              <w:top w:val="single" w:sz="4" w:space="0" w:color="000000"/>
              <w:left w:val="single" w:sz="4" w:space="0" w:color="000000"/>
              <w:bottom w:val="single" w:sz="4" w:space="0" w:color="000000"/>
              <w:right w:val="single" w:sz="4" w:space="0" w:color="000000"/>
            </w:tcBorders>
            <w:tcMar>
              <w:left w:w="70" w:type="dxa"/>
              <w:right w:w="70" w:type="dxa"/>
            </w:tcMar>
          </w:tcPr>
          <w:p w14:paraId="64C59A69">
            <w:pPr>
              <w:spacing w:before="20" w:after="20" w:line="240" w:lineRule="auto"/>
              <w:jc w:val="left"/>
            </w:pPr>
            <w:r>
              <w:rPr>
                <w:rFonts w:ascii="Times New Roman" w:hAnsi="Times New Roman" w:eastAsia="Times New Roman" w:cs="Times New Roman"/>
                <w:sz w:val="20"/>
                <w:szCs w:val="20"/>
              </w:rPr>
              <w:t>Pemeriksa fakta tanpa LLM; 3.786 proposisi MIMIC-III</w:t>
            </w:r>
          </w:p>
        </w:tc>
        <w:tc>
          <w:tcPr>
            <w:tcW w:w="2150" w:type="dxa"/>
            <w:tcBorders>
              <w:top w:val="single" w:sz="4" w:space="0" w:color="000000"/>
              <w:left w:val="single" w:sz="4" w:space="0" w:color="000000"/>
              <w:bottom w:val="single" w:sz="4" w:space="0" w:color="000000"/>
              <w:right w:val="single" w:sz="4" w:space="0" w:color="000000"/>
            </w:tcBorders>
            <w:tcMar>
              <w:left w:w="70" w:type="dxa"/>
              <w:right w:w="70" w:type="dxa"/>
            </w:tcMar>
          </w:tcPr>
          <w:p w14:paraId="6E322DAC">
            <w:pPr>
              <w:spacing w:before="20" w:after="20" w:line="240" w:lineRule="auto"/>
              <w:jc w:val="left"/>
            </w:pPr>
            <w:r>
              <w:rPr>
                <w:rFonts w:ascii="Times New Roman" w:hAnsi="Times New Roman" w:eastAsia="Times New Roman" w:cs="Times New Roman"/>
                <w:sz w:val="20"/>
                <w:szCs w:val="20"/>
              </w:rPr>
              <w:t xml:space="preserve">Presisi 0,8904; </w:t>
            </w:r>
            <w:r>
              <w:rPr>
                <w:rFonts w:ascii="Times New Roman" w:hAnsi="Times New Roman" w:eastAsia="Times New Roman" w:cs="Times New Roman"/>
                <w:i/>
                <w:iCs/>
                <w:sz w:val="20"/>
                <w:szCs w:val="20"/>
              </w:rPr>
              <w:t>recall</w:t>
            </w:r>
            <w:r>
              <w:rPr>
                <w:rFonts w:ascii="Times New Roman" w:hAnsi="Times New Roman" w:eastAsia="Times New Roman" w:cs="Times New Roman"/>
                <w:sz w:val="20"/>
                <w:szCs w:val="20"/>
              </w:rPr>
              <w:t xml:space="preserve"> 0,8234; F1 0,8556</w:t>
            </w:r>
          </w:p>
        </w:tc>
        <w:tc>
          <w:tcPr>
            <w:tcW w:w="2106" w:type="dxa"/>
            <w:tcBorders>
              <w:top w:val="single" w:sz="4" w:space="0" w:color="000000"/>
              <w:left w:val="single" w:sz="4" w:space="0" w:color="000000"/>
              <w:bottom w:val="single" w:sz="4" w:space="0" w:color="000000"/>
              <w:right w:val="single" w:sz="4" w:space="0" w:color="000000"/>
            </w:tcBorders>
            <w:tcMar>
              <w:left w:w="70" w:type="dxa"/>
              <w:right w:w="70" w:type="dxa"/>
            </w:tcMar>
          </w:tcPr>
          <w:p w14:paraId="340C28AB">
            <w:pPr>
              <w:spacing w:before="20" w:after="20" w:line="240" w:lineRule="auto"/>
              <w:jc w:val="left"/>
            </w:pPr>
            <w:r>
              <w:rPr>
                <w:rFonts w:ascii="Times New Roman" w:hAnsi="Times New Roman" w:eastAsia="Times New Roman" w:cs="Times New Roman"/>
                <w:sz w:val="20"/>
                <w:szCs w:val="20"/>
              </w:rPr>
              <w:t>Bahasa Inggris, ICU; vonis biner</w:t>
            </w:r>
          </w:p>
        </w:tc>
      </w:tr>
      <w:tr>
        <w:tc>
          <w:tcPr>
            <w:tcW w:w="1750" w:type="dxa"/>
            <w:tcBorders>
              <w:top w:val="single" w:sz="4" w:space="0" w:color="000000"/>
              <w:left w:val="single" w:sz="4" w:space="0" w:color="000000"/>
              <w:bottom w:val="single" w:sz="4" w:space="0" w:color="000000"/>
              <w:right w:val="single" w:sz="4" w:space="0" w:color="000000"/>
            </w:tcBorders>
            <w:tcMar>
              <w:left w:w="70" w:type="dxa"/>
              <w:right w:w="70" w:type="dxa"/>
            </w:tcMar>
          </w:tcPr>
          <w:p w14:paraId="171F6A24">
            <w:pPr>
              <w:spacing w:before="20" w:after="20" w:line="240" w:lineRule="auto"/>
              <w:jc w:val="left"/>
            </w:pPr>
            <w:r>
              <w:rPr>
                <w:rFonts w:ascii="Times New Roman" w:hAnsi="Times New Roman" w:eastAsia="Times New Roman" w:cs="Times New Roman"/>
                <w:sz w:val="20"/>
                <w:szCs w:val="20"/>
              </w:rPr>
              <w:t>Azzam dkk. (2026, hlm. 1, 12, 15, 19)</w:t>
            </w:r>
          </w:p>
        </w:tc>
        <w:tc>
          <w:tcPr>
            <w:tcW w:w="2300" w:type="dxa"/>
            <w:tcBorders>
              <w:top w:val="single" w:sz="4" w:space="0" w:color="000000"/>
              <w:left w:val="single" w:sz="4" w:space="0" w:color="000000"/>
              <w:bottom w:val="single" w:sz="4" w:space="0" w:color="000000"/>
              <w:right w:val="single" w:sz="4" w:space="0" w:color="000000"/>
            </w:tcBorders>
            <w:tcMar>
              <w:left w:w="70" w:type="dxa"/>
              <w:right w:w="70" w:type="dxa"/>
            </w:tcMar>
          </w:tcPr>
          <w:p w14:paraId="2EB02DF9">
            <w:pPr>
              <w:spacing w:before="20" w:after="20" w:line="240" w:lineRule="auto"/>
              <w:jc w:val="left"/>
            </w:pPr>
            <w:r>
              <w:rPr>
                <w:rFonts w:ascii="Times New Roman" w:hAnsi="Times New Roman" w:eastAsia="Times New Roman" w:cs="Times New Roman"/>
                <w:sz w:val="20"/>
                <w:szCs w:val="20"/>
              </w:rPr>
              <w:t>Anonimisasi oleh LLM lokal; data sintetis dan MIMIC-III</w:t>
            </w:r>
          </w:p>
        </w:tc>
        <w:tc>
          <w:tcPr>
            <w:tcW w:w="2150" w:type="dxa"/>
            <w:tcBorders>
              <w:top w:val="single" w:sz="4" w:space="0" w:color="000000"/>
              <w:left w:val="single" w:sz="4" w:space="0" w:color="000000"/>
              <w:bottom w:val="single" w:sz="4" w:space="0" w:color="000000"/>
              <w:right w:val="single" w:sz="4" w:space="0" w:color="000000"/>
            </w:tcBorders>
            <w:tcMar>
              <w:left w:w="70" w:type="dxa"/>
              <w:right w:w="70" w:type="dxa"/>
            </w:tcMar>
          </w:tcPr>
          <w:p w14:paraId="2837DBF2">
            <w:pPr>
              <w:spacing w:before="20" w:after="20" w:line="240" w:lineRule="auto"/>
              <w:jc w:val="left"/>
            </w:pPr>
            <w:r>
              <w:rPr>
                <w:rFonts w:ascii="Times New Roman" w:hAnsi="Times New Roman" w:eastAsia="Times New Roman" w:cs="Times New Roman"/>
                <w:sz w:val="20"/>
                <w:szCs w:val="20"/>
              </w:rPr>
              <w:t xml:space="preserve">Presisi 1,000 dan </w:t>
            </w:r>
            <w:r>
              <w:rPr>
                <w:rFonts w:ascii="Times New Roman" w:hAnsi="Times New Roman" w:eastAsia="Times New Roman" w:cs="Times New Roman"/>
                <w:i/>
                <w:iCs/>
                <w:sz w:val="20"/>
                <w:szCs w:val="20"/>
              </w:rPr>
              <w:t>recall</w:t>
            </w:r>
            <w:r>
              <w:rPr>
                <w:rFonts w:ascii="Times New Roman" w:hAnsi="Times New Roman" w:eastAsia="Times New Roman" w:cs="Times New Roman"/>
                <w:sz w:val="20"/>
                <w:szCs w:val="20"/>
              </w:rPr>
              <w:t xml:space="preserve"> 0,936 (sintetis)</w:t>
            </w:r>
          </w:p>
        </w:tc>
        <w:tc>
          <w:tcPr>
            <w:tcW w:w="2106" w:type="dxa"/>
            <w:tcBorders>
              <w:top w:val="single" w:sz="4" w:space="0" w:color="000000"/>
              <w:left w:val="single" w:sz="4" w:space="0" w:color="000000"/>
              <w:bottom w:val="single" w:sz="4" w:space="0" w:color="000000"/>
              <w:right w:val="single" w:sz="4" w:space="0" w:color="000000"/>
            </w:tcBorders>
            <w:tcMar>
              <w:left w:w="70" w:type="dxa"/>
              <w:right w:w="70" w:type="dxa"/>
            </w:tcMar>
          </w:tcPr>
          <w:p w14:paraId="7CA1FE88">
            <w:pPr>
              <w:spacing w:before="20" w:after="20" w:line="240" w:lineRule="auto"/>
              <w:jc w:val="left"/>
            </w:pPr>
            <w:r>
              <w:rPr>
                <w:rFonts w:ascii="Times New Roman" w:hAnsi="Times New Roman" w:eastAsia="Times New Roman" w:cs="Times New Roman"/>
                <w:sz w:val="20"/>
                <w:szCs w:val="20"/>
              </w:rPr>
              <w:t>Hanya bahasa Inggris; data sintetis atau sudah diredaksi</w:t>
            </w:r>
          </w:p>
        </w:tc>
      </w:tr>
      <w:tr>
        <w:tc>
          <w:tcPr>
            <w:tcW w:w="1750" w:type="dxa"/>
            <w:tcBorders>
              <w:top w:val="single" w:sz="4" w:space="0" w:color="000000"/>
              <w:left w:val="single" w:sz="4" w:space="0" w:color="000000"/>
              <w:bottom w:val="single" w:sz="4" w:space="0" w:color="000000"/>
              <w:right w:val="single" w:sz="4" w:space="0" w:color="000000"/>
            </w:tcBorders>
            <w:tcMar>
              <w:left w:w="70" w:type="dxa"/>
              <w:right w:w="70" w:type="dxa"/>
            </w:tcMar>
          </w:tcPr>
          <w:p w14:paraId="4DD2DFBB">
            <w:pPr>
              <w:spacing w:before="20" w:after="20" w:line="240" w:lineRule="auto"/>
              <w:jc w:val="left"/>
            </w:pPr>
            <w:r>
              <w:rPr>
                <w:rFonts w:ascii="Times New Roman" w:hAnsi="Times New Roman" w:eastAsia="Times New Roman" w:cs="Times New Roman"/>
                <w:sz w:val="20"/>
                <w:szCs w:val="20"/>
              </w:rPr>
              <w:t>van Koevorden dkk. (2026, hlm. 1, 4, 7–8)</w:t>
            </w:r>
          </w:p>
        </w:tc>
        <w:tc>
          <w:tcPr>
            <w:tcW w:w="2300" w:type="dxa"/>
            <w:tcBorders>
              <w:top w:val="single" w:sz="4" w:space="0" w:color="000000"/>
              <w:left w:val="single" w:sz="4" w:space="0" w:color="000000"/>
              <w:bottom w:val="single" w:sz="4" w:space="0" w:color="000000"/>
              <w:right w:val="single" w:sz="4" w:space="0" w:color="000000"/>
            </w:tcBorders>
            <w:tcMar>
              <w:left w:w="70" w:type="dxa"/>
              <w:right w:w="70" w:type="dxa"/>
            </w:tcMar>
          </w:tcPr>
          <w:p w14:paraId="14F0A9A5">
            <w:pPr>
              <w:spacing w:before="20" w:after="20" w:line="240" w:lineRule="auto"/>
              <w:jc w:val="left"/>
            </w:pPr>
            <w:r>
              <w:rPr>
                <w:rFonts w:ascii="Times New Roman" w:hAnsi="Times New Roman" w:eastAsia="Times New Roman" w:cs="Times New Roman"/>
                <w:sz w:val="20"/>
                <w:szCs w:val="20"/>
              </w:rPr>
              <w:t>Ekstraksi LLM vs konsensus dua dokter; 60 pasien</w:t>
            </w:r>
          </w:p>
        </w:tc>
        <w:tc>
          <w:tcPr>
            <w:tcW w:w="2150" w:type="dxa"/>
            <w:tcBorders>
              <w:top w:val="single" w:sz="4" w:space="0" w:color="000000"/>
              <w:left w:val="single" w:sz="4" w:space="0" w:color="000000"/>
              <w:bottom w:val="single" w:sz="4" w:space="0" w:color="000000"/>
              <w:right w:val="single" w:sz="4" w:space="0" w:color="000000"/>
            </w:tcBorders>
            <w:tcMar>
              <w:left w:w="70" w:type="dxa"/>
              <w:right w:w="70" w:type="dxa"/>
            </w:tcMar>
          </w:tcPr>
          <w:p w14:paraId="2797DF22">
            <w:pPr>
              <w:spacing w:before="20" w:after="20" w:line="240" w:lineRule="auto"/>
              <w:jc w:val="left"/>
            </w:pPr>
            <w:r>
              <w:rPr>
                <w:rFonts w:ascii="Times New Roman" w:hAnsi="Times New Roman" w:eastAsia="Times New Roman" w:cs="Times New Roman"/>
                <w:sz w:val="20"/>
                <w:szCs w:val="20"/>
              </w:rPr>
              <w:t>Akurasi 74–90%; beda dokter–dokter 29,0%</w:t>
            </w:r>
          </w:p>
        </w:tc>
        <w:tc>
          <w:tcPr>
            <w:tcW w:w="2106" w:type="dxa"/>
            <w:tcBorders>
              <w:top w:val="single" w:sz="4" w:space="0" w:color="000000"/>
              <w:left w:val="single" w:sz="4" w:space="0" w:color="000000"/>
              <w:bottom w:val="single" w:sz="4" w:space="0" w:color="000000"/>
              <w:right w:val="single" w:sz="4" w:space="0" w:color="000000"/>
            </w:tcBorders>
            <w:tcMar>
              <w:left w:w="70" w:type="dxa"/>
              <w:right w:w="70" w:type="dxa"/>
            </w:tcMar>
          </w:tcPr>
          <w:p w14:paraId="6FAB3987">
            <w:pPr>
              <w:spacing w:before="20" w:after="20" w:line="240" w:lineRule="auto"/>
              <w:jc w:val="left"/>
            </w:pPr>
            <w:r>
              <w:rPr>
                <w:rFonts w:ascii="Times New Roman" w:hAnsi="Times New Roman" w:eastAsia="Times New Roman" w:cs="Times New Roman"/>
                <w:sz w:val="20"/>
                <w:szCs w:val="20"/>
              </w:rPr>
              <w:t>Ekstraksi nilai; bahasa Belanda; satu pusat</w:t>
            </w:r>
          </w:p>
        </w:tc>
      </w:tr>
    </w:tbl>
    <w:p w14:paraId="55E99E36">
      <w:pPr>
        <w:spacing w:before="0" w:after="0" w:line="120" w:lineRule="exact"/>
        <w:jc w:val="both"/>
      </w:pPr>
    </w:p>
    <w:p w14:paraId="209972C8">
      <w:pPr>
        <w:pStyle w:val="Heading3"/>
        <w:ind w:left="720" w:hanging="720"/>
        <w:jc w:val="both"/>
      </w:pPr>
      <w:bookmarkStart w:id="9032" w:name="_Toc9009032"/>
      <w:r>
        <w:rPr>
          <w:rFonts w:ascii="Times New Roman" w:hAnsi="Times New Roman" w:eastAsia="Times New Roman" w:cs="Times New Roman"/>
          <w:b/>
          <w:bCs/>
          <w:sz w:val="24"/>
          <w:szCs w:val="24"/>
        </w:rPr>
        <w:t>Celah Penelitian</w:t>
      </w:r>
      <w:bookmarkEnd w:id="9032"/>
    </w:p>
    <w:p w14:paraId="2654DD22">
      <w:pPr>
        <w:jc w:val="both"/>
      </w:pPr>
      <w:r>
        <w:rPr>
          <w:rFonts w:ascii="Times New Roman" w:hAnsi="Times New Roman" w:eastAsia="Times New Roman" w:cs="Times New Roman"/>
          <w:sz w:val="24"/>
          <w:szCs w:val="24"/>
        </w:rPr>
        <w:t>Dari 39 sumber yang dirujuk dalam bab ini, empat celah berulang. Pertama, tidak ada studi NLP atau AI yang menguji teks klinis berbahasa Indonesia, termasuk singkatan dan pengenal lokalnya (subbab II.2, II.3, II.6); studi pembelajaran mesin pada data Indonesia dalam sumber ini, yaitu Barsasella dkk. (2021), memakai variabel klaim terstruktur (II.1). Kedua, tidak ada yang memeriksa kesesuaian antardokumen dalam satu episode rawat inap sebelum klaim diajukan, misalnya membandingkan catatan perkembangan harian dengan ringkasan akhir atau memakai pedoman sebagai dasar temuan (II.1, II.3, II.5); pemeriksaan ringkasan terhadap rekam medis sumber baru ada pada ringkasan buatan LLM berbahasa Inggris (Zeba dkk., 2026), bukan pada resume yang ditulis dokter (II.5.2). Ketiga, di antara sumber yang dibaca, tidak ada yang membandingkan konfigurasi aturan saja dengan aturan ditambah AI/NLP berbasis RAG pada tugas ini, dan ketepatan kutipan bukti belum diperiksa secara otomatis (II.4, II.5); manfaat graf pengetahuan untuk audit antardokumen juga belum diuji (II.5.3). Keempat, acuan penilaian untuk audit, yaitu unit temuan, perlakuan kasus ambigu, dan ukuran kesepakatan penilai, belum dirancang pada sumber mana pun, padahal ketidaksepakatan antarpenilai dapat mencapai 29,0% pada ekstraksi klinis (II.7). Pernyataan "tidak ada" ini berlaku pada 39 sumber tersebut, bukan pada seluruh literatur. Penelitian ini mengisi celah itu dengan menguji audit dokumentasi rawat inap kebidanan dan anak berbahasa Indonesia terhadap pembanding, ukuran, dan ambang kegagalan yang ditetapkan sebelum eksperimen.</w:t>
      </w:r>
    </w:p>
    <w:p w14:paraId="08EFFE65" w14:textId="5D52F290">
      <w:pPr>
        <w:pStyle w:val="Heading1"/>
        <w:pageBreakBefore/>
        <w:ind w:left="0" w:firstLine="288"/>
        <w:jc w:val="center"/>
      </w:pPr>
      <w:bookmarkStart w:id="28" w:name="_Toc180649135"/>
      <w:bookmarkStart w:id="29" w:name="_Toc180649376"/>
      <w:bookmarkStart w:id="30" w:name="_Toc216028375"/>
      <w:r>
        <w:lastRenderedPageBreak/>
        <w:br w:type="textWrapping"/>
      </w:r>
      <w:r>
        <w:rPr>
          <w:rFonts w:ascii="Times New Roman" w:hAnsi="Times New Roman" w:eastAsia="Times New Roman" w:cs="Times New Roman"/>
          <w:b/>
          <w:bCs/>
          <w:caps/>
          <w:sz w:val="28"/>
          <w:szCs w:val="28"/>
        </w:rPr>
        <w:t>ANALISIS MASALAH DAN RANCANGAN SOLUSI</w:t>
      </w:r>
      <w:bookmarkEnd w:id="28"/>
      <w:bookmarkEnd w:id="29"/>
      <w:bookmarkEnd w:id="30"/>
    </w:p>
    <w:p w14:paraId="79FF16BB" w14:textId="77777777">
      <w:pPr>
        <w:jc w:val="both"/>
      </w:pPr>
    </w:p>
    <w:p w14:paraId="3999D44A" w14:textId="64C788CC">
      <w:pPr>
        <w:spacing w:before="120" w:after="120" w:line="360" w:lineRule="auto"/>
        <w:jc w:val="both"/>
      </w:pPr>
      <w:r>
        <w:rPr>
          <w:rFonts w:ascii="Times New Roman" w:hAnsi="Times New Roman" w:eastAsia="Times New Roman" w:cs="Times New Roman"/>
          <w:sz w:val="24"/>
          <w:szCs w:val="24"/>
        </w:rPr>
        <w:t xml:space="preserve">Tujuan utama penulisan bab ini adalah untuk menguraikan masalah dan gambaran solusi penyelesaian masalah tugas akhir spesifik individu anggota tim capstone. Judul bab 3 dapat disesuaikan dengan konteks persoalan, misalnya: </w:t>
      </w:r>
      <w:r>
        <w:rPr>
          <w:rFonts w:ascii="Times New Roman" w:hAnsi="Times New Roman" w:eastAsia="Times New Roman" w:cs="Times New Roman"/>
          <w:i/>
          <w:iCs/>
          <w:sz w:val="24"/>
          <w:szCs w:val="24"/>
        </w:rPr>
        <w:t>Analisis Masalah dan Rancangan Solusi Pembangunan Sistem ABC</w:t>
      </w:r>
      <w:r>
        <w:rPr>
          <w:rFonts w:ascii="Times New Roman" w:hAnsi="Times New Roman" w:eastAsia="Times New Roman" w:cs="Times New Roman"/>
          <w:sz w:val="24"/>
          <w:szCs w:val="24"/>
        </w:rPr>
        <w:t xml:space="preserve">. Bab ini mencakup antara lain subbab-subbab: </w:t>
      </w:r>
    </w:p>
    <w:p w14:paraId="2A2AF859" w14:textId="6D52FA6E">
      <w:pPr>
        <w:pStyle w:val="Heading2"/>
        <w:ind w:left="576" w:hanging="576"/>
        <w:jc w:val="both"/>
      </w:pPr>
      <w:bookmarkStart w:id="31" w:name="_Toc216028376"/>
      <w:r>
        <w:rPr>
          <w:rFonts w:ascii="Times New Roman" w:hAnsi="Times New Roman" w:eastAsia="Times New Roman" w:cs="Times New Roman"/>
          <w:b/>
          <w:bCs/>
          <w:sz w:val="24"/>
          <w:szCs w:val="24"/>
        </w:rPr>
        <w:t xml:space="preserve">Analisis Masalah </w:t>
      </w:r>
      <w:bookmarkEnd w:id="31"/>
    </w:p>
    <w:p w14:paraId="7D86558E" w14:textId="033A7D0E">
      <w:pPr>
        <w:spacing w:before="0" w:after="0"/>
        <w:jc w:val="both"/>
      </w:pPr>
      <w:r>
        <w:rPr>
          <w:rFonts w:ascii="Times New Roman" w:hAnsi="Times New Roman" w:eastAsia="Times New Roman" w:cs="Times New Roman"/>
          <w:sz w:val="24"/>
          <w:szCs w:val="24"/>
        </w:rPr>
        <w:t xml:space="preserve">Deskripsi dan analisis dikaitkan dengan Rumusan Masalah spesifik individu anggota tim TA capstone, misalnya menjelaskan secara detail latar belakang dan masalah atau tantangan yang menjadi dasar perlunya solusi spesifik individu anggota tim capstone, menunjukkan gap/celah antara kondisi saat ini dengan kondisi yang diharapkan, serta dapat dijelaskan kaitan antara sistem/aplikasi yang dikembangkan dengan sistem/aplikasi lain yang terkait. </w:t>
      </w:r>
    </w:p>
    <w:p w14:paraId="5FA7F7EF" w14:textId="38719303">
      <w:pPr>
        <w:pStyle w:val="Heading2"/>
        <w:ind w:left="576" w:hanging="576"/>
        <w:jc w:val="both"/>
      </w:pPr>
      <w:bookmarkStart w:id="32" w:name="_Toc216028377"/>
      <w:r>
        <w:rPr>
          <w:rFonts w:ascii="Times New Roman" w:hAnsi="Times New Roman" w:eastAsia="Times New Roman" w:cs="Times New Roman"/>
          <w:b/>
          <w:bCs/>
          <w:sz w:val="24"/>
          <w:szCs w:val="24"/>
        </w:rPr>
        <w:t xml:space="preserve">Gambaran Umum Solusi </w:t>
      </w:r>
      <w:bookmarkEnd w:id="32"/>
    </w:p>
    <w:p w14:paraId="0F5D222B" w14:textId="5D2B011E">
      <w:pPr>
        <w:spacing w:before="0" w:after="0"/>
        <w:jc w:val="both"/>
      </w:pPr>
      <w:r>
        <w:rPr>
          <w:rFonts w:ascii="Times New Roman" w:hAnsi="Times New Roman" w:eastAsia="Times New Roman" w:cs="Times New Roman"/>
          <w:sz w:val="24"/>
          <w:szCs w:val="24"/>
        </w:rPr>
        <w:t>Analisis solusi dapat terdiri dari pilihan alternatif solusi spesifik individu anggota tim capstone untuk setiap permasalahan berdasarkan hasil studi literatur atau survei, pemilihan solusi beserta justifikasinya.</w:t>
      </w:r>
    </w:p>
    <w:p w14:paraId="5D71DA7F" w14:textId="54B8D3C9">
      <w:pPr>
        <w:spacing w:before="120" w:after="120" w:line="360" w:lineRule="auto"/>
        <w:jc w:val="both"/>
      </w:pPr>
      <w:r>
        <w:rPr>
          <w:rFonts w:ascii="Times New Roman" w:hAnsi="Times New Roman" w:eastAsia="Times New Roman" w:cs="Times New Roman"/>
          <w:sz w:val="24"/>
          <w:szCs w:val="24"/>
        </w:rPr>
        <w:t>Deskripsi umum gambaran awal solusi spesifik individu anggota tim capstone yang dipilih, antara lain dapat mencakup:</w:t>
      </w:r>
    </w:p>
    <w:p w14:paraId="46944C31" w14:textId="4F7D7420">
      <w:pPr>
        <w:pStyle w:val="ListParagraph"/>
        <w:numPr>
          <w:ilvl w:val="0"/>
          <w:numId w:val="22"/>
        </w:numPr>
        <w:spacing w:before="0" w:after="0"/>
        <w:ind w:left="720" w:hanging="360"/>
        <w:jc w:val="both"/>
      </w:pPr>
      <w:r>
        <w:rPr>
          <w:rFonts w:ascii="Times New Roman" w:hAnsi="Times New Roman" w:eastAsia="Times New Roman" w:cs="Times New Roman"/>
          <w:sz w:val="24"/>
          <w:szCs w:val="24"/>
        </w:rPr>
        <w:t>Gambaran awal modul/subsistem/komponen solusi spesifik individu anggota tim capstone yang akan dikembangkan untuk menyelesaikan masalah sebagai bagian dari solusi TA capstone, berikut penjelasannya.</w:t>
      </w:r>
    </w:p>
    <w:p w14:paraId="423BD894" w14:textId="181BEF4F">
      <w:pPr>
        <w:pStyle w:val="ListParagraph"/>
        <w:numPr>
          <w:ilvl w:val="0"/>
          <w:numId w:val="22"/>
        </w:numPr>
        <w:spacing w:before="0" w:after="0"/>
        <w:ind w:left="720" w:hanging="360"/>
        <w:jc w:val="both"/>
      </w:pPr>
      <w:r>
        <w:rPr>
          <w:rFonts w:ascii="Times New Roman" w:hAnsi="Times New Roman" w:eastAsia="Times New Roman" w:cs="Times New Roman"/>
          <w:sz w:val="24"/>
          <w:szCs w:val="24"/>
        </w:rPr>
        <w:t>Gambaran awal alur umum algoritma atau langkah-langkah pengembangan solusi spesifik individu anggota tim capstone dan penjelasannya.</w:t>
      </w:r>
    </w:p>
    <w:p w14:paraId="0CF08B5F" w14:textId="62605F60">
      <w:pPr>
        <w:pStyle w:val="ListParagraph"/>
        <w:numPr>
          <w:ilvl w:val="0"/>
          <w:numId w:val="22"/>
        </w:numPr>
        <w:spacing w:before="0" w:after="0"/>
        <w:ind w:left="720" w:hanging="360"/>
        <w:jc w:val="both"/>
      </w:pPr>
      <w:r>
        <w:rPr>
          <w:rFonts w:ascii="Times New Roman" w:hAnsi="Times New Roman" w:eastAsia="Times New Roman" w:cs="Times New Roman"/>
          <w:sz w:val="24"/>
          <w:szCs w:val="24"/>
        </w:rPr>
        <w:t xml:space="preserve">Penggunaan kakas secara umum yang diperlukan. </w:t>
      </w:r>
    </w:p>
    <w:p w14:paraId="5681FE93" w14:textId="2938359A">
      <w:pPr>
        <w:spacing w:before="0" w:after="0"/>
        <w:jc w:val="both"/>
      </w:pPr>
      <w:r>
        <w:rPr>
          <w:rFonts w:ascii="Times New Roman" w:hAnsi="Times New Roman" w:eastAsia="Times New Roman" w:cs="Times New Roman"/>
          <w:sz w:val="24"/>
          <w:szCs w:val="24"/>
        </w:rPr>
        <w:t>Untuk memperjelas gambaran solusi, dianjurkan menggunakan gambar diagram sebagai pendukung penjelasan bagian ini.</w:t>
      </w:r>
    </w:p>
    <w:p w14:paraId="3A2F1E6E" w14:textId="77777777">
      <w:pPr>
        <w:pStyle w:val="Heading1"/>
        <w:pageBreakBefore/>
        <w:ind w:left="0" w:firstLine="288"/>
        <w:jc w:val="center"/>
      </w:pPr>
      <w:bookmarkStart w:id="33" w:name="_Toc180649136"/>
      <w:bookmarkStart w:id="34" w:name="_Toc180649377"/>
      <w:bookmarkStart w:id="35" w:name="_Toc216028378"/>
      <w:r>
        <w:lastRenderedPageBreak/>
        <w:br w:type="textWrapping"/>
      </w:r>
      <w:r>
        <w:rPr>
          <w:rFonts w:ascii="Times New Roman" w:hAnsi="Times New Roman" w:eastAsia="Times New Roman" w:cs="Times New Roman"/>
          <w:b/>
          <w:bCs/>
          <w:caps/>
          <w:sz w:val="28"/>
          <w:szCs w:val="28"/>
        </w:rPr>
        <w:t>RENCANA PELAKSANAAN</w:t>
      </w:r>
      <w:bookmarkEnd w:id="33"/>
      <w:bookmarkEnd w:id="34"/>
      <w:bookmarkEnd w:id="35"/>
    </w:p>
    <w:p w14:paraId="3CAF3222" w14:textId="77777777">
      <w:pPr>
        <w:spacing w:before="120" w:after="120" w:line="360" w:lineRule="auto"/>
        <w:jc w:val="both"/>
      </w:pPr>
    </w:p>
    <w:p w14:paraId="68087DEF" w14:textId="65AA1688">
      <w:pPr>
        <w:spacing w:before="120" w:after="120" w:line="360" w:lineRule="auto"/>
        <w:jc w:val="both"/>
      </w:pPr>
      <w:r>
        <w:rPr>
          <w:rFonts w:ascii="Times New Roman" w:hAnsi="Times New Roman" w:eastAsia="Times New Roman" w:cs="Times New Roman"/>
          <w:sz w:val="24"/>
          <w:szCs w:val="24"/>
        </w:rPr>
        <w:t xml:space="preserve">Bab Rencana Pelaksanaan yang merupakan bab penutup Laporan Proposal Tugas Akhir spesifik individu anggota tim capstone yang digunakan untuk mendeskripsikan rencana pelaksanaan berupa jadwal. Tujuan bab ini adalah agar Mahasiswa memiliki rencana yang jelas mengenai pelaksanaan peran spesifik individu anggota tim sebagai bagian dalam pengerjaan keseluruhan TA capstone. </w:t>
      </w:r>
    </w:p>
    <w:p w14:paraId="61929B6A" w14:textId="004425E3">
      <w:pPr>
        <w:jc w:val="both"/>
      </w:pPr>
      <w:r>
        <w:rPr>
          <w:rFonts w:ascii="Times New Roman" w:hAnsi="Times New Roman" w:eastAsia="Times New Roman" w:cs="Times New Roman"/>
          <w:sz w:val="24"/>
          <w:szCs w:val="24"/>
        </w:rPr>
        <w:t>Cantumkan jadwal pengerjaan spesifik individu tim yang dilengkapi dengan uraian masing-masing tahapannya.</w:t>
      </w:r>
    </w:p>
    <w:p w14:paraId="50611516" w14:textId="77777777">
      <w:pPr>
        <w:jc w:val="both"/>
      </w:pPr>
    </w:p>
    <w:p w14:paraId="17116C9A" w14:textId="3CC5E168">
      <w:pPr>
        <w:pStyle w:val="ListParagraph"/>
        <w:pageBreakBefore/>
        <w:spacing w:before="0" w:after="0"/>
        <w:jc w:val="left"/>
        <w:rPr>
          <w:b/>
          <w:kern w:val="28"/>
          <w:sz w:val="28"/>
        </w:rPr>
      </w:pPr>
      <w:r>
        <w:lastRenderedPageBreak/>
      </w:r>
    </w:p>
    <w:p w14:paraId="128019AE" w14:textId="77777777">
      <w:pPr>
        <w:pStyle w:val="Title"/>
        <w:jc w:val="center"/>
      </w:pPr>
      <w:r>
        <w:lastRenderedPageBreak/>
        <w:rPr>
          <w:rFonts w:ascii="Times New Roman" w:hAnsi="Times New Roman" w:eastAsia="Times New Roman" w:cs="Times New Roman"/>
          <w:b/>
          <w:bCs/>
          <w:kern w:val="28"/>
          <w:sz w:val="28"/>
          <w:szCs w:val="28"/>
        </w:rPr>
        <w:t>DAFTAR PUSTAKA</w:t>
      </w:r>
    </w:p>
    <w:p w14:paraId="5765D17F" w14:textId="77777777">
      <w:pPr>
        <w:spacing w:before="120" w:after="120" w:line="360" w:lineRule="auto"/>
        <w:jc w:val="both"/>
      </w:pPr>
    </w:p>
    <w:p w14:paraId="22369BA2">
      <w:pPr>
        <w:spacing w:line="240" w:lineRule="auto"/>
        <w:ind w:left="720" w:hanging="720"/>
        <w:jc w:val="both"/>
      </w:pPr>
      <w:r>
        <w:rPr>
          <w:rFonts w:ascii="Times New Roman" w:hAnsi="Times New Roman" w:eastAsia="Times New Roman" w:cs="Times New Roman"/>
          <w:sz w:val="24"/>
          <w:szCs w:val="24"/>
        </w:rPr>
        <w:t xml:space="preserve">Azzam, R., Musamih, A., Gebreab, S., Salah, K., &amp; Omar, M. (2026). Agentic LLM for anonymizing healthcare data with contextual awareness. </w:t>
      </w:r>
      <w:r>
        <w:rPr>
          <w:rFonts w:ascii="Times New Roman" w:hAnsi="Times New Roman" w:eastAsia="Times New Roman" w:cs="Times New Roman"/>
          <w:i/>
          <w:iCs/>
          <w:sz w:val="24"/>
          <w:szCs w:val="24"/>
        </w:rPr>
        <w:t>Knowledge-Based Systems, 343</w:t>
      </w:r>
      <w:r>
        <w:rPr>
          <w:rFonts w:ascii="Times New Roman" w:hAnsi="Times New Roman" w:eastAsia="Times New Roman" w:cs="Times New Roman"/>
          <w:sz w:val="24"/>
          <w:szCs w:val="24"/>
        </w:rPr>
        <w:t>, 116034.</w:t>
      </w:r>
    </w:p>
    <w:p w14:paraId="6A9ED6AD">
      <w:pPr>
        <w:spacing w:line="240" w:lineRule="auto"/>
        <w:ind w:left="720" w:hanging="720"/>
        <w:jc w:val="both"/>
      </w:pPr>
      <w:r>
        <w:rPr>
          <w:rFonts w:ascii="Times New Roman" w:hAnsi="Times New Roman" w:eastAsia="Times New Roman" w:cs="Times New Roman"/>
          <w:sz w:val="24"/>
          <w:szCs w:val="24"/>
        </w:rPr>
        <w:t xml:space="preserve">Barsasella, D., Gupta, S., Malwade, S., Aminin, Susanti, Y., Tirmadi, B., Mutamakin, A., Jonnagaddala, J., &amp; Syed-Abdul, S. (2021). Predicting length of stay and mortality among hospitalized patients with type 2 diabetes mellitus and hypertension. </w:t>
      </w:r>
      <w:r>
        <w:rPr>
          <w:rFonts w:ascii="Times New Roman" w:hAnsi="Times New Roman" w:eastAsia="Times New Roman" w:cs="Times New Roman"/>
          <w:i/>
          <w:iCs/>
          <w:sz w:val="24"/>
          <w:szCs w:val="24"/>
        </w:rPr>
        <w:t>International Journal of Medical Informatics, 154</w:t>
      </w:r>
      <w:r>
        <w:rPr>
          <w:rFonts w:ascii="Times New Roman" w:hAnsi="Times New Roman" w:eastAsia="Times New Roman" w:cs="Times New Roman"/>
          <w:sz w:val="24"/>
          <w:szCs w:val="24"/>
        </w:rPr>
        <w:t>, 104569.</w:t>
      </w:r>
    </w:p>
    <w:p w14:paraId="79F51E74">
      <w:pPr>
        <w:spacing w:line="240" w:lineRule="auto"/>
        <w:ind w:left="720" w:hanging="720"/>
        <w:jc w:val="both"/>
      </w:pPr>
      <w:r>
        <w:rPr>
          <w:rFonts w:ascii="Times New Roman" w:hAnsi="Times New Roman" w:eastAsia="Times New Roman" w:cs="Times New Roman"/>
          <w:sz w:val="24"/>
          <w:szCs w:val="24"/>
        </w:rPr>
        <w:t xml:space="preserve">Becker, M., Krumscheid, M., Knobelspies, A., Seydel, M., Richter-Pechanski, P., &amp; Karl, A. (2025). Extending CARDIO:DE: Additional annotation guidelines and evaluation of NLP approaches for clinical applications. </w:t>
      </w:r>
      <w:r>
        <w:rPr>
          <w:rFonts w:ascii="Times New Roman" w:hAnsi="Times New Roman" w:eastAsia="Times New Roman" w:cs="Times New Roman"/>
          <w:i/>
          <w:iCs/>
          <w:sz w:val="24"/>
          <w:szCs w:val="24"/>
        </w:rPr>
        <w:t>International Journal of Medical Informatics, 203</w:t>
      </w:r>
      <w:r>
        <w:rPr>
          <w:rFonts w:ascii="Times New Roman" w:hAnsi="Times New Roman" w:eastAsia="Times New Roman" w:cs="Times New Roman"/>
          <w:sz w:val="24"/>
          <w:szCs w:val="24"/>
        </w:rPr>
        <w:t>, 106009.</w:t>
      </w:r>
    </w:p>
    <w:p w14:paraId="67FD6930">
      <w:pPr>
        <w:spacing w:line="240" w:lineRule="auto"/>
        <w:ind w:left="720" w:hanging="720"/>
        <w:jc w:val="both"/>
      </w:pPr>
      <w:r>
        <w:rPr>
          <w:rFonts w:ascii="Times New Roman" w:hAnsi="Times New Roman" w:eastAsia="Times New Roman" w:cs="Times New Roman"/>
          <w:sz w:val="24"/>
          <w:szCs w:val="24"/>
        </w:rPr>
        <w:t xml:space="preserve">Chen, H., Zhou, Y., Li, R., Illa, A. M., Cleveland, A., &amp; Ding, J. (2026). A comprehensive survey on medical concept normalization: Datasets, techniques, applications, and future directions. </w:t>
      </w:r>
      <w:r>
        <w:rPr>
          <w:rFonts w:ascii="Times New Roman" w:hAnsi="Times New Roman" w:eastAsia="Times New Roman" w:cs="Times New Roman"/>
          <w:i/>
          <w:iCs/>
          <w:sz w:val="24"/>
          <w:szCs w:val="24"/>
        </w:rPr>
        <w:t>Journal of Biomedical Informatics, 178</w:t>
      </w:r>
      <w:r>
        <w:rPr>
          <w:rFonts w:ascii="Times New Roman" w:hAnsi="Times New Roman" w:eastAsia="Times New Roman" w:cs="Times New Roman"/>
          <w:sz w:val="24"/>
          <w:szCs w:val="24"/>
        </w:rPr>
        <w:t>, 105005.</w:t>
      </w:r>
    </w:p>
    <w:p w14:paraId="33622757">
      <w:pPr>
        <w:spacing w:line="240" w:lineRule="auto"/>
        <w:ind w:left="720" w:hanging="720"/>
        <w:jc w:val="both"/>
      </w:pPr>
      <w:r>
        <w:rPr>
          <w:rFonts w:ascii="Times New Roman" w:hAnsi="Times New Roman" w:eastAsia="Times New Roman" w:cs="Times New Roman"/>
          <w:sz w:val="24"/>
          <w:szCs w:val="24"/>
        </w:rPr>
        <w:t xml:space="preserve">cl:Yang, R., dkk. (2026). Retrieval-augmented generation in medicine: A scoping review of technical implementations, clinical applications, and ethical considerations. </w:t>
      </w:r>
      <w:r>
        <w:rPr>
          <w:rFonts w:ascii="Times New Roman" w:hAnsi="Times New Roman" w:eastAsia="Times New Roman" w:cs="Times New Roman"/>
          <w:i/>
          <w:iCs/>
          <w:sz w:val="24"/>
          <w:szCs w:val="24"/>
        </w:rPr>
        <w:t>Cell Reports Medicine, 7</w:t>
      </w:r>
      <w:r>
        <w:rPr>
          <w:rFonts w:ascii="Times New Roman" w:hAnsi="Times New Roman" w:eastAsia="Times New Roman" w:cs="Times New Roman"/>
          <w:sz w:val="24"/>
          <w:szCs w:val="24"/>
        </w:rPr>
        <w:t>, 102927.</w:t>
      </w:r>
    </w:p>
    <w:p w14:paraId="73E24E0A">
      <w:pPr>
        <w:spacing w:line="240" w:lineRule="auto"/>
        <w:ind w:left="720" w:hanging="720"/>
        <w:jc w:val="both"/>
      </w:pPr>
      <w:r>
        <w:rPr>
          <w:rFonts w:ascii="Times New Roman" w:hAnsi="Times New Roman" w:eastAsia="Times New Roman" w:cs="Times New Roman"/>
          <w:sz w:val="24"/>
          <w:szCs w:val="24"/>
        </w:rPr>
        <w:t xml:space="preserve">Dietrich, N., &amp; Stubbert, B. (2026). Automated auditing of emergency department documentation using large language models. </w:t>
      </w:r>
      <w:r>
        <w:rPr>
          <w:rFonts w:ascii="Times New Roman" w:hAnsi="Times New Roman" w:eastAsia="Times New Roman" w:cs="Times New Roman"/>
          <w:i/>
          <w:iCs/>
          <w:sz w:val="24"/>
          <w:szCs w:val="24"/>
        </w:rPr>
        <w:t>American Journal of Emergency Medicine, 104</w:t>
      </w:r>
      <w:r>
        <w:rPr>
          <w:rFonts w:ascii="Times New Roman" w:hAnsi="Times New Roman" w:eastAsia="Times New Roman" w:cs="Times New Roman"/>
          <w:sz w:val="24"/>
          <w:szCs w:val="24"/>
        </w:rPr>
        <w:t>, 95–101.</w:t>
      </w:r>
    </w:p>
    <w:p w14:paraId="7C61E033">
      <w:pPr>
        <w:spacing w:line="240" w:lineRule="auto"/>
        <w:ind w:left="720" w:hanging="720"/>
        <w:jc w:val="both"/>
      </w:pPr>
      <w:r>
        <w:rPr>
          <w:rFonts w:ascii="Times New Roman" w:hAnsi="Times New Roman" w:eastAsia="Times New Roman" w:cs="Times New Roman"/>
          <w:sz w:val="24"/>
          <w:szCs w:val="24"/>
        </w:rPr>
        <w:t xml:space="preserve">Domingues, N. S. (2026). A hybrid decision support system using rule-based and AI methods: The OnCATs knowledge-based framework. </w:t>
      </w:r>
      <w:r>
        <w:rPr>
          <w:rFonts w:ascii="Times New Roman" w:hAnsi="Times New Roman" w:eastAsia="Times New Roman" w:cs="Times New Roman"/>
          <w:i/>
          <w:iCs/>
          <w:sz w:val="24"/>
          <w:szCs w:val="24"/>
        </w:rPr>
        <w:t>International Journal of Medical Informatics, 206</w:t>
      </w:r>
      <w:r>
        <w:rPr>
          <w:rFonts w:ascii="Times New Roman" w:hAnsi="Times New Roman" w:eastAsia="Times New Roman" w:cs="Times New Roman"/>
          <w:sz w:val="24"/>
          <w:szCs w:val="24"/>
        </w:rPr>
        <w:t>, 106144.</w:t>
      </w:r>
    </w:p>
    <w:p w14:paraId="1203FD49">
      <w:pPr>
        <w:spacing w:line="240" w:lineRule="auto"/>
        <w:ind w:left="720" w:hanging="720"/>
        <w:jc w:val="both"/>
      </w:pPr>
      <w:r>
        <w:rPr>
          <w:rFonts w:ascii="Times New Roman" w:hAnsi="Times New Roman" w:eastAsia="Times New Roman" w:cs="Times New Roman"/>
          <w:sz w:val="24"/>
          <w:szCs w:val="24"/>
        </w:rPr>
        <w:t xml:space="preserve">Du, W. (H.), Wang, G., Xu, J. (N.), &amp; Vasarhelyi, M. A. (2026). Information systems auditing of psychiatric diagnoses using context-enriched QA-based language models. </w:t>
      </w:r>
      <w:r>
        <w:rPr>
          <w:rFonts w:ascii="Times New Roman" w:hAnsi="Times New Roman" w:eastAsia="Times New Roman" w:cs="Times New Roman"/>
          <w:i/>
          <w:iCs/>
          <w:sz w:val="24"/>
          <w:szCs w:val="24"/>
        </w:rPr>
        <w:t>Data Science and Management, 9</w:t>
      </w:r>
      <w:r>
        <w:rPr>
          <w:rFonts w:ascii="Times New Roman" w:hAnsi="Times New Roman" w:eastAsia="Times New Roman" w:cs="Times New Roman"/>
          <w:sz w:val="24"/>
          <w:szCs w:val="24"/>
        </w:rPr>
        <w:t>, 100177.</w:t>
      </w:r>
    </w:p>
    <w:p w14:paraId="7739EDC4">
      <w:pPr>
        <w:spacing w:line="240" w:lineRule="auto"/>
        <w:ind w:left="720" w:hanging="720"/>
        <w:jc w:val="both"/>
      </w:pPr>
      <w:r>
        <w:rPr>
          <w:rFonts w:ascii="Times New Roman" w:hAnsi="Times New Roman" w:eastAsia="Times New Roman" w:cs="Times New Roman"/>
          <w:sz w:val="24"/>
          <w:szCs w:val="24"/>
        </w:rPr>
        <w:t xml:space="preserve">Elvas, L. B., Almeida, A., &amp; Ferreira, J. C. (2025). Natural language processing in medical text processing: A scoping literature review. </w:t>
      </w:r>
      <w:r>
        <w:rPr>
          <w:rFonts w:ascii="Times New Roman" w:hAnsi="Times New Roman" w:eastAsia="Times New Roman" w:cs="Times New Roman"/>
          <w:i/>
          <w:iCs/>
          <w:sz w:val="24"/>
          <w:szCs w:val="24"/>
        </w:rPr>
        <w:t>International Journal of Medical Informatics, 204</w:t>
      </w:r>
      <w:r>
        <w:rPr>
          <w:rFonts w:ascii="Times New Roman" w:hAnsi="Times New Roman" w:eastAsia="Times New Roman" w:cs="Times New Roman"/>
          <w:sz w:val="24"/>
          <w:szCs w:val="24"/>
        </w:rPr>
        <w:t>, 106049.</w:t>
      </w:r>
    </w:p>
    <w:p w14:paraId="521E738B">
      <w:pPr>
        <w:spacing w:line="240" w:lineRule="auto"/>
        <w:ind w:left="720" w:hanging="720"/>
        <w:jc w:val="both"/>
      </w:pPr>
      <w:r>
        <w:rPr>
          <w:rFonts w:ascii="Times New Roman" w:hAnsi="Times New Roman" w:eastAsia="Times New Roman" w:cs="Times New Roman"/>
          <w:sz w:val="24"/>
          <w:szCs w:val="24"/>
        </w:rPr>
        <w:t xml:space="preserve">Faustini, P., McIver, A., Sullivan, R., &amp; Dras, M. (2026). De-identification of clinical data: A systematic review of free text, image and tabular data approaches. </w:t>
      </w:r>
      <w:r>
        <w:rPr>
          <w:rFonts w:ascii="Times New Roman" w:hAnsi="Times New Roman" w:eastAsia="Times New Roman" w:cs="Times New Roman"/>
          <w:i/>
          <w:iCs/>
          <w:sz w:val="24"/>
          <w:szCs w:val="24"/>
        </w:rPr>
        <w:t>International Journal of Medical Informatics, 208</w:t>
      </w:r>
      <w:r>
        <w:rPr>
          <w:rFonts w:ascii="Times New Roman" w:hAnsi="Times New Roman" w:eastAsia="Times New Roman" w:cs="Times New Roman"/>
          <w:sz w:val="24"/>
          <w:szCs w:val="24"/>
        </w:rPr>
        <w:t>, 106225.</w:t>
      </w:r>
    </w:p>
    <w:p w14:paraId="3C01C8A7">
      <w:pPr>
        <w:spacing w:line="240" w:lineRule="auto"/>
        <w:ind w:left="720" w:hanging="720"/>
        <w:jc w:val="both"/>
      </w:pPr>
      <w:r>
        <w:rPr>
          <w:rFonts w:ascii="Times New Roman" w:hAnsi="Times New Roman" w:eastAsia="Times New Roman" w:cs="Times New Roman"/>
          <w:sz w:val="24"/>
          <w:szCs w:val="24"/>
        </w:rPr>
        <w:t xml:space="preserve">Hou, W.-h., Wang, X.-k., Wang, Y.-n., Wang, J.-q., &amp; Xiao, F. (2024). Modelling long medical documents and code associations for explainable automatic ICD coding. </w:t>
      </w:r>
      <w:r>
        <w:rPr>
          <w:rFonts w:ascii="Times New Roman" w:hAnsi="Times New Roman" w:eastAsia="Times New Roman" w:cs="Times New Roman"/>
          <w:i/>
          <w:iCs/>
          <w:sz w:val="24"/>
          <w:szCs w:val="24"/>
        </w:rPr>
        <w:t>Expert Systems with Applications, 249</w:t>
      </w:r>
      <w:r>
        <w:rPr>
          <w:rFonts w:ascii="Times New Roman" w:hAnsi="Times New Roman" w:eastAsia="Times New Roman" w:cs="Times New Roman"/>
          <w:sz w:val="24"/>
          <w:szCs w:val="24"/>
        </w:rPr>
        <w:t>, 123519.</w:t>
      </w:r>
    </w:p>
    <w:p w14:paraId="2BA2E091">
      <w:pPr>
        <w:spacing w:line="240" w:lineRule="auto"/>
        <w:ind w:left="720" w:hanging="720"/>
        <w:jc w:val="both"/>
      </w:pPr>
      <w:r>
        <w:rPr>
          <w:rFonts w:ascii="Times New Roman" w:hAnsi="Times New Roman" w:eastAsia="Times New Roman" w:cs="Times New Roman"/>
          <w:sz w:val="24"/>
          <w:szCs w:val="24"/>
        </w:rPr>
        <w:t xml:space="preserve">Ijadi Maghsoodi, A., Kurz, J., Lawrenson, R., Parsons, M., Walker, C., O'Sullivan, M., &amp; Rouse, P. (2026). Artificial intelligence for decision-making in healthcare: A critical review of decision-maker-governed hybrid systems across clinical, operational, and policy settings. </w:t>
      </w:r>
      <w:r>
        <w:rPr>
          <w:rFonts w:ascii="Times New Roman" w:hAnsi="Times New Roman" w:eastAsia="Times New Roman" w:cs="Times New Roman"/>
          <w:i/>
          <w:iCs/>
          <w:sz w:val="24"/>
          <w:szCs w:val="24"/>
        </w:rPr>
        <w:t>Health Policy and Technology, 15</w:t>
      </w:r>
      <w:r>
        <w:rPr>
          <w:rFonts w:ascii="Times New Roman" w:hAnsi="Times New Roman" w:eastAsia="Times New Roman" w:cs="Times New Roman"/>
          <w:sz w:val="24"/>
          <w:szCs w:val="24"/>
        </w:rPr>
        <w:t>, 101292.</w:t>
      </w:r>
    </w:p>
    <w:p w14:paraId="23B6338E">
      <w:pPr>
        <w:spacing w:line="240" w:lineRule="auto"/>
        <w:ind w:left="720" w:hanging="720"/>
        <w:jc w:val="both"/>
      </w:pPr>
      <w:r>
        <w:rPr>
          <w:rFonts w:ascii="Times New Roman" w:hAnsi="Times New Roman" w:eastAsia="Times New Roman" w:cs="Times New Roman"/>
          <w:sz w:val="24"/>
          <w:szCs w:val="24"/>
        </w:rPr>
        <w:t xml:space="preserve">Jafarpour, H., Wu, G., Cheligeer, C., Yan, J., Xu, Y., Southern, D. A., Eastwood, C. A., Zeng, Y., &amp; Quan, H. (2025). Preprocessing narrative texts in electronic medical records to identify hospital adverse events: A scoping review. </w:t>
      </w:r>
      <w:r>
        <w:rPr>
          <w:rFonts w:ascii="Times New Roman" w:hAnsi="Times New Roman" w:eastAsia="Times New Roman" w:cs="Times New Roman"/>
          <w:i/>
          <w:iCs/>
          <w:sz w:val="24"/>
          <w:szCs w:val="24"/>
        </w:rPr>
        <w:t>Artificial Intelligence in Medicine, 170</w:t>
      </w:r>
      <w:r>
        <w:rPr>
          <w:rFonts w:ascii="Times New Roman" w:hAnsi="Times New Roman" w:eastAsia="Times New Roman" w:cs="Times New Roman"/>
          <w:sz w:val="24"/>
          <w:szCs w:val="24"/>
        </w:rPr>
        <w:t>, 103281.</w:t>
      </w:r>
    </w:p>
    <w:p w14:paraId="2F23B651">
      <w:pPr>
        <w:spacing w:line="240" w:lineRule="auto"/>
        <w:ind w:left="720" w:hanging="720"/>
        <w:jc w:val="both"/>
      </w:pPr>
      <w:r>
        <w:rPr>
          <w:rFonts w:ascii="Times New Roman" w:hAnsi="Times New Roman" w:eastAsia="Times New Roman" w:cs="Times New Roman"/>
          <w:sz w:val="24"/>
          <w:szCs w:val="24"/>
        </w:rPr>
        <w:t xml:space="preserve">Jaganathan, G. S., Kahanda, I., &amp; Kanewala, U. (2025). Metamorphic testing for robustness and fairness evaluation of LLM-based automated ICD coding applications. </w:t>
      </w:r>
      <w:r>
        <w:rPr>
          <w:rFonts w:ascii="Times New Roman" w:hAnsi="Times New Roman" w:eastAsia="Times New Roman" w:cs="Times New Roman"/>
          <w:i/>
          <w:iCs/>
          <w:sz w:val="24"/>
          <w:szCs w:val="24"/>
        </w:rPr>
        <w:t>Smart Health, 36</w:t>
      </w:r>
      <w:r>
        <w:rPr>
          <w:rFonts w:ascii="Times New Roman" w:hAnsi="Times New Roman" w:eastAsia="Times New Roman" w:cs="Times New Roman"/>
          <w:sz w:val="24"/>
          <w:szCs w:val="24"/>
        </w:rPr>
        <w:t>, 100564.</w:t>
      </w:r>
    </w:p>
    <w:p w14:paraId="6397079F">
      <w:pPr>
        <w:spacing w:line="240" w:lineRule="auto"/>
        <w:ind w:left="720" w:hanging="720"/>
        <w:jc w:val="both"/>
      </w:pPr>
      <w:r>
        <w:rPr>
          <w:rFonts w:ascii="Times New Roman" w:hAnsi="Times New Roman" w:eastAsia="Times New Roman" w:cs="Times New Roman"/>
          <w:sz w:val="24"/>
          <w:szCs w:val="24"/>
        </w:rPr>
        <w:t xml:space="preserve">Jia, S., Bit, S., Jasodanand, V. H., Liu, Y., &amp; Kolachalama, V. B. (2026). Agentic memory-augmented retrieval and evidence grounding for medical question-answering tasks. </w:t>
      </w:r>
      <w:r>
        <w:rPr>
          <w:rFonts w:ascii="Times New Roman" w:hAnsi="Times New Roman" w:eastAsia="Times New Roman" w:cs="Times New Roman"/>
          <w:i/>
          <w:iCs/>
          <w:sz w:val="24"/>
          <w:szCs w:val="24"/>
        </w:rPr>
        <w:t>International Journal of Medical Informatics, 212</w:t>
      </w:r>
      <w:r>
        <w:rPr>
          <w:rFonts w:ascii="Times New Roman" w:hAnsi="Times New Roman" w:eastAsia="Times New Roman" w:cs="Times New Roman"/>
          <w:sz w:val="24"/>
          <w:szCs w:val="24"/>
        </w:rPr>
        <w:t>, 106339.</w:t>
      </w:r>
    </w:p>
    <w:p w14:paraId="4188D934">
      <w:pPr>
        <w:spacing w:line="240" w:lineRule="auto"/>
        <w:ind w:left="720" w:hanging="720"/>
        <w:jc w:val="both"/>
      </w:pPr>
      <w:r>
        <w:rPr>
          <w:rFonts w:ascii="Times New Roman" w:hAnsi="Times New Roman" w:eastAsia="Times New Roman" w:cs="Times New Roman"/>
          <w:sz w:val="24"/>
          <w:szCs w:val="24"/>
        </w:rPr>
        <w:t xml:space="preserve">Kumar, D., Choudhary, N., Gupta, V., Tanwar, R., Behmani, K., Antal, S., Jarora, S., Gupta, S., Shaikh, M. S., Webster, T. J., &amp; Faiyazuddin, M. (2026). Natural language processing in healthcare: From unstructured data to clinical intelligence. </w:t>
      </w:r>
      <w:r>
        <w:rPr>
          <w:rFonts w:ascii="Times New Roman" w:hAnsi="Times New Roman" w:eastAsia="Times New Roman" w:cs="Times New Roman"/>
          <w:i/>
          <w:iCs/>
          <w:sz w:val="24"/>
          <w:szCs w:val="24"/>
        </w:rPr>
        <w:t>Intelligent Systems with Applications, 31</w:t>
      </w:r>
      <w:r>
        <w:rPr>
          <w:rFonts w:ascii="Times New Roman" w:hAnsi="Times New Roman" w:eastAsia="Times New Roman" w:cs="Times New Roman"/>
          <w:sz w:val="24"/>
          <w:szCs w:val="24"/>
        </w:rPr>
        <w:t>, 200698.</w:t>
      </w:r>
    </w:p>
    <w:p w14:paraId="0DFC68CC">
      <w:pPr>
        <w:spacing w:line="240" w:lineRule="auto"/>
        <w:ind w:left="720" w:hanging="720"/>
        <w:jc w:val="both"/>
      </w:pPr>
      <w:r>
        <w:rPr>
          <w:rFonts w:ascii="Times New Roman" w:hAnsi="Times New Roman" w:eastAsia="Times New Roman" w:cs="Times New Roman"/>
          <w:sz w:val="24"/>
          <w:szCs w:val="24"/>
        </w:rPr>
        <w:t xml:space="preserve">Landolsi, M. Y., Fadhli, I., Boufaied, A., &amp; Ben Romdhane, L. (2026). Recent trends of retrieval-augmented generation in healthcare: A systematic review. </w:t>
      </w:r>
      <w:r>
        <w:rPr>
          <w:rFonts w:ascii="Times New Roman" w:hAnsi="Times New Roman" w:eastAsia="Times New Roman" w:cs="Times New Roman"/>
          <w:i/>
          <w:iCs/>
          <w:sz w:val="24"/>
          <w:szCs w:val="24"/>
        </w:rPr>
        <w:t>Engineering Applications of Artificial Intelligence, 182</w:t>
      </w:r>
      <w:r>
        <w:rPr>
          <w:rFonts w:ascii="Times New Roman" w:hAnsi="Times New Roman" w:eastAsia="Times New Roman" w:cs="Times New Roman"/>
          <w:sz w:val="24"/>
          <w:szCs w:val="24"/>
        </w:rPr>
        <w:t>, 115912.</w:t>
      </w:r>
    </w:p>
    <w:p w14:paraId="65EB3E6A">
      <w:pPr>
        <w:spacing w:line="240" w:lineRule="auto"/>
        <w:ind w:left="720" w:hanging="720"/>
        <w:jc w:val="both"/>
      </w:pPr>
      <w:r>
        <w:rPr>
          <w:rFonts w:ascii="Times New Roman" w:hAnsi="Times New Roman" w:eastAsia="Times New Roman" w:cs="Times New Roman"/>
          <w:sz w:val="24"/>
          <w:szCs w:val="24"/>
        </w:rPr>
        <w:t xml:space="preserve">Li, Y., Lv, M., Cheng, L., Xie, Y., Gu, Q., He, H., Chen, Z., Fang, D., &amp; Zhou, X. (2026). Explainable and evidence-linked recommendations for spine surgery via a retrieval-augmented LLM agent. </w:t>
      </w:r>
      <w:r>
        <w:rPr>
          <w:rFonts w:ascii="Times New Roman" w:hAnsi="Times New Roman" w:eastAsia="Times New Roman" w:cs="Times New Roman"/>
          <w:i/>
          <w:iCs/>
          <w:sz w:val="24"/>
          <w:szCs w:val="24"/>
        </w:rPr>
        <w:t>European Journal of Radiology, 197</w:t>
      </w:r>
      <w:r>
        <w:rPr>
          <w:rFonts w:ascii="Times New Roman" w:hAnsi="Times New Roman" w:eastAsia="Times New Roman" w:cs="Times New Roman"/>
          <w:sz w:val="24"/>
          <w:szCs w:val="24"/>
        </w:rPr>
        <w:t>, 112734.</w:t>
      </w:r>
    </w:p>
    <w:p w14:paraId="3D7B5AE2">
      <w:pPr>
        <w:spacing w:line="240" w:lineRule="auto"/>
        <w:ind w:left="720" w:hanging="720"/>
        <w:jc w:val="both"/>
      </w:pPr>
      <w:r>
        <w:rPr>
          <w:rFonts w:ascii="Times New Roman" w:hAnsi="Times New Roman" w:eastAsia="Times New Roman" w:cs="Times New Roman"/>
          <w:sz w:val="24"/>
          <w:szCs w:val="24"/>
        </w:rPr>
        <w:t xml:space="preserve">Luo, X., Deng, Z., Yang, B., &amp; Luo, M. Y. (2024). Pre-trained language models in medicine: A survey. </w:t>
      </w:r>
      <w:r>
        <w:rPr>
          <w:rFonts w:ascii="Times New Roman" w:hAnsi="Times New Roman" w:eastAsia="Times New Roman" w:cs="Times New Roman"/>
          <w:i/>
          <w:iCs/>
          <w:sz w:val="24"/>
          <w:szCs w:val="24"/>
        </w:rPr>
        <w:t>Artificial Intelligence in Medicine, 154</w:t>
      </w:r>
      <w:r>
        <w:rPr>
          <w:rFonts w:ascii="Times New Roman" w:hAnsi="Times New Roman" w:eastAsia="Times New Roman" w:cs="Times New Roman"/>
          <w:sz w:val="24"/>
          <w:szCs w:val="24"/>
        </w:rPr>
        <w:t>, 102904.</w:t>
      </w:r>
    </w:p>
    <w:p w14:paraId="0DA5B347">
      <w:pPr>
        <w:spacing w:line="240" w:lineRule="auto"/>
        <w:ind w:left="720" w:hanging="720"/>
        <w:jc w:val="both"/>
      </w:pPr>
      <w:r>
        <w:rPr>
          <w:rFonts w:ascii="Times New Roman" w:hAnsi="Times New Roman" w:eastAsia="Times New Roman" w:cs="Times New Roman"/>
          <w:sz w:val="24"/>
          <w:szCs w:val="24"/>
        </w:rPr>
        <w:t xml:space="preserve">Mehri, T., Nadalini, T., Hoekman, A. H., van der Laan, T. P., Kagialari, K., Wagner, R. K., Doornberg, J. N., Schoonbeek, R. C., &amp; Bootsma-Robroeks, C. M. H. H. T. (2026). Assessing the quality of AI-generated and physician-written discharge summaries: Evaluation of an EHR-integrated tool in a Dutch academic hospital. </w:t>
      </w:r>
      <w:r>
        <w:rPr>
          <w:rFonts w:ascii="Times New Roman" w:hAnsi="Times New Roman" w:eastAsia="Times New Roman" w:cs="Times New Roman"/>
          <w:i/>
          <w:iCs/>
          <w:sz w:val="24"/>
          <w:szCs w:val="24"/>
        </w:rPr>
        <w:t>eBioMedicine, 127</w:t>
      </w:r>
      <w:r>
        <w:rPr>
          <w:rFonts w:ascii="Times New Roman" w:hAnsi="Times New Roman" w:eastAsia="Times New Roman" w:cs="Times New Roman"/>
          <w:sz w:val="24"/>
          <w:szCs w:val="24"/>
        </w:rPr>
        <w:t>, 106247.</w:t>
      </w:r>
    </w:p>
    <w:p w14:paraId="61BD1770">
      <w:pPr>
        <w:spacing w:line="240" w:lineRule="auto"/>
        <w:ind w:left="720" w:hanging="720"/>
        <w:jc w:val="both"/>
      </w:pPr>
      <w:r>
        <w:rPr>
          <w:rFonts w:ascii="Times New Roman" w:hAnsi="Times New Roman" w:eastAsia="Times New Roman" w:cs="Times New Roman"/>
          <w:sz w:val="24"/>
          <w:szCs w:val="24"/>
        </w:rPr>
        <w:t xml:space="preserve">Mwogosi, A., &amp; Mambile, C. (2026). Concordance of electronic health record data with ICD classification and evidence-based treatment guidelines: A systematic review and meta-analysis. </w:t>
      </w:r>
      <w:r>
        <w:rPr>
          <w:rFonts w:ascii="Times New Roman" w:hAnsi="Times New Roman" w:eastAsia="Times New Roman" w:cs="Times New Roman"/>
          <w:i/>
          <w:iCs/>
          <w:sz w:val="24"/>
          <w:szCs w:val="24"/>
        </w:rPr>
        <w:t>Health Policy and Technology, 15</w:t>
      </w:r>
      <w:r>
        <w:rPr>
          <w:rFonts w:ascii="Times New Roman" w:hAnsi="Times New Roman" w:eastAsia="Times New Roman" w:cs="Times New Roman"/>
          <w:sz w:val="24"/>
          <w:szCs w:val="24"/>
        </w:rPr>
        <w:t>, 101213.</w:t>
      </w:r>
    </w:p>
    <w:p w14:paraId="2FCEC612">
      <w:pPr>
        <w:spacing w:line="240" w:lineRule="auto"/>
        <w:ind w:left="720" w:hanging="720"/>
        <w:jc w:val="both"/>
      </w:pPr>
      <w:r>
        <w:rPr>
          <w:rFonts w:ascii="Times New Roman" w:hAnsi="Times New Roman" w:eastAsia="Times New Roman" w:cs="Times New Roman"/>
          <w:sz w:val="24"/>
          <w:szCs w:val="24"/>
        </w:rPr>
        <w:t xml:space="preserve">Nilasari, E. V., &amp; Soelistijanto, B. (2026). A preliminary study on mitigating upcoding in Indonesia's national health insurance using multi-agent multi-armed bandits. </w:t>
      </w:r>
      <w:r>
        <w:rPr>
          <w:rFonts w:ascii="Times New Roman" w:hAnsi="Times New Roman" w:eastAsia="Times New Roman" w:cs="Times New Roman"/>
          <w:i/>
          <w:iCs/>
          <w:sz w:val="24"/>
          <w:szCs w:val="24"/>
        </w:rPr>
        <w:t>Procedia Computer Science, 289</w:t>
      </w:r>
      <w:r>
        <w:rPr>
          <w:rFonts w:ascii="Times New Roman" w:hAnsi="Times New Roman" w:eastAsia="Times New Roman" w:cs="Times New Roman"/>
          <w:sz w:val="24"/>
          <w:szCs w:val="24"/>
        </w:rPr>
        <w:t>, 851–858.</w:t>
      </w:r>
    </w:p>
    <w:p w14:paraId="1694B8FE">
      <w:pPr>
        <w:spacing w:line="240" w:lineRule="auto"/>
        <w:ind w:left="720" w:hanging="720"/>
        <w:jc w:val="both"/>
      </w:pPr>
      <w:r>
        <w:rPr>
          <w:rFonts w:ascii="Times New Roman" w:hAnsi="Times New Roman" w:eastAsia="Times New Roman" w:cs="Times New Roman"/>
          <w:sz w:val="24"/>
          <w:szCs w:val="24"/>
        </w:rPr>
        <w:t xml:space="preserve">Olex, A. L., &amp; McInnes, B. T. (2021). Review of temporal reasoning in the clinical domain for timeline extraction: Where we are and where we need to be. </w:t>
      </w:r>
      <w:r>
        <w:rPr>
          <w:rFonts w:ascii="Times New Roman" w:hAnsi="Times New Roman" w:eastAsia="Times New Roman" w:cs="Times New Roman"/>
          <w:i/>
          <w:iCs/>
          <w:sz w:val="24"/>
          <w:szCs w:val="24"/>
        </w:rPr>
        <w:t>Journal of Biomedical Informatics, 118</w:t>
      </w:r>
      <w:r>
        <w:rPr>
          <w:rFonts w:ascii="Times New Roman" w:hAnsi="Times New Roman" w:eastAsia="Times New Roman" w:cs="Times New Roman"/>
          <w:sz w:val="24"/>
          <w:szCs w:val="24"/>
        </w:rPr>
        <w:t>, 103784.</w:t>
      </w:r>
    </w:p>
    <w:p w14:paraId="6E8AB985">
      <w:pPr>
        <w:spacing w:line="240" w:lineRule="auto"/>
        <w:ind w:left="720" w:hanging="720"/>
        <w:jc w:val="both"/>
      </w:pPr>
      <w:r>
        <w:rPr>
          <w:rFonts w:ascii="Times New Roman" w:hAnsi="Times New Roman" w:eastAsia="Times New Roman" w:cs="Times New Roman"/>
          <w:sz w:val="24"/>
          <w:szCs w:val="24"/>
        </w:rPr>
        <w:t xml:space="preserve">Rachmawaty, R., Sinrang, A. W., Wahyudin, E., &amp; Bukhari, A. (2021). Evaluation of health care quality among insured patients in Indonesian mother &amp; child hospital: A secondary data analysis. </w:t>
      </w:r>
      <w:r>
        <w:rPr>
          <w:rFonts w:ascii="Times New Roman" w:hAnsi="Times New Roman" w:eastAsia="Times New Roman" w:cs="Times New Roman"/>
          <w:i/>
          <w:iCs/>
          <w:sz w:val="24"/>
          <w:szCs w:val="24"/>
        </w:rPr>
        <w:t>Gaceta Sanitaria, 35</w:t>
      </w:r>
      <w:r>
        <w:rPr>
          <w:rFonts w:ascii="Times New Roman" w:hAnsi="Times New Roman" w:eastAsia="Times New Roman" w:cs="Times New Roman"/>
          <w:sz w:val="24"/>
          <w:szCs w:val="24"/>
        </w:rPr>
        <w:t>(S2), S613–S618.</w:t>
      </w:r>
    </w:p>
    <w:p w14:paraId="55A8B269">
      <w:pPr>
        <w:spacing w:line="240" w:lineRule="auto"/>
        <w:ind w:left="720" w:hanging="720"/>
        <w:jc w:val="both"/>
      </w:pPr>
      <w:r>
        <w:rPr>
          <w:rFonts w:ascii="Times New Roman" w:hAnsi="Times New Roman" w:eastAsia="Times New Roman" w:cs="Times New Roman"/>
          <w:sz w:val="24"/>
          <w:szCs w:val="24"/>
        </w:rPr>
        <w:t xml:space="preserve">Schwieger, A., Angst, K., de Bardeci, M., Burrer, A., Cathomas, F., Ferrea, S., Grätz, F., Knorr, M., Kronenberg, G., Spiller, T., Troi, D., Seifritz, E., Weber, S., &amp; Olbrich, S. (2024). Large language models can support generation of standardized discharge summaries: A retrospective study utilizing ChatGPT-4 and electronic health records. </w:t>
      </w:r>
      <w:r>
        <w:rPr>
          <w:rFonts w:ascii="Times New Roman" w:hAnsi="Times New Roman" w:eastAsia="Times New Roman" w:cs="Times New Roman"/>
          <w:i/>
          <w:iCs/>
          <w:sz w:val="24"/>
          <w:szCs w:val="24"/>
        </w:rPr>
        <w:t>International Journal of Medical Informatics, 192</w:t>
      </w:r>
      <w:r>
        <w:rPr>
          <w:rFonts w:ascii="Times New Roman" w:hAnsi="Times New Roman" w:eastAsia="Times New Roman" w:cs="Times New Roman"/>
          <w:sz w:val="24"/>
          <w:szCs w:val="24"/>
        </w:rPr>
        <w:t>, 105654.</w:t>
      </w:r>
    </w:p>
    <w:p w14:paraId="227EFBD2">
      <w:pPr>
        <w:spacing w:line="240" w:lineRule="auto"/>
        <w:ind w:left="720" w:hanging="720"/>
        <w:jc w:val="both"/>
      </w:pPr>
      <w:r>
        <w:rPr>
          <w:rFonts w:ascii="Times New Roman" w:hAnsi="Times New Roman" w:eastAsia="Times New Roman" w:cs="Times New Roman"/>
          <w:sz w:val="24"/>
          <w:szCs w:val="24"/>
        </w:rPr>
        <w:t xml:space="preserve">Simbolon, F., &amp; Gani, A. (2023). Faktor-faktor yang mempengaruhi terjadinya pending klaim rawat inap: Literatur review. </w:t>
      </w:r>
      <w:r>
        <w:rPr>
          <w:rFonts w:ascii="Times New Roman" w:hAnsi="Times New Roman" w:eastAsia="Times New Roman" w:cs="Times New Roman"/>
          <w:i/>
          <w:iCs/>
          <w:sz w:val="24"/>
          <w:szCs w:val="24"/>
        </w:rPr>
        <w:t>Jurnal Keperawatan dan Kesehatan, 14</w:t>
      </w:r>
      <w:r>
        <w:rPr>
          <w:rFonts w:ascii="Times New Roman" w:hAnsi="Times New Roman" w:eastAsia="Times New Roman" w:cs="Times New Roman"/>
          <w:sz w:val="24"/>
          <w:szCs w:val="24"/>
        </w:rPr>
        <w:t>(1), 72–78.</w:t>
      </w:r>
    </w:p>
    <w:p w14:paraId="4087E65D">
      <w:pPr>
        <w:spacing w:line="240" w:lineRule="auto"/>
        <w:ind w:left="720" w:hanging="720"/>
        <w:jc w:val="both"/>
      </w:pPr>
      <w:r>
        <w:rPr>
          <w:rFonts w:ascii="Times New Roman" w:hAnsi="Times New Roman" w:eastAsia="Times New Roman" w:cs="Times New Roman"/>
          <w:sz w:val="24"/>
          <w:szCs w:val="24"/>
        </w:rPr>
        <w:t xml:space="preserve">Skrabic, R., Viculin, I., Boban, Z., Kumric, M., Vilovic, M., Vrdoljak, J., &amp; Bozic, J. (2026). Large language models as second reviewers for medical errors in real-world internal medicine reports: A prospective comparative study of open- and closed-source models. </w:t>
      </w:r>
      <w:r>
        <w:rPr>
          <w:rFonts w:ascii="Times New Roman" w:hAnsi="Times New Roman" w:eastAsia="Times New Roman" w:cs="Times New Roman"/>
          <w:i/>
          <w:iCs/>
          <w:sz w:val="24"/>
          <w:szCs w:val="24"/>
        </w:rPr>
        <w:t>International Journal of Medical Informatics, 211</w:t>
      </w:r>
      <w:r>
        <w:rPr>
          <w:rFonts w:ascii="Times New Roman" w:hAnsi="Times New Roman" w:eastAsia="Times New Roman" w:cs="Times New Roman"/>
          <w:sz w:val="24"/>
          <w:szCs w:val="24"/>
        </w:rPr>
        <w:t>, 106316.</w:t>
      </w:r>
    </w:p>
    <w:p w14:paraId="35721A53">
      <w:pPr>
        <w:spacing w:line="240" w:lineRule="auto"/>
        <w:ind w:left="720" w:hanging="720"/>
        <w:jc w:val="both"/>
      </w:pPr>
      <w:r>
        <w:rPr>
          <w:rFonts w:ascii="Times New Roman" w:hAnsi="Times New Roman" w:eastAsia="Times New Roman" w:cs="Times New Roman"/>
          <w:sz w:val="24"/>
          <w:szCs w:val="24"/>
        </w:rPr>
        <w:t xml:space="preserve">Sun, C., Fang, J., Ni, L., Yu, K., Lu, Y., &amp; Lu, Y. (2027). KG-ACE: Knowledge Graph Alignment and Consistency Enhancement for medical reasoning with large language models. </w:t>
      </w:r>
      <w:r>
        <w:rPr>
          <w:rFonts w:ascii="Times New Roman" w:hAnsi="Times New Roman" w:eastAsia="Times New Roman" w:cs="Times New Roman"/>
          <w:i/>
          <w:iCs/>
          <w:sz w:val="24"/>
          <w:szCs w:val="24"/>
        </w:rPr>
        <w:t>Information Processing &amp; Management, 64</w:t>
      </w:r>
      <w:r>
        <w:rPr>
          <w:rFonts w:ascii="Times New Roman" w:hAnsi="Times New Roman" w:eastAsia="Times New Roman" w:cs="Times New Roman"/>
          <w:sz w:val="24"/>
          <w:szCs w:val="24"/>
        </w:rPr>
        <w:t>, 105071.</w:t>
      </w:r>
    </w:p>
    <w:p w14:paraId="2334851C">
      <w:pPr>
        <w:spacing w:line="240" w:lineRule="auto"/>
        <w:ind w:left="720" w:hanging="720"/>
        <w:jc w:val="both"/>
      </w:pPr>
      <w:r>
        <w:rPr>
          <w:rFonts w:ascii="Times New Roman" w:hAnsi="Times New Roman" w:eastAsia="Times New Roman" w:cs="Times New Roman"/>
          <w:sz w:val="24"/>
          <w:szCs w:val="24"/>
        </w:rPr>
        <w:t xml:space="preserve">Sun, Z., Yim, W.-W., Uzuner, Ö., Xia, F., &amp; Yetisgen, M. (2025). A scoping review of natural language processing in addressing medically inaccurate information: Errors, misinformation, and hallucination. </w:t>
      </w:r>
      <w:r>
        <w:rPr>
          <w:rFonts w:ascii="Times New Roman" w:hAnsi="Times New Roman" w:eastAsia="Times New Roman" w:cs="Times New Roman"/>
          <w:i/>
          <w:iCs/>
          <w:sz w:val="24"/>
          <w:szCs w:val="24"/>
        </w:rPr>
        <w:t>Journal of Biomedical Informatics, 169</w:t>
      </w:r>
      <w:r>
        <w:rPr>
          <w:rFonts w:ascii="Times New Roman" w:hAnsi="Times New Roman" w:eastAsia="Times New Roman" w:cs="Times New Roman"/>
          <w:sz w:val="24"/>
          <w:szCs w:val="24"/>
        </w:rPr>
        <w:t>, 104866.</w:t>
      </w:r>
    </w:p>
    <w:p w14:paraId="4B9FAAF2">
      <w:pPr>
        <w:spacing w:line="240" w:lineRule="auto"/>
        <w:ind w:left="720" w:hanging="720"/>
        <w:jc w:val="both"/>
      </w:pPr>
      <w:r>
        <w:rPr>
          <w:rFonts w:ascii="Times New Roman" w:hAnsi="Times New Roman" w:eastAsia="Times New Roman" w:cs="Times New Roman"/>
          <w:sz w:val="24"/>
          <w:szCs w:val="24"/>
        </w:rPr>
        <w:t xml:space="preserve">Susilo, D., Wulandari, L. P. L., Sukmayeti, E., Asante, A., Jan, S., Thabrany, H., Tangcharoensathien, V., Wiseman, V., &amp; Liverani, M. (2025). Can Indonesia achieve universal health coverage? Organisational and financing challenges in implementing the national health insurance system. </w:t>
      </w:r>
      <w:r>
        <w:rPr>
          <w:rFonts w:ascii="Times New Roman" w:hAnsi="Times New Roman" w:eastAsia="Times New Roman" w:cs="Times New Roman"/>
          <w:i/>
          <w:iCs/>
          <w:sz w:val="24"/>
          <w:szCs w:val="24"/>
        </w:rPr>
        <w:t>SSM - Health Systems, 5</w:t>
      </w:r>
      <w:r>
        <w:rPr>
          <w:rFonts w:ascii="Times New Roman" w:hAnsi="Times New Roman" w:eastAsia="Times New Roman" w:cs="Times New Roman"/>
          <w:sz w:val="24"/>
          <w:szCs w:val="24"/>
        </w:rPr>
        <w:t>, 100138.</w:t>
      </w:r>
    </w:p>
    <w:p w14:paraId="1AFB15B8">
      <w:pPr>
        <w:spacing w:line="240" w:lineRule="auto"/>
        <w:ind w:left="720" w:hanging="720"/>
        <w:jc w:val="both"/>
      </w:pPr>
      <w:r>
        <w:rPr>
          <w:rFonts w:ascii="Times New Roman" w:hAnsi="Times New Roman" w:eastAsia="Times New Roman" w:cs="Times New Roman"/>
          <w:sz w:val="24"/>
          <w:szCs w:val="24"/>
        </w:rPr>
        <w:t xml:space="preserve">Syeda, Q. A., &amp; Reddy B., R. (2026). Knowledge graphs and large language models: Construction paradigms, integration approaches, and emerging applications. </w:t>
      </w:r>
      <w:r>
        <w:rPr>
          <w:rFonts w:ascii="Times New Roman" w:hAnsi="Times New Roman" w:eastAsia="Times New Roman" w:cs="Times New Roman"/>
          <w:i/>
          <w:iCs/>
          <w:sz w:val="24"/>
          <w:szCs w:val="24"/>
        </w:rPr>
        <w:t>Knowledge-Based Systems, 351</w:t>
      </w:r>
      <w:r>
        <w:rPr>
          <w:rFonts w:ascii="Times New Roman" w:hAnsi="Times New Roman" w:eastAsia="Times New Roman" w:cs="Times New Roman"/>
          <w:sz w:val="24"/>
          <w:szCs w:val="24"/>
        </w:rPr>
        <w:t>, 116601.</w:t>
      </w:r>
    </w:p>
    <w:p w14:paraId="510C1182">
      <w:pPr>
        <w:spacing w:line="240" w:lineRule="auto"/>
        <w:ind w:left="720" w:hanging="720"/>
        <w:jc w:val="both"/>
      </w:pPr>
      <w:r>
        <w:rPr>
          <w:rFonts w:ascii="Times New Roman" w:hAnsi="Times New Roman" w:eastAsia="Times New Roman" w:cs="Times New Roman"/>
          <w:sz w:val="24"/>
          <w:szCs w:val="24"/>
        </w:rPr>
        <w:t xml:space="preserve">Tchouka, Y., Couchot, J.-F., Laiymani, D., Selles, P., &amp; Rahmani, A. (2024). Differentially private de-identifying textual medical document is compliant with challenging NLP analyses: Example of privacy-preserving ICD-10 code association. </w:t>
      </w:r>
      <w:r>
        <w:rPr>
          <w:rFonts w:ascii="Times New Roman" w:hAnsi="Times New Roman" w:eastAsia="Times New Roman" w:cs="Times New Roman"/>
          <w:i/>
          <w:iCs/>
          <w:sz w:val="24"/>
          <w:szCs w:val="24"/>
        </w:rPr>
        <w:t>Intelligent Systems with Applications, 23</w:t>
      </w:r>
      <w:r>
        <w:rPr>
          <w:rFonts w:ascii="Times New Roman" w:hAnsi="Times New Roman" w:eastAsia="Times New Roman" w:cs="Times New Roman"/>
          <w:sz w:val="24"/>
          <w:szCs w:val="24"/>
        </w:rPr>
        <w:t>, 200416.</w:t>
      </w:r>
    </w:p>
    <w:p w14:paraId="57C1C029">
      <w:pPr>
        <w:spacing w:line="240" w:lineRule="auto"/>
        <w:ind w:left="720" w:hanging="720"/>
        <w:jc w:val="both"/>
      </w:pPr>
      <w:r>
        <w:rPr>
          <w:rFonts w:ascii="Times New Roman" w:hAnsi="Times New Roman" w:eastAsia="Times New Roman" w:cs="Times New Roman"/>
          <w:sz w:val="24"/>
          <w:szCs w:val="24"/>
        </w:rPr>
        <w:t xml:space="preserve">van Koevorden, J. W., Aben, N., Struben, V., Rollings, A., Kurban, M., Wessels, L., van der Noort, V., Burger, A. V. M., van Dijk, S. W., Karssemakers, L., Smeele, L., Wouters, M. W. J. M., &amp; Dirven, R. (2026). Validating large language model-assisted data extraction from clinical notes. </w:t>
      </w:r>
      <w:r>
        <w:rPr>
          <w:rFonts w:ascii="Times New Roman" w:hAnsi="Times New Roman" w:eastAsia="Times New Roman" w:cs="Times New Roman"/>
          <w:i/>
          <w:iCs/>
          <w:sz w:val="24"/>
          <w:szCs w:val="24"/>
        </w:rPr>
        <w:t>ESMO Real World Data and Digital Oncology, 12</w:t>
      </w:r>
      <w:r>
        <w:rPr>
          <w:rFonts w:ascii="Times New Roman" w:hAnsi="Times New Roman" w:eastAsia="Times New Roman" w:cs="Times New Roman"/>
          <w:sz w:val="24"/>
          <w:szCs w:val="24"/>
        </w:rPr>
        <w:t>, 100718.</w:t>
      </w:r>
    </w:p>
    <w:p w14:paraId="457DA569">
      <w:pPr>
        <w:spacing w:line="240" w:lineRule="auto"/>
        <w:ind w:left="720" w:hanging="720"/>
        <w:jc w:val="both"/>
      </w:pPr>
      <w:r>
        <w:rPr>
          <w:rFonts w:ascii="Times New Roman" w:hAnsi="Times New Roman" w:eastAsia="Times New Roman" w:cs="Times New Roman"/>
          <w:sz w:val="24"/>
          <w:szCs w:val="24"/>
        </w:rPr>
        <w:t xml:space="preserve">Waqas, S. M., Umer, Z., Alim, A., Arham, M., Su'ud, M. M., Kazmi, S. J. A., &amp; Alam, M. M. (2026). Hallucination detection, verification, and correction in generative AI: A comprehensive survey. </w:t>
      </w:r>
      <w:r>
        <w:rPr>
          <w:rFonts w:ascii="Times New Roman" w:hAnsi="Times New Roman" w:eastAsia="Times New Roman" w:cs="Times New Roman"/>
          <w:i/>
          <w:iCs/>
          <w:sz w:val="24"/>
          <w:szCs w:val="24"/>
        </w:rPr>
        <w:t>Natural Language Processing Journal, 16</w:t>
      </w:r>
      <w:r>
        <w:rPr>
          <w:rFonts w:ascii="Times New Roman" w:hAnsi="Times New Roman" w:eastAsia="Times New Roman" w:cs="Times New Roman"/>
          <w:sz w:val="24"/>
          <w:szCs w:val="24"/>
        </w:rPr>
        <w:t>, 100231.</w:t>
      </w:r>
    </w:p>
    <w:p w14:paraId="028BDE9F">
      <w:pPr>
        <w:spacing w:line="240" w:lineRule="auto"/>
        <w:ind w:left="720" w:hanging="720"/>
        <w:jc w:val="both"/>
      </w:pPr>
      <w:r>
        <w:rPr>
          <w:rFonts w:ascii="Times New Roman" w:hAnsi="Times New Roman" w:eastAsia="Times New Roman" w:cs="Times New Roman"/>
          <w:sz w:val="24"/>
          <w:szCs w:val="24"/>
        </w:rPr>
        <w:t xml:space="preserve">Wei, S., Liu, X., &amp; Shi, Y. (2026). Selection-based prompting with synthesized candidates unlocks high-performance clinical abbreviation disambiguation via open-source LLMs. </w:t>
      </w:r>
      <w:r>
        <w:rPr>
          <w:rFonts w:ascii="Times New Roman" w:hAnsi="Times New Roman" w:eastAsia="Times New Roman" w:cs="Times New Roman"/>
          <w:i/>
          <w:iCs/>
          <w:sz w:val="24"/>
          <w:szCs w:val="24"/>
        </w:rPr>
        <w:t>Journal of Biomedical Informatics, 181</w:t>
      </w:r>
      <w:r>
        <w:rPr>
          <w:rFonts w:ascii="Times New Roman" w:hAnsi="Times New Roman" w:eastAsia="Times New Roman" w:cs="Times New Roman"/>
          <w:sz w:val="24"/>
          <w:szCs w:val="24"/>
        </w:rPr>
        <w:t>, 105085.</w:t>
      </w:r>
    </w:p>
    <w:p w14:paraId="07FFF202">
      <w:pPr>
        <w:spacing w:line="240" w:lineRule="auto"/>
        <w:ind w:left="720" w:hanging="720"/>
        <w:jc w:val="both"/>
      </w:pPr>
      <w:r>
        <w:rPr>
          <w:rFonts w:ascii="Times New Roman" w:hAnsi="Times New Roman" w:eastAsia="Times New Roman" w:cs="Times New Roman"/>
          <w:sz w:val="24"/>
          <w:szCs w:val="24"/>
        </w:rPr>
        <w:t xml:space="preserve">Woo, B. F. Y., Cato, K., Cho, H., You, S. B., &amp; Song, J. (2026). The use of large language models in clinical documentation: A scoping review. </w:t>
      </w:r>
      <w:r>
        <w:rPr>
          <w:rFonts w:ascii="Times New Roman" w:hAnsi="Times New Roman" w:eastAsia="Times New Roman" w:cs="Times New Roman"/>
          <w:i/>
          <w:iCs/>
          <w:sz w:val="24"/>
          <w:szCs w:val="24"/>
        </w:rPr>
        <w:t>International Journal of Nursing Studies, 176</w:t>
      </w:r>
      <w:r>
        <w:rPr>
          <w:rFonts w:ascii="Times New Roman" w:hAnsi="Times New Roman" w:eastAsia="Times New Roman" w:cs="Times New Roman"/>
          <w:sz w:val="24"/>
          <w:szCs w:val="24"/>
        </w:rPr>
        <w:t>, 105322.</w:t>
      </w:r>
    </w:p>
    <w:p w14:paraId="3579F712">
      <w:pPr>
        <w:spacing w:line="240" w:lineRule="auto"/>
        <w:ind w:left="720" w:hanging="720"/>
        <w:jc w:val="both"/>
      </w:pPr>
      <w:r>
        <w:rPr>
          <w:rFonts w:ascii="Times New Roman" w:hAnsi="Times New Roman" w:eastAsia="Times New Roman" w:cs="Times New Roman"/>
          <w:sz w:val="24"/>
          <w:szCs w:val="24"/>
        </w:rPr>
        <w:t xml:space="preserve">Yang, Y., Gao, B., Tan, C., Zhu, C., Yuan, P., Xie, P., Gu, Y., &amp; Liu, H. (2026). CTKGR: Temporal knowledge graph enhanced prediction of in-hospital events for pneumonia patients using electronic health records. </w:t>
      </w:r>
      <w:r>
        <w:rPr>
          <w:rFonts w:ascii="Times New Roman" w:hAnsi="Times New Roman" w:eastAsia="Times New Roman" w:cs="Times New Roman"/>
          <w:i/>
          <w:iCs/>
          <w:sz w:val="24"/>
          <w:szCs w:val="24"/>
        </w:rPr>
        <w:t>Journal of Biomedical Informatics, 177</w:t>
      </w:r>
      <w:r>
        <w:rPr>
          <w:rFonts w:ascii="Times New Roman" w:hAnsi="Times New Roman" w:eastAsia="Times New Roman" w:cs="Times New Roman"/>
          <w:sz w:val="24"/>
          <w:szCs w:val="24"/>
        </w:rPr>
        <w:t>, 105007.</w:t>
      </w:r>
    </w:p>
    <w:p w14:paraId="30AE72C1">
      <w:pPr>
        <w:spacing w:line="240" w:lineRule="auto"/>
        <w:ind w:left="720" w:hanging="720"/>
        <w:jc w:val="both"/>
      </w:pPr>
      <w:r>
        <w:rPr>
          <w:rFonts w:ascii="Times New Roman" w:hAnsi="Times New Roman" w:eastAsia="Times New Roman" w:cs="Times New Roman"/>
          <w:sz w:val="24"/>
          <w:szCs w:val="24"/>
        </w:rPr>
        <w:t xml:space="preserve">Zeba, M., Al Mamun, A., Tithee, K. J., Sutradhar, D., Raiaan, M. A. K., Mukta, S., Mohamed, R. E., Islam, M. R., Sebastian, Y., Hussain, M., &amp; Azam, S. (2026). Mitigating hallucinations in healthcare LLMs with granular fact-checking and domain-specific adaptation. </w:t>
      </w:r>
      <w:r>
        <w:rPr>
          <w:rFonts w:ascii="Times New Roman" w:hAnsi="Times New Roman" w:eastAsia="Times New Roman" w:cs="Times New Roman"/>
          <w:i/>
          <w:iCs/>
          <w:sz w:val="24"/>
          <w:szCs w:val="24"/>
        </w:rPr>
        <w:t>Expert Systems with Applications, 329</w:t>
      </w:r>
      <w:r>
        <w:rPr>
          <w:rFonts w:ascii="Times New Roman" w:hAnsi="Times New Roman" w:eastAsia="Times New Roman" w:cs="Times New Roman"/>
          <w:sz w:val="24"/>
          <w:szCs w:val="24"/>
        </w:rPr>
        <w:t>, 132966.</w:t>
      </w:r>
    </w:p>
    <w:p w14:paraId="4FF3CF8B">
      <w:pPr>
        <w:spacing w:line="240" w:lineRule="auto"/>
        <w:ind w:left="720" w:hanging="720"/>
        <w:jc w:val="both"/>
      </w:pPr>
      <w:r>
        <w:rPr>
          <w:rFonts w:ascii="Times New Roman" w:hAnsi="Times New Roman" w:eastAsia="Times New Roman" w:cs="Times New Roman"/>
          <w:sz w:val="24"/>
          <w:szCs w:val="24"/>
        </w:rPr>
        <w:t xml:space="preserve">Zhang, H., Vithanage, D., Deng, C., &amp; Yu, P. (2026). Optimising clinical information extraction: A comparative study of retrieval-augmented generation techniques in clinical notes. </w:t>
      </w:r>
      <w:r>
        <w:rPr>
          <w:rFonts w:ascii="Times New Roman" w:hAnsi="Times New Roman" w:eastAsia="Times New Roman" w:cs="Times New Roman"/>
          <w:i/>
          <w:iCs/>
          <w:sz w:val="24"/>
          <w:szCs w:val="24"/>
        </w:rPr>
        <w:t>Journal of Biomedical Informatics, 180</w:t>
      </w:r>
      <w:r>
        <w:rPr>
          <w:rFonts w:ascii="Times New Roman" w:hAnsi="Times New Roman" w:eastAsia="Times New Roman" w:cs="Times New Roman"/>
          <w:sz w:val="24"/>
          <w:szCs w:val="24"/>
        </w:rPr>
        <w:t>, 105053.</w:t>
      </w:r>
    </w:p>
    <w:p w14:paraId="0D93556E" w14:textId="77777777">
      <w:pPr>
        <w:pageBreakBefore/>
        <w:spacing w:before="0" w:after="0" w:line="240" w:lineRule="auto"/>
        <w:jc w:val="left"/>
      </w:pPr>
      <w:r>
        <w:lastRenderedPageBreak/>
      </w:r>
    </w:p>
    <w:p w14:paraId="68412185" w14:textId="77777777">
      <w:pPr>
        <w:pStyle w:val="Lampiran1"/>
        <w:pageBreakBefore/>
        <w:ind w:left="432" w:hanging="432"/>
        <w:jc w:val="both"/>
      </w:pPr>
      <w:bookmarkStart w:id="36" w:name="_Toc406869964"/>
      <w:r>
        <w:lastRenderedPageBreak/>
        <w:rPr>
          <w:rFonts w:ascii="Times New Roman" w:hAnsi="Times New Roman" w:eastAsia="Times New Roman" w:cs="Times New Roman"/>
          <w:b/>
          <w:bCs/>
          <w:sz w:val="28"/>
          <w:szCs w:val="28"/>
        </w:rPr>
        <w:t>Contoh Judul Lampiran</w:t>
      </w:r>
      <w:bookmarkEnd w:id="36"/>
    </w:p>
    <w:p w14:paraId="25AFCCE0" w14:textId="51FD7BB5">
      <w:pPr>
        <w:spacing w:before="120" w:after="120" w:line="360" w:lineRule="auto"/>
        <w:jc w:val="both"/>
      </w:pPr>
    </w:p>
    <w:p w14:paraId="047FB57C" w14:textId="4E3A2F01">
      <w:pPr>
        <w:jc w:val="both"/>
        <w:rPr>
          <w:color w:val="548DD4" w:themeColor="text2" w:themeTint="99"/>
        </w:rPr>
      </w:pPr>
      <w:r>
        <w:rPr>
          <w:rFonts w:ascii="Times New Roman" w:hAnsi="Times New Roman" w:eastAsia="Times New Roman" w:cs="Times New Roman"/>
          <w:color w:val="548DD4" w:themeColor="text2" w:themeTint="99"/>
          <w:sz w:val="24"/>
          <w:szCs w:val="24"/>
        </w:rPr>
        <w:t>Untuk TA Capstone diwajibkan melampirkan dokumen kelengkapan proyek capstone antara lain:</w:t>
      </w:r>
    </w:p>
    <w:p w14:paraId="24DDDB70" w14:textId="666D0105">
      <w:pPr>
        <w:pStyle w:val="ListParagraph"/>
        <w:numPr>
          <w:ilvl w:val="0"/>
          <w:numId w:val="23"/>
        </w:numPr>
        <w:ind w:left="720" w:hanging="360"/>
        <w:jc w:val="both"/>
        <w:rPr>
          <w:color w:val="548DD4" w:themeColor="text2" w:themeTint="99"/>
        </w:rPr>
      </w:pPr>
      <w:r>
        <w:rPr>
          <w:rFonts w:ascii="Times New Roman" w:hAnsi="Times New Roman" w:eastAsia="Times New Roman" w:cs="Times New Roman"/>
          <w:color w:val="548DD4" w:themeColor="text2" w:themeTint="99"/>
          <w:sz w:val="24"/>
          <w:szCs w:val="24"/>
        </w:rPr>
        <w:t>Rencana Umum Proyek</w:t>
      </w:r>
    </w:p>
    <w:p w14:paraId="767F1A45" w14:textId="77777777">
      <w:pPr>
        <w:pStyle w:val="ListParagraph"/>
        <w:numPr>
          <w:ilvl w:val="0"/>
          <w:numId w:val="23"/>
        </w:numPr>
        <w:ind w:left="720" w:hanging="360"/>
        <w:jc w:val="both"/>
        <w:rPr>
          <w:color w:val="548DD4" w:themeColor="text2" w:themeTint="99"/>
        </w:rPr>
      </w:pPr>
      <w:r>
        <w:rPr>
          <w:rFonts w:ascii="Times New Roman" w:hAnsi="Times New Roman" w:eastAsia="Times New Roman" w:cs="Times New Roman"/>
          <w:color w:val="548DD4" w:themeColor="text2" w:themeTint="99"/>
          <w:sz w:val="24"/>
          <w:szCs w:val="24"/>
        </w:rPr>
        <w:t>Spesifikasi Kebutuhan Sistem</w:t>
      </w:r>
    </w:p>
    <w:p w14:paraId="4B402D5E" w14:textId="72E989D4">
      <w:pPr>
        <w:pStyle w:val="ListParagraph"/>
        <w:numPr>
          <w:ilvl w:val="0"/>
          <w:numId w:val="23"/>
        </w:numPr>
        <w:ind w:left="720" w:hanging="360"/>
        <w:jc w:val="both"/>
        <w:rPr>
          <w:color w:val="548DD4" w:themeColor="text2" w:themeTint="99"/>
        </w:rPr>
      </w:pPr>
      <w:r>
        <w:rPr>
          <w:rFonts w:ascii="Times New Roman" w:hAnsi="Times New Roman" w:eastAsia="Times New Roman" w:cs="Times New Roman"/>
          <w:color w:val="548DD4" w:themeColor="text2" w:themeTint="99"/>
          <w:sz w:val="24"/>
          <w:szCs w:val="24"/>
        </w:rPr>
        <w:t>Rancangan Sistem</w:t>
      </w:r>
    </w:p>
    <w:p w14:paraId="1F318E93" w14:textId="104CF1EB">
      <w:pPr>
        <w:pStyle w:val="ListParagraph"/>
        <w:numPr>
          <w:ilvl w:val="0"/>
          <w:numId w:val="23"/>
        </w:numPr>
        <w:ind w:left="720" w:hanging="360"/>
        <w:jc w:val="both"/>
        <w:rPr>
          <w:color w:val="548DD4" w:themeColor="text2" w:themeTint="99"/>
        </w:rPr>
      </w:pPr>
      <w:r>
        <w:rPr>
          <w:rFonts w:ascii="Times New Roman" w:hAnsi="Times New Roman" w:eastAsia="Times New Roman" w:cs="Times New Roman"/>
          <w:color w:val="548DD4" w:themeColor="text2" w:themeTint="99"/>
          <w:sz w:val="24"/>
          <w:szCs w:val="24"/>
        </w:rPr>
        <w:t xml:space="preserve">Pengujian Sistem (terutama Integration Testing) </w:t>
      </w:r>
    </w:p>
    <w:p w14:paraId="645373E1" w14:textId="77777777">
      <w:pPr>
        <w:pStyle w:val="Lampiran2"/>
        <w:ind w:left="576" w:hanging="576"/>
        <w:jc w:val="both"/>
      </w:pPr>
      <w:bookmarkStart w:id="37" w:name="_Toc406869965"/>
      <w:r>
        <w:rPr>
          <w:rFonts w:ascii="Times New Roman" w:hAnsi="Times New Roman" w:eastAsia="Times New Roman" w:cs="Times New Roman"/>
          <w:b/>
          <w:bCs/>
          <w:sz w:val="24"/>
          <w:szCs w:val="24"/>
        </w:rPr>
        <w:t>Contoh Judul Anak Lampiran</w:t>
      </w:r>
      <w:bookmarkEnd w:id="37"/>
    </w:p>
    <w:p w14:paraId="70917C04" w14:textId="77777777">
      <w:pPr>
        <w:spacing w:before="120" w:after="120" w:line="360" w:lineRule="auto"/>
        <w:jc w:val="both"/>
      </w:pPr>
      <w:r>
        <w:rPr>
          <w:rFonts w:ascii="Times New Roman" w:hAnsi="Times New Roman" w:eastAsia="Times New Roman" w:cs="Times New Roman"/>
          <w:sz w:val="24"/>
          <w:szCs w:val="24"/>
        </w:rPr>
        <w:t>Contoh anak lampiran</w:t>
      </w:r>
    </w:p>
    <w:sectPr>
      <w:footerReference w:type="default" r:id="rId12"/>
      <w:footerReference w:type="even" r:id="rId9"/>
      <w:pgSz w:w="11906" w:h="16838"/>
      <w:pgMar w:top="1440" w:right="1800" w:bottom="1440" w:left="1800" w:header="720" w:footer="528" w:gutter="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8B5FFB" w14:textId="77777777">
      <w:r>
        <w:separator/>
      </w:r>
    </w:p>
  </w:endnote>
  <w:endnote w:type="continuationSeparator" w:id="0">
    <w:p w14:paraId="48C61F10"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ne="http://schemas.microsoft.com/office/word/2006/wordml" xmlns:wpg="http://schemas.microsoft.com/office/word/2010/wordprocessingGroup" xmlns:wps="http://schemas.microsoft.com/office/word/2010/wordprocessingShape">
  <w:p w14:paraId="53CC2DA1" w14:textId="77777777">
    <w:pPr>
      <w:pStyle w:val="Footer"/>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rPr>
      <w:t>1</w:t>
    </w:r>
    <w:r>
      <w:rPr>
        <w:rStyle w:val="PageNumber"/>
      </w:rPr>
      <w:fldChar w:fldCharType="end"/>
    </w:r>
  </w:p>
  <w:p w14:paraId="5AFF5653" w14:textId="77777777">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ne="http://schemas.microsoft.com/office/word/2006/wordml" xmlns:wpg="http://schemas.microsoft.com/office/word/2010/wordprocessingGroup" xmlns:wps="http://schemas.microsoft.com/office/word/2010/wordprocessingShape">
  <w:sdt>
    <w:sdtPr>
      <w:id w:val="12289205"/>
      <w:docPartObj>
        <w:docPartGallery w:val="Page Numbers (Bottom of Page)"/>
        <w:docPartUnique/>
      </w:docPartObj>
    </w:sdtPr>
    <w:sdtContent>
      <w:p w14:paraId="785871A0" w14:textId="1948DE52">
        <w:pPr>
          <w:pStyle w:val="Footer"/>
          <w:jc w:val="center"/>
        </w:pPr>
        <w:r>
          <w:fldChar w:fldCharType="begin"/>
        </w:r>
        <w:r>
          <w:instrText xml:space="preserve"> PAGE  \* roman  \* MERGEFORMAT </w:instrText>
        </w:r>
        <w:r>
          <w:fldChar w:fldCharType="separate"/>
        </w:r>
        <w:r>
          <w:t>ix</w:t>
        </w:r>
        <w:r>
          <w:fldChar w:fldCharType="end"/>
        </w:r>
      </w:p>
    </w:sdtContent>
  </w:sdt>
  <w:p w14:paraId="740BF438" w14:textId="77777777">
    <w:pPr>
      <w:pStyle w:val="Foo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ne="http://schemas.microsoft.com/office/word/2006/wordml" xmlns:wpg="http://schemas.microsoft.com/office/word/2010/wordprocessingGroup" xmlns:wps="http://schemas.microsoft.com/office/word/2010/wordprocessingShape">
  <w:sdt>
    <w:sdtPr>
      <w:id w:val="683715135"/>
      <w:docPartObj>
        <w:docPartGallery w:val="Page Numbers (Bottom of Page)"/>
        <w:docPartUnique/>
      </w:docPartObj>
    </w:sdtPr>
    <w:sdtContent>
      <w:p w14:paraId="47289E84" w14:textId="111F0761">
        <w:pPr>
          <w:pStyle w:val="Footer"/>
          <w:jc w:val="center"/>
        </w:pPr>
        <w:r>
          <w:fldChar w:fldCharType="begin"/>
        </w:r>
        <w:r>
          <w:instrText xml:space="preserve"> PAGE  \* Arabic  \* MERGEFORMAT </w:instrText>
        </w:r>
        <w:r>
          <w:fldChar w:fldCharType="separate"/>
        </w:r>
        <w:r>
          <w:t>1</w:t>
        </w:r>
        <w:r>
          <w:fldChar w:fldCharType="end"/>
        </w:r>
      </w:p>
    </w:sdtContent>
  </w:sdt>
  <w:p w14:paraId="7C55FA01" w14:textId="777777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BC0798" w14:textId="77777777">
      <w:r>
        <w:separator/>
      </w:r>
    </w:p>
  </w:footnote>
  <w:footnote w:type="continuationSeparator" w:id="0">
    <w:p w14:paraId="7B8D4346" w14:textId="7777777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8"/>
    <w:multiLevelType w:val="singleLevel"/>
    <w:tmpl w:val="F986380C"/>
    <w:lvl w:ilvl="0">
      <w:start w:val="1"/>
      <w:numFmt w:val="decimal"/>
      <w:pStyle w:val="ListNumber"/>
      <w:lvlText w:val="%1."/>
      <w:lvlJc w:val="left"/>
      <w:pPr>
        <w:tabs>
          <w:tab w:val="num" w:pos="360"/>
        </w:tabs>
        <w:ind w:left="360" w:hanging="360"/>
      </w:pPr>
    </w:lvl>
  </w:abstractNum>
  <w:abstractNum w:abstractNumId="1" w15:restartNumberingAfterBreak="0">
    <w:nsid w:val="00154E44"/>
    <w:multiLevelType w:val="multilevel"/>
    <w:tmpl w:val="A2867592"/>
    <w:lvl w:ilvl="0">
      <w:start w:val="1"/>
      <w:numFmt w:val="upperRoman"/>
      <w:pStyle w:val="sub1"/>
      <w:lvlText w:val="%1"/>
      <w:lvlJc w:val="left"/>
      <w:pPr>
        <w:tabs>
          <w:tab w:val="num" w:pos="432"/>
        </w:tabs>
        <w:ind w:left="432" w:hanging="432"/>
      </w:pPr>
      <w:rPr>
        <w:rFonts w:hint="default"/>
      </w:rPr>
    </w:lvl>
    <w:lvl w:ilvl="1">
      <w:start w:val="1"/>
      <w:numFmt w:val="decimal"/>
      <w:lvlRestart w:val="0"/>
      <w:lvlText w:val="%1.%2"/>
      <w:lvlJc w:val="left"/>
      <w:pPr>
        <w:tabs>
          <w:tab w:val="num" w:pos="576"/>
        </w:tabs>
        <w:ind w:left="576" w:hanging="576"/>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2" w15:restartNumberingAfterBreak="0">
    <w:nsid w:val="0A533DA5"/>
    <w:multiLevelType w:val="hybridMultilevel"/>
    <w:tmpl w:val="64102440"/>
    <w:lvl w:ilvl="0" w:tplc="65169224">
      <w:start w:val="1"/>
      <w:numFmt w:val="decimal"/>
      <w:lvlText w:val="%1."/>
      <w:lvlJc w:val="left"/>
      <w:pPr>
        <w:ind w:left="360" w:hanging="360"/>
      </w:pPr>
      <w:rPr>
        <w:rFonts w:ascii="Times New Roman" w:eastAsia="MS Mincho"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0E922C31"/>
    <w:multiLevelType w:val="multilevel"/>
    <w:tmpl w:val="D37A8442"/>
    <w:lvl w:ilvl="0">
      <w:start w:val="1"/>
      <w:numFmt w:val="upperRoman"/>
      <w:pStyle w:val="Heading1"/>
      <w:suff w:val="nothing"/>
      <w:lvlText w:val="BAB %1"/>
      <w:lvlJc w:val="center"/>
      <w:pPr>
        <w:ind w:left="0" w:firstLine="288"/>
      </w:pPr>
      <w:rPr>
        <w:rFonts w:ascii="Times New Roman" w:hAnsi="Times New Roman" w:hint="default"/>
        <w:sz w:val="28"/>
      </w:rPr>
    </w:lvl>
    <w:lvl w:ilvl="1">
      <w:start w:val="1"/>
      <w:numFmt w:val="decimal"/>
      <w:pStyle w:val="Heading2"/>
      <w:lvlText w:val="%1.%2"/>
      <w:lvlJc w:val="left"/>
      <w:pPr>
        <w:ind w:left="576" w:hanging="576"/>
      </w:pPr>
      <w:rPr>
        <w:rFonts w:hint="default"/>
      </w:rPr>
    </w:lvl>
    <w:lvl w:ilvl="2">
      <w:start w:val="1"/>
      <w:numFmt w:val="decimal"/>
      <w:pStyle w:val="Heading3"/>
      <w:lvlText w:val="%1.%2.%3"/>
      <w:lvlJc w:val="left"/>
      <w:pPr>
        <w:ind w:left="720" w:hanging="720"/>
      </w:pPr>
      <w:rPr>
        <w:rFonts w:hint="default"/>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4" w15:restartNumberingAfterBreak="0">
    <w:nsid w:val="128C4789"/>
    <w:multiLevelType w:val="hybridMultilevel"/>
    <w:tmpl w:val="2F985B54"/>
    <w:lvl w:ilvl="0" w:tplc="04090019">
      <w:start w:val="1"/>
      <w:numFmt w:val="lowerLetter"/>
      <w:lvlText w:val="%1."/>
      <w:lvlJc w:val="left"/>
      <w:pPr>
        <w:ind w:left="1080" w:hanging="360"/>
      </w:pPr>
      <w:rPr>
        <w:rFont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19D8239C"/>
    <w:multiLevelType w:val="hybridMultilevel"/>
    <w:tmpl w:val="938628E2"/>
    <w:lvl w:ilvl="0" w:tplc="04090001">
      <w:start w:val="1"/>
      <w:numFmt w:val="bullet"/>
      <w:lvlText w:val=""/>
      <w:lvlJc w:val="left"/>
      <w:pPr>
        <w:tabs>
          <w:tab w:val="num" w:pos="720"/>
        </w:tabs>
        <w:ind w:left="720" w:hanging="360"/>
      </w:pPr>
      <w:rPr>
        <w:rFonts w:ascii="Symbol" w:hAnsi="Symbol"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1A3E7F5D"/>
    <w:multiLevelType w:val="hybridMultilevel"/>
    <w:tmpl w:val="DA6612E0"/>
    <w:lvl w:ilvl="0" w:tplc="3809000F">
      <w:start w:val="1"/>
      <w:numFmt w:val="decimal"/>
      <w:lvlText w:val="%1."/>
      <w:lvlJc w:val="left"/>
      <w:pPr>
        <w:ind w:left="720" w:hanging="360"/>
      </w:pPr>
    </w:lvl>
    <w:lvl w:ilvl="1" w:tplc="38090019">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7" w15:restartNumberingAfterBreak="0">
    <w:nsid w:val="1B663B69"/>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8" w15:restartNumberingAfterBreak="0">
    <w:nsid w:val="204C3852"/>
    <w:multiLevelType w:val="multilevel"/>
    <w:tmpl w:val="E38893FE"/>
    <w:lvl w:ilvl="0">
      <w:start w:val="1"/>
      <w:numFmt w:val="upperRoman"/>
      <w:suff w:val="nothing"/>
      <w:lvlText w:val="BAB %1"/>
      <w:lvlJc w:val="center"/>
      <w:pPr>
        <w:ind w:left="432" w:hanging="144"/>
      </w:pPr>
    </w:lvl>
    <w:lvl w:ilvl="1">
      <w:start w:val="1"/>
      <w:numFmt w:val="decimal"/>
      <w:isLgl/>
      <w:lvlText w:val="%1.%2"/>
      <w:lvlJc w:val="left"/>
      <w:pPr>
        <w:tabs>
          <w:tab w:val="num" w:pos="576"/>
        </w:tabs>
        <w:ind w:left="576" w:hanging="576"/>
      </w:pPr>
    </w:lvl>
    <w:lvl w:ilvl="2">
      <w:start w:val="1"/>
      <w:numFmt w:val="decimal"/>
      <w:lvlText w:val="%1.%2.%3"/>
      <w:lvlJc w:val="left"/>
      <w:pPr>
        <w:tabs>
          <w:tab w:val="num" w:pos="720"/>
        </w:tabs>
        <w:ind w:left="720" w:hanging="720"/>
      </w:pPr>
    </w:lvl>
    <w:lvl w:ilvl="3">
      <w:start w:val="1"/>
      <w:numFmt w:val="decimal"/>
      <w:lvlText w:val="%1.%2.%3.%4"/>
      <w:lvlJc w:val="left"/>
      <w:pPr>
        <w:tabs>
          <w:tab w:val="num" w:pos="864"/>
        </w:tabs>
        <w:ind w:left="864" w:hanging="864"/>
      </w:p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9" w15:restartNumberingAfterBreak="0">
    <w:nsid w:val="221F3DBF"/>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233E478A"/>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1" w15:restartNumberingAfterBreak="0">
    <w:nsid w:val="240766FD"/>
    <w:multiLevelType w:val="hybridMultilevel"/>
    <w:tmpl w:val="782E208C"/>
    <w:lvl w:ilvl="0" w:tplc="F86E5B6A">
      <w:start w:val="1"/>
      <w:numFmt w:val="bullet"/>
      <w:lvlText w:val="o"/>
      <w:lvlJc w:val="left"/>
      <w:pPr>
        <w:tabs>
          <w:tab w:val="num" w:pos="720"/>
        </w:tabs>
        <w:ind w:left="720" w:hanging="360"/>
      </w:pPr>
      <w:rPr>
        <w:rFonts w:ascii="Courier New" w:hAnsi="Courier New" w:hint="default"/>
      </w:rPr>
    </w:lvl>
    <w:lvl w:ilvl="1" w:tplc="605C018E">
      <w:start w:val="1"/>
      <w:numFmt w:val="bullet"/>
      <w:lvlText w:val="o"/>
      <w:lvlJc w:val="left"/>
      <w:pPr>
        <w:tabs>
          <w:tab w:val="num" w:pos="1440"/>
        </w:tabs>
        <w:ind w:left="1440" w:hanging="360"/>
      </w:pPr>
      <w:rPr>
        <w:rFonts w:ascii="Courier New" w:hAnsi="Courier New" w:hint="default"/>
      </w:rPr>
    </w:lvl>
    <w:lvl w:ilvl="2" w:tplc="24E4B8AA" w:tentative="1">
      <w:start w:val="1"/>
      <w:numFmt w:val="bullet"/>
      <w:lvlText w:val="o"/>
      <w:lvlJc w:val="left"/>
      <w:pPr>
        <w:tabs>
          <w:tab w:val="num" w:pos="2160"/>
        </w:tabs>
        <w:ind w:left="2160" w:hanging="360"/>
      </w:pPr>
      <w:rPr>
        <w:rFonts w:ascii="Courier New" w:hAnsi="Courier New" w:hint="default"/>
      </w:rPr>
    </w:lvl>
    <w:lvl w:ilvl="3" w:tplc="DB2252D4" w:tentative="1">
      <w:start w:val="1"/>
      <w:numFmt w:val="bullet"/>
      <w:lvlText w:val="o"/>
      <w:lvlJc w:val="left"/>
      <w:pPr>
        <w:tabs>
          <w:tab w:val="num" w:pos="2880"/>
        </w:tabs>
        <w:ind w:left="2880" w:hanging="360"/>
      </w:pPr>
      <w:rPr>
        <w:rFonts w:ascii="Courier New" w:hAnsi="Courier New" w:hint="default"/>
      </w:rPr>
    </w:lvl>
    <w:lvl w:ilvl="4" w:tplc="1D6AD34E" w:tentative="1">
      <w:start w:val="1"/>
      <w:numFmt w:val="bullet"/>
      <w:lvlText w:val="o"/>
      <w:lvlJc w:val="left"/>
      <w:pPr>
        <w:tabs>
          <w:tab w:val="num" w:pos="3600"/>
        </w:tabs>
        <w:ind w:left="3600" w:hanging="360"/>
      </w:pPr>
      <w:rPr>
        <w:rFonts w:ascii="Courier New" w:hAnsi="Courier New" w:hint="default"/>
      </w:rPr>
    </w:lvl>
    <w:lvl w:ilvl="5" w:tplc="173488AE" w:tentative="1">
      <w:start w:val="1"/>
      <w:numFmt w:val="bullet"/>
      <w:lvlText w:val="o"/>
      <w:lvlJc w:val="left"/>
      <w:pPr>
        <w:tabs>
          <w:tab w:val="num" w:pos="4320"/>
        </w:tabs>
        <w:ind w:left="4320" w:hanging="360"/>
      </w:pPr>
      <w:rPr>
        <w:rFonts w:ascii="Courier New" w:hAnsi="Courier New" w:hint="default"/>
      </w:rPr>
    </w:lvl>
    <w:lvl w:ilvl="6" w:tplc="E3A4C036" w:tentative="1">
      <w:start w:val="1"/>
      <w:numFmt w:val="bullet"/>
      <w:lvlText w:val="o"/>
      <w:lvlJc w:val="left"/>
      <w:pPr>
        <w:tabs>
          <w:tab w:val="num" w:pos="5040"/>
        </w:tabs>
        <w:ind w:left="5040" w:hanging="360"/>
      </w:pPr>
      <w:rPr>
        <w:rFonts w:ascii="Courier New" w:hAnsi="Courier New" w:hint="default"/>
      </w:rPr>
    </w:lvl>
    <w:lvl w:ilvl="7" w:tplc="5164CB0A" w:tentative="1">
      <w:start w:val="1"/>
      <w:numFmt w:val="bullet"/>
      <w:lvlText w:val="o"/>
      <w:lvlJc w:val="left"/>
      <w:pPr>
        <w:tabs>
          <w:tab w:val="num" w:pos="5760"/>
        </w:tabs>
        <w:ind w:left="5760" w:hanging="360"/>
      </w:pPr>
      <w:rPr>
        <w:rFonts w:ascii="Courier New" w:hAnsi="Courier New" w:hint="default"/>
      </w:rPr>
    </w:lvl>
    <w:lvl w:ilvl="8" w:tplc="EC6EE426" w:tentative="1">
      <w:start w:val="1"/>
      <w:numFmt w:val="bullet"/>
      <w:lvlText w:val="o"/>
      <w:lvlJc w:val="left"/>
      <w:pPr>
        <w:tabs>
          <w:tab w:val="num" w:pos="6480"/>
        </w:tabs>
        <w:ind w:left="6480" w:hanging="360"/>
      </w:pPr>
      <w:rPr>
        <w:rFonts w:ascii="Courier New" w:hAnsi="Courier New" w:hint="default"/>
      </w:rPr>
    </w:lvl>
  </w:abstractNum>
  <w:abstractNum w:abstractNumId="12" w15:restartNumberingAfterBreak="0">
    <w:nsid w:val="2DCE7CE7"/>
    <w:multiLevelType w:val="hybridMultilevel"/>
    <w:tmpl w:val="119AB0FE"/>
    <w:lvl w:ilvl="0" w:tplc="851A9D3A">
      <w:start w:val="1"/>
      <w:numFmt w:val="bullet"/>
      <w:lvlText w:val="o"/>
      <w:lvlJc w:val="left"/>
      <w:pPr>
        <w:tabs>
          <w:tab w:val="num" w:pos="720"/>
        </w:tabs>
        <w:ind w:left="720" w:hanging="360"/>
      </w:pPr>
      <w:rPr>
        <w:rFonts w:ascii="Courier New" w:hAnsi="Courier New" w:hint="default"/>
      </w:rPr>
    </w:lvl>
    <w:lvl w:ilvl="1" w:tplc="2C9E1EE2">
      <w:start w:val="1"/>
      <w:numFmt w:val="bullet"/>
      <w:lvlText w:val="o"/>
      <w:lvlJc w:val="left"/>
      <w:pPr>
        <w:tabs>
          <w:tab w:val="num" w:pos="1440"/>
        </w:tabs>
        <w:ind w:left="1440" w:hanging="360"/>
      </w:pPr>
      <w:rPr>
        <w:rFonts w:ascii="Courier New" w:hAnsi="Courier New" w:hint="default"/>
      </w:rPr>
    </w:lvl>
    <w:lvl w:ilvl="2" w:tplc="49B2A706" w:tentative="1">
      <w:start w:val="1"/>
      <w:numFmt w:val="bullet"/>
      <w:lvlText w:val="o"/>
      <w:lvlJc w:val="left"/>
      <w:pPr>
        <w:tabs>
          <w:tab w:val="num" w:pos="2160"/>
        </w:tabs>
        <w:ind w:left="2160" w:hanging="360"/>
      </w:pPr>
      <w:rPr>
        <w:rFonts w:ascii="Courier New" w:hAnsi="Courier New" w:hint="default"/>
      </w:rPr>
    </w:lvl>
    <w:lvl w:ilvl="3" w:tplc="059C9402" w:tentative="1">
      <w:start w:val="1"/>
      <w:numFmt w:val="bullet"/>
      <w:lvlText w:val="o"/>
      <w:lvlJc w:val="left"/>
      <w:pPr>
        <w:tabs>
          <w:tab w:val="num" w:pos="2880"/>
        </w:tabs>
        <w:ind w:left="2880" w:hanging="360"/>
      </w:pPr>
      <w:rPr>
        <w:rFonts w:ascii="Courier New" w:hAnsi="Courier New" w:hint="default"/>
      </w:rPr>
    </w:lvl>
    <w:lvl w:ilvl="4" w:tplc="93B4D3B4" w:tentative="1">
      <w:start w:val="1"/>
      <w:numFmt w:val="bullet"/>
      <w:lvlText w:val="o"/>
      <w:lvlJc w:val="left"/>
      <w:pPr>
        <w:tabs>
          <w:tab w:val="num" w:pos="3600"/>
        </w:tabs>
        <w:ind w:left="3600" w:hanging="360"/>
      </w:pPr>
      <w:rPr>
        <w:rFonts w:ascii="Courier New" w:hAnsi="Courier New" w:hint="default"/>
      </w:rPr>
    </w:lvl>
    <w:lvl w:ilvl="5" w:tplc="55980140" w:tentative="1">
      <w:start w:val="1"/>
      <w:numFmt w:val="bullet"/>
      <w:lvlText w:val="o"/>
      <w:lvlJc w:val="left"/>
      <w:pPr>
        <w:tabs>
          <w:tab w:val="num" w:pos="4320"/>
        </w:tabs>
        <w:ind w:left="4320" w:hanging="360"/>
      </w:pPr>
      <w:rPr>
        <w:rFonts w:ascii="Courier New" w:hAnsi="Courier New" w:hint="default"/>
      </w:rPr>
    </w:lvl>
    <w:lvl w:ilvl="6" w:tplc="591637DE" w:tentative="1">
      <w:start w:val="1"/>
      <w:numFmt w:val="bullet"/>
      <w:lvlText w:val="o"/>
      <w:lvlJc w:val="left"/>
      <w:pPr>
        <w:tabs>
          <w:tab w:val="num" w:pos="5040"/>
        </w:tabs>
        <w:ind w:left="5040" w:hanging="360"/>
      </w:pPr>
      <w:rPr>
        <w:rFonts w:ascii="Courier New" w:hAnsi="Courier New" w:hint="default"/>
      </w:rPr>
    </w:lvl>
    <w:lvl w:ilvl="7" w:tplc="8B604940" w:tentative="1">
      <w:start w:val="1"/>
      <w:numFmt w:val="bullet"/>
      <w:lvlText w:val="o"/>
      <w:lvlJc w:val="left"/>
      <w:pPr>
        <w:tabs>
          <w:tab w:val="num" w:pos="5760"/>
        </w:tabs>
        <w:ind w:left="5760" w:hanging="360"/>
      </w:pPr>
      <w:rPr>
        <w:rFonts w:ascii="Courier New" w:hAnsi="Courier New" w:hint="default"/>
      </w:rPr>
    </w:lvl>
    <w:lvl w:ilvl="8" w:tplc="8CCCD4C4" w:tentative="1">
      <w:start w:val="1"/>
      <w:numFmt w:val="bullet"/>
      <w:lvlText w:val="o"/>
      <w:lvlJc w:val="left"/>
      <w:pPr>
        <w:tabs>
          <w:tab w:val="num" w:pos="6480"/>
        </w:tabs>
        <w:ind w:left="6480" w:hanging="360"/>
      </w:pPr>
      <w:rPr>
        <w:rFonts w:ascii="Courier New" w:hAnsi="Courier New" w:hint="default"/>
      </w:rPr>
    </w:lvl>
  </w:abstractNum>
  <w:abstractNum w:abstractNumId="13" w15:restartNumberingAfterBreak="0">
    <w:nsid w:val="2E024A80"/>
    <w:multiLevelType w:val="multilevel"/>
    <w:tmpl w:val="646AAFE8"/>
    <w:lvl w:ilvl="0">
      <w:start w:val="1"/>
      <w:numFmt w:val="upperLetter"/>
      <w:pStyle w:val="Lampiran1"/>
      <w:suff w:val="space"/>
      <w:lvlText w:val="Lampiran %1."/>
      <w:lvlJc w:val="left"/>
      <w:pPr>
        <w:ind w:left="432" w:hanging="432"/>
      </w:pPr>
      <w:rPr>
        <w:rFonts w:hint="default"/>
      </w:rPr>
    </w:lvl>
    <w:lvl w:ilvl="1">
      <w:start w:val="1"/>
      <w:numFmt w:val="none"/>
      <w:isLgl/>
      <w:lvlText w:val="A.%1"/>
      <w:lvlJc w:val="left"/>
      <w:pPr>
        <w:tabs>
          <w:tab w:val="num" w:pos="576"/>
        </w:tabs>
        <w:ind w:left="576" w:hanging="576"/>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4" w15:restartNumberingAfterBreak="0">
    <w:nsid w:val="3A5C0E22"/>
    <w:multiLevelType w:val="hybridMultilevel"/>
    <w:tmpl w:val="B454ADA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BA126FB"/>
    <w:multiLevelType w:val="multilevel"/>
    <w:tmpl w:val="CD5E2534"/>
    <w:lvl w:ilvl="0">
      <w:start w:val="1"/>
      <w:numFmt w:val="upperLetter"/>
      <w:pStyle w:val="Lampiran3"/>
      <w:suff w:val="space"/>
      <w:lvlText w:val="Lampiran %1"/>
      <w:lvlJc w:val="left"/>
      <w:pPr>
        <w:ind w:left="432" w:hanging="432"/>
      </w:pPr>
    </w:lvl>
    <w:lvl w:ilvl="1">
      <w:start w:val="1"/>
      <w:numFmt w:val="none"/>
      <w:pStyle w:val="Lampiran2"/>
      <w:isLgl/>
      <w:lvlText w:val="A.%1"/>
      <w:lvlJc w:val="left"/>
      <w:pPr>
        <w:tabs>
          <w:tab w:val="num" w:pos="576"/>
        </w:tabs>
        <w:ind w:left="576" w:hanging="576"/>
      </w:pPr>
    </w:lvl>
    <w:lvl w:ilvl="2">
      <w:start w:val="1"/>
      <w:numFmt w:val="decimal"/>
      <w:lvlText w:val="%2%1.%3"/>
      <w:lvlJc w:val="left"/>
      <w:pPr>
        <w:tabs>
          <w:tab w:val="num" w:pos="720"/>
        </w:tabs>
        <w:ind w:left="720" w:hanging="720"/>
      </w:pPr>
    </w:lvl>
    <w:lvl w:ilvl="3">
      <w:start w:val="1"/>
      <w:numFmt w:val="decimal"/>
      <w:lvlText w:val="%1.%2.%3.%4"/>
      <w:lvlJc w:val="left"/>
      <w:pPr>
        <w:tabs>
          <w:tab w:val="num" w:pos="864"/>
        </w:tabs>
        <w:ind w:left="864" w:hanging="864"/>
      </w:p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16" w15:restartNumberingAfterBreak="0">
    <w:nsid w:val="4DAB4DE3"/>
    <w:multiLevelType w:val="multilevel"/>
    <w:tmpl w:val="6F7684B6"/>
    <w:lvl w:ilvl="0">
      <w:start w:val="1"/>
      <w:numFmt w:val="decimal"/>
      <w:pStyle w:val="sub7"/>
      <w:lvlText w:val="%1"/>
      <w:lvlJc w:val="left"/>
      <w:pPr>
        <w:tabs>
          <w:tab w:val="num" w:pos="432"/>
        </w:tabs>
        <w:ind w:left="432" w:hanging="432"/>
      </w:pPr>
      <w:rPr>
        <w:rFonts w:hint="default"/>
      </w:rPr>
    </w:lvl>
    <w:lvl w:ilvl="1">
      <w:start w:val="1"/>
      <w:numFmt w:val="decimal"/>
      <w:lvlText w:val="%1.%2"/>
      <w:lvlJc w:val="left"/>
      <w:pPr>
        <w:tabs>
          <w:tab w:val="num" w:pos="576"/>
        </w:tabs>
        <w:ind w:left="576" w:hanging="576"/>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7" w15:restartNumberingAfterBreak="0">
    <w:nsid w:val="5A553981"/>
    <w:multiLevelType w:val="hybridMultilevel"/>
    <w:tmpl w:val="A11C455A"/>
    <w:lvl w:ilvl="0" w:tplc="65169224">
      <w:start w:val="1"/>
      <w:numFmt w:val="decimal"/>
      <w:lvlText w:val="%1."/>
      <w:lvlJc w:val="left"/>
      <w:pPr>
        <w:ind w:left="1080" w:hanging="360"/>
      </w:pPr>
      <w:rPr>
        <w:rFonts w:ascii="Times New Roman" w:eastAsia="MS Mincho"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8" w15:restartNumberingAfterBreak="0">
    <w:nsid w:val="6F6D6C34"/>
    <w:multiLevelType w:val="hybridMultilevel"/>
    <w:tmpl w:val="0472CB16"/>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9" w15:restartNumberingAfterBreak="0">
    <w:nsid w:val="708D0FC2"/>
    <w:multiLevelType w:val="hybridMultilevel"/>
    <w:tmpl w:val="64102440"/>
    <w:lvl w:ilvl="0" w:tplc="FFFFFFFF">
      <w:start w:val="1"/>
      <w:numFmt w:val="decimal"/>
      <w:lvlText w:val="%1."/>
      <w:lvlJc w:val="left"/>
      <w:pPr>
        <w:ind w:left="360" w:hanging="360"/>
      </w:pPr>
      <w:rPr>
        <w:rFonts w:ascii="Times New Roman" w:eastAsia="MS Mincho" w:hAnsi="Times New Roman" w:cs="Times New Roman"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20" w15:restartNumberingAfterBreak="0">
    <w:nsid w:val="74D1486C"/>
    <w:multiLevelType w:val="hybridMultilevel"/>
    <w:tmpl w:val="17CC57A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23484396">
    <w:abstractNumId w:val="0"/>
  </w:num>
  <w:num w:numId="2" w16cid:durableId="966395995">
    <w:abstractNumId w:val="15"/>
  </w:num>
  <w:num w:numId="3" w16cid:durableId="37242039">
    <w:abstractNumId w:val="13"/>
  </w:num>
  <w:num w:numId="4" w16cid:durableId="103771458">
    <w:abstractNumId w:val="8"/>
  </w:num>
  <w:num w:numId="5" w16cid:durableId="656303912">
    <w:abstractNumId w:val="9"/>
  </w:num>
  <w:num w:numId="6" w16cid:durableId="868178126">
    <w:abstractNumId w:val="7"/>
  </w:num>
  <w:num w:numId="7" w16cid:durableId="311449986">
    <w:abstractNumId w:val="14"/>
  </w:num>
  <w:num w:numId="8" w16cid:durableId="793713603">
    <w:abstractNumId w:val="5"/>
  </w:num>
  <w:num w:numId="9" w16cid:durableId="1298489523">
    <w:abstractNumId w:val="0"/>
    <w:lvlOverride w:ilvl="0">
      <w:startOverride w:val="1"/>
    </w:lvlOverride>
  </w:num>
  <w:num w:numId="10" w16cid:durableId="944120206">
    <w:abstractNumId w:val="20"/>
  </w:num>
  <w:num w:numId="11" w16cid:durableId="2071685046">
    <w:abstractNumId w:val="10"/>
  </w:num>
  <w:num w:numId="12" w16cid:durableId="93285097">
    <w:abstractNumId w:val="3"/>
  </w:num>
  <w:num w:numId="13" w16cid:durableId="1877348216">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1815026053">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611012911">
    <w:abstractNumId w:val="17"/>
  </w:num>
  <w:num w:numId="16" w16cid:durableId="1646620196">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207881056">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1865089914">
    <w:abstractNumId w:val="1"/>
  </w:num>
  <w:num w:numId="19" w16cid:durableId="847066060">
    <w:abstractNumId w:val="16"/>
  </w:num>
  <w:num w:numId="20" w16cid:durableId="1315797305">
    <w:abstractNumId w:val="4"/>
  </w:num>
  <w:num w:numId="21" w16cid:durableId="357702050">
    <w:abstractNumId w:val="2"/>
  </w:num>
  <w:num w:numId="22" w16cid:durableId="1454517380">
    <w:abstractNumId w:val="6"/>
  </w:num>
  <w:num w:numId="23" w16cid:durableId="153378102">
    <w:abstractNumId w:val="18"/>
  </w:num>
  <w:num w:numId="24" w16cid:durableId="841353803">
    <w:abstractNumId w:val="19"/>
  </w:num>
  <w:num w:numId="25" w16cid:durableId="1441996084">
    <w:abstractNumId w:val="12"/>
  </w:num>
  <w:num w:numId="26" w16cid:durableId="1264729562">
    <w:abstractNumId w:val="11"/>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00"/>
  <w:displayHorizontalDrawingGridEvery w:val="0"/>
  <w:displayVerticalDrawingGridEvery w:val="0"/>
  <w:noPunctuationKerning/>
  <w:characterSpacingControl w:val="doNotCompress"/>
  <w:updateFields w:val="tru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047BB"/>
    <w:rsid w:val="0000026A"/>
    <w:rsid w:val="00000E48"/>
    <w:rsid w:val="00021189"/>
    <w:rsid w:val="00023AA9"/>
    <w:rsid w:val="00024F8E"/>
    <w:rsid w:val="00027C44"/>
    <w:rsid w:val="00030436"/>
    <w:rsid w:val="00047C43"/>
    <w:rsid w:val="00066309"/>
    <w:rsid w:val="00095B08"/>
    <w:rsid w:val="000C4407"/>
    <w:rsid w:val="000D566C"/>
    <w:rsid w:val="000E0CF7"/>
    <w:rsid w:val="000F36E8"/>
    <w:rsid w:val="00101A00"/>
    <w:rsid w:val="00131B82"/>
    <w:rsid w:val="0013712E"/>
    <w:rsid w:val="00143C31"/>
    <w:rsid w:val="00172E25"/>
    <w:rsid w:val="001733A5"/>
    <w:rsid w:val="0018099D"/>
    <w:rsid w:val="001831CD"/>
    <w:rsid w:val="001B6C2E"/>
    <w:rsid w:val="001D34BD"/>
    <w:rsid w:val="001E3E77"/>
    <w:rsid w:val="001E4DA0"/>
    <w:rsid w:val="001E7A24"/>
    <w:rsid w:val="001E7C93"/>
    <w:rsid w:val="0020410E"/>
    <w:rsid w:val="002128C0"/>
    <w:rsid w:val="00224105"/>
    <w:rsid w:val="002339AD"/>
    <w:rsid w:val="00247D8C"/>
    <w:rsid w:val="00262504"/>
    <w:rsid w:val="0027169D"/>
    <w:rsid w:val="00283ACA"/>
    <w:rsid w:val="002A0DE8"/>
    <w:rsid w:val="002A15E7"/>
    <w:rsid w:val="002A1702"/>
    <w:rsid w:val="002C3D48"/>
    <w:rsid w:val="002C6E7C"/>
    <w:rsid w:val="002D789F"/>
    <w:rsid w:val="00304876"/>
    <w:rsid w:val="00313D78"/>
    <w:rsid w:val="00336587"/>
    <w:rsid w:val="00342D53"/>
    <w:rsid w:val="0037590F"/>
    <w:rsid w:val="00386AAC"/>
    <w:rsid w:val="0039580C"/>
    <w:rsid w:val="003A1A5E"/>
    <w:rsid w:val="003A1B33"/>
    <w:rsid w:val="003E36A4"/>
    <w:rsid w:val="003E48BF"/>
    <w:rsid w:val="00402FBE"/>
    <w:rsid w:val="0040473D"/>
    <w:rsid w:val="004165CB"/>
    <w:rsid w:val="0042159D"/>
    <w:rsid w:val="00442495"/>
    <w:rsid w:val="00470340"/>
    <w:rsid w:val="00476CBA"/>
    <w:rsid w:val="00477B2C"/>
    <w:rsid w:val="004810AC"/>
    <w:rsid w:val="004879B6"/>
    <w:rsid w:val="004A530B"/>
    <w:rsid w:val="004B6792"/>
    <w:rsid w:val="004E42A7"/>
    <w:rsid w:val="004F6C50"/>
    <w:rsid w:val="00501267"/>
    <w:rsid w:val="00513D03"/>
    <w:rsid w:val="00513E36"/>
    <w:rsid w:val="00532B0D"/>
    <w:rsid w:val="005371AE"/>
    <w:rsid w:val="00543AC3"/>
    <w:rsid w:val="00580B94"/>
    <w:rsid w:val="0059208C"/>
    <w:rsid w:val="00593C8E"/>
    <w:rsid w:val="005A0688"/>
    <w:rsid w:val="005B1375"/>
    <w:rsid w:val="005E607C"/>
    <w:rsid w:val="00606AFC"/>
    <w:rsid w:val="00640C62"/>
    <w:rsid w:val="00640CC7"/>
    <w:rsid w:val="00656074"/>
    <w:rsid w:val="006658B7"/>
    <w:rsid w:val="00670641"/>
    <w:rsid w:val="00681E8D"/>
    <w:rsid w:val="00696293"/>
    <w:rsid w:val="006A57BE"/>
    <w:rsid w:val="006D5AB9"/>
    <w:rsid w:val="006D6CDF"/>
    <w:rsid w:val="006D6EC3"/>
    <w:rsid w:val="006E391E"/>
    <w:rsid w:val="006E74F3"/>
    <w:rsid w:val="007111D9"/>
    <w:rsid w:val="00712AE8"/>
    <w:rsid w:val="007170E3"/>
    <w:rsid w:val="00754847"/>
    <w:rsid w:val="007727F2"/>
    <w:rsid w:val="0078501F"/>
    <w:rsid w:val="00787C53"/>
    <w:rsid w:val="00795E16"/>
    <w:rsid w:val="007A70A7"/>
    <w:rsid w:val="007B4EF8"/>
    <w:rsid w:val="007C6376"/>
    <w:rsid w:val="007D0AFE"/>
    <w:rsid w:val="007E3F49"/>
    <w:rsid w:val="007F0061"/>
    <w:rsid w:val="00803EC6"/>
    <w:rsid w:val="008362FF"/>
    <w:rsid w:val="0084027D"/>
    <w:rsid w:val="00866E4E"/>
    <w:rsid w:val="00867577"/>
    <w:rsid w:val="00883EAB"/>
    <w:rsid w:val="008A323A"/>
    <w:rsid w:val="008B157E"/>
    <w:rsid w:val="008B4A12"/>
    <w:rsid w:val="008D065E"/>
    <w:rsid w:val="008F2CCF"/>
    <w:rsid w:val="00905539"/>
    <w:rsid w:val="009107DB"/>
    <w:rsid w:val="009364B8"/>
    <w:rsid w:val="00966873"/>
    <w:rsid w:val="009A4EB3"/>
    <w:rsid w:val="009A57CE"/>
    <w:rsid w:val="009A66C2"/>
    <w:rsid w:val="009D2826"/>
    <w:rsid w:val="009E7029"/>
    <w:rsid w:val="009F4BD1"/>
    <w:rsid w:val="00A14D7A"/>
    <w:rsid w:val="00A27C02"/>
    <w:rsid w:val="00A357EB"/>
    <w:rsid w:val="00A5387B"/>
    <w:rsid w:val="00A6455E"/>
    <w:rsid w:val="00A842AD"/>
    <w:rsid w:val="00A95DCF"/>
    <w:rsid w:val="00AA0AF5"/>
    <w:rsid w:val="00AB03B2"/>
    <w:rsid w:val="00AC3CD8"/>
    <w:rsid w:val="00AE0EEC"/>
    <w:rsid w:val="00B047BB"/>
    <w:rsid w:val="00B11327"/>
    <w:rsid w:val="00B22047"/>
    <w:rsid w:val="00B25028"/>
    <w:rsid w:val="00B2505D"/>
    <w:rsid w:val="00B27ECF"/>
    <w:rsid w:val="00B441D9"/>
    <w:rsid w:val="00B61DBB"/>
    <w:rsid w:val="00B624AF"/>
    <w:rsid w:val="00BA604E"/>
    <w:rsid w:val="00BB262E"/>
    <w:rsid w:val="00BC43B8"/>
    <w:rsid w:val="00BE1401"/>
    <w:rsid w:val="00BF12DC"/>
    <w:rsid w:val="00BF29D1"/>
    <w:rsid w:val="00C0555C"/>
    <w:rsid w:val="00C07471"/>
    <w:rsid w:val="00C221FF"/>
    <w:rsid w:val="00C314B9"/>
    <w:rsid w:val="00C54871"/>
    <w:rsid w:val="00C7171E"/>
    <w:rsid w:val="00C748DC"/>
    <w:rsid w:val="00CB46A0"/>
    <w:rsid w:val="00CB58EC"/>
    <w:rsid w:val="00CC3ABC"/>
    <w:rsid w:val="00CC60A2"/>
    <w:rsid w:val="00CC6780"/>
    <w:rsid w:val="00D138EF"/>
    <w:rsid w:val="00D15E4A"/>
    <w:rsid w:val="00D224E2"/>
    <w:rsid w:val="00D23DD1"/>
    <w:rsid w:val="00D31B95"/>
    <w:rsid w:val="00D32D2F"/>
    <w:rsid w:val="00D641CB"/>
    <w:rsid w:val="00D8184E"/>
    <w:rsid w:val="00D9668E"/>
    <w:rsid w:val="00DA78EE"/>
    <w:rsid w:val="00DB74D7"/>
    <w:rsid w:val="00DC5BAE"/>
    <w:rsid w:val="00DC6DCD"/>
    <w:rsid w:val="00DF07BC"/>
    <w:rsid w:val="00E33E98"/>
    <w:rsid w:val="00E348ED"/>
    <w:rsid w:val="00E5080A"/>
    <w:rsid w:val="00E63A60"/>
    <w:rsid w:val="00E73439"/>
    <w:rsid w:val="00E830E1"/>
    <w:rsid w:val="00EA25F8"/>
    <w:rsid w:val="00EB6E37"/>
    <w:rsid w:val="00ED51B8"/>
    <w:rsid w:val="00ED7B23"/>
    <w:rsid w:val="00EE0D59"/>
    <w:rsid w:val="00EE3FF7"/>
    <w:rsid w:val="00EF1101"/>
    <w:rsid w:val="00EF1142"/>
    <w:rsid w:val="00EF7052"/>
    <w:rsid w:val="00F04BE2"/>
    <w:rsid w:val="00F60F8D"/>
    <w:rsid w:val="00F76F65"/>
    <w:rsid w:val="00F84A8C"/>
    <w:rsid w:val="00FA63B1"/>
    <w:rsid w:val="00FC2B35"/>
    <w:rsid w:val="00FC37A2"/>
    <w:rsid w:val="00FC3EB7"/>
    <w:rsid w:val="00FD3031"/>
    <w:rsid w:val="00FD5B23"/>
    <w:rsid w:val="00FD5FF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DA8F912"/>
  <w15:docId w15:val="{5A0EB9D9-EF28-42D0-B845-F064783712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A1B33"/>
    <w:pPr>
      <w:spacing w:before="120" w:after="120" w:line="360" w:lineRule="auto"/>
      <w:jc w:val="both"/>
    </w:pPr>
    <w:rPr>
      <w:sz w:val="24"/>
      <w:lang w:eastAsia="id-ID"/>
    </w:rPr>
  </w:style>
  <w:style w:type="paragraph" w:styleId="Heading1">
    <w:name w:val="heading 1"/>
    <w:basedOn w:val="Normal"/>
    <w:next w:val="Normal"/>
    <w:autoRedefine/>
    <w:qFormat/>
    <w:rsid w:val="00B61DBB"/>
    <w:pPr>
      <w:keepNext/>
      <w:pageBreakBefore/>
      <w:numPr>
        <w:numId w:val="12"/>
      </w:numPr>
      <w:spacing w:line="480" w:lineRule="auto"/>
      <w:jc w:val="center"/>
      <w:outlineLvl w:val="0"/>
    </w:pPr>
    <w:rPr>
      <w:b/>
      <w:caps/>
      <w:sz w:val="28"/>
      <w:szCs w:val="28"/>
      <w:lang w:val="en-GB"/>
    </w:rPr>
  </w:style>
  <w:style w:type="paragraph" w:styleId="Heading2">
    <w:name w:val="heading 2"/>
    <w:basedOn w:val="Normal"/>
    <w:next w:val="Normal"/>
    <w:qFormat/>
    <w:rsid w:val="00F76F65"/>
    <w:pPr>
      <w:keepNext/>
      <w:numPr>
        <w:ilvl w:val="1"/>
        <w:numId w:val="12"/>
      </w:numPr>
      <w:spacing w:before="240" w:after="60"/>
      <w:outlineLvl w:val="1"/>
    </w:pPr>
    <w:rPr>
      <w:b/>
      <w:lang w:val="en-GB"/>
    </w:rPr>
  </w:style>
  <w:style w:type="paragraph" w:styleId="Heading3">
    <w:name w:val="heading 3"/>
    <w:basedOn w:val="Normal"/>
    <w:next w:val="Normal"/>
    <w:qFormat/>
    <w:rsid w:val="00F76F65"/>
    <w:pPr>
      <w:keepNext/>
      <w:numPr>
        <w:ilvl w:val="2"/>
        <w:numId w:val="12"/>
      </w:numPr>
      <w:spacing w:before="240" w:after="60"/>
      <w:outlineLvl w:val="2"/>
    </w:pPr>
    <w:rPr>
      <w:b/>
      <w:lang w:val="en-GB"/>
    </w:rPr>
  </w:style>
  <w:style w:type="paragraph" w:styleId="Heading4">
    <w:name w:val="heading 4"/>
    <w:basedOn w:val="Normal"/>
    <w:next w:val="Normal"/>
    <w:qFormat/>
    <w:rsid w:val="00F76F65"/>
    <w:pPr>
      <w:keepNext/>
      <w:numPr>
        <w:ilvl w:val="3"/>
        <w:numId w:val="12"/>
      </w:numPr>
      <w:spacing w:before="240" w:after="60"/>
      <w:outlineLvl w:val="3"/>
    </w:pPr>
    <w:rPr>
      <w:b/>
      <w:lang w:val="en-GB"/>
    </w:rPr>
  </w:style>
  <w:style w:type="paragraph" w:styleId="Heading5">
    <w:name w:val="heading 5"/>
    <w:basedOn w:val="Normal"/>
    <w:next w:val="Normal"/>
    <w:qFormat/>
    <w:rsid w:val="00D9668E"/>
    <w:pPr>
      <w:numPr>
        <w:ilvl w:val="4"/>
        <w:numId w:val="12"/>
      </w:numPr>
      <w:spacing w:before="240" w:after="60"/>
      <w:outlineLvl w:val="4"/>
    </w:pPr>
    <w:rPr>
      <w:rFonts w:ascii="Arial" w:hAnsi="Arial"/>
      <w:b/>
      <w:sz w:val="22"/>
      <w:lang w:val="en-GB"/>
    </w:rPr>
  </w:style>
  <w:style w:type="paragraph" w:styleId="Heading6">
    <w:name w:val="heading 6"/>
    <w:basedOn w:val="Normal"/>
    <w:next w:val="Normal"/>
    <w:qFormat/>
    <w:rsid w:val="00D9668E"/>
    <w:pPr>
      <w:numPr>
        <w:ilvl w:val="5"/>
        <w:numId w:val="12"/>
      </w:numPr>
      <w:spacing w:before="240" w:after="60"/>
      <w:outlineLvl w:val="5"/>
    </w:pPr>
    <w:rPr>
      <w:i/>
      <w:sz w:val="22"/>
      <w:lang w:val="en-GB"/>
    </w:rPr>
  </w:style>
  <w:style w:type="paragraph" w:styleId="Heading7">
    <w:name w:val="heading 7"/>
    <w:basedOn w:val="Normal"/>
    <w:next w:val="Normal"/>
    <w:qFormat/>
    <w:rsid w:val="00D9668E"/>
    <w:pPr>
      <w:numPr>
        <w:ilvl w:val="6"/>
        <w:numId w:val="12"/>
      </w:numPr>
      <w:spacing w:before="240" w:after="60"/>
      <w:outlineLvl w:val="6"/>
    </w:pPr>
    <w:rPr>
      <w:rFonts w:ascii="Arial" w:hAnsi="Arial"/>
      <w:lang w:val="en-GB"/>
    </w:rPr>
  </w:style>
  <w:style w:type="paragraph" w:styleId="Heading8">
    <w:name w:val="heading 8"/>
    <w:basedOn w:val="Normal"/>
    <w:next w:val="Normal"/>
    <w:qFormat/>
    <w:rsid w:val="00D9668E"/>
    <w:pPr>
      <w:numPr>
        <w:ilvl w:val="7"/>
        <w:numId w:val="12"/>
      </w:numPr>
      <w:spacing w:before="240" w:after="60"/>
      <w:outlineLvl w:val="7"/>
    </w:pPr>
    <w:rPr>
      <w:rFonts w:ascii="Arial" w:hAnsi="Arial"/>
      <w:i/>
      <w:lang w:val="en-GB"/>
    </w:rPr>
  </w:style>
  <w:style w:type="paragraph" w:styleId="Heading9">
    <w:name w:val="heading 9"/>
    <w:basedOn w:val="Normal"/>
    <w:next w:val="Normal"/>
    <w:qFormat/>
    <w:rsid w:val="00D9668E"/>
    <w:pPr>
      <w:numPr>
        <w:ilvl w:val="8"/>
        <w:numId w:val="12"/>
      </w:numPr>
      <w:spacing w:before="240" w:after="60"/>
      <w:outlineLvl w:val="8"/>
    </w:pPr>
    <w:rPr>
      <w:rFonts w:ascii="Arial" w:hAnsi="Arial"/>
      <w:b/>
      <w:i/>
      <w:sz w:val="18"/>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Lampiran1">
    <w:name w:val="Lampiran1"/>
    <w:basedOn w:val="Normal"/>
    <w:next w:val="Normal"/>
    <w:link w:val="Lampiran1Char"/>
    <w:rsid w:val="00FD5B23"/>
    <w:pPr>
      <w:pageBreakBefore/>
      <w:numPr>
        <w:numId w:val="3"/>
      </w:numPr>
      <w:spacing w:before="240"/>
    </w:pPr>
    <w:rPr>
      <w:b/>
      <w:sz w:val="28"/>
      <w:lang w:val="en-AU"/>
    </w:rPr>
  </w:style>
  <w:style w:type="paragraph" w:customStyle="1" w:styleId="Lampiran2">
    <w:name w:val="Lampiran2"/>
    <w:basedOn w:val="Normal"/>
    <w:next w:val="Normal"/>
    <w:rsid w:val="00FD5B23"/>
    <w:pPr>
      <w:numPr>
        <w:ilvl w:val="1"/>
        <w:numId w:val="2"/>
      </w:numPr>
      <w:spacing w:before="240"/>
    </w:pPr>
    <w:rPr>
      <w:b/>
      <w:lang w:val="en-AU"/>
    </w:rPr>
  </w:style>
  <w:style w:type="paragraph" w:customStyle="1" w:styleId="Lampiran3">
    <w:name w:val="Lampiran3"/>
    <w:basedOn w:val="Lampiran2"/>
    <w:next w:val="Normal"/>
    <w:rsid w:val="00D9668E"/>
    <w:pPr>
      <w:numPr>
        <w:ilvl w:val="0"/>
      </w:numPr>
    </w:pPr>
  </w:style>
  <w:style w:type="paragraph" w:styleId="Title">
    <w:name w:val="Title"/>
    <w:basedOn w:val="Normal"/>
    <w:qFormat/>
    <w:rsid w:val="00027C44"/>
    <w:pPr>
      <w:spacing w:before="240" w:after="60"/>
      <w:jc w:val="center"/>
    </w:pPr>
    <w:rPr>
      <w:b/>
      <w:kern w:val="28"/>
      <w:sz w:val="28"/>
      <w:lang w:val="en-GB"/>
    </w:rPr>
  </w:style>
  <w:style w:type="paragraph" w:customStyle="1" w:styleId="guide">
    <w:name w:val="guide"/>
    <w:basedOn w:val="Normal"/>
    <w:rsid w:val="00D9668E"/>
    <w:rPr>
      <w:i/>
      <w:lang w:val="en-GB"/>
    </w:rPr>
  </w:style>
  <w:style w:type="paragraph" w:styleId="TOC1">
    <w:name w:val="toc 1"/>
    <w:basedOn w:val="Normal"/>
    <w:next w:val="Normal"/>
    <w:autoRedefine/>
    <w:uiPriority w:val="39"/>
    <w:rsid w:val="00D9668E"/>
    <w:rPr>
      <w:b/>
      <w:lang w:val="en-AU"/>
    </w:rPr>
  </w:style>
  <w:style w:type="paragraph" w:styleId="TOC2">
    <w:name w:val="toc 2"/>
    <w:basedOn w:val="Normal"/>
    <w:next w:val="Normal"/>
    <w:autoRedefine/>
    <w:uiPriority w:val="39"/>
    <w:rsid w:val="00D9668E"/>
    <w:pPr>
      <w:ind w:left="200"/>
    </w:pPr>
    <w:rPr>
      <w:lang w:val="en-GB"/>
    </w:rPr>
  </w:style>
  <w:style w:type="paragraph" w:styleId="BodyText">
    <w:name w:val="Body Text"/>
    <w:basedOn w:val="Normal"/>
    <w:semiHidden/>
    <w:rsid w:val="00D9668E"/>
    <w:rPr>
      <w:lang w:val="en-GB"/>
    </w:rPr>
  </w:style>
  <w:style w:type="character" w:styleId="PageNumber">
    <w:name w:val="page number"/>
    <w:basedOn w:val="DefaultParagraphFont"/>
    <w:semiHidden/>
    <w:rsid w:val="00D9668E"/>
  </w:style>
  <w:style w:type="paragraph" w:styleId="Footer">
    <w:name w:val="footer"/>
    <w:basedOn w:val="Normal"/>
    <w:link w:val="FooterChar"/>
    <w:uiPriority w:val="99"/>
    <w:rsid w:val="00D9668E"/>
    <w:pPr>
      <w:tabs>
        <w:tab w:val="center" w:pos="4153"/>
        <w:tab w:val="right" w:pos="8306"/>
      </w:tabs>
    </w:pPr>
    <w:rPr>
      <w:lang w:val="en-AU"/>
    </w:rPr>
  </w:style>
  <w:style w:type="paragraph" w:styleId="TOC3">
    <w:name w:val="toc 3"/>
    <w:basedOn w:val="Normal"/>
    <w:next w:val="Normal"/>
    <w:autoRedefine/>
    <w:uiPriority w:val="39"/>
    <w:rsid w:val="00D9668E"/>
    <w:pPr>
      <w:ind w:left="400"/>
    </w:pPr>
  </w:style>
  <w:style w:type="paragraph" w:styleId="TOC4">
    <w:name w:val="toc 4"/>
    <w:basedOn w:val="Normal"/>
    <w:next w:val="Normal"/>
    <w:autoRedefine/>
    <w:semiHidden/>
    <w:rsid w:val="00D9668E"/>
    <w:pPr>
      <w:ind w:left="600"/>
    </w:pPr>
  </w:style>
  <w:style w:type="paragraph" w:styleId="TOC5">
    <w:name w:val="toc 5"/>
    <w:basedOn w:val="Normal"/>
    <w:next w:val="Normal"/>
    <w:autoRedefine/>
    <w:semiHidden/>
    <w:rsid w:val="00D9668E"/>
    <w:pPr>
      <w:ind w:left="800"/>
    </w:pPr>
  </w:style>
  <w:style w:type="paragraph" w:styleId="TOC6">
    <w:name w:val="toc 6"/>
    <w:basedOn w:val="Normal"/>
    <w:next w:val="Normal"/>
    <w:autoRedefine/>
    <w:semiHidden/>
    <w:rsid w:val="00D9668E"/>
    <w:pPr>
      <w:ind w:left="1000"/>
    </w:pPr>
  </w:style>
  <w:style w:type="paragraph" w:styleId="TOC7">
    <w:name w:val="toc 7"/>
    <w:basedOn w:val="Normal"/>
    <w:next w:val="Normal"/>
    <w:autoRedefine/>
    <w:semiHidden/>
    <w:rsid w:val="00D9668E"/>
    <w:pPr>
      <w:ind w:left="1200"/>
    </w:pPr>
  </w:style>
  <w:style w:type="paragraph" w:styleId="TOC8">
    <w:name w:val="toc 8"/>
    <w:basedOn w:val="Normal"/>
    <w:next w:val="Normal"/>
    <w:autoRedefine/>
    <w:semiHidden/>
    <w:rsid w:val="00D9668E"/>
    <w:pPr>
      <w:ind w:left="1400"/>
    </w:pPr>
  </w:style>
  <w:style w:type="paragraph" w:styleId="TOC9">
    <w:name w:val="toc 9"/>
    <w:basedOn w:val="Normal"/>
    <w:next w:val="Normal"/>
    <w:autoRedefine/>
    <w:semiHidden/>
    <w:rsid w:val="00D9668E"/>
    <w:pPr>
      <w:ind w:left="1600"/>
    </w:pPr>
  </w:style>
  <w:style w:type="paragraph" w:styleId="Header">
    <w:name w:val="header"/>
    <w:basedOn w:val="Normal"/>
    <w:semiHidden/>
    <w:rsid w:val="00D9668E"/>
    <w:pPr>
      <w:tabs>
        <w:tab w:val="center" w:pos="4153"/>
        <w:tab w:val="right" w:pos="8306"/>
      </w:tabs>
    </w:pPr>
    <w:rPr>
      <w:lang w:val="en-AU"/>
    </w:rPr>
  </w:style>
  <w:style w:type="paragraph" w:customStyle="1" w:styleId="SubTitle">
    <w:name w:val="Sub Title"/>
    <w:basedOn w:val="Title"/>
    <w:rsid w:val="00D9668E"/>
    <w:rPr>
      <w:sz w:val="24"/>
    </w:rPr>
  </w:style>
  <w:style w:type="paragraph" w:customStyle="1" w:styleId="guidelines">
    <w:name w:val="guidelines"/>
    <w:basedOn w:val="Normal"/>
    <w:rsid w:val="00D9668E"/>
    <w:rPr>
      <w:i/>
      <w:lang w:val="en-AU"/>
    </w:rPr>
  </w:style>
  <w:style w:type="paragraph" w:styleId="ListNumber">
    <w:name w:val="List Number"/>
    <w:basedOn w:val="Normal"/>
    <w:semiHidden/>
    <w:rsid w:val="00D9668E"/>
    <w:pPr>
      <w:numPr>
        <w:numId w:val="1"/>
      </w:numPr>
    </w:pPr>
  </w:style>
  <w:style w:type="table" w:styleId="TableGrid">
    <w:name w:val="Table Grid"/>
    <w:basedOn w:val="TableNormal"/>
    <w:uiPriority w:val="59"/>
    <w:rsid w:val="003E48BF"/>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BalloonText">
    <w:name w:val="Balloon Text"/>
    <w:basedOn w:val="Normal"/>
    <w:link w:val="BalloonTextChar"/>
    <w:uiPriority w:val="99"/>
    <w:semiHidden/>
    <w:unhideWhenUsed/>
    <w:rsid w:val="0084027D"/>
    <w:rPr>
      <w:rFonts w:ascii="Tahoma" w:hAnsi="Tahoma" w:cs="Tahoma"/>
      <w:sz w:val="16"/>
      <w:szCs w:val="16"/>
    </w:rPr>
  </w:style>
  <w:style w:type="character" w:customStyle="1" w:styleId="BalloonTextChar">
    <w:name w:val="Balloon Text Char"/>
    <w:basedOn w:val="DefaultParagraphFont"/>
    <w:link w:val="BalloonText"/>
    <w:uiPriority w:val="99"/>
    <w:semiHidden/>
    <w:rsid w:val="0084027D"/>
    <w:rPr>
      <w:rFonts w:ascii="Tahoma" w:hAnsi="Tahoma" w:cs="Tahoma"/>
      <w:sz w:val="16"/>
      <w:szCs w:val="16"/>
      <w:lang w:eastAsia="id-ID"/>
    </w:rPr>
  </w:style>
  <w:style w:type="paragraph" w:styleId="Caption">
    <w:name w:val="caption"/>
    <w:basedOn w:val="Normal"/>
    <w:next w:val="Normal"/>
    <w:unhideWhenUsed/>
    <w:qFormat/>
    <w:rsid w:val="00F76F65"/>
    <w:pPr>
      <w:spacing w:before="0" w:after="200" w:line="240" w:lineRule="auto"/>
      <w:ind w:left="720" w:hanging="720"/>
    </w:pPr>
    <w:rPr>
      <w:bCs/>
      <w:szCs w:val="18"/>
      <w:lang w:val="en-GB" w:eastAsia="en-US"/>
    </w:rPr>
  </w:style>
  <w:style w:type="character" w:styleId="Hyperlink">
    <w:name w:val="Hyperlink"/>
    <w:basedOn w:val="DefaultParagraphFont"/>
    <w:uiPriority w:val="99"/>
    <w:unhideWhenUsed/>
    <w:rsid w:val="00640CC7"/>
    <w:rPr>
      <w:color w:val="0000FF" w:themeColor="hyperlink"/>
      <w:u w:val="single"/>
    </w:rPr>
  </w:style>
  <w:style w:type="paragraph" w:styleId="TableofFigures">
    <w:name w:val="table of figures"/>
    <w:basedOn w:val="Normal"/>
    <w:next w:val="Normal"/>
    <w:uiPriority w:val="99"/>
    <w:unhideWhenUsed/>
    <w:rsid w:val="00D15E4A"/>
    <w:pPr>
      <w:spacing w:after="0"/>
    </w:pPr>
  </w:style>
  <w:style w:type="character" w:customStyle="1" w:styleId="FooterChar">
    <w:name w:val="Footer Char"/>
    <w:basedOn w:val="DefaultParagraphFont"/>
    <w:link w:val="Footer"/>
    <w:uiPriority w:val="99"/>
    <w:rsid w:val="007E3F49"/>
    <w:rPr>
      <w:sz w:val="24"/>
      <w:lang w:val="en-AU" w:eastAsia="id-ID"/>
    </w:rPr>
  </w:style>
  <w:style w:type="paragraph" w:customStyle="1" w:styleId="sub1">
    <w:name w:val="sub 1"/>
    <w:basedOn w:val="Title"/>
    <w:rsid w:val="00101A00"/>
    <w:pPr>
      <w:numPr>
        <w:numId w:val="18"/>
      </w:numPr>
      <w:spacing w:before="120" w:after="120"/>
      <w:jc w:val="both"/>
    </w:pPr>
    <w:rPr>
      <w:bCs/>
      <w:kern w:val="0"/>
      <w:sz w:val="24"/>
      <w:szCs w:val="24"/>
      <w:lang w:eastAsia="en-US"/>
    </w:rPr>
  </w:style>
  <w:style w:type="paragraph" w:customStyle="1" w:styleId="sub7">
    <w:name w:val="sub 7"/>
    <w:basedOn w:val="BodyText"/>
    <w:rsid w:val="00101A00"/>
    <w:pPr>
      <w:numPr>
        <w:numId w:val="19"/>
      </w:numPr>
    </w:pPr>
    <w:rPr>
      <w:b/>
      <w:szCs w:val="24"/>
      <w:lang w:eastAsia="en-US"/>
    </w:rPr>
  </w:style>
  <w:style w:type="paragraph" w:styleId="ListParagraph">
    <w:name w:val="List Paragraph"/>
    <w:basedOn w:val="Normal"/>
    <w:uiPriority w:val="34"/>
    <w:qFormat/>
    <w:rsid w:val="00101A00"/>
    <w:pPr>
      <w:ind w:left="720"/>
      <w:contextualSpacing/>
    </w:pPr>
    <w:rPr>
      <w:szCs w:val="24"/>
      <w:lang w:val="en-GB" w:eastAsia="en-US"/>
    </w:rPr>
  </w:style>
  <w:style w:type="paragraph" w:customStyle="1" w:styleId="lampiran">
    <w:name w:val="lampiran"/>
    <w:basedOn w:val="Lampiran1"/>
    <w:link w:val="lampiranChar"/>
    <w:qFormat/>
    <w:rsid w:val="00670641"/>
    <w:rPr>
      <w:noProof/>
    </w:rPr>
  </w:style>
  <w:style w:type="character" w:customStyle="1" w:styleId="Lampiran1Char">
    <w:name w:val="Lampiran1 Char"/>
    <w:basedOn w:val="DefaultParagraphFont"/>
    <w:link w:val="Lampiran1"/>
    <w:rsid w:val="00670641"/>
    <w:rPr>
      <w:b/>
      <w:sz w:val="28"/>
      <w:lang w:val="en-AU" w:eastAsia="id-ID"/>
    </w:rPr>
  </w:style>
  <w:style w:type="character" w:customStyle="1" w:styleId="lampiranChar">
    <w:name w:val="lampiran Char"/>
    <w:basedOn w:val="Lampiran1Char"/>
    <w:link w:val="lampiran"/>
    <w:rsid w:val="00670641"/>
    <w:rPr>
      <w:b/>
      <w:noProof/>
      <w:sz w:val="28"/>
      <w:lang w:val="en-AU" w:eastAsia="id-ID"/>
    </w:rPr>
  </w:style>
  <w:style w:type="paragraph" w:styleId="TOCHeading">
    <w:name w:val="TOC Heading"/>
    <w:basedOn w:val="Heading1"/>
    <w:next w:val="Normal"/>
    <w:uiPriority w:val="39"/>
    <w:unhideWhenUsed/>
    <w:qFormat/>
    <w:rsid w:val="00BF29D1"/>
    <w:pPr>
      <w:keepLines/>
      <w:pageBreakBefore w:val="0"/>
      <w:numPr>
        <w:numId w:val="0"/>
      </w:numPr>
      <w:spacing w:before="240" w:after="0" w:line="259" w:lineRule="auto"/>
      <w:jc w:val="left"/>
      <w:outlineLvl w:val="9"/>
    </w:pPr>
    <w:rPr>
      <w:rFonts w:asciiTheme="majorHAnsi" w:eastAsiaTheme="majorEastAsia" w:hAnsiTheme="majorHAnsi" w:cstheme="majorBidi"/>
      <w:b w:val="0"/>
      <w:caps w:val="0"/>
      <w:color w:val="365F91" w:themeColor="accent1" w:themeShade="BF"/>
      <w:sz w:val="32"/>
      <w:szCs w:val="32"/>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17549127">
      <w:bodyDiv w:val="1"/>
      <w:marLeft w:val="0"/>
      <w:marRight w:val="0"/>
      <w:marTop w:val="0"/>
      <w:marBottom w:val="0"/>
      <w:divBdr>
        <w:top w:val="none" w:sz="0" w:space="0" w:color="auto"/>
        <w:left w:val="none" w:sz="0" w:space="0" w:color="auto"/>
        <w:bottom w:val="none" w:sz="0" w:space="0" w:color="auto"/>
        <w:right w:val="none" w:sz="0" w:space="0" w:color="auto"/>
      </w:divBdr>
    </w:div>
    <w:div w:id="726077061">
      <w:bodyDiv w:val="1"/>
      <w:marLeft w:val="0"/>
      <w:marRight w:val="0"/>
      <w:marTop w:val="0"/>
      <w:marBottom w:val="0"/>
      <w:divBdr>
        <w:top w:val="none" w:sz="0" w:space="0" w:color="auto"/>
        <w:left w:val="none" w:sz="0" w:space="0" w:color="auto"/>
        <w:bottom w:val="none" w:sz="0" w:space="0" w:color="auto"/>
        <w:right w:val="none" w:sz="0" w:space="0" w:color="auto"/>
      </w:divBdr>
    </w:div>
    <w:div w:id="853953572">
      <w:bodyDiv w:val="1"/>
      <w:marLeft w:val="0"/>
      <w:marRight w:val="0"/>
      <w:marTop w:val="0"/>
      <w:marBottom w:val="0"/>
      <w:divBdr>
        <w:top w:val="none" w:sz="0" w:space="0" w:color="auto"/>
        <w:left w:val="none" w:sz="0" w:space="0" w:color="auto"/>
        <w:bottom w:val="none" w:sz="0" w:space="0" w:color="auto"/>
        <w:right w:val="none" w:sz="0" w:space="0" w:color="auto"/>
      </w:divBdr>
    </w:div>
    <w:div w:id="1145119812">
      <w:bodyDiv w:val="1"/>
      <w:marLeft w:val="0"/>
      <w:marRight w:val="0"/>
      <w:marTop w:val="0"/>
      <w:marBottom w:val="0"/>
      <w:divBdr>
        <w:top w:val="none" w:sz="0" w:space="0" w:color="auto"/>
        <w:left w:val="none" w:sz="0" w:space="0" w:color="auto"/>
        <w:bottom w:val="none" w:sz="0" w:space="0" w:color="auto"/>
        <w:right w:val="none" w:sz="0" w:space="0" w:color="auto"/>
      </w:divBdr>
      <w:divsChild>
        <w:div w:id="1583182680">
          <w:marLeft w:val="1094"/>
          <w:marRight w:val="0"/>
          <w:marTop w:val="100"/>
          <w:marBottom w:val="0"/>
          <w:divBdr>
            <w:top w:val="none" w:sz="0" w:space="0" w:color="auto"/>
            <w:left w:val="none" w:sz="0" w:space="0" w:color="auto"/>
            <w:bottom w:val="none" w:sz="0" w:space="0" w:color="auto"/>
            <w:right w:val="none" w:sz="0" w:space="0" w:color="auto"/>
          </w:divBdr>
        </w:div>
        <w:div w:id="1332830208">
          <w:marLeft w:val="1094"/>
          <w:marRight w:val="0"/>
          <w:marTop w:val="100"/>
          <w:marBottom w:val="0"/>
          <w:divBdr>
            <w:top w:val="none" w:sz="0" w:space="0" w:color="auto"/>
            <w:left w:val="none" w:sz="0" w:space="0" w:color="auto"/>
            <w:bottom w:val="none" w:sz="0" w:space="0" w:color="auto"/>
            <w:right w:val="none" w:sz="0" w:space="0" w:color="auto"/>
          </w:divBdr>
        </w:div>
        <w:div w:id="1945913761">
          <w:marLeft w:val="1094"/>
          <w:marRight w:val="0"/>
          <w:marTop w:val="100"/>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3.xml"/><Relationship Id="rId17" Type="http://schemas.openxmlformats.org/officeDocument/2006/relationships/customXml" Target="../customXml/item4.xml"/><Relationship Id="rId2" Type="http://schemas.openxmlformats.org/officeDocument/2006/relationships/numbering" Target="numbering.xml"/><Relationship Id="rId16" Type="http://schemas.openxmlformats.org/officeDocument/2006/relationships/customXml" Target="../customXml/item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customXml" Target="../customXml/item2.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theme" Target="theme/theme1.xml"/><Relationship Id="rId1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_rels/item2.xml.rels><?xml version="1.0" encoding="UTF-8"?><Relationships xmlns="http://schemas.openxmlformats.org/package/2006/relationships"><Relationship Id="rId1" Type="http://schemas.openxmlformats.org/officeDocument/2006/relationships/customXmlProps" Target="itemProps2.xml"/></Relationships>
</file>

<file path=customXml/_rels/item3.xml.rels><?xml version="1.0" encoding="UTF-8"?><Relationships xmlns="http://schemas.openxmlformats.org/package/2006/relationships"><Relationship Id="rId1" Type="http://schemas.openxmlformats.org/officeDocument/2006/relationships/customXmlProps" Target="itemProps3.xml"/></Relationships>
</file>

<file path=customXml/_rels/item4.xml.rels><?xml version="1.0" encoding="UTF-8"?><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CB2E2D83EB944944B8659E379AE55E4C" ma:contentTypeVersion="0" ma:contentTypeDescription="Create a new document." ma:contentTypeScope="" ma:versionID="1c70148bd1e638e516440e8f2f2abf41">
  <xsd:schema xmlns:xsd="http://www.w3.org/2001/XMLSchema" xmlns:xs="http://www.w3.org/2001/XMLSchema" xmlns:p="http://schemas.microsoft.com/office/2006/metadata/properties" targetNamespace="http://schemas.microsoft.com/office/2006/metadata/properties" ma:root="true" ma:fieldsID="500c6692915ba10984c0aabd49f31b22">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2CE592C6-57A8-423A-A1B6-DF69F245E222}">
  <ds:schemaRefs>
    <ds:schemaRef ds:uri="http://schemas.openxmlformats.org/officeDocument/2006/bibliography"/>
  </ds:schemaRefs>
</ds:datastoreItem>
</file>

<file path=customXml/itemProps2.xml><?xml version="1.0" encoding="utf-8"?>
<ds:datastoreItem xmlns:ds="http://schemas.openxmlformats.org/officeDocument/2006/customXml" ds:itemID="{915D6A45-7E1E-4042-B62A-99DE966B33FF}"/>
</file>

<file path=customXml/itemProps3.xml><?xml version="1.0" encoding="utf-8"?>
<ds:datastoreItem xmlns:ds="http://schemas.openxmlformats.org/officeDocument/2006/customXml" ds:itemID="{D77FBE11-C0CD-4B7D-8BE9-49EC3D18B643}"/>
</file>

<file path=customXml/itemProps4.xml><?xml version="1.0" encoding="utf-8"?>
<ds:datastoreItem xmlns:ds="http://schemas.openxmlformats.org/officeDocument/2006/customXml" ds:itemID="{B787175C-34F5-4DF0-9C82-D2E103481E6F}"/>
</file>

<file path=docProps/app.xml><?xml version="1.0" encoding="utf-8"?>
<Properties xmlns="http://schemas.openxmlformats.org/officeDocument/2006/extended-properties" xmlns:vt="http://schemas.openxmlformats.org/officeDocument/2006/docPropsVTypes">
  <Template>Normal</Template>
  <TotalTime>192</TotalTime>
  <Pages>18</Pages>
  <Words>1686</Words>
  <Characters>9614</Characters>
  <Application>Microsoft Office Word</Application>
  <DocSecurity>0</DocSecurity>
  <Lines>80</Lines>
  <Paragraphs>22</Paragraphs>
  <ScaleCrop>false</ScaleCrop>
  <HeadingPairs>
    <vt:vector size="2" baseType="variant">
      <vt:variant>
        <vt:lpstr>Title</vt:lpstr>
      </vt:variant>
      <vt:variant>
        <vt:i4>1</vt:i4>
      </vt:variant>
    </vt:vector>
  </HeadingPairs>
  <TitlesOfParts>
    <vt:vector size="1" baseType="lpstr">
      <vt:lpstr>DRAFT BUKU LAPORAN</vt:lpstr>
    </vt:vector>
  </TitlesOfParts>
  <Company>If</Company>
  <LinksUpToDate>false</LinksUpToDate>
  <CharactersWithSpaces>11278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Pengembangan dan Evaluasi Komponen Analisis Semantik untuk Pemeriksaan Konsistensi Dokumentasi Klinis dalam Mendukung Kesiapan Klaim BPJS</dc:title>
  <dc:subject/>
  <dc:creator>Danendra Shafi Athallah</dc:creator>
  <cp:keywords/>
  <cp:lastModifiedBy>Adi Mulyanto, S.T, M.T.</cp:lastModifiedBy>
  <cp:revision>26</cp:revision>
  <cp:lastPrinted>2011-03-11T06:22:00Z</cp:lastPrinted>
  <dcterms:created xsi:type="dcterms:W3CDTF">2025-12-07T03:13:00Z</dcterms:created>
  <dcterms:modified xsi:type="dcterms:W3CDTF">2026-10-20T17:57:34.413Z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38b525e5-f3da-4501-8f1e-526b6769fc56_Enabled">
    <vt:lpwstr>true</vt:lpwstr>
  </property>
  <property fmtid="{D5CDD505-2E9C-101B-9397-08002B2CF9AE}" pid="3" name="MSIP_Label_38b525e5-f3da-4501-8f1e-526b6769fc56_SetDate">
    <vt:lpwstr>2024-10-24T01:00:19Z</vt:lpwstr>
  </property>
  <property fmtid="{D5CDD505-2E9C-101B-9397-08002B2CF9AE}" pid="4" name="MSIP_Label_38b525e5-f3da-4501-8f1e-526b6769fc56_Method">
    <vt:lpwstr>Standard</vt:lpwstr>
  </property>
  <property fmtid="{D5CDD505-2E9C-101B-9397-08002B2CF9AE}" pid="5" name="MSIP_Label_38b525e5-f3da-4501-8f1e-526b6769fc56_Name">
    <vt:lpwstr>defa4170-0d19-0005-0004-bc88714345d2</vt:lpwstr>
  </property>
  <property fmtid="{D5CDD505-2E9C-101B-9397-08002B2CF9AE}" pid="6" name="MSIP_Label_38b525e5-f3da-4501-8f1e-526b6769fc56_SiteId">
    <vt:lpwstr>db6e1183-4c65-405c-82ce-7cd53fa6e9dc</vt:lpwstr>
  </property>
  <property fmtid="{D5CDD505-2E9C-101B-9397-08002B2CF9AE}" pid="7" name="MSIP_Label_38b525e5-f3da-4501-8f1e-526b6769fc56_ActionId">
    <vt:lpwstr>e8b7520b-b268-431b-8cee-e36454e20688</vt:lpwstr>
  </property>
  <property fmtid="{D5CDD505-2E9C-101B-9397-08002B2CF9AE}" pid="8" name="MSIP_Label_38b525e5-f3da-4501-8f1e-526b6769fc56_ContentBits">
    <vt:lpwstr>0</vt:lpwstr>
  </property>
  <property fmtid="{D5CDD505-2E9C-101B-9397-08002B2CF9AE}" pid="9" name="ContentTypeId">
    <vt:lpwstr>0x010100CB2E2D83EB944944B8659E379AE55E4C</vt:lpwstr>
  </property>
</Properties>
</file>