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</w:pPr>
      <w:r>
        <w:t>Propuesta de generación de mediciones UX/UI</w:t>
      </w:r>
    </w:p>
    <w:p>
      <w:pPr>
        <w:spacing w:after="200"/>
      </w:pPr>
      <w:r>
        <w:rPr>
          <w:color w:val="595959"/>
          <w:sz w:val="19"/>
        </w:rPr>
        <w:t>Usuarios A y B | Estructura ajustada a los campos reales de la pantalla Mediciones UX/UI</w:t>
      </w:r>
    </w:p>
    <w:p>
      <w:pPr>
        <w:pStyle w:val="Heading2"/>
        <w:spacing w:before="200" w:after="100"/>
      </w:pPr>
      <w:r>
        <w:t>Objetivo</w:t>
      </w:r>
    </w:p>
    <w:p>
      <w:pPr>
        <w:spacing w:after="120" w:line="264" w:lineRule="auto"/>
      </w:pPr>
      <w:r>
        <w:t>Definir diez registros de medición UX/UI listos para cargar o generar en la aplicación: cinco para Usuario A y cinco para Usuario B. En cada usuario, tres mediciones corresponden a diciembre de 2025 y dos a febrero de 2026.</w:t>
      </w:r>
    </w:p>
    <w:p>
      <w:pPr>
        <w:spacing w:after="120" w:line="264" w:lineRule="auto"/>
      </w:pPr>
      <w:r>
        <w:t>La propuesta toma como base el informe final y respeta los campos que la aplicación guarda para el historial UX/UI: contexto, métricas Likert, NPS, fricciones, comentarios y detalle técnico de métricas.</w:t>
      </w:r>
    </w:p>
    <w:tbl>
      <w:tblPr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tblHeader w:val="true"/>
        </w:trPr>
        <w:tc>
          <w:tcPr>
            <w:tcW w:type="dxa" w:w="1411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EAF2F8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9"/>
              </w:rPr>
              <w:t>Criterio temporal: 3 mediciones por usuario durante diciembre de 2025 y 2 mediciones por usuario durante febrero de 2026. No se proponen mediciones en enero.</w:t>
            </w:r>
          </w:p>
        </w:tc>
      </w:tr>
    </w:tbl>
    <w:p/>
    <w:p>
      <w:pPr>
        <w:pStyle w:val="Heading2"/>
        <w:spacing w:before="200" w:after="100"/>
      </w:pPr>
      <w:r>
        <w:t>Campos contemplados para cada medición</w:t>
      </w:r>
    </w:p>
    <w:p>
      <w:pPr>
        <w:spacing w:after="120" w:line="264" w:lineRule="auto"/>
      </w:pPr>
      <w:r>
        <w:t>La propuesta se ajusta a los campos reales de la medición UX/UI que se cargan y consultan desde la pantalla administrativa.</w:t>
      </w:r>
    </w:p>
    <w:tbl>
      <w:tblPr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Campo interno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Campo visible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Uso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Tipo / escala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user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Usuario aspirante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Relación con el registro del usuario seleccionado.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Usuario A o Usuario B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measured_at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Fecha y hora de medición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Momento al que corresponde la experiencia medida; debe ser la fecha del uso observado.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Diciembre de 2025 o febrero de 2026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Contexto de uso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Describe la situación evaluada: pantalla principal, chat, simulaciones, historial o dashboard.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Texto libre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ease_of_use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Facilidad de uso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Qué tan intuitiva fue la navegación por la aplicación.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Likert 1-5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answer_quality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Calidad de respuestas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Claridad y precisión de las explicaciones de IA.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Likert 1-5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response_speed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Velocidad percibida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Percepción de velocidad de respuesta del chat y fluidez de uso.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Likert 1-5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exam_similarity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Similitud con examen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Percepción de semejanza entre preguntas del simulador y preguntas reales PMP.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Likert 1-5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average_likert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Promedio Likert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Promedio calculado entre facilidad, calidad, velocidad y similitud.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Calculado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nps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NPS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Disposición a recomendar la herramienta a un colega.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0-10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nps_category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Categoría NPS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Clasificación automática: Promotor, Pasivo o Detractor.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Calculado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friction_points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Fricciones detectadas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Dificultades, textos poco claros, pérdida de contexto o puntos de dolor.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Texto libre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comments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Comentarios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Observaciones libres sobre la experiencia.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Texto libre</w:t>
            </w:r>
          </w:p>
        </w:tc>
      </w:tr>
      <w:tr>
        <w:tc>
          <w:tcPr>
            <w:tcW w:type="dxa" w:w="208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metrics</w:t>
            </w:r>
          </w:p>
        </w:tc>
        <w:tc>
          <w:tcPr>
            <w:tcW w:type="dxa" w:w="2951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Detalle técnico de métricas</w:t>
            </w:r>
          </w:p>
        </w:tc>
        <w:tc>
          <w:tcPr>
            <w:tcW w:type="dxa" w:w="66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Objeto con fuente, etiquetas, valores y objetivos de cada métrica.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Generado por la aplicación</w:t>
            </w:r>
          </w:p>
        </w:tc>
      </w:tr>
    </w:tbl>
    <w:p/>
    <w:p>
      <w:pPr>
        <w:pStyle w:val="Heading2"/>
        <w:spacing w:before="200" w:after="100"/>
      </w:pPr>
      <w:r>
        <w:t>Preguntas y escalas utilizadas</w:t>
      </w:r>
    </w:p>
    <w:tbl>
      <w:tblPr>
        <w:tblW w:type="dxa" w:w="14112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194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Campo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Métrica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Pregunta del formulario</w:t>
            </w:r>
          </w:p>
        </w:tc>
        <w:tc>
          <w:tcPr>
            <w:tcW w:type="dxa" w:w="338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Escala</w:t>
            </w:r>
          </w:p>
        </w:tc>
        <w:tc>
          <w:tcPr>
            <w:tcW w:type="dxa" w:w="115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Objetivo</w:t>
            </w:r>
          </w:p>
        </w:tc>
      </w:tr>
      <w:tr>
        <w:tc>
          <w:tcPr>
            <w:tcW w:type="dxa" w:w="194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ease_of_use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Facilidad de uso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¿Qué tan intuitiva fue la navegación por la aplicación?</w:t>
            </w:r>
          </w:p>
        </w:tc>
        <w:tc>
          <w:tcPr>
            <w:tcW w:type="dxa" w:w="338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1: muy confusa - 5: muy intuitiva</w:t>
            </w:r>
          </w:p>
        </w:tc>
        <w:tc>
          <w:tcPr>
            <w:tcW w:type="dxa" w:w="115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&gt;= 4/5</w:t>
            </w:r>
          </w:p>
        </w:tc>
      </w:tr>
      <w:tr>
        <w:tc>
          <w:tcPr>
            <w:tcW w:type="dxa" w:w="194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answer_quality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Calidad de respuestas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¿Las explicaciones de la IA fueron claras y precisas?</w:t>
            </w:r>
          </w:p>
        </w:tc>
        <w:tc>
          <w:tcPr>
            <w:tcW w:type="dxa" w:w="338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1: confusas o erróneas - 5: excelentes</w:t>
            </w:r>
          </w:p>
        </w:tc>
        <w:tc>
          <w:tcPr>
            <w:tcW w:type="dxa" w:w="115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&gt;= 4/5</w:t>
            </w:r>
          </w:p>
        </w:tc>
      </w:tr>
      <w:tr>
        <w:tc>
          <w:tcPr>
            <w:tcW w:type="dxa" w:w="194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response_speed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Velocidad percibida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¿La velocidad de respuesta del chat fue adecuada?</w:t>
            </w:r>
          </w:p>
        </w:tc>
        <w:tc>
          <w:tcPr>
            <w:tcW w:type="dxa" w:w="338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1: muy lenta - 5: instantánea</w:t>
            </w:r>
          </w:p>
        </w:tc>
        <w:tc>
          <w:tcPr>
            <w:tcW w:type="dxa" w:w="115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&gt;= 4/5</w:t>
            </w:r>
          </w:p>
        </w:tc>
      </w:tr>
      <w:tr>
        <w:tc>
          <w:tcPr>
            <w:tcW w:type="dxa" w:w="194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exam_similarity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Similitud con examen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¿Las preguntas del simulador se parecen a las reales?</w:t>
            </w:r>
          </w:p>
        </w:tc>
        <w:tc>
          <w:tcPr>
            <w:tcW w:type="dxa" w:w="338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1: nada - 5: idénticas</w:t>
            </w:r>
          </w:p>
        </w:tc>
        <w:tc>
          <w:tcPr>
            <w:tcW w:type="dxa" w:w="115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&gt;= 4/5</w:t>
            </w:r>
          </w:p>
        </w:tc>
      </w:tr>
      <w:tr>
        <w:tc>
          <w:tcPr>
            <w:tcW w:type="dxa" w:w="194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nps</w:t>
            </w:r>
          </w:p>
        </w:tc>
        <w:tc>
          <w:tcPr>
            <w:tcW w:type="dxa" w:w="237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NPS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¿Recomendarías esta herramienta a un colega?</w:t>
            </w:r>
          </w:p>
        </w:tc>
        <w:tc>
          <w:tcPr>
            <w:tcW w:type="dxa" w:w="338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0: nada probable - 10: muy probable</w:t>
            </w:r>
          </w:p>
        </w:tc>
        <w:tc>
          <w:tcPr>
            <w:tcW w:type="dxa" w:w="115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&gt;= 8</w:t>
            </w:r>
          </w:p>
        </w:tc>
      </w:tr>
    </w:tbl>
    <w:p/>
    <w:p>
      <w:pPr>
        <w:pStyle w:val="Heading2"/>
        <w:spacing w:before="200" w:after="100"/>
      </w:pPr>
      <w:r>
        <w:t>Mediciones propuestas para Usuario A</w:t>
      </w:r>
    </w:p>
    <w:p>
      <w:pPr>
        <w:spacing w:after="120" w:line="264" w:lineRule="auto"/>
      </w:pPr>
      <w:r>
        <w:t>Perfil utilizado: aspirante PMP en preparación intensiva. La evolución propuesta prioriza adopción, claridad de explicaciones, uso del recorrido guiado y confianza ante simulaciones.</w:t>
      </w:r>
    </w:p>
    <w:p>
      <w:pPr>
        <w:pStyle w:val="Heading3"/>
        <w:spacing w:before="200" w:after="100"/>
      </w:pPr>
      <w:r>
        <w:t>Usuario A - Campos cuantitativos y derivados</w:t>
      </w:r>
    </w:p>
    <w:tbl>
      <w:tblPr>
        <w:tblW w:type="dxa" w:w="15552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Código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measured_at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context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ease_of_use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answer_quality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response_speed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exam_similarity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average_likert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nps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nps_category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UX-UA-01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03/12/2025 20:30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Uso inicial de pantalla principal, ruta guiada y primer chat explicativo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4.00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Pasivo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UX-UA-02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10/12/2025 21:15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Uso de chat en explicación simple, oráculo y repaso breve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4.50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Promotor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UX-UA-03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18/12/2025 20:45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Entrenamiento práctico, prueba de fuego y primera simulación corta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4.75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Promotor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UX-UA-04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12/02/2026 21:00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Consulta de histórico, progreso acumulado y resultados de simulaciones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4.50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Promotor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UX-UA-05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25/02/2026 20:30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Cierre longitudinal: pantalla principal, chat, simulaciones e historial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5.00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Promotor</w:t>
            </w:r>
          </w:p>
        </w:tc>
      </w:tr>
    </w:tbl>
    <w:p/>
    <w:p>
      <w:pPr>
        <w:pStyle w:val="Heading3"/>
        <w:spacing w:before="200" w:after="100"/>
      </w:pPr>
      <w:r>
        <w:t>Usuario A - Campos cualitativos y detalle de métricas</w:t>
      </w:r>
    </w:p>
    <w:tbl>
      <w:tblPr>
        <w:tblW w:type="dxa" w:w="14111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Código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friction_points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comments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metrics.source / detalle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UX-UA-01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Terminología PMI inicial poco familiar; necesita ubicar rápidamente actividades y progreso.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Primer contacto positivo. La ruta guiada ordena el estudio, aunque requiere refuerzo de orientación inicial.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UX-UA-02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Dudas puntuales sobre cuándo usar explicación simple u oráculo.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Las explicaciones reducen ansiedad y ayudan a formular preguntas más precisas.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UX-UA-03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Necesita distinguir mejor entre práctica por nivel y simulación integral.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La retroalimentación contextual y el avance por niveles sostienen el hábito de estudio.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UX-UA-04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Preferiría mayor síntesis visual de intentos anteriores.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Valora ver evolución y resultados históricos; se observa uso más fluido del dashboard.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UX-UA-05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Sin fricciones relevantes al cierre de la observación.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Declara alta utilidad como complemento de preparación y mayor confianza para rendir simulacros.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</w:tbl>
    <w:p/>
    <w:p>
      <w:pPr>
        <w:pStyle w:val="Heading2"/>
        <w:spacing w:before="200" w:after="100"/>
      </w:pPr>
      <w:r>
        <w:t>Mediciones propuestas para Usuario B</w:t>
      </w:r>
    </w:p>
    <w:p>
      <w:pPr>
        <w:spacing w:after="120" w:line="264" w:lineRule="auto"/>
      </w:pPr>
      <w:r>
        <w:t>Perfil utilizado: validador experto certificado PMP. La evolución propuesta prioriza precisión conceptual, fidelidad del simulador, robustez de interacción y utilidad del dashboard administrativo.</w:t>
      </w:r>
    </w:p>
    <w:p>
      <w:pPr>
        <w:pStyle w:val="Heading3"/>
        <w:spacing w:before="200" w:after="100"/>
      </w:pPr>
      <w:r>
        <w:t>Usuario B - Campos cuantitativos y derivados</w:t>
      </w:r>
    </w:p>
    <w:tbl>
      <w:tblPr>
        <w:tblW w:type="dxa" w:w="15552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Código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measured_at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context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ease_of_use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answer_quality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response_speed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exam_similarity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average_likert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nps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4"/>
              </w:rPr>
              <w:t>nps_category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UX-UB-01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04/12/2025 18:30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Validación experta inicial de navegación, dashboard y consistencia conceptual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4.50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Pasivo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UX-UB-02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11/12/2025 19:00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Revisión de calidad de respuestas, razonamiento situacional y distractores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4.50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Promotor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UX-UB-03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19/12/2025 18:45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Simulador, feedback de respuestas y fidelidad al examen PMP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5.00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Promotor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UX-UB-04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13/02/2026 19:15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Prueba de robustez, control de interacción y libertad de salida/cambio de modo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4.75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9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Promotor</w:t>
            </w:r>
          </w:p>
        </w:tc>
      </w:tr>
      <w:tr>
        <w:tc>
          <w:tcPr>
            <w:tcW w:type="dxa" w:w="108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UX-UB-05</w:t>
            </w:r>
          </w:p>
        </w:tc>
        <w:tc>
          <w:tcPr>
            <w:tcW w:type="dxa" w:w="1655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26/02/2026 18:30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Cierre experto: utilidad operativa del dashboard e histórico de evidencias</w:t>
            </w:r>
          </w:p>
        </w:tc>
        <w:tc>
          <w:tcPr>
            <w:tcW w:type="dxa" w:w="1123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3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129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5.00</w:t>
            </w:r>
          </w:p>
        </w:tc>
        <w:tc>
          <w:tcPr>
            <w:tcW w:type="dxa" w:w="64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type="dxa" w:w="1598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4"/>
              </w:rPr>
              <w:t>Promotor</w:t>
            </w:r>
          </w:p>
        </w:tc>
      </w:tr>
    </w:tbl>
    <w:p/>
    <w:p>
      <w:pPr>
        <w:pStyle w:val="Heading3"/>
        <w:spacing w:before="200" w:after="100"/>
      </w:pPr>
      <w:r>
        <w:t>Usuario B - Campos cualitativos y detalle de métricas</w:t>
      </w:r>
    </w:p>
    <w:tbl>
      <w:tblPr>
        <w:tblW w:type="dxa" w:w="14111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Código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friction_points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comments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  <w:shd w:fill="F2F4F7"/>
          </w:tcPr>
          <w:p>
            <w:pPr>
              <w:spacing w:after="20" w:line="252" w:lineRule="auto"/>
            </w:pPr>
            <w:r>
              <w:rPr>
                <w:b/>
                <w:color w:val="1F4D78"/>
                <w:sz w:val="16"/>
              </w:rPr>
              <w:t>metrics.source / detalle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UX-UB-01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Requiere que la evidencia y los usuarios observados sean claramente trazables.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Revisa consistencia visual y precisión conceptual; sugiere mantener trazabilidad de fuentes y actividades.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UX-UB-02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Algunas respuestas deben explicitar mejor el criterio PMBOK aplicado.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Verifica que las respuestas mantengan enfoque PMBOK y diferencien situaciones ambiguas.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UX-UB-03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Necesidad de conservar evidencia de intentos y explicaciones revisadas.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Considera adecuada la duración, dificultad y explicación posterior de respuestas correctas e incorrectas.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UX-UB-04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Durante sesiones extensas conviene reforzar mensajes de estado y confirmación.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Evalúa salida de exámenes, cambios de modo y resistencia a usos no previstos durante sesiones extensas.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  <w:tr>
        <w:tc>
          <w:tcPr>
            <w:tcW w:type="dxa" w:w="1224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UX-UB-05</w:t>
            </w:r>
          </w:p>
        </w:tc>
        <w:tc>
          <w:tcPr>
            <w:tcW w:type="dxa" w:w="4392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Sin fricciones relevantes; recomienda conservar el histórico por usuario.</w:t>
            </w:r>
          </w:p>
        </w:tc>
        <w:tc>
          <w:tcPr>
            <w:tcW w:type="dxa" w:w="5256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Confirma utilidad del panel administrativo para seguimiento, auditoría y lectura de evidencia de uso.</w:t>
            </w:r>
          </w:p>
        </w:tc>
        <w:tc>
          <w:tcPr>
            <w:tcW w:type="dxa" w:w="3240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tcMar>
              <w:top w:w="75" w:type="dxa"/>
              <w:start w:w="110" w:type="dxa"/>
              <w:bottom w:w="75" w:type="dxa"/>
              <w:end w:w="11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6"/>
              </w:rPr>
              <w:t>Informe final para aplicación - Anexo C.1.3 y Capítulo 6.2. Valores vinculados a etiquetas, objetivos y categoría NPS generados por la aplicación.</w:t>
            </w:r>
          </w:p>
        </w:tc>
      </w:tr>
    </w:tbl>
    <w:p/>
    <w:p>
      <w:pPr>
        <w:pStyle w:val="Heading2"/>
        <w:spacing w:before="200" w:after="100"/>
      </w:pPr>
      <w:r>
        <w:t>Regla de carga sugerida</w:t>
      </w:r>
    </w:p>
    <w:p>
      <w:pPr>
        <w:pStyle w:val="ListBullet"/>
        <w:spacing w:after="80"/>
      </w:pPr>
      <w:r>
        <w:t>Cada medición debe crear un registro en ux_ui_metric_snapshots asociado al usuario aspirante seleccionado.</w:t>
      </w:r>
    </w:p>
    <w:p>
      <w:pPr>
        <w:pStyle w:val="ListBullet"/>
        <w:spacing w:after="80"/>
      </w:pPr>
      <w:r>
        <w:t>El campo measured_at debe conservar la fecha y hora propuesta, no la fecha de ejecución administrativa.</w:t>
      </w:r>
    </w:p>
    <w:p>
      <w:pPr>
        <w:pStyle w:val="ListBullet"/>
        <w:spacing w:after="80"/>
      </w:pPr>
      <w:r>
        <w:t>average_likert y nps_category se derivan de los valores cargados, siguiendo la lógica de la aplicación.</w:t>
      </w:r>
    </w:p>
    <w:p>
      <w:pPr>
        <w:pStyle w:val="ListBullet"/>
        <w:spacing w:after="80"/>
      </w:pPr>
      <w:r>
        <w:t>El objeto metrics debe conservar la fuente del informe, etiquetas visibles, valores y objetivos de cada métrica.</w:t>
      </w:r>
    </w:p>
    <w:p>
      <w:pPr>
        <w:pStyle w:val="ListBullet"/>
        <w:spacing w:after="80"/>
      </w:pPr>
      <w:r>
        <w:t>Las fricciones y comentarios no deben quedar vacíos: aportan trazabilidad cualitativa a la evidencia UX/UI.</w:t>
      </w:r>
    </w:p>
    <w:p>
      <w:pPr>
        <w:pStyle w:val="Heading2"/>
        <w:spacing w:before="200" w:after="100"/>
      </w:pPr>
      <w:r>
        <w:t>Resultado esperado</w:t>
      </w:r>
    </w:p>
    <w:p>
      <w:pPr>
        <w:spacing w:after="120" w:line="264" w:lineRule="auto"/>
      </w:pPr>
      <w:r>
        <w:t>Con estos registros, la pantalla de Mediciones UX/UI podrá mostrar un historial completo por usuario, con promedios Likert, NPS promedio, cantidad de mediciones y detalle histórico. La evidencia queda alineada con el informe final y con la estructura real de datos que utiliza la aplicación.</w:t>
      </w:r>
    </w:p>
    <w:sectPr w:rsidR="00FC693F" w:rsidRPr="0006063C" w:rsidSect="00034616">
      <w:footerReference w:type="default" r:id="rId9"/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Propuesta de mediciones UX/UI - Asistente de preparación PMP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