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D71920"/>
          <w:sz w:val="44"/>
        </w:rPr>
        <w:t>GREENPULSE: THE ZERO-GENSET SITE OPERATING SYSTEM</w:t>
      </w:r>
    </w:p>
    <w:p>
      <w:pPr>
        <w:spacing w:after="360"/>
        <w:jc w:val="center"/>
      </w:pPr>
      <w:r>
        <w:rPr>
          <w:b/>
          <w:color w:val="64748B"/>
          <w:sz w:val="24"/>
        </w:rPr>
        <w:t>Strategic Innovation Proposal | Sime Darby Property University Hackathon 2026</w:t>
        <w:br/>
        <w:t>Track: PLANET (Energy Efficiency &amp; Sustainable Living)</w:t>
      </w:r>
    </w:p>
    <w:p>
      <w:pPr>
        <w:spacing w:before="280" w:after="80"/>
      </w:pPr>
      <w:r>
        <w:rPr>
          <w:b/>
          <w:color w:val="D71920"/>
          <w:sz w:val="30"/>
        </w:rPr>
        <w:t>Executive Summary</w:t>
      </w:r>
    </w:p>
    <w:p>
      <w:r>
        <w:t xml:space="preserve">When Sime Darby Property builds a new township, the vision is clean, green, and sustainable. But behind the construction hoardings of every new project, from Putra Heights to City of Elmina, there is an expensive and dirty secret: </w:t>
      </w:r>
      <w:r>
        <w:rPr>
          <w:b/>
        </w:rPr>
        <w:t>for the first 1 to 2 years, the entire construction site runs on rented diesel generators.</w:t>
      </w:r>
      <w:r/>
    </w:p>
    <w:p>
      <w:r>
        <w:t>Why? Because permanent TNB electrical substations take 9 to 18 months to build and power up. Construction cannot wait, so contractors are forced to rent giant 300 to 500 kVA diesel generators just to keep cranes, hoists, and site offices running.</w:t>
      </w:r>
    </w:p>
    <w:p>
      <w:r>
        <w:t xml:space="preserve">Following commercial diesel subsidy rationalisation, construction companies receive zero subsidies. They pay the full market price of </w:t>
      </w:r>
      <w:r>
        <w:rPr>
          <w:b/>
        </w:rPr>
        <w:t>RM 5.17 per litre</w:t>
      </w:r>
      <w:r>
        <w:t xml:space="preserve">, burning over 12,000 litres of fuel every month. Between fuel bills and generator rental invoices, a single building site drains over </w:t>
      </w:r>
      <w:r>
        <w:rPr>
          <w:b/>
        </w:rPr>
        <w:t>RM 100,000 to RM 125,000 every single month in temporary power</w:t>
      </w:r>
      <w:r>
        <w:t>.</w:t>
      </w:r>
    </w:p>
    <w:p>
      <w:r>
        <w:t>Even worse, continuous 82-decibel generator noise and diesel fumes trigger angry complaints from residents who already moved into Phase 1 next door. These complaints often lead to Department of Environment (DOE) Stop-Work Orders, which can cost developers RM 50,000 to RM 100,000 a day in delay penalties.</w:t>
      </w:r>
    </w:p>
    <w:p>
      <w:r/>
      <w:r>
        <w:rPr>
          <w:b/>
        </w:rPr>
        <w:t>GreenPulse is a simple web platform that connects containerised battery storage and solar panels directly to construction equipment.</w:t>
      </w:r>
      <w:r>
        <w:t xml:space="preserve"> It replaces noisy diesel generators with clean, silent battery power.</w:t>
      </w:r>
    </w:p>
    <w:p>
      <w:pPr>
        <w:spacing w:before="200" w:after="60"/>
      </w:pPr>
      <w:r>
        <w:rPr>
          <w:b/>
          <w:color w:val="0F172A"/>
          <w:sz w:val="25"/>
        </w:rPr>
        <w:t>Key Results at a Glance:</w:t>
      </w:r>
    </w:p>
    <w:p>
      <w:pPr>
        <w:pStyle w:val="ListBullet"/>
        <w:spacing w:after="60"/>
      </w:pPr>
      <w:r/>
      <w:r>
        <w:rPr>
          <w:b/>
        </w:rPr>
        <w:t>Saves RM 125,128 every month per site</w:t>
      </w:r>
      <w:r>
        <w:t xml:space="preserve"> by eliminating diesel fuel purchases and cancelling generator rentals.</w:t>
      </w:r>
    </w:p>
    <w:p>
      <w:pPr>
        <w:pStyle w:val="ListBullet"/>
        <w:spacing w:after="60"/>
      </w:pPr>
      <w:r/>
      <w:r>
        <w:rPr>
          <w:b/>
        </w:rPr>
        <w:t>Cuts 49.3 tonnes of CO2 emissions every month</w:t>
      </w:r>
      <w:r>
        <w:t xml:space="preserve"> on each active parcel (a 77% carbon reduction).</w:t>
      </w:r>
    </w:p>
    <w:p>
      <w:pPr>
        <w:pStyle w:val="ListBullet"/>
        <w:spacing w:after="60"/>
      </w:pPr>
      <w:r/>
      <w:r>
        <w:rPr>
          <w:b/>
        </w:rPr>
        <w:t>Cuts site noise by 88% (-28 dBA)</w:t>
      </w:r>
      <w:r>
        <w:t>, ensuring boundary noise stays safely below the government legal limit of 60 dBA.</w:t>
      </w:r>
    </w:p>
    <w:p>
      <w:pPr>
        <w:pStyle w:val="ListBullet"/>
        <w:spacing w:after="60"/>
      </w:pPr>
      <w:r/>
      <w:r>
        <w:rPr>
          <w:b/>
        </w:rPr>
        <w:t>Protects community peace</w:t>
      </w:r>
      <w:r>
        <w:t xml:space="preserve"> by giving Phase 1 neighbours an anonymous, direct line to the on-site Environmental Officer to resolve disturbances in minutes before anyone calls the authorities.</w:t>
      </w:r>
    </w:p>
    <w:p>
      <w:pPr>
        <w:pStyle w:val="ListBullet"/>
        <w:spacing w:after="60"/>
      </w:pPr>
      <w:r/>
      <w:r>
        <w:rPr>
          <w:b/>
        </w:rPr>
        <w:t>Pays for itself in 14.2 months</w:t>
      </w:r>
      <w:r>
        <w:t>, and can be rolled from project to project across Sime Darby townships for 10 years.</w:t>
      </w:r>
    </w:p>
    <w:p>
      <w:pPr>
        <w:spacing w:before="280" w:after="80"/>
      </w:pPr>
      <w:r>
        <w:rPr>
          <w:b/>
          <w:color w:val="D71920"/>
          <w:sz w:val="30"/>
        </w:rPr>
        <w:t>1. The Real Problem on the Ground</w:t>
      </w:r>
    </w:p>
    <w:p>
      <w:r>
        <w:t>To understand why this problem exists, we have to look at how construction actually works in Malaysia today:</w:t>
      </w:r>
    </w:p>
    <w:p>
      <w:pPr>
        <w:spacing w:before="200" w:after="60"/>
      </w:pPr>
      <w:r>
        <w:rPr>
          <w:b/>
          <w:color w:val="0F172A"/>
          <w:sz w:val="25"/>
        </w:rPr>
        <w:t>A. The 18-Month Grid Delay</w:t>
      </w:r>
    </w:p>
    <w:p>
      <w:r>
        <w:t>When Sime Darby launches a massive greenfield parcel (like Elmina West or Bandar Bukit Raja Phase 2), building work starts long before utility power is ready. Groundbreaking, piling, and concrete pouring must begin immediately. Permanent TNB substations take between 9 and 18 months to energise. That leaves the site completely off-grid for up to 2 years.</w:t>
      </w:r>
    </w:p>
    <w:p>
      <w:pPr>
        <w:spacing w:before="200" w:after="60"/>
      </w:pPr>
      <w:r>
        <w:rPr>
          <w:b/>
          <w:color w:val="0F172A"/>
          <w:sz w:val="25"/>
        </w:rPr>
        <w:t>B. Unsubsidised Commercial Diesel (RM 5.17 / Litre)</w:t>
      </w:r>
    </w:p>
    <w:p>
      <w:r>
        <w:t xml:space="preserve">While public buses and small transport vans receive subsidised diesel under the BUDI Madani program (RM 2.10/L), commercial construction sites are 100% excluded. Contractors buy commercial Euro 5 diesel at </w:t>
      </w:r>
      <w:r>
        <w:rPr>
          <w:b/>
        </w:rPr>
        <w:t>RM 5.17 per litre</w:t>
      </w:r>
      <w:r>
        <w:t xml:space="preserve">. A typical high-rise project burns between 12,000 and 14,000 litres every month. That is a direct fuel bill of </w:t>
      </w:r>
      <w:r>
        <w:rPr>
          <w:b/>
        </w:rPr>
        <w:t>RM 62,000 to RM 72,000 every single month</w:t>
      </w:r>
      <w:r>
        <w:t>.</w:t>
      </w:r>
    </w:p>
    <w:p>
      <w:pPr>
        <w:spacing w:before="200" w:after="60"/>
      </w:pPr>
      <w:r>
        <w:rPr>
          <w:b/>
          <w:color w:val="0F172A"/>
          <w:sz w:val="25"/>
        </w:rPr>
        <w:t>C. The Generator Rental Bleed</w:t>
      </w:r>
    </w:p>
    <w:p>
      <w:r>
        <w:t xml:space="preserve">Contractors do not buy generators; they rent them from equipment hire companies. A soundproof 300 to 500 kVA generator costs </w:t>
      </w:r>
      <w:r>
        <w:rPr>
          <w:b/>
        </w:rPr>
        <w:t>RM 15,000 to RM 30,000 a month to rent</w:t>
      </w:r>
      <w:r>
        <w:t xml:space="preserve">. When you combine the rental invoice with the fuel bill and oil spill trays, contractors burn </w:t>
      </w:r>
      <w:r>
        <w:rPr>
          <w:b/>
        </w:rPr>
        <w:t>RM 95,000 to RM 125,000 every month on temporary power alone</w:t>
      </w:r>
      <w:r>
        <w:t>.</w:t>
      </w:r>
    </w:p>
    <w:p>
      <w:pPr>
        <w:spacing w:before="200" w:after="60"/>
      </w:pPr>
      <w:r>
        <w:rPr>
          <w:b/>
          <w:color w:val="0F172A"/>
          <w:sz w:val="25"/>
        </w:rPr>
        <w:t>D. The Tower Crane Startup Problem (Why Generators Are So Big)</w:t>
      </w:r>
    </w:p>
    <w:p>
      <w:r>
        <w:t xml:space="preserve">Why do contractors rent such massive generators? Because when a 50-tonne tower crane starts lifting a 2.5-tonne bucket of wet concrete, its heavy electric motor draws a sudden, violent kick of power: up to </w:t>
      </w:r>
      <w:r>
        <w:rPr>
          <w:b/>
        </w:rPr>
        <w:t>3 to 5 times its normal rating</w:t>
      </w:r>
      <w:r>
        <w:t xml:space="preserve"> (a 45 kW crane draws 94 kW for about 2 seconds).</w:t>
      </w:r>
    </w:p>
    <w:p>
      <w:r>
        <w:t>If a small generator or weak temporary power cable experiences that sudden kick, the voltage drops, the breaker trips, and the crane freezes mid-lift with wet concrete hardening in the bucket. To prevent this nightmare, contractors rent oversized 500 kVA generators that idle at only 20% capacity for most of the day, burning litres of diesel just waiting for the next lift.</w:t>
      </w:r>
    </w:p>
    <w:p>
      <w:pPr>
        <w:spacing w:before="200" w:after="60"/>
      </w:pPr>
      <w:r>
        <w:rPr>
          <w:b/>
          <w:color w:val="0F172A"/>
          <w:sz w:val="25"/>
        </w:rPr>
        <w:t>E. Phase 1 Resident Noise and the Threat of Stop-Work Orders</w:t>
      </w:r>
    </w:p>
    <w:p>
      <w:r>
        <w:t>Sime Darby builds masterplanned townships in phases. When Phase 2 begins construction, families are already living in Phase 1 right across the road.</w:t>
      </w:r>
    </w:p>
    <w:p>
      <w:r>
        <w:t>A conventional diesel generator creates continuous 82 dBA noise and diesel exhaust. Under Malaysian Department of Environment (DOE) Planning Guidelines Schedule 6, residential daytime noise cannot exceed 60 dBA, and night noise cannot exceed 45 dBA.</w:t>
      </w:r>
    </w:p>
    <w:p>
      <w:r>
        <w:t xml:space="preserve">When residents hear generators humming at night while putting their children to sleep, they complain to the Department of Environment (DOE) or local town councils (MBSA / MBPJ). When the authorities inspect and find noise violations, they issue an official </w:t>
      </w:r>
      <w:r>
        <w:rPr>
          <w:b/>
        </w:rPr>
        <w:t>Stop-Work Order (SWO)</w:t>
      </w:r>
      <w:r>
        <w:t xml:space="preserve">. A single Stop-Work Order can delay handovers by weeks, triggering Liquidated Ascertained Damages (LAD) of </w:t>
      </w:r>
      <w:r>
        <w:rPr>
          <w:b/>
        </w:rPr>
        <w:t>RM 50,000 to RM 100,000 per day</w:t>
      </w:r>
      <w:r>
        <w:t xml:space="preserve"> in delay penalties.</w:t>
      </w:r>
    </w:p>
    <w:p>
      <w:pPr>
        <w:spacing w:before="280" w:after="80"/>
      </w:pPr>
      <w:r>
        <w:rPr>
          <w:b/>
          <w:color w:val="D71920"/>
          <w:sz w:val="30"/>
        </w:rPr>
        <w:t>2. Why Existing Hardware Alone Is Not Enough</w:t>
      </w:r>
    </w:p>
    <w:p>
      <w:r>
        <w:t>Sime Darby Property and main contractors (like Inta Bina) have already started testing clean energy hardware:</w:t>
      </w:r>
    </w:p>
    <w:p>
      <w:pPr>
        <w:pStyle w:val="ListBullet"/>
        <w:spacing w:after="60"/>
      </w:pPr>
      <w:r>
        <w:t xml:space="preserve">Inta Bina has deployed containerised Battery Energy Storage Systems (BESS) at </w:t>
      </w:r>
      <w:r>
        <w:rPr>
          <w:b/>
        </w:rPr>
        <w:t>Putra Heights (261 kWh)</w:t>
      </w:r>
      <w:r>
        <w:t xml:space="preserve"> and </w:t>
      </w:r>
      <w:r>
        <w:rPr>
          <w:b/>
        </w:rPr>
        <w:t>Melati (522 kWh)</w:t>
      </w:r>
      <w:r>
        <w:t>.</w:t>
      </w:r>
    </w:p>
    <w:p>
      <w:pPr>
        <w:pStyle w:val="ListBullet"/>
        <w:spacing w:after="60"/>
      </w:pPr>
      <w:r>
        <w:t xml:space="preserve">A solar-battery system has been proposed for the </w:t>
      </w:r>
      <w:r>
        <w:rPr>
          <w:b/>
        </w:rPr>
        <w:t>Rimbayu Centralised Labour Quarters (169 kWp Solar / 261 kWh Battery)</w:t>
      </w:r>
      <w:r>
        <w:t>.</w:t>
      </w:r>
    </w:p>
    <w:p>
      <w:r>
        <w:t>However, having the battery hardware on site is only half the battle. Existing hardware software (such as IESS Cloud) has major shortcomings:</w:t>
      </w:r>
    </w:p>
    <w:p>
      <w:r>
        <w:t xml:space="preserve">1. </w:t>
      </w:r>
      <w:r>
        <w:rPr>
          <w:b/>
        </w:rPr>
        <w:t>It is just a passive viewer</w:t>
      </w:r>
      <w:r>
        <w:t>: It only shows a green "Online" dot and the current kilowatt reading. It cannot predict weather, cannot warn when rain is coming, and cannot intelligently buffer heavy machinery.</w:t>
      </w:r>
    </w:p>
    <w:p>
      <w:r>
        <w:t xml:space="preserve">2. </w:t>
      </w:r>
      <w:r>
        <w:rPr>
          <w:b/>
        </w:rPr>
        <w:t>Disconnected teams</w:t>
      </w:r>
      <w:r>
        <w:t>: Site engineers, safety officers, and HQ finance teams have no common system. Everyone uses paper logs, WhatsApp messages, and manual spreadsheets.</w:t>
      </w:r>
    </w:p>
    <w:p>
      <w:r>
        <w:t xml:space="preserve">3. </w:t>
      </w:r>
      <w:r>
        <w:rPr>
          <w:b/>
        </w:rPr>
        <w:t>Zero noise and compliance awareness</w:t>
      </w:r>
      <w:r>
        <w:t>: Existing battery software has no connection to Malaysian Department of Environment (DOE) noise rules or residential boundary sensors.</w:t>
      </w:r>
    </w:p>
    <w:p>
      <w:r>
        <w:t xml:space="preserve">4. </w:t>
      </w:r>
      <w:r>
        <w:rPr>
          <w:b/>
        </w:rPr>
        <w:t>The single-project trap</w:t>
      </w:r>
      <w:r>
        <w:t>: Contractors hesitate to spend RM 350,000 buying a battery container because they only think about one 2-year project. After that, they worry the battery will sit idle in a yard.</w:t>
      </w:r>
    </w:p>
    <w:p>
      <w:pPr>
        <w:spacing w:before="280" w:after="80"/>
      </w:pPr>
      <w:r>
        <w:rPr>
          <w:b/>
          <w:color w:val="D71920"/>
          <w:sz w:val="30"/>
        </w:rPr>
        <w:t>3. The GreenPulse Solution</w:t>
      </w:r>
    </w:p>
    <w:p>
      <w:r/>
      <w:r>
        <w:rPr>
          <w:b/>
        </w:rPr>
        <w:t>GreenPulse is a web-based site power and community sound management platform.</w:t>
      </w:r>
      <w:r>
        <w:t xml:space="preserve"> It connects containerised battery storage, temporary solar panels, and site machinery into an intelligent, coordinated system.</w:t>
      </w:r>
    </w:p>
    <w:p>
      <w:r>
        <w:t xml:space="preserve">Instead of running a noisy diesel generator 24 hours a day, GreenPulse allows the site to run on </w:t>
      </w:r>
      <w:r>
        <w:rPr>
          <w:b/>
        </w:rPr>
        <w:t>100% clean solar and battery power</w:t>
      </w:r>
      <w:r>
        <w:t>, with the generator locked out as an emergency cold backup that never needs to start.</w:t>
      </w:r>
    </w:p>
    <w:p>
      <w:pPr>
        <w:spacing w:before="200" w:after="60"/>
      </w:pPr>
      <w:r>
        <w:rPr>
          <w:b/>
          <w:color w:val="0F172A"/>
          <w:sz w:val="25"/>
        </w:rPr>
        <w:t>The Four Smart Features of GreenPulse:</w:t>
      </w:r>
    </w:p>
    <w:p>
      <w:r>
        <w:t xml:space="preserve">1. </w:t>
      </w:r>
      <w:r>
        <w:rPr>
          <w:b/>
        </w:rPr>
        <w:t>Surge Buffer for Heavy Cranes</w:t>
      </w:r>
      <w:r>
        <w:t>:</w:t>
      </w:r>
    </w:p>
    <w:p>
      <w:r>
        <w:t xml:space="preserve">   The battery's smart inverter absorbs the 94 kW startup kick from tower cranes in less than 4 milliseconds. The main breaker never trips, the crane lifts smoothly, and zero diesel is burned.</w:t>
      </w:r>
    </w:p>
    <w:p>
      <w:r>
        <w:t xml:space="preserve">2. </w:t>
      </w:r>
      <w:r>
        <w:rPr>
          <w:b/>
        </w:rPr>
        <w:t>Weather Rain Prediction</w:t>
      </w:r>
      <w:r>
        <w:t>:</w:t>
      </w:r>
    </w:p>
    <w:p>
      <w:r>
        <w:t xml:space="preserve">   In Malaysia, heavy afternoon thunderstorms can suddenly drop solar output from 150 kW down to 20 kW. GreenPulse checks Malaysian weather radar data. When rain is coming at 2:00 PM, it automatically pre-charges the battery to 88% using morning sunshine, ensuring critical afternoon concrete pours never lose power.</w:t>
      </w:r>
    </w:p>
    <w:p>
      <w:r>
        <w:t xml:space="preserve">3. </w:t>
      </w:r>
      <w:r>
        <w:rPr>
          <w:b/>
        </w:rPr>
        <w:t>Live Boundary Noise Monitoring</w:t>
      </w:r>
      <w:r>
        <w:t>:</w:t>
      </w:r>
    </w:p>
    <w:p>
      <w:r>
        <w:t xml:space="preserve">   GreenPulse connects to Class 1 sound meters on the site boundary. If external highway traffic (like a heavy dump truck on the public road) spikes to 71 dBA, GreenPulse filters out the passing traffic noise and proves that the actual construction site is operating at a quiet 54.1 dBA, safely below the 60 dBA government limit.</w:t>
      </w:r>
    </w:p>
    <w:p>
      <w:r>
        <w:t xml:space="preserve">4. </w:t>
      </w:r>
      <w:r>
        <w:rPr>
          <w:b/>
        </w:rPr>
        <w:t>Phase 1 Resident Care Portal</w:t>
      </w:r>
      <w:r>
        <w:t>:</w:t>
      </w:r>
    </w:p>
    <w:p>
      <w:r>
        <w:t xml:space="preserve">   Nearby residents get a simple, mobile-friendly web page where they can see live perimeter decibel levels and report disturbances 100% anonymously. Reports go straight to the on-site Environmental Officer, who investigates and resolves the issue within 30 minutes.</w:t>
      </w:r>
    </w:p>
    <w:p>
      <w:pPr>
        <w:spacing w:before="280" w:after="80"/>
      </w:pPr>
      <w:r>
        <w:rPr>
          <w:b/>
          <w:color w:val="D71920"/>
          <w:sz w:val="30"/>
        </w:rPr>
        <w:t>4. How the Platform Works: 4 Dedicated User Portals</w:t>
      </w:r>
    </w:p>
    <w:p>
      <w:r>
        <w:t>To prevent confusion and keep the interface simple, GreenPulse provides four clean, purpose-built screens organized with sidebars instead of endless scrolling rows:</w:t>
      </w:r>
    </w:p>
    <w:p>
      <w:pPr>
        <w:spacing w:before="200" w:after="60"/>
      </w:pPr>
      <w:r>
        <w:rPr>
          <w:b/>
          <w:color w:val="0F172A"/>
          <w:sz w:val="25"/>
        </w:rPr>
        <w:t>Portal 1: Site M&amp;E Power Manager (`/me`)</w:t>
      </w:r>
    </w:p>
    <w:p>
      <w:pPr>
        <w:pStyle w:val="ListBullet"/>
        <w:spacing w:after="60"/>
      </w:pPr>
      <w:r/>
      <w:r>
        <w:rPr>
          <w:b/>
        </w:rPr>
        <w:t>Who uses it</w:t>
      </w:r>
      <w:r>
        <w:t>: The on-site Mechanical &amp; Electrical engineer or site power manager.</w:t>
      </w:r>
    </w:p>
    <w:p>
      <w:pPr>
        <w:pStyle w:val="ListBullet"/>
        <w:spacing w:after="60"/>
      </w:pPr>
      <w:r/>
      <w:r>
        <w:rPr>
          <w:b/>
        </w:rPr>
        <w:t>What they see and do</w:t>
      </w:r>
      <w:r>
        <w:t>:</w:t>
      </w:r>
    </w:p>
    <w:p>
      <w:r>
        <w:t xml:space="preserve">  * </w:t>
      </w:r>
      <w:r>
        <w:rPr>
          <w:b/>
        </w:rPr>
        <w:t>Power Flow Tab</w:t>
      </w:r>
      <w:r>
        <w:t>: Displays live solar power coming in (+84 kW), machinery power going out (-100 kW), battery charge level (88%), and confirms the diesel generator is 100% locked out.</w:t>
      </w:r>
    </w:p>
    <w:p>
      <w:r>
        <w:t xml:space="preserve">  * </w:t>
      </w:r>
      <w:r>
        <w:rPr>
          <w:b/>
        </w:rPr>
        <w:t>Crane &amp; Machinery Tab</w:t>
      </w:r>
      <w:r>
        <w:t>: Shows power usage across Tower Crane 1 (45 kW), the passenger hoist (28 kW), and site offices. Features an active button to register new subcontractor machinery with custom power shedding priorities.</w:t>
      </w:r>
    </w:p>
    <w:p>
      <w:r>
        <w:t xml:space="preserve">  * </w:t>
      </w:r>
      <w:r>
        <w:rPr>
          <w:b/>
        </w:rPr>
        <w:t>Weather Forecast Tab</w:t>
      </w:r>
      <w:r>
        <w:t>: Visual timeline showing expected sunshine and afternoon rain drops, with an automatic battery reserve recommendation.</w:t>
      </w:r>
    </w:p>
    <w:p>
      <w:r>
        <w:t xml:space="preserve">  * </w:t>
      </w:r>
      <w:r>
        <w:rPr>
          <w:b/>
        </w:rPr>
        <w:t>Worker Living Quarters (Act 446) Tab</w:t>
      </w:r>
      <w:r>
        <w:t>: Monitors off-grid worker housing, ensuring 24/7 night ventilation fans and lighting stay powered safely, eliminating fire hazards and diesel fumes.</w:t>
      </w:r>
    </w:p>
    <w:p>
      <w:pPr>
        <w:spacing w:before="200" w:after="60"/>
      </w:pPr>
      <w:r>
        <w:rPr>
          <w:b/>
          <w:color w:val="0F172A"/>
          <w:sz w:val="25"/>
        </w:rPr>
        <w:t>Portal 2: Site Environmental Officer (`/eo`)</w:t>
      </w:r>
    </w:p>
    <w:p>
      <w:pPr>
        <w:pStyle w:val="ListBullet"/>
        <w:spacing w:after="60"/>
      </w:pPr>
      <w:r/>
      <w:r>
        <w:rPr>
          <w:b/>
        </w:rPr>
        <w:t>Who uses it</w:t>
      </w:r>
      <w:r>
        <w:t>: The licensed site Environmental Officer (EO) and Safety &amp; Health Officer.</w:t>
      </w:r>
    </w:p>
    <w:p>
      <w:pPr>
        <w:pStyle w:val="ListBullet"/>
        <w:spacing w:after="60"/>
      </w:pPr>
      <w:r/>
      <w:r>
        <w:rPr>
          <w:b/>
        </w:rPr>
        <w:t>What they see and do</w:t>
      </w:r>
      <w:r>
        <w:t>:</w:t>
      </w:r>
    </w:p>
    <w:p>
      <w:r>
        <w:t xml:space="preserve">  * </w:t>
      </w:r>
      <w:r>
        <w:rPr>
          <w:b/>
        </w:rPr>
        <w:t>Boundary Sound Tab</w:t>
      </w:r>
      <w:r>
        <w:t>: Live sound meter showing perimeter decibels (54.1 dBA vs 60 dBA daytime limit) and acoustic comparison showing the site is 28 dBA quieter than a diesel generator.</w:t>
      </w:r>
    </w:p>
    <w:p>
      <w:r>
        <w:t xml:space="preserve">  * </w:t>
      </w:r>
      <w:r>
        <w:rPr>
          <w:b/>
        </w:rPr>
        <w:t>Acoustic Filter Tab</w:t>
      </w:r>
      <w:r>
        <w:t>: Real-time sound analysis distinguishing true site noise from passing road trucks, preventing false government violation notices.</w:t>
      </w:r>
    </w:p>
    <w:p>
      <w:r>
        <w:t xml:space="preserve">  * </w:t>
      </w:r>
      <w:r>
        <w:rPr>
          <w:b/>
        </w:rPr>
        <w:t>Water &amp; Concrete Wash Tab</w:t>
      </w:r>
      <w:r>
        <w:t>: Monitors silt trap runoff (18 NTU vs 50 NTU limit) and concrete chute wash water pH (neutral 7.4).</w:t>
      </w:r>
    </w:p>
    <w:p>
      <w:r>
        <w:t xml:space="preserve">  * </w:t>
      </w:r>
      <w:r>
        <w:rPr>
          <w:b/>
        </w:rPr>
        <w:t>Circular Timber Formwork Tab</w:t>
      </w:r>
      <w:r>
        <w:t>: Tracks timber formwork across 4 lifecycles (structural framing, carpark protection, worker bedframes, and woodchip recycling), calculating avoided dumpster disposal costs.</w:t>
      </w:r>
    </w:p>
    <w:p>
      <w:r>
        <w:t xml:space="preserve">  * </w:t>
      </w:r>
      <w:r>
        <w:rPr>
          <w:b/>
        </w:rPr>
        <w:t>1-Click DOE Report Button</w:t>
      </w:r>
      <w:r>
        <w:t>: Compiles an official, printable Monthly Environmental Management Plan (EMP) compliance summary for Jabatan Alam Sekitar inspectors in one click.</w:t>
      </w:r>
    </w:p>
    <w:p>
      <w:pPr>
        <w:spacing w:before="200" w:after="60"/>
      </w:pPr>
      <w:r>
        <w:rPr>
          <w:b/>
          <w:color w:val="0F172A"/>
          <w:sz w:val="25"/>
        </w:rPr>
        <w:t>Portal 3: HQ Finance &amp; Township Director (`/hq`)</w:t>
      </w:r>
    </w:p>
    <w:p>
      <w:pPr>
        <w:pStyle w:val="ListBullet"/>
        <w:spacing w:after="60"/>
      </w:pPr>
      <w:r/>
      <w:r>
        <w:rPr>
          <w:b/>
        </w:rPr>
        <w:t>Who uses it</w:t>
      </w:r>
      <w:r>
        <w:t>: Chief Financial Officers, Township Project Directors, and Sustainability Leads at Sime Darby Property HQ.</w:t>
      </w:r>
    </w:p>
    <w:p>
      <w:pPr>
        <w:pStyle w:val="ListBullet"/>
        <w:spacing w:after="60"/>
      </w:pPr>
      <w:r/>
      <w:r>
        <w:rPr>
          <w:b/>
        </w:rPr>
        <w:t>What they see and do</w:t>
      </w:r>
      <w:r>
        <w:t>:</w:t>
      </w:r>
    </w:p>
    <w:p>
      <w:r>
        <w:t xml:space="preserve">  * </w:t>
      </w:r>
      <w:r>
        <w:rPr>
          <w:b/>
        </w:rPr>
        <w:t>Financial P&amp;L Tab</w:t>
      </w:r>
      <w:r>
        <w:t xml:space="preserve">: Tracks live market diesel prices (RM 5.17/L) and displays net monthly savings: </w:t>
      </w:r>
      <w:r>
        <w:rPr>
          <w:b/>
        </w:rPr>
        <w:t>RM 125,128 per month per site</w:t>
      </w:r>
      <w:r>
        <w:t xml:space="preserve"> (RM 95,128 fuel + RM 30,000 cancelled generator rental).</w:t>
      </w:r>
    </w:p>
    <w:p>
      <w:r>
        <w:t xml:space="preserve">  * </w:t>
      </w:r>
      <w:r>
        <w:rPr>
          <w:b/>
        </w:rPr>
        <w:t>Pre-Tender Sizing Calculator</w:t>
      </w:r>
      <w:r>
        <w:t>: Project managers enter the number of cranes, hoists, and building floors to calculate the exact battery and solar size needed, with a 1-click button to copy the green specification clause into contractor tenders.</w:t>
      </w:r>
    </w:p>
    <w:p>
      <w:r>
        <w:t xml:space="preserve">  * </w:t>
      </w:r>
      <w:r>
        <w:rPr>
          <w:b/>
        </w:rPr>
        <w:t>Bursa Malaysia ESG Reporting Tab</w:t>
      </w:r>
      <w:r>
        <w:t>: Displays verified Scope 1 carbon intensity (4.12 kg CO2e per square metre of floor area, a 77.6% reduction) ready for the company's Annual Integrated Report.</w:t>
      </w:r>
    </w:p>
    <w:p>
      <w:r>
        <w:t xml:space="preserve">  * </w:t>
      </w:r>
      <w:r>
        <w:rPr>
          <w:b/>
        </w:rPr>
        <w:t>10-Year Township Fleet Roadmap</w:t>
      </w:r>
      <w:r>
        <w:t xml:space="preserve">: Models rolling BESS containers across sequential parcels (Putra Heights for 2 years, Elmina West for 3 years, Bandar Bukit Raja for 5 years), turning a temporary expense into a </w:t>
      </w:r>
      <w:r>
        <w:rPr>
          <w:b/>
        </w:rPr>
        <w:t>RM 9.84 Million 10-year township asset</w:t>
      </w:r>
      <w:r>
        <w:t>.</w:t>
      </w:r>
    </w:p>
    <w:p>
      <w:pPr>
        <w:spacing w:before="200" w:after="60"/>
      </w:pPr>
      <w:r>
        <w:rPr>
          <w:b/>
          <w:color w:val="0F172A"/>
          <w:sz w:val="25"/>
        </w:rPr>
        <w:t>Portal 4: Phase 1 Resident Community Sound Care</w:t>
      </w:r>
    </w:p>
    <w:p>
      <w:pPr>
        <w:pStyle w:val="ListBullet"/>
        <w:spacing w:after="60"/>
      </w:pPr>
      <w:r/>
      <w:r>
        <w:rPr>
          <w:b/>
        </w:rPr>
        <w:t>Who uses it</w:t>
      </w:r>
      <w:r>
        <w:t>: Homeowners living in Phase 1 adjacent to active Phase 2 construction (e.g. Damayan Residensi, Putra Heights).</w:t>
      </w:r>
    </w:p>
    <w:p>
      <w:pPr>
        <w:pStyle w:val="ListBullet"/>
        <w:spacing w:after="60"/>
      </w:pPr>
      <w:r/>
      <w:r>
        <w:rPr>
          <w:b/>
        </w:rPr>
        <w:t>What they see and do</w:t>
      </w:r>
      <w:r>
        <w:t>:</w:t>
      </w:r>
    </w:p>
    <w:p>
      <w:r>
        <w:t xml:space="preserve">  * </w:t>
      </w:r>
      <w:r>
        <w:rPr>
          <w:b/>
        </w:rPr>
        <w:t>Perimeter Sound Transparency</w:t>
      </w:r>
      <w:r>
        <w:t>: Homeowners see the live decibel reading (54.1 dBA) on the boundary facing their building, confirming the site is operating 5.9 dBA below government limits.</w:t>
      </w:r>
    </w:p>
    <w:p>
      <w:r>
        <w:t xml:space="preserve">  * </w:t>
      </w:r>
      <w:r>
        <w:rPr>
          <w:b/>
        </w:rPr>
        <w:t>Clean Energy Proof</w:t>
      </w:r>
      <w:r>
        <w:t>: Confirms that Phase 2 is powered 100% by clean solar and battery storage with zero diesel smoke or engine drone.</w:t>
      </w:r>
    </w:p>
    <w:p>
      <w:r>
        <w:t xml:space="preserve">  * </w:t>
      </w:r>
      <w:r>
        <w:rPr>
          <w:b/>
        </w:rPr>
        <w:t>Approved Working Hours Schedule</w:t>
      </w:r>
      <w:r>
        <w:t>: Shows legal construction hours (Mon to Sat 8:00 AM to 6:00 PM) and highlights the strict night silent window (10:00 PM to 8:00 AM) and Sunday shutdown.</w:t>
      </w:r>
    </w:p>
    <w:p>
      <w:r>
        <w:t xml:space="preserve">  * </w:t>
      </w:r>
      <w:r>
        <w:rPr>
          <w:b/>
        </w:rPr>
        <w:t>100% Anonymous Disturbance Reporting</w:t>
      </w:r>
      <w:r>
        <w:t>: Residents can report unusual noise, mud on the road, or bright floodlights without giving their name or phone number. They simply choose their block and describe what they observe.</w:t>
      </w:r>
    </w:p>
    <w:p>
      <w:r>
        <w:t xml:space="preserve">  * </w:t>
      </w:r>
      <w:r>
        <w:rPr>
          <w:b/>
        </w:rPr>
        <w:t>Live Resolution Log</w:t>
      </w:r>
      <w:r>
        <w:t>: Shows previous resident inquiries and the exact corrective action taken by the Environmental Officer (e.g. *"Inspected boundary at 20:45. Subcontractor water pump shut down. Sound restored to 51 dBA"*).</w:t>
      </w:r>
    </w:p>
    <w:p>
      <w:pPr>
        <w:spacing w:before="280" w:after="80"/>
      </w:pPr>
      <w:r>
        <w:rPr>
          <w:b/>
          <w:color w:val="D71920"/>
          <w:sz w:val="30"/>
        </w:rPr>
        <w:t>5. The Financial Numbers: How Much Does It Save?</w:t>
      </w:r>
    </w:p>
    <w:p>
      <w:r>
        <w:t>Here is the realistic financial comparison for a typical 24-month high-rise construction parcel in a Sime Darby township:</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F172A"/>
          </w:tcPr>
          <w:p>
            <w:pPr>
              <w:spacing w:after="40" w:before="40"/>
            </w:pPr>
            <w:r>
              <w:rPr>
                <w:b/>
                <w:color w:val="FFFFFF"/>
                <w:sz w:val="19"/>
              </w:rPr>
              <w:t>Monthly Expense Item</w:t>
            </w:r>
          </w:p>
        </w:tc>
        <w:tc>
          <w:tcPr>
            <w:tcW w:type="dxa" w:w="2340"/>
            <w:shd w:fill="0F172A"/>
          </w:tcPr>
          <w:p>
            <w:pPr>
              <w:spacing w:after="40" w:before="40"/>
            </w:pPr>
            <w:r>
              <w:rPr>
                <w:b/>
                <w:color w:val="FFFFFF"/>
                <w:sz w:val="19"/>
              </w:rPr>
              <w:t>Conventional Rented Diesel Generator</w:t>
            </w:r>
          </w:p>
        </w:tc>
        <w:tc>
          <w:tcPr>
            <w:tcW w:type="dxa" w:w="2340"/>
            <w:shd w:fill="0F172A"/>
          </w:tcPr>
          <w:p>
            <w:pPr>
              <w:spacing w:after="40" w:before="40"/>
            </w:pPr>
            <w:r>
              <w:rPr>
                <w:b/>
                <w:color w:val="FFFFFF"/>
                <w:sz w:val="19"/>
              </w:rPr>
              <w:t>GreenPulse (Solar + Battery Platform)</w:t>
            </w:r>
          </w:p>
        </w:tc>
        <w:tc>
          <w:tcPr>
            <w:tcW w:type="dxa" w:w="2340"/>
            <w:shd w:fill="0F172A"/>
          </w:tcPr>
          <w:p>
            <w:pPr>
              <w:spacing w:after="40" w:before="40"/>
            </w:pPr>
            <w:r>
              <w:rPr>
                <w:b/>
                <w:color w:val="FFFFFF"/>
                <w:sz w:val="19"/>
              </w:rPr>
              <w:t>Net Monthly Cash Savings</w:t>
            </w:r>
          </w:p>
        </w:tc>
      </w:tr>
      <w:tr>
        <w:tc>
          <w:tcPr>
            <w:tcW w:type="dxa" w:w="2340"/>
            <w:shd w:fill="F8FAFC"/>
          </w:tcPr>
          <w:p>
            <w:pPr>
              <w:spacing w:after="40" w:before="40"/>
            </w:pPr>
            <w:r>
              <w:rPr>
                <w:sz w:val="19"/>
              </w:rPr>
              <w:t>Primary 300 kVA Generator Rental</w:t>
            </w:r>
          </w:p>
        </w:tc>
        <w:tc>
          <w:tcPr>
            <w:tcW w:type="dxa" w:w="2340"/>
            <w:shd w:fill="F8FAFC"/>
          </w:tcPr>
          <w:p>
            <w:pPr>
              <w:spacing w:after="40" w:before="40"/>
            </w:pPr>
            <w:r>
              <w:rPr>
                <w:sz w:val="19"/>
              </w:rPr>
              <w:t>RM 18,000 / month</w:t>
            </w:r>
          </w:p>
        </w:tc>
        <w:tc>
          <w:tcPr>
            <w:tcW w:type="dxa" w:w="2340"/>
            <w:shd w:fill="F8FAFC"/>
          </w:tcPr>
          <w:p>
            <w:pPr>
              <w:spacing w:after="40" w:before="40"/>
            </w:pPr>
            <w:r>
              <w:rPr>
                <w:sz w:val="19"/>
              </w:rPr>
              <w:t>RM 0 / month (Cancelled)</w:t>
            </w:r>
          </w:p>
        </w:tc>
        <w:tc>
          <w:tcPr>
            <w:tcW w:type="dxa" w:w="2340"/>
            <w:shd w:fill="F8FAFC"/>
          </w:tcPr>
          <w:p>
            <w:pPr>
              <w:spacing w:after="40" w:before="40"/>
            </w:pPr>
            <w:r>
              <w:rPr>
                <w:sz w:val="19"/>
              </w:rPr>
              <w:t>**+RM 18,000 Saved**</w:t>
            </w:r>
          </w:p>
        </w:tc>
      </w:tr>
      <w:tr>
        <w:tc>
          <w:tcPr>
            <w:tcW w:type="dxa" w:w="2340"/>
          </w:tcPr>
          <w:p>
            <w:pPr>
              <w:spacing w:after="40" w:before="40"/>
            </w:pPr>
            <w:r>
              <w:rPr>
                <w:sz w:val="19"/>
              </w:rPr>
              <w:t>Backup Generator (Cold Standby)</w:t>
            </w:r>
          </w:p>
        </w:tc>
        <w:tc>
          <w:tcPr>
            <w:tcW w:type="dxa" w:w="2340"/>
          </w:tcPr>
          <w:p>
            <w:pPr>
              <w:spacing w:after="40" w:before="40"/>
            </w:pPr>
            <w:r>
              <w:rPr>
                <w:sz w:val="19"/>
              </w:rPr>
              <w:t>RM 0</w:t>
            </w:r>
          </w:p>
        </w:tc>
        <w:tc>
          <w:tcPr>
            <w:tcW w:type="dxa" w:w="2340"/>
          </w:tcPr>
          <w:p>
            <w:pPr>
              <w:spacing w:after="40" w:before="40"/>
            </w:pPr>
            <w:r>
              <w:rPr>
                <w:sz w:val="19"/>
              </w:rPr>
              <w:t>RM 3,000 / month (Emergency standby)</w:t>
            </w:r>
          </w:p>
        </w:tc>
        <w:tc>
          <w:tcPr>
            <w:tcW w:type="dxa" w:w="2340"/>
          </w:tcPr>
          <w:p>
            <w:pPr>
              <w:spacing w:after="40" w:before="40"/>
            </w:pPr>
            <w:r>
              <w:rPr>
                <w:sz w:val="19"/>
              </w:rPr>
              <w:t>−RM 3,000</w:t>
            </w:r>
          </w:p>
        </w:tc>
      </w:tr>
      <w:tr>
        <w:tc>
          <w:tcPr>
            <w:tcW w:type="dxa" w:w="2340"/>
            <w:shd w:fill="F8FAFC"/>
          </w:tcPr>
          <w:p>
            <w:pPr>
              <w:spacing w:after="40" w:before="40"/>
            </w:pPr>
            <w:r>
              <w:rPr>
                <w:sz w:val="19"/>
              </w:rPr>
              <w:t>Monthly Diesel Fuel Burn</w:t>
            </w:r>
          </w:p>
        </w:tc>
        <w:tc>
          <w:tcPr>
            <w:tcW w:type="dxa" w:w="2340"/>
            <w:shd w:fill="F8FAFC"/>
          </w:tcPr>
          <w:p>
            <w:pPr>
              <w:spacing w:after="40" w:before="40"/>
            </w:pPr>
            <w:r>
              <w:rPr>
                <w:sz w:val="19"/>
              </w:rPr>
              <w:t>12,000 Litres / month</w:t>
            </w:r>
          </w:p>
        </w:tc>
        <w:tc>
          <w:tcPr>
            <w:tcW w:type="dxa" w:w="2340"/>
            <w:shd w:fill="F8FAFC"/>
          </w:tcPr>
          <w:p>
            <w:pPr>
              <w:spacing w:after="40" w:before="40"/>
            </w:pPr>
            <w:r>
              <w:rPr>
                <w:sz w:val="19"/>
              </w:rPr>
              <w:t>250 Litres / month (Standby only)</w:t>
            </w:r>
          </w:p>
        </w:tc>
        <w:tc>
          <w:tcPr>
            <w:tcW w:type="dxa" w:w="2340"/>
            <w:shd w:fill="F8FAFC"/>
          </w:tcPr>
          <w:p>
            <w:pPr>
              <w:spacing w:after="40" w:before="40"/>
            </w:pPr>
            <w:r>
              <w:rPr>
                <w:sz w:val="19"/>
              </w:rPr>
              <w:t>**11,750 Litres avoided**</w:t>
            </w:r>
          </w:p>
        </w:tc>
      </w:tr>
      <w:tr>
        <w:tc>
          <w:tcPr>
            <w:tcW w:type="dxa" w:w="2340"/>
          </w:tcPr>
          <w:p>
            <w:pPr>
              <w:spacing w:after="40" w:before="40"/>
            </w:pPr>
            <w:r>
              <w:rPr>
                <w:sz w:val="19"/>
              </w:rPr>
              <w:t>Monthly Diesel Bill (@ RM 5.17 / L)</w:t>
            </w:r>
          </w:p>
        </w:tc>
        <w:tc>
          <w:tcPr>
            <w:tcW w:type="dxa" w:w="2340"/>
          </w:tcPr>
          <w:p>
            <w:pPr>
              <w:spacing w:after="40" w:before="40"/>
            </w:pPr>
            <w:r>
              <w:rPr>
                <w:sz w:val="19"/>
              </w:rPr>
              <w:t>RM 62,040 / month</w:t>
            </w:r>
          </w:p>
        </w:tc>
        <w:tc>
          <w:tcPr>
            <w:tcW w:type="dxa" w:w="2340"/>
          </w:tcPr>
          <w:p>
            <w:pPr>
              <w:spacing w:after="40" w:before="40"/>
            </w:pPr>
            <w:r>
              <w:rPr>
                <w:sz w:val="19"/>
              </w:rPr>
              <w:t>RM 1,292 / month</w:t>
            </w:r>
          </w:p>
        </w:tc>
        <w:tc>
          <w:tcPr>
            <w:tcW w:type="dxa" w:w="2340"/>
          </w:tcPr>
          <w:p>
            <w:pPr>
              <w:spacing w:after="40" w:before="40"/>
            </w:pPr>
            <w:r>
              <w:rPr>
                <w:sz w:val="19"/>
              </w:rPr>
              <w:t>**+RM 60,748 Saved**</w:t>
            </w:r>
          </w:p>
        </w:tc>
      </w:tr>
      <w:tr>
        <w:tc>
          <w:tcPr>
            <w:tcW w:type="dxa" w:w="2340"/>
            <w:shd w:fill="F8FAFC"/>
          </w:tcPr>
          <w:p>
            <w:pPr>
              <w:spacing w:after="40" w:before="40"/>
            </w:pPr>
            <w:r>
              <w:rPr>
                <w:sz w:val="19"/>
              </w:rPr>
              <w:t>Oil Bunds &amp; Spill Cleanup</w:t>
            </w:r>
          </w:p>
        </w:tc>
        <w:tc>
          <w:tcPr>
            <w:tcW w:type="dxa" w:w="2340"/>
            <w:shd w:fill="F8FAFC"/>
          </w:tcPr>
          <w:p>
            <w:pPr>
              <w:spacing w:after="40" w:before="40"/>
            </w:pPr>
            <w:r>
              <w:rPr>
                <w:sz w:val="19"/>
              </w:rPr>
              <w:t>RM 2,500 / month</w:t>
            </w:r>
          </w:p>
        </w:tc>
        <w:tc>
          <w:tcPr>
            <w:tcW w:type="dxa" w:w="2340"/>
            <w:shd w:fill="F8FAFC"/>
          </w:tcPr>
          <w:p>
            <w:pPr>
              <w:spacing w:after="40" w:before="40"/>
            </w:pPr>
            <w:r>
              <w:rPr>
                <w:sz w:val="19"/>
              </w:rPr>
              <w:t>RM 0 (No bulk fuel tank needed)</w:t>
            </w:r>
          </w:p>
        </w:tc>
        <w:tc>
          <w:tcPr>
            <w:tcW w:type="dxa" w:w="2340"/>
            <w:shd w:fill="F8FAFC"/>
          </w:tcPr>
          <w:p>
            <w:pPr>
              <w:spacing w:after="40" w:before="40"/>
            </w:pPr>
            <w:r>
              <w:rPr>
                <w:sz w:val="19"/>
              </w:rPr>
              <w:t>**+RM 2,500 Saved**</w:t>
            </w:r>
          </w:p>
        </w:tc>
      </w:tr>
      <w:tr>
        <w:tc>
          <w:tcPr>
            <w:tcW w:type="dxa" w:w="2340"/>
          </w:tcPr>
          <w:p>
            <w:pPr>
              <w:spacing w:after="40" w:before="40"/>
            </w:pPr>
            <w:r>
              <w:rPr>
                <w:sz w:val="19"/>
              </w:rPr>
              <w:t>Solar PV &amp; Battery Maintenance</w:t>
            </w:r>
          </w:p>
        </w:tc>
        <w:tc>
          <w:tcPr>
            <w:tcW w:type="dxa" w:w="2340"/>
          </w:tcPr>
          <w:p>
            <w:pPr>
              <w:spacing w:after="40" w:before="40"/>
            </w:pPr>
            <w:r>
              <w:rPr>
                <w:sz w:val="19"/>
              </w:rPr>
              <w:t>RM 0</w:t>
            </w:r>
          </w:p>
        </w:tc>
        <w:tc>
          <w:tcPr>
            <w:tcW w:type="dxa" w:w="2340"/>
          </w:tcPr>
          <w:p>
            <w:pPr>
              <w:spacing w:after="40" w:before="40"/>
            </w:pPr>
            <w:r>
              <w:rPr>
                <w:sz w:val="19"/>
              </w:rPr>
              <w:t>RM 3,800 / month</w:t>
            </w:r>
          </w:p>
        </w:tc>
        <w:tc>
          <w:tcPr>
            <w:tcW w:type="dxa" w:w="2340"/>
          </w:tcPr>
          <w:p>
            <w:pPr>
              <w:spacing w:after="40" w:before="40"/>
            </w:pPr>
            <w:r>
              <w:rPr>
                <w:sz w:val="19"/>
              </w:rPr>
              <w:t>−RM 3,800</w:t>
            </w:r>
          </w:p>
        </w:tc>
      </w:tr>
      <w:tr>
        <w:tc>
          <w:tcPr>
            <w:tcW w:type="dxa" w:w="2340"/>
            <w:shd w:fill="F8FAFC"/>
          </w:tcPr>
          <w:p>
            <w:pPr>
              <w:spacing w:after="40" w:before="40"/>
            </w:pPr>
            <w:r>
              <w:rPr>
                <w:sz w:val="19"/>
              </w:rPr>
              <w:t>**Total Net Monthly Temporary Power Bill**</w:t>
            </w:r>
          </w:p>
        </w:tc>
        <w:tc>
          <w:tcPr>
            <w:tcW w:type="dxa" w:w="2340"/>
            <w:shd w:fill="F8FAFC"/>
          </w:tcPr>
          <w:p>
            <w:pPr>
              <w:spacing w:after="40" w:before="40"/>
            </w:pPr>
            <w:r>
              <w:rPr>
                <w:sz w:val="19"/>
              </w:rPr>
              <w:t>**RM 82,540 / month**</w:t>
            </w:r>
          </w:p>
        </w:tc>
        <w:tc>
          <w:tcPr>
            <w:tcW w:type="dxa" w:w="2340"/>
            <w:shd w:fill="F8FAFC"/>
          </w:tcPr>
          <w:p>
            <w:pPr>
              <w:spacing w:after="40" w:before="40"/>
            </w:pPr>
            <w:r>
              <w:rPr>
                <w:sz w:val="19"/>
              </w:rPr>
              <w:t>**RM 8,092 / month**</w:t>
            </w:r>
          </w:p>
        </w:tc>
        <w:tc>
          <w:tcPr>
            <w:tcW w:type="dxa" w:w="2340"/>
            <w:shd w:fill="F8FAFC"/>
          </w:tcPr>
          <w:p>
            <w:pPr>
              <w:spacing w:after="40" w:before="40"/>
            </w:pPr>
            <w:r>
              <w:rPr>
                <w:sz w:val="19"/>
              </w:rPr>
              <w:t>**RM 74,448 / month Saved**</w:t>
            </w:r>
          </w:p>
        </w:tc>
      </w:tr>
    </w:tbl>
    <w:p/>
    <w:p>
      <w:r>
        <w:t xml:space="preserve">*(Note: For larger, double-crane construction sites such as Melati with 522 kWh battery storage, total avoided fuel and equipment rental savings exceed </w:t>
      </w:r>
      <w:r>
        <w:rPr>
          <w:b/>
        </w:rPr>
        <w:t>RM 125,128 every single month</w:t>
      </w:r>
      <w:r>
        <w:t>).*</w:t>
      </w:r>
    </w:p>
    <w:p>
      <w:pPr>
        <w:spacing w:before="200" w:after="60"/>
      </w:pPr>
      <w:r>
        <w:rPr>
          <w:b/>
          <w:color w:val="0F172A"/>
          <w:sz w:val="25"/>
        </w:rPr>
        <w:t>Capital Payback and 10-Year Value:</w:t>
      </w:r>
    </w:p>
    <w:p>
      <w:pPr>
        <w:pStyle w:val="ListBullet"/>
        <w:spacing w:after="60"/>
      </w:pPr>
      <w:r/>
      <w:r>
        <w:rPr>
          <w:b/>
        </w:rPr>
        <w:t>Cost to Purchase a 261 kWh Container BESS</w:t>
      </w:r>
      <w:r>
        <w:t>: Approximately RM 350,000.</w:t>
      </w:r>
    </w:p>
    <w:p>
      <w:pPr>
        <w:pStyle w:val="ListBullet"/>
        <w:spacing w:after="60"/>
      </w:pPr>
      <w:r/>
      <w:r>
        <w:rPr>
          <w:b/>
        </w:rPr>
        <w:t>Monthly Net Savings</w:t>
      </w:r>
      <w:r>
        <w:t>: RM 24,500 to RM 40,000 per parcel.</w:t>
      </w:r>
    </w:p>
    <w:p>
      <w:pPr>
        <w:pStyle w:val="ListBullet"/>
        <w:spacing w:after="60"/>
      </w:pPr>
      <w:r/>
      <w:r>
        <w:rPr>
          <w:b/>
        </w:rPr>
        <w:t>Full Capital Payback Period</w:t>
      </w:r>
      <w:r>
        <w:t xml:space="preserve">: </w:t>
      </w:r>
      <w:r>
        <w:rPr>
          <w:b/>
        </w:rPr>
        <w:t>14.2 months</w:t>
      </w:r>
      <w:r>
        <w:t xml:space="preserve"> (fully paid off halfway through a single 24-month building project).</w:t>
      </w:r>
    </w:p>
    <w:p>
      <w:pPr>
        <w:pStyle w:val="ListBullet"/>
        <w:spacing w:after="60"/>
      </w:pPr>
      <w:r/>
      <w:r>
        <w:rPr>
          <w:b/>
        </w:rPr>
        <w:t>The Sime Darby Township Advantage</w:t>
      </w:r>
      <w:r>
        <w:t>:</w:t>
      </w:r>
    </w:p>
    <w:p>
      <w:r>
        <w:t xml:space="preserve">  Because Sime Darby Property builds massive masterplanned townships over 10 to 20 years, the company does not abandon the battery after one building is finished. The mobile container rolls to the next phase:</w:t>
      </w:r>
    </w:p>
    <w:p>
      <w:r>
        <w:t xml:space="preserve">  * </w:t>
      </w:r>
      <w:r>
        <w:rPr>
          <w:b/>
        </w:rPr>
        <w:t>Years 1 to 2</w:t>
      </w:r>
      <w:r>
        <w:t>: Putra Heights (Parcel 1).</w:t>
      </w:r>
    </w:p>
    <w:p>
      <w:r>
        <w:t xml:space="preserve">  * </w:t>
      </w:r>
      <w:r>
        <w:rPr>
          <w:b/>
        </w:rPr>
        <w:t>Years 3 to 5</w:t>
      </w:r>
      <w:r>
        <w:t>: City of Elmina (Parcel 2).</w:t>
      </w:r>
    </w:p>
    <w:p>
      <w:r>
        <w:t xml:space="preserve">  * </w:t>
      </w:r>
      <w:r>
        <w:rPr>
          <w:b/>
        </w:rPr>
        <w:t>Years 6 to 10</w:t>
      </w:r>
      <w:r>
        <w:t>: Bandar Bukit Raja (Phase 3).</w:t>
      </w:r>
    </w:p>
    <w:p>
      <w:r>
        <w:t xml:space="preserve">  Across 10 years, a single BESS container generates over </w:t>
      </w:r>
      <w:r>
        <w:rPr>
          <w:b/>
        </w:rPr>
        <w:t>RM 1.8 Million in net cash savings</w:t>
      </w:r>
      <w:r>
        <w:t xml:space="preserve">, and a small fleet of 5 containers delivers </w:t>
      </w:r>
      <w:r>
        <w:rPr>
          <w:b/>
        </w:rPr>
        <w:t>RM 9.84 Million in cumulative township savings</w:t>
      </w:r>
      <w:r>
        <w:t>.</w:t>
      </w:r>
    </w:p>
    <w:p>
      <w:pPr>
        <w:spacing w:before="280" w:after="80"/>
      </w:pPr>
      <w:r>
        <w:rPr>
          <w:b/>
          <w:color w:val="D71920"/>
          <w:sz w:val="30"/>
        </w:rPr>
        <w:t>6. Environmental Impact</w:t>
      </w:r>
    </w:p>
    <w:p>
      <w:pPr>
        <w:pStyle w:val="ListBullet"/>
        <w:spacing w:after="60"/>
      </w:pPr>
      <w:r/>
      <w:r>
        <w:rPr>
          <w:b/>
        </w:rPr>
        <w:t>Diesel Emissions Factor</w:t>
      </w:r>
      <w:r>
        <w:t>: Burning 1 litre of commercial diesel produces 2.68 kg of CO2e (IPCC standard).</w:t>
      </w:r>
    </w:p>
    <w:p>
      <w:pPr>
        <w:pStyle w:val="ListBullet"/>
        <w:spacing w:after="60"/>
      </w:pPr>
      <w:r/>
      <w:r>
        <w:rPr>
          <w:b/>
        </w:rPr>
        <w:t>Monthly Carbon Displaced per Site</w:t>
      </w:r>
      <w:r>
        <w:t xml:space="preserve">: 18,400 Litres x 2.68 kg = </w:t>
      </w:r>
      <w:r>
        <w:rPr>
          <w:b/>
        </w:rPr>
        <w:t>49.3 Tonnes of Scope 1 CO2e abated every month</w:t>
      </w:r>
      <w:r>
        <w:t>.</w:t>
      </w:r>
    </w:p>
    <w:p>
      <w:pPr>
        <w:pStyle w:val="ListBullet"/>
        <w:spacing w:after="60"/>
      </w:pPr>
      <w:r/>
      <w:r>
        <w:rPr>
          <w:b/>
        </w:rPr>
        <w:t>Annual Group Portfolio Abatement</w:t>
      </w:r>
      <w:r>
        <w:t xml:space="preserve">: Over </w:t>
      </w:r>
      <w:r>
        <w:rPr>
          <w:b/>
        </w:rPr>
        <w:t>590 Tonnes of CO2e eliminated per year</w:t>
      </w:r>
      <w:r>
        <w:t xml:space="preserve"> across 3 initial pilot sites.</w:t>
      </w:r>
    </w:p>
    <w:p>
      <w:pPr>
        <w:pStyle w:val="ListBullet"/>
        <w:spacing w:after="60"/>
      </w:pPr>
      <w:r/>
      <w:r>
        <w:rPr>
          <w:b/>
        </w:rPr>
        <w:t>Forestry Equivalent</w:t>
      </w:r>
      <w:r>
        <w:t xml:space="preserve">: Equivalent to the annual carbon absorbed by </w:t>
      </w:r>
      <w:r>
        <w:rPr>
          <w:b/>
        </w:rPr>
        <w:t>4,056 mature tropical rainforest trees</w:t>
      </w:r>
      <w:r>
        <w:t>.</w:t>
      </w:r>
    </w:p>
    <w:p>
      <w:pPr>
        <w:pStyle w:val="ListBullet"/>
        <w:spacing w:after="60"/>
      </w:pPr>
      <w:r/>
      <w:r>
        <w:rPr>
          <w:b/>
        </w:rPr>
        <w:t>Clean Air Compliance</w:t>
      </w:r>
      <w:r>
        <w:t>: 100% elimination of black exhaust smoke and carcinogenic diesel soot (PM2.5 / PM10) from construction boundaries.</w:t>
      </w:r>
    </w:p>
    <w:p>
      <w:pPr>
        <w:spacing w:before="280" w:after="80"/>
      </w:pPr>
      <w:r>
        <w:rPr>
          <w:b/>
          <w:color w:val="D71920"/>
          <w:sz w:val="30"/>
        </w:rPr>
        <w:t>7. How Sime Darby Property Can Roll This Out</w:t>
      </w:r>
    </w:p>
    <w:p>
      <w:r>
        <w:t>We have mapped a practical 12-week roadmap that integrates with existing Sime Darby operations:</w:t>
      </w:r>
    </w:p>
    <w:p>
      <w:pPr>
        <w:spacing w:before="200" w:after="60"/>
      </w:pPr>
      <w:r>
        <w:rPr>
          <w:b/>
          <w:color w:val="0F172A"/>
          <w:sz w:val="25"/>
        </w:rPr>
        <w:t>Phase 1: Weeks 1 to 4 (Connect Existing Pilot Hardware)</w:t>
      </w:r>
    </w:p>
    <w:p>
      <w:pPr>
        <w:pStyle w:val="ListBullet"/>
        <w:spacing w:after="60"/>
      </w:pPr>
      <w:r>
        <w:t xml:space="preserve">Connect GreenPulse software to the existing Solis and IESS 4G industrial gateways already operating at </w:t>
      </w:r>
      <w:r>
        <w:rPr>
          <w:b/>
        </w:rPr>
        <w:t>Inta Bina Putra Heights (261 kWh)</w:t>
      </w:r>
      <w:r>
        <w:t xml:space="preserve"> and </w:t>
      </w:r>
      <w:r>
        <w:rPr>
          <w:b/>
        </w:rPr>
        <w:t>Inta Bina Melati (522 kWh)</w:t>
      </w:r>
      <w:r>
        <w:t>.</w:t>
      </w:r>
    </w:p>
    <w:p>
      <w:pPr>
        <w:pStyle w:val="ListBullet"/>
        <w:spacing w:after="60"/>
      </w:pPr>
      <w:r>
        <w:t>Install Class 1 boundary sound meters calibrated to DOE Schedule 6 limits.</w:t>
      </w:r>
    </w:p>
    <w:p>
      <w:pPr>
        <w:spacing w:before="200" w:after="60"/>
      </w:pPr>
      <w:r>
        <w:rPr>
          <w:b/>
          <w:color w:val="0F172A"/>
          <w:sz w:val="25"/>
        </w:rPr>
        <w:t>Phase 2: Weeks 5 to 8 (Worker Housing &amp; Resident Care Pilot)</w:t>
      </w:r>
    </w:p>
    <w:p>
      <w:pPr>
        <w:pStyle w:val="ListBullet"/>
        <w:spacing w:after="60"/>
      </w:pPr>
      <w:r>
        <w:t xml:space="preserve">Deploy GreenPulse on the proposed </w:t>
      </w:r>
      <w:r>
        <w:rPr>
          <w:b/>
        </w:rPr>
        <w:t>Rimbayu Centralised Labour Quarters (CLQ)</w:t>
      </w:r>
      <w:r>
        <w:t xml:space="preserve"> solar-battery system, eliminating 4,500 litres a month of diesel fuel.</w:t>
      </w:r>
    </w:p>
    <w:p>
      <w:pPr>
        <w:pStyle w:val="ListBullet"/>
        <w:spacing w:after="60"/>
      </w:pPr>
      <w:r>
        <w:t>Launch the Phase 1 Resident Community Sound Care web page for residents at Damayan Residensi.</w:t>
      </w:r>
    </w:p>
    <w:p>
      <w:pPr>
        <w:spacing w:before="200" w:after="60"/>
      </w:pPr>
      <w:r>
        <w:rPr>
          <w:b/>
          <w:color w:val="0F172A"/>
          <w:sz w:val="25"/>
        </w:rPr>
        <w:t>Phase 3: Weeks 9 to 12 (Tender Standardisation &amp; Bursa Reporting)</w:t>
      </w:r>
    </w:p>
    <w:p>
      <w:pPr>
        <w:pStyle w:val="ListBullet"/>
        <w:spacing w:after="60"/>
      </w:pPr>
      <w:r>
        <w:t>Embed GreenPulse pre-tender battery sizing clauses into standard Sime Darby Property main contractor tender documents.</w:t>
      </w:r>
    </w:p>
    <w:p>
      <w:pPr>
        <w:pStyle w:val="ListBullet"/>
        <w:spacing w:after="60"/>
      </w:pPr>
      <w:r>
        <w:t>Automate quarterly Bursa Malaysia CSI carbon intensity disclosures directly from live site data.</w:t>
      </w:r>
    </w:p>
    <w:p>
      <w:pPr>
        <w:spacing w:before="200" w:after="60"/>
      </w:pPr>
      <w:r>
        <w:rPr>
          <w:b/>
          <w:color w:val="0F172A"/>
          <w:sz w:val="25"/>
        </w:rPr>
        <w:t>Scale-Up (2027 to 2030):</w:t>
      </w:r>
    </w:p>
    <w:p>
      <w:pPr>
        <w:pStyle w:val="ListBullet"/>
        <w:spacing w:after="60"/>
      </w:pPr>
      <w:r>
        <w:t>Standardise GreenPulse across all major township developments in City of Elmina, Bandar Bukit Raja, Nilai Impian, and Serenia City.</w:t>
      </w:r>
    </w:p>
    <w:p>
      <w:pPr>
        <w:spacing w:before="280" w:after="80"/>
      </w:pPr>
      <w:r>
        <w:rPr>
          <w:b/>
          <w:color w:val="D71920"/>
          <w:sz w:val="30"/>
        </w:rPr>
        <w:t>8. Why GreenPulse Wins the Hackathon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172A"/>
          </w:tcPr>
          <w:p>
            <w:pPr>
              <w:spacing w:after="40" w:before="40"/>
            </w:pPr>
            <w:r>
              <w:rPr>
                <w:b/>
                <w:color w:val="FFFFFF"/>
                <w:sz w:val="19"/>
              </w:rPr>
              <w:t>Judging Criteria</w:t>
            </w:r>
          </w:p>
        </w:tc>
        <w:tc>
          <w:tcPr>
            <w:tcW w:type="dxa" w:w="3120"/>
            <w:shd w:fill="0F172A"/>
          </w:tcPr>
          <w:p>
            <w:pPr>
              <w:spacing w:after="40" w:before="40"/>
            </w:pPr>
            <w:r>
              <w:rPr>
                <w:b/>
                <w:color w:val="FFFFFF"/>
                <w:sz w:val="19"/>
              </w:rPr>
              <w:t>Weight</w:t>
            </w:r>
          </w:p>
        </w:tc>
        <w:tc>
          <w:tcPr>
            <w:tcW w:type="dxa" w:w="3120"/>
            <w:shd w:fill="0F172A"/>
          </w:tcPr>
          <w:p>
            <w:pPr>
              <w:spacing w:after="40" w:before="40"/>
            </w:pPr>
            <w:r>
              <w:rPr>
                <w:b/>
                <w:color w:val="FFFFFF"/>
                <w:sz w:val="19"/>
              </w:rPr>
              <w:t>How GreenPulse Wins</w:t>
            </w:r>
          </w:p>
        </w:tc>
      </w:tr>
      <w:tr>
        <w:tc>
          <w:tcPr>
            <w:tcW w:type="dxa" w:w="3120"/>
            <w:shd w:fill="F8FAFC"/>
          </w:tcPr>
          <w:p>
            <w:pPr>
              <w:spacing w:after="40" w:before="40"/>
            </w:pPr>
            <w:r>
              <w:rPr>
                <w:sz w:val="19"/>
              </w:rPr>
              <w:t>**Strategic Fit &amp; Theme**</w:t>
            </w:r>
          </w:p>
        </w:tc>
        <w:tc>
          <w:tcPr>
            <w:tcW w:type="dxa" w:w="3120"/>
            <w:shd w:fill="F8FAFC"/>
          </w:tcPr>
          <w:p>
            <w:pPr>
              <w:spacing w:after="40" w:before="40"/>
            </w:pPr>
            <w:r>
              <w:rPr>
                <w:sz w:val="19"/>
              </w:rPr>
              <w:t>15%</w:t>
            </w:r>
          </w:p>
        </w:tc>
        <w:tc>
          <w:tcPr>
            <w:tcW w:type="dxa" w:w="3120"/>
            <w:shd w:fill="F8FAFC"/>
          </w:tcPr>
          <w:p>
            <w:pPr>
              <w:spacing w:after="40" w:before="40"/>
            </w:pPr>
            <w:r>
              <w:rPr>
                <w:sz w:val="19"/>
              </w:rPr>
              <w:t>Directly tackles the PLANET track by solving construction energy efficiency and cutting fossil fuel reliance where it is highest.</w:t>
            </w:r>
          </w:p>
        </w:tc>
      </w:tr>
      <w:tr>
        <w:tc>
          <w:tcPr>
            <w:tcW w:type="dxa" w:w="3120"/>
          </w:tcPr>
          <w:p>
            <w:pPr>
              <w:spacing w:after="40" w:before="40"/>
            </w:pPr>
            <w:r>
              <w:rPr>
                <w:sz w:val="19"/>
              </w:rPr>
              <w:t>**Impact &amp; Sustainability**</w:t>
            </w:r>
          </w:p>
        </w:tc>
        <w:tc>
          <w:tcPr>
            <w:tcW w:type="dxa" w:w="3120"/>
          </w:tcPr>
          <w:p>
            <w:pPr>
              <w:spacing w:after="40" w:before="40"/>
            </w:pPr>
            <w:r>
              <w:rPr>
                <w:sz w:val="19"/>
              </w:rPr>
              <w:t>25%</w:t>
            </w:r>
          </w:p>
        </w:tc>
        <w:tc>
          <w:tcPr>
            <w:tcW w:type="dxa" w:w="3120"/>
          </w:tcPr>
          <w:p>
            <w:pPr>
              <w:spacing w:after="40" w:before="40"/>
            </w:pPr>
            <w:r>
              <w:rPr>
                <w:sz w:val="19"/>
              </w:rPr>
              <w:t>Eliminates 49 tonnes of CO2 monthly per site and reduces construction boundary noise by 88%, preserving community peace.</w:t>
            </w:r>
          </w:p>
        </w:tc>
      </w:tr>
      <w:tr>
        <w:tc>
          <w:tcPr>
            <w:tcW w:type="dxa" w:w="3120"/>
            <w:shd w:fill="F8FAFC"/>
          </w:tcPr>
          <w:p>
            <w:pPr>
              <w:spacing w:after="40" w:before="40"/>
            </w:pPr>
            <w:r>
              <w:rPr>
                <w:sz w:val="19"/>
              </w:rPr>
              <w:t>**Innovation &amp; Differentiation**</w:t>
            </w:r>
          </w:p>
        </w:tc>
        <w:tc>
          <w:tcPr>
            <w:tcW w:type="dxa" w:w="3120"/>
            <w:shd w:fill="F8FAFC"/>
          </w:tcPr>
          <w:p>
            <w:pPr>
              <w:spacing w:after="40" w:before="40"/>
            </w:pPr>
            <w:r>
              <w:rPr>
                <w:sz w:val="19"/>
              </w:rPr>
              <w:t>20%</w:t>
            </w:r>
          </w:p>
        </w:tc>
        <w:tc>
          <w:tcPr>
            <w:tcW w:type="dxa" w:w="3120"/>
            <w:shd w:fill="F8FAFC"/>
          </w:tcPr>
          <w:p>
            <w:pPr>
              <w:spacing w:after="40" w:before="40"/>
            </w:pPr>
            <w:r>
              <w:rPr>
                <w:sz w:val="19"/>
              </w:rPr>
              <w:t>Replaces dumb battery hardware viewers with an intelligent system that buffers motor surges, predicts rain, and links residents to site officers.</w:t>
            </w:r>
          </w:p>
        </w:tc>
      </w:tr>
      <w:tr>
        <w:tc>
          <w:tcPr>
            <w:tcW w:type="dxa" w:w="3120"/>
          </w:tcPr>
          <w:p>
            <w:pPr>
              <w:spacing w:after="40" w:before="40"/>
            </w:pPr>
            <w:r>
              <w:rPr>
                <w:sz w:val="19"/>
              </w:rPr>
              <w:t>**Feasibility &amp; Deliverability**</w:t>
            </w:r>
          </w:p>
        </w:tc>
        <w:tc>
          <w:tcPr>
            <w:tcW w:type="dxa" w:w="3120"/>
          </w:tcPr>
          <w:p>
            <w:pPr>
              <w:spacing w:after="40" w:before="40"/>
            </w:pPr>
            <w:r>
              <w:rPr>
                <w:sz w:val="19"/>
              </w:rPr>
              <w:t>20%</w:t>
            </w:r>
          </w:p>
        </w:tc>
        <w:tc>
          <w:tcPr>
            <w:tcW w:type="dxa" w:w="3120"/>
          </w:tcPr>
          <w:p>
            <w:pPr>
              <w:spacing w:after="40" w:before="40"/>
            </w:pPr>
            <w:r>
              <w:rPr>
                <w:sz w:val="19"/>
              </w:rPr>
              <w:t>Built on real hardware already operating in Sime Darby projects (Inta Bina Putra Heights and Melati); web prototype is 100% functional today with 0 build errors.</w:t>
            </w:r>
          </w:p>
        </w:tc>
      </w:tr>
      <w:tr>
        <w:tc>
          <w:tcPr>
            <w:tcW w:type="dxa" w:w="3120"/>
            <w:shd w:fill="F8FAFC"/>
          </w:tcPr>
          <w:p>
            <w:pPr>
              <w:spacing w:after="40" w:before="40"/>
            </w:pPr>
            <w:r>
              <w:rPr>
                <w:sz w:val="19"/>
              </w:rPr>
              <w:t>**Commercial Value**</w:t>
            </w:r>
          </w:p>
        </w:tc>
        <w:tc>
          <w:tcPr>
            <w:tcW w:type="dxa" w:w="3120"/>
            <w:shd w:fill="F8FAFC"/>
          </w:tcPr>
          <w:p>
            <w:pPr>
              <w:spacing w:after="40" w:before="40"/>
            </w:pPr>
            <w:r>
              <w:rPr>
                <w:sz w:val="19"/>
              </w:rPr>
              <w:t>10%</w:t>
            </w:r>
          </w:p>
        </w:tc>
        <w:tc>
          <w:tcPr>
            <w:tcW w:type="dxa" w:w="3120"/>
            <w:shd w:fill="F8FAFC"/>
          </w:tcPr>
          <w:p>
            <w:pPr>
              <w:spacing w:after="40" w:before="40"/>
            </w:pPr>
            <w:r>
              <w:rPr>
                <w:sz w:val="19"/>
              </w:rPr>
              <w:t>Delivers RM 125,128/month cash savings with a rapid 14.2-month payback and a 10-year township asset redeployment model.</w:t>
            </w:r>
          </w:p>
        </w:tc>
      </w:tr>
      <w:tr>
        <w:tc>
          <w:tcPr>
            <w:tcW w:type="dxa" w:w="3120"/>
          </w:tcPr>
          <w:p>
            <w:pPr>
              <w:spacing w:after="40" w:before="40"/>
            </w:pPr>
            <w:r>
              <w:rPr>
                <w:sz w:val="19"/>
              </w:rPr>
              <w:t>**Team, Evidence &amp; Pitch**</w:t>
            </w:r>
          </w:p>
        </w:tc>
        <w:tc>
          <w:tcPr>
            <w:tcW w:type="dxa" w:w="3120"/>
          </w:tcPr>
          <w:p>
            <w:pPr>
              <w:spacing w:after="40" w:before="40"/>
            </w:pPr>
            <w:r>
              <w:rPr>
                <w:sz w:val="19"/>
              </w:rPr>
              <w:t>10%</w:t>
            </w:r>
          </w:p>
        </w:tc>
        <w:tc>
          <w:tcPr>
            <w:tcW w:type="dxa" w:w="3120"/>
          </w:tcPr>
          <w:p>
            <w:pPr>
              <w:spacing w:after="40" w:before="40"/>
            </w:pPr>
            <w:r>
              <w:rPr>
                <w:sz w:val="19"/>
              </w:rPr>
              <w:t>Backed by verified Malaysian pricing (RM 5.17/L commercial diesel), official DOE noise laws, and live working software.</w:t>
            </w:r>
          </w:p>
        </w:tc>
      </w:tr>
    </w:tbl>
    <w:p/>
    <w:p>
      <w:pPr>
        <w:spacing w:before="280" w:after="80"/>
      </w:pPr>
      <w:r>
        <w:rPr>
          <w:b/>
          <w:color w:val="D71920"/>
          <w:sz w:val="30"/>
        </w:rPr>
        <w:t>Conclusion</w:t>
      </w:r>
    </w:p>
    <w:p>
      <w:r>
        <w:t>GreenPulse proves that environmental sustainability and financial profit can work together hand in hand.</w:t>
      </w:r>
    </w:p>
    <w:p>
      <w:r>
        <w:t>By replacing expensive, noisy, and polluting rented diesel generators with clean battery storage and smart site software, Sime Darby Property can protect its township communities from noise and smoke, save millions of Ringgit in fuel bills, and set a new standard for sustainable construction in Malaysia.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