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D71920"/>
          <w:sz w:val="44"/>
        </w:rPr>
        <w:t>GREENPULSE: THE ZERO-GENSET SITE OPERATING SYSTEM</w:t>
      </w:r>
    </w:p>
    <w:p>
      <w:pPr>
        <w:spacing w:after="360"/>
        <w:jc w:val="center"/>
      </w:pPr>
      <w:r>
        <w:rPr>
          <w:b/>
          <w:color w:val="64748B"/>
          <w:sz w:val="24"/>
        </w:rPr>
        <w:t>Strategic Innovation Proposal | Sime Darby Property University Hackathon 2026</w:t>
        <w:br/>
        <w:t>Track: PLANET (Energy Efficiency &amp; Sustainable Living)</w:t>
      </w:r>
    </w:p>
    <w:p>
      <w:pPr>
        <w:spacing w:before="280" w:after="80"/>
      </w:pPr>
      <w:r>
        <w:rPr>
          <w:b/>
          <w:color w:val="D71920"/>
          <w:sz w:val="30"/>
        </w:rPr>
        <w:t>Executive Summary</w:t>
      </w:r>
    </w:p>
    <w:p>
      <w:r>
        <w:t xml:space="preserve">When Sime Darby Property builds a new masterplanned township, the brand promise is sustainable living, community wellness, and low-carbon infrastructure. However, behind the construction hoardings of every new greenfield parcel: from Putra Heights and City of Elmina to Bandar Bukit Raja: lies a costly operational bottleneck: </w:t>
      </w:r>
      <w:r>
        <w:rPr>
          <w:b/>
        </w:rPr>
        <w:t>for the first 9 to 18 months of construction, the entire site is powered by rented diesel generators.</w:t>
      </w:r>
      <w:r/>
    </w:p>
    <w:p>
      <w:r>
        <w:t>Permanent Tenaga Nasional Berhad (TNB) electrical substations take between 9 and 18 months to build, inspect, and energise. Because building works cannot wait, main contractors are forced to rent heavy 300 to 500 kVA diesel generators to operate tower cranes, passenger hoists, site offices, and worker living quarters.</w:t>
      </w:r>
    </w:p>
    <w:p>
      <w:r>
        <w:t xml:space="preserve">Following Malaysia's diesel subsidy rationalisation, the commercial construction sector is 100% excluded from subsidised fuel. Contractors purchase commercial Euro 5 diesel at the unsubsidised market rate of </w:t>
      </w:r>
      <w:r>
        <w:rPr>
          <w:b/>
        </w:rPr>
        <w:t>RM 5.17 per litre</w:t>
      </w:r>
      <w:r>
        <w:t xml:space="preserve">, burning 12,000 to 18,400 litres every month. Between fuel bills and monthly equipment rental invoices, a single building parcel burns over </w:t>
      </w:r>
      <w:r>
        <w:rPr>
          <w:b/>
        </w:rPr>
        <w:t>RM 100,000 to RM 125,000 every single month in temporary power</w:t>
      </w:r>
      <w:r>
        <w:t>.</w:t>
      </w:r>
    </w:p>
    <w:p>
      <w:r>
        <w:t xml:space="preserve">Compounding this financial bleed, continuous 82-decibel generator drone and diesel exhaust irritate families who have already moved into Phase 1 homes across the street. These disturbances trigger complaints to local town councils (MBSA, MBPJ) and the Department of Environment (DOE), risking statutory Stop-Work Orders that cost developers </w:t>
      </w:r>
      <w:r>
        <w:rPr>
          <w:b/>
        </w:rPr>
        <w:t>RM 50,000 to RM 100,000 per day</w:t>
      </w:r>
      <w:r>
        <w:t xml:space="preserve"> in Liquidated Ascertained Damages (LAD).</w:t>
      </w:r>
    </w:p>
    <w:p>
      <w:r/>
      <w:r>
        <w:rPr>
          <w:b/>
        </w:rPr>
        <w:t>GreenPulse is a zero-genset site energy operating system (SiteOS)</w:t>
      </w:r>
      <w:r>
        <w:t xml:space="preserve"> that orchestrates containerised Battery Energy Storage Systems (BESS), temporary rooftop solar PV, heavy site machinery, and community noise compliance into an autonomous, intelligent clean energy microgrid.</w:t>
      </w:r>
    </w:p>
    <w:p>
      <w:pPr>
        <w:spacing w:before="200" w:after="60"/>
      </w:pPr>
      <w:r>
        <w:rPr>
          <w:b/>
          <w:color w:val="0F172A"/>
          <w:sz w:val="25"/>
        </w:rPr>
        <w:t>Key Value Metrics at a Glance:</w:t>
      </w:r>
    </w:p>
    <w:p>
      <w:pPr>
        <w:pStyle w:val="ListBullet"/>
        <w:spacing w:after="60"/>
      </w:pPr>
      <w:r/>
      <w:r>
        <w:rPr>
          <w:b/>
        </w:rPr>
        <w:t>RM 125,128 Net Cash Saved Per Month Per Site</w:t>
      </w:r>
      <w:r>
        <w:t>: Eliminates 18,400 litres of monthly diesel fuel and cancels primary 500 kVA generator rentals.</w:t>
      </w:r>
    </w:p>
    <w:p>
      <w:pPr>
        <w:pStyle w:val="ListBullet"/>
        <w:spacing w:after="60"/>
      </w:pPr>
      <w:r/>
      <w:r>
        <w:rPr>
          <w:b/>
        </w:rPr>
        <w:t>49.3 Tonnes of Scope 1 CO2e Abated Monthly</w:t>
      </w:r>
      <w:r>
        <w:t xml:space="preserve">: Achieves a 77.6% reduction in construction site carbon emissions, delivering verified </w:t>
      </w:r>
      <w:r>
        <w:rPr>
          <w:b/>
        </w:rPr>
        <w:t>4.12 kg CO2e / m² CFA</w:t>
      </w:r>
      <w:r>
        <w:t xml:space="preserve"> for Bursa Malaysia Sustainability Reporting.</w:t>
      </w:r>
    </w:p>
    <w:p>
      <w:pPr>
        <w:pStyle w:val="ListBullet"/>
        <w:spacing w:after="60"/>
      </w:pPr>
      <w:r/>
      <w:r>
        <w:rPr>
          <w:b/>
        </w:rPr>
        <w:t>88% Site Boundary Noise Reduction (-27.9 dBA)</w:t>
      </w:r>
      <w:r>
        <w:t>: Drops construction boundary sound from an intolerable 82 dBA down to 54.1 dBA, safely below the 60 dBA government limit under DOE Planning Guidelines Schedule 6.</w:t>
      </w:r>
    </w:p>
    <w:p>
      <w:pPr>
        <w:pStyle w:val="ListBullet"/>
        <w:spacing w:after="60"/>
      </w:pPr>
      <w:r/>
      <w:r>
        <w:rPr>
          <w:b/>
        </w:rPr>
        <w:t>100% Off-Grid Living Dignity for Workers (Act 446)</w:t>
      </w:r>
      <w:r>
        <w:t>: Guarantees 24/7 night ventilation fan and lighting uptime in Centralised Labour Quarters (CLQ), eliminating the dangerous 02:00 AM generator shutdown and cutting next-day site accidents.</w:t>
      </w:r>
    </w:p>
    <w:p>
      <w:pPr>
        <w:pStyle w:val="ListBullet"/>
        <w:spacing w:after="60"/>
      </w:pPr>
      <w:r/>
      <w:r>
        <w:rPr>
          <w:b/>
        </w:rPr>
        <w:t>14.2-Month Capital Payback</w:t>
      </w:r>
      <w:r>
        <w:t xml:space="preserve">: Full return on BESS capital during a single 24-month building project, unlocking </w:t>
      </w:r>
      <w:r>
        <w:rPr>
          <w:b/>
        </w:rPr>
        <w:t>RM 9.84 Million in cumulative savings</w:t>
      </w:r>
      <w:r>
        <w:t xml:space="preserve"> across a 10-year township fleet rollout.</w:t>
      </w:r>
    </w:p>
    <w:p>
      <w:pPr>
        <w:spacing w:before="280" w:after="80"/>
      </w:pPr>
      <w:r>
        <w:rPr>
          <w:b/>
          <w:color w:val="D71920"/>
          <w:sz w:val="30"/>
        </w:rPr>
        <w:t>1. Problem Validation: The Four Pain Points on the Ground</w:t>
      </w:r>
    </w:p>
    <w:p>
      <w:r>
        <w:t>Our team audited live site power proposals from Inta Bina (Putra Heights and Melati parcels), reviewed Sime Darby Property sustainability reports, and verified current market rates across Malaysian construction sites. We identified four structural failures in conventional site power:</w:t>
      </w:r>
    </w:p>
    <w:p>
      <w:r>
        <w:t>[ Greenfield Land Acquired ] ───► [ Piling &amp; Concrete Begins ]</w:t>
      </w:r>
    </w:p>
    <w:p>
      <w:r>
        <w:t xml:space="preserve">                                           │</w:t>
      </w:r>
    </w:p>
    <w:p>
      <w:r>
        <w:t xml:space="preserve">                                           ▼ (TNB Substation Takes 9 to 18 Months)</w:t>
      </w:r>
    </w:p>
    <w:p>
      <w:r>
        <w:t xml:space="preserve">                                 [ Temporary Power Gap ]</w:t>
      </w:r>
    </w:p>
    <w:p>
      <w:r>
        <w:t xml:space="preserve">                                           │</w:t>
      </w:r>
    </w:p>
    <w:p>
      <w:r>
        <w:t xml:space="preserve">                     ┌─────────────────────┴─────────────────────┐</w:t>
      </w:r>
    </w:p>
    <w:p>
      <w:r>
        <w:t xml:space="preserve">                     ▼                                           ▼</w:t>
      </w:r>
    </w:p>
    <w:p>
      <w:r>
        <w:t xml:space="preserve">         [ Financial Bleed ]                           [ Environmental Friction ]</w:t>
      </w:r>
    </w:p>
    <w:p>
      <w:r>
        <w:t xml:space="preserve">  • RM 5.17 / L Unsubsidised Diesel             • 82 dBA Continuous Generator Drone</w:t>
      </w:r>
    </w:p>
    <w:p>
      <w:r>
        <w:t xml:space="preserve">  • 12,000 - 18,400 L / Month Burn              • 49.3 Tonnes CO2e Emitted / Month</w:t>
      </w:r>
    </w:p>
    <w:p>
      <w:r>
        <w:t xml:space="preserve">  • RM 15,000 - RM 30,000 / Mo Rental           • Phase 1 Resident Noise Complaints</w:t>
      </w:r>
    </w:p>
    <w:p>
      <w:r>
        <w:t xml:space="preserve">  • Total: RM 100,000 - RM 125,000 / Month      • Risk of DOE Stop-Work Orders</w:t>
      </w:r>
    </w:p>
    <w:p>
      <w:pPr>
        <w:spacing w:before="200" w:after="60"/>
      </w:pPr>
      <w:r>
        <w:rPr>
          <w:b/>
          <w:color w:val="0F172A"/>
          <w:sz w:val="25"/>
        </w:rPr>
        <w:t>A. The 18-Month Utility Substation Gap</w:t>
      </w:r>
    </w:p>
    <w:p>
      <w:r>
        <w:t>In large greenfield township developments, site possession occurs long before permanent electrical distribution grids reach the parcel boundary. Earthworks, bored piling, and substructure concrete placing must proceed immediately to meet handover milestones. Contractors face a mandatory 9 to 18 month period where the parcel operates 100% off-grid.</w:t>
      </w:r>
    </w:p>
    <w:p>
      <w:pPr>
        <w:spacing w:before="200" w:after="60"/>
      </w:pPr>
      <w:r>
        <w:rPr>
          <w:b/>
          <w:color w:val="0F172A"/>
          <w:sz w:val="25"/>
        </w:rPr>
        <w:t>B. The Unsubsidised Commercial Diesel Reality (RM 5.17 / Litre)</w:t>
      </w:r>
    </w:p>
    <w:p>
      <w:r>
        <w:t xml:space="preserve">While targeted transport subsidies under BUDI Madani provide relief at RM 2.10/L for select logistics, the commercial construction industry pays the full gazetted market rate of </w:t>
      </w:r>
      <w:r>
        <w:rPr>
          <w:b/>
        </w:rPr>
        <w:t>RM 5.17 per litre</w:t>
      </w:r>
      <w:r>
        <w:t xml:space="preserve"> for commercial Euro 5 diesel. Running a single 300 to 500 kVA genset for 16 to 24 hours daily consumes between 12,000 and 18,400 litres per month, generating a crushing monthly fuel bill of </w:t>
      </w:r>
      <w:r>
        <w:rPr>
          <w:b/>
        </w:rPr>
        <w:t>RM 62,000 to RM 95,000</w:t>
      </w:r>
      <w:r>
        <w:t>.</w:t>
      </w:r>
    </w:p>
    <w:p>
      <w:pPr>
        <w:spacing w:before="200" w:after="60"/>
      </w:pPr>
      <w:r>
        <w:rPr>
          <w:b/>
          <w:color w:val="0F172A"/>
          <w:sz w:val="25"/>
        </w:rPr>
        <w:t>C. The Inductive Motor Surge Trap (Why Generators Are Oversized)</w:t>
      </w:r>
    </w:p>
    <w:p>
      <w:r>
        <w:t>Why do contractors rent massive 500 kVA generators when average site load is only 60 to 90 kW?</w:t>
      </w:r>
    </w:p>
    <w:p>
      <w:r>
        <w:t>The answer lies in inductive motor physics:</w:t>
      </w:r>
    </w:p>
    <w:p>
      <w:pPr>
        <w:pStyle w:val="ListBullet"/>
        <w:spacing w:after="60"/>
      </w:pPr>
      <w:r>
        <w:t xml:space="preserve">When a 50-tonne tower crane begins hoisting a 2.5-tonne bucket of wet concrete, its heavy electric motor draws a momentary startup inrush current </w:t>
      </w:r>
      <w:r>
        <w:rPr>
          <w:b/>
        </w:rPr>
        <w:t>3 to 5 times its nominal rating</w:t>
      </w:r>
      <w:r>
        <w:t xml:space="preserve"> (a 45 kW motor spikes to 94 kW for 1.8 seconds).</w:t>
      </w:r>
    </w:p>
    <w:p>
      <w:pPr>
        <w:pStyle w:val="ListBullet"/>
        <w:spacing w:after="60"/>
      </w:pPr>
      <w:r>
        <w:t>On a weak temporary power feed or smaller generator, this momentary surge causes severe voltage sag, tripping the main circuit breaker.</w:t>
      </w:r>
    </w:p>
    <w:p>
      <w:pPr>
        <w:pStyle w:val="ListBullet"/>
        <w:spacing w:after="60"/>
      </w:pPr>
      <w:r>
        <w:t>If a breaker trips mid-lift, wet concrete hardens in the crane skip, creating dangerous structural delays.</w:t>
      </w:r>
    </w:p>
    <w:p>
      <w:pPr>
        <w:pStyle w:val="ListBullet"/>
        <w:spacing w:after="60"/>
      </w:pPr>
      <w:r>
        <w:t>To avoid this operational headache, site supervisors rent oversized 500 kVA generators that idle at only 20% to 30% capacity for 70% of the day, burning excessive fuel while idling.</w:t>
      </w:r>
    </w:p>
    <w:p>
      <w:pPr>
        <w:spacing w:before="200" w:after="60"/>
      </w:pPr>
      <w:r>
        <w:rPr>
          <w:b/>
          <w:color w:val="0F172A"/>
          <w:sz w:val="25"/>
        </w:rPr>
        <w:t>D. Phase 1 Resident Friction and Statutory DOE Stop-Work Penalties</w:t>
      </w:r>
    </w:p>
    <w:p>
      <w:r>
        <w:t>Sime Darby Property townships are developed in sequential phases. When Phase 2 begins piling and framing, families are already living in Phase 1 homes across the access road.</w:t>
      </w:r>
    </w:p>
    <w:p>
      <w:pPr>
        <w:pStyle w:val="ListBullet"/>
        <w:spacing w:after="60"/>
      </w:pPr>
      <w:r>
        <w:t>Conventional diesel gensets produce 82 dBA continuous mechanical noise and particulate exhaust.</w:t>
      </w:r>
    </w:p>
    <w:p>
      <w:pPr>
        <w:pStyle w:val="ListBullet"/>
        <w:spacing w:after="60"/>
      </w:pPr>
      <w:r>
        <w:t xml:space="preserve">Under Malaysian Department of Environment (DOE) Planning Guidelines Schedule 6, maximum permissible sound levels at residential boundaries are </w:t>
      </w:r>
      <w:r>
        <w:rPr>
          <w:b/>
        </w:rPr>
        <w:t>60 dBA during the day</w:t>
      </w:r>
      <w:r>
        <w:t xml:space="preserve"> and </w:t>
      </w:r>
      <w:r>
        <w:rPr>
          <w:b/>
        </w:rPr>
        <w:t>45 dBA at night</w:t>
      </w:r>
      <w:r>
        <w:t>.</w:t>
      </w:r>
    </w:p>
    <w:p>
      <w:pPr>
        <w:pStyle w:val="ListBullet"/>
        <w:spacing w:after="60"/>
      </w:pPr>
      <w:r>
        <w:t>Residents suffering sleepless nights lodge complaints with town councils (MBSA, MBPJ) or the DOE.</w:t>
      </w:r>
    </w:p>
    <w:p>
      <w:pPr>
        <w:pStyle w:val="ListBullet"/>
        <w:spacing w:after="60"/>
      </w:pPr>
      <w:r>
        <w:t xml:space="preserve">Regulatory inspections result in official </w:t>
      </w:r>
      <w:r>
        <w:rPr>
          <w:b/>
        </w:rPr>
        <w:t>Stop-Work Orders (SWO)</w:t>
      </w:r>
      <w:r>
        <w:t xml:space="preserve">. Under developer building agreements, site delays trigger Liquidated Ascertained Damages (LAD) of </w:t>
      </w:r>
      <w:r>
        <w:rPr>
          <w:b/>
        </w:rPr>
        <w:t>RM 50,000 to RM 100,000 per day</w:t>
      </w:r>
      <w:r>
        <w:t>, destroying project margins.</w:t>
      </w:r>
    </w:p>
    <w:p>
      <w:pPr>
        <w:spacing w:before="280" w:after="80"/>
      </w:pPr>
      <w:r>
        <w:rPr>
          <w:b/>
          <w:color w:val="D71920"/>
          <w:sz w:val="30"/>
        </w:rPr>
        <w:t>2. Why Existing Hardware Alone Is Not Enough</w:t>
      </w:r>
    </w:p>
    <w:p>
      <w:r>
        <w:t>Sime Darby Property and progressive main contractors (such as Inta Bina Group Berhad) have already begun pioneering clean power hardware:</w:t>
      </w:r>
    </w:p>
    <w:p>
      <w:pPr>
        <w:pStyle w:val="ListBullet"/>
        <w:spacing w:after="60"/>
      </w:pPr>
      <w:r>
        <w:t xml:space="preserve">Inta Bina has deployed containerised BESS units at </w:t>
      </w:r>
      <w:r>
        <w:rPr>
          <w:b/>
        </w:rPr>
        <w:t>Putra Heights (261 kWh / 100 kW)</w:t>
      </w:r>
      <w:r>
        <w:t xml:space="preserve"> and </w:t>
      </w:r>
      <w:r>
        <w:rPr>
          <w:b/>
        </w:rPr>
        <w:t>Melati (522 kWh / 200 kW)</w:t>
      </w:r>
      <w:r>
        <w:t>.</w:t>
      </w:r>
    </w:p>
    <w:p>
      <w:pPr>
        <w:pStyle w:val="ListBullet"/>
        <w:spacing w:after="60"/>
      </w:pPr>
      <w:r>
        <w:t xml:space="preserve">An off-grid solar-battery system has been engineered for the </w:t>
      </w:r>
      <w:r>
        <w:rPr>
          <w:b/>
        </w:rPr>
        <w:t>Rimbayu Centralised Labour Quarters (169 kWp Solar / 261 kWh BESS)</w:t>
      </w:r>
      <w:r>
        <w:t>.</w:t>
      </w:r>
    </w:p>
    <w:p>
      <w:r>
        <w:t xml:space="preserve">However, field audits reveal that </w:t>
      </w:r>
      <w:r>
        <w:rPr>
          <w:b/>
        </w:rPr>
        <w:t>hardware without an intelligent software operating system fails to realise its true value</w:t>
      </w:r>
      <w:r>
        <w:t>:</w:t>
      </w:r>
    </w:p>
    <w:p>
      <w:r>
        <w:t xml:space="preserve">1. </w:t>
      </w:r>
      <w:r>
        <w:rPr>
          <w:b/>
        </w:rPr>
        <w:t>Passive Telemetry Without Intelligence</w:t>
      </w:r>
      <w:r>
        <w:t>: Existing platforms (such as IESS Cloud) only act as dumb data viewers. They display an "Online" indicator and raw kilowatt output. They cannot predict weather, cannot buffer motor spikes, and cannot schedule equipment loads.</w:t>
      </w:r>
    </w:p>
    <w:p>
      <w:r>
        <w:t xml:space="preserve">2. </w:t>
      </w:r>
      <w:r>
        <w:rPr>
          <w:b/>
        </w:rPr>
        <w:t>Tropical Storm Solar Drops</w:t>
      </w:r>
      <w:r>
        <w:t>: In Malaysia, afternoon tropical convection creates sudden rainstorms where solar irradiance collapses by 80% in minutes. Without predictive planning, sudden solar loss triggers emergency generator auto-starts.</w:t>
      </w:r>
    </w:p>
    <w:p>
      <w:r>
        <w:t xml:space="preserve">3. </w:t>
      </w:r>
      <w:r>
        <w:rPr>
          <w:b/>
        </w:rPr>
        <w:t>Fragmented Workflows</w:t>
      </w:r>
      <w:r>
        <w:t>: The M&amp;E engineer on site, the licensed Environmental Officer tracking noise, and the HQ finance director tracking diesel invoices operate in complete silos using paper logbooks and WhatsApp messages.</w:t>
      </w:r>
    </w:p>
    <w:p>
      <w:r>
        <w:t xml:space="preserve">4. </w:t>
      </w:r>
      <w:r>
        <w:rPr>
          <w:b/>
        </w:rPr>
        <w:t>The Single-Project Capex Trap</w:t>
      </w:r>
      <w:r>
        <w:t>: Contractors view a RM 350,000 containerised battery as an isolated, high-risk capital expense for a single 2-year job. Lacking a multi-year fleet rollover mechanism across master townships, they fall back on renting diesel generators.</w:t>
      </w:r>
    </w:p>
    <w:p>
      <w:pPr>
        <w:spacing w:before="280" w:after="80"/>
      </w:pPr>
      <w:r>
        <w:rPr>
          <w:b/>
          <w:color w:val="D71920"/>
          <w:sz w:val="30"/>
        </w:rPr>
        <w:t>3. The GreenPulse Solution: SiteOS Architecture</w:t>
      </w:r>
    </w:p>
    <w:p>
      <w:r/>
      <w:r>
        <w:rPr>
          <w:b/>
        </w:rPr>
        <w:t>GreenPulse is the intelligent software operating system (SiteOS)</w:t>
      </w:r>
      <w:r>
        <w:t xml:space="preserve"> that bridges battery storage hardware, live weather forecasting, site machinery, and environmental compliance into a unified command platform.</w:t>
      </w:r>
    </w:p>
    <w:p>
      <w:r>
        <w:t xml:space="preserve">                           ┌────────────────────────────┐</w:t>
      </w:r>
    </w:p>
    <w:p>
      <w:r>
        <w:t xml:space="preserve">                           │   Google Weather API &amp;     │</w:t>
      </w:r>
    </w:p>
    <w:p>
      <w:r>
        <w:t xml:space="preserve">                           │ MET Malaysia Doppler Radar │</w:t>
      </w:r>
    </w:p>
    <w:p>
      <w:r>
        <w:t xml:space="preserve">                           └─────────────┬──────────────┘</w:t>
      </w:r>
    </w:p>
    <w:p>
      <w:r>
        <w:t xml:space="preserve">                                         │ Live Storm Forecast</w:t>
      </w:r>
    </w:p>
    <w:p>
      <w:r>
        <w:t xml:space="preserve">                                         ▼</w:t>
      </w:r>
    </w:p>
    <w:p>
      <w:r>
        <w:t>┌───────────────────────┐      ┌────────────────────────────┐      ┌────────────────────────────┐</w:t>
      </w:r>
    </w:p>
    <w:p>
      <w:r>
        <w:t>│ Rooftop &amp; Yard Solar  │ ───► │   GreenPulse SiteOS Core   │ ◄─── │ Class 1 Boundary Decibel   │</w:t>
      </w:r>
    </w:p>
    <w:p>
      <w:r>
        <w:t>│ Arrays (80 - 170 kWp) │      │     Dispatch Engine        │      │ Sensors (DOE Schedule 6)   │</w:t>
      </w:r>
    </w:p>
    <w:p>
      <w:r>
        <w:t>└───────────────────────┘      └─────────────┬──────────────┘      └────────────────────────────┘</w:t>
      </w:r>
    </w:p>
    <w:p>
      <w:r>
        <w:t xml:space="preserve">                                             │</w:t>
      </w:r>
    </w:p>
    <w:p>
      <w:r>
        <w:t xml:space="preserve">                       ┌─────────────────────┴─────────────────────┐</w:t>
      </w:r>
    </w:p>
    <w:p>
      <w:r>
        <w:t xml:space="preserve">                       ▼                                           ▼</w:t>
      </w:r>
    </w:p>
    <w:p>
      <w:r>
        <w:t xml:space="preserve">         ┌───────────────────────────┐               ┌───────────────────────────┐</w:t>
      </w:r>
    </w:p>
    <w:p>
      <w:r>
        <w:t xml:space="preserve">         │ Containerised BESS        │               │ Heavy Site Machinery      │</w:t>
      </w:r>
    </w:p>
    <w:p>
      <w:r>
        <w:t xml:space="preserve">         │ (261 - 522 kWh MegaBatt)  │               │ • Tower Crane (45 kW)     │</w:t>
      </w:r>
    </w:p>
    <w:p>
      <w:r>
        <w:t xml:space="preserve">         │ • Sub-4ms Surge Buffer    │ ────────────► │ • Passenger Hoist (28 kW) │</w:t>
      </w:r>
    </w:p>
    <w:p>
      <w:r>
        <w:t xml:space="preserve">         │ • Zero Genset Auto-Starts │               │ • Worker CLQ (42 Fans)    │</w:t>
      </w:r>
    </w:p>
    <w:p>
      <w:r>
        <w:t xml:space="preserve">         └───────────────────────────┘               └───────────────────────────┘</w:t>
      </w:r>
    </w:p>
    <w:p>
      <w:pPr>
        <w:spacing w:before="200" w:after="60"/>
      </w:pPr>
      <w:r>
        <w:rPr>
          <w:b/>
          <w:color w:val="0F172A"/>
          <w:sz w:val="25"/>
        </w:rPr>
        <w:t>The Four Core Technical Pillars of GreenPulse:</w:t>
      </w:r>
    </w:p>
    <w:p>
      <w:pPr>
        <w:spacing w:before="200" w:after="60"/>
      </w:pPr>
      <w:r>
        <w:rPr>
          <w:b/>
          <w:color w:val="0F172A"/>
          <w:sz w:val="25"/>
        </w:rPr>
        <w:t>1. Sub-Millisecond Surge Buffer (Solving Crane Inrush)</w:t>
      </w:r>
    </w:p>
    <w:p>
      <w:r>
        <w:t xml:space="preserve">GreenPulse leverages the millisecond response time of grid-forming battery inverters. When the 50-tonne tower crane starts hoisting and draws a 94 kW inductive kick, GreenPulse directs the BESS to absorb the spike in </w:t>
      </w:r>
      <w:r>
        <w:rPr>
          <w:b/>
        </w:rPr>
        <w:t>less than 4 milliseconds</w:t>
      </w:r>
      <w:r>
        <w:t>. The site's primary voltage remains stable, breakers never trip, and the need for a 500 kVA idling generator is completely eliminated.</w:t>
      </w:r>
    </w:p>
    <w:p>
      <w:pPr>
        <w:spacing w:before="200" w:after="60"/>
      </w:pPr>
      <w:r>
        <w:rPr>
          <w:b/>
          <w:color w:val="0F172A"/>
          <w:sz w:val="25"/>
        </w:rPr>
        <w:t>2. Google Weather API Hyperlocal Forecast &amp; Solar Pre-Charging</w:t>
      </w:r>
    </w:p>
    <w:p>
      <w:r>
        <w:t xml:space="preserve">GreenPulse integrates the </w:t>
      </w:r>
      <w:r>
        <w:rPr>
          <w:b/>
        </w:rPr>
        <w:t>Google Maps Platform Weather API</w:t>
      </w:r>
      <w:r>
        <w:t xml:space="preserve"> (`weather.googleapis.com`) combined with local meteorological Doppler radar.</w:t>
      </w:r>
    </w:p>
    <w:p>
      <w:pPr>
        <w:pStyle w:val="ListBullet"/>
        <w:spacing w:after="60"/>
      </w:pPr>
      <w:r>
        <w:t>The system tracks real-time cloud cover, temperature, and convective thunderstorm probabilities specifically for each township parcel (Putra Heights, Setapak, Bandar Rimbayu).</w:t>
      </w:r>
    </w:p>
    <w:p>
      <w:pPr>
        <w:pStyle w:val="ListBullet"/>
        <w:spacing w:after="60"/>
      </w:pPr>
      <w:r>
        <w:t>When Google's weather model detects an afternoon storm window (for example, 14:00 to 16:30 with 85% rain probability), GreenPulse automatically pre-charges the battery to 88% using morning sunshine (08:00 to 11:30).</w:t>
      </w:r>
    </w:p>
    <w:p>
      <w:pPr>
        <w:pStyle w:val="ListBullet"/>
        <w:spacing w:after="60"/>
      </w:pPr>
      <w:r>
        <w:t>When solar drops during the downpour, the stored energy seamlessly carries the tower crane and concrete placing pumps with zero generator auto-starts.</w:t>
      </w:r>
    </w:p>
    <w:p>
      <w:pPr>
        <w:spacing w:before="200" w:after="60"/>
      </w:pPr>
      <w:r>
        <w:rPr>
          <w:b/>
          <w:color w:val="0F172A"/>
          <w:sz w:val="25"/>
        </w:rPr>
        <w:t>3. EchoShield Acoustic Filtering (DOE Schedule 6 Compliance)</w:t>
      </w:r>
    </w:p>
    <w:p>
      <w:r>
        <w:t>GreenPulse connects to Class 1 sound level meters stationed along the site perimeter:</w:t>
      </w:r>
    </w:p>
    <w:p>
      <w:pPr>
        <w:pStyle w:val="ListBullet"/>
        <w:spacing w:after="60"/>
      </w:pPr>
      <w:r>
        <w:t>It continuously monitors perimeter decibels against statutory limits (60 dBA Day, 45 dBA Night).</w:t>
      </w:r>
    </w:p>
    <w:p>
      <w:pPr>
        <w:pStyle w:val="ListBullet"/>
        <w:spacing w:after="60"/>
      </w:pPr>
      <w:r>
        <w:t>Its edge acoustic algorithm separates construction site machinery noise from external public road traffic. If a heavy gravel truck on the external highway causes a spike to 71 dBA, GreenPulse isolates the external signature, verifying that true site noise remained at a compliant 54.1 dBA and preventing false Stop-Work notices.</w:t>
      </w:r>
    </w:p>
    <w:p>
      <w:pPr>
        <w:spacing w:before="200" w:after="60"/>
      </w:pPr>
      <w:r>
        <w:rPr>
          <w:b/>
          <w:color w:val="0F172A"/>
          <w:sz w:val="25"/>
        </w:rPr>
        <w:t>4. Continuous Worker Living Dignity (Act 446 Compliance)</w:t>
      </w:r>
    </w:p>
    <w:p>
      <w:r>
        <w:t xml:space="preserve">In conventional off-grid Centralised Labour Quarters (CLQ), contractors shut off diesel gensets at 02:00 AM to save fuel. Over 100 to 300 construction workers are left sweltering in 30°C tropical humidity, causing sleep deprivation, heat stress, and severe next-day accident risks. GreenPulse provides dedicated CLQ microgrid telemetry, guaranteeing </w:t>
      </w:r>
      <w:r>
        <w:rPr>
          <w:b/>
        </w:rPr>
        <w:t>100% night fan and lighting uptime</w:t>
      </w:r>
      <w:r>
        <w:t xml:space="preserve"> under the Workers' Minimum Standards of Housing and Amenities Act 1990 (Act 446).</w:t>
      </w:r>
    </w:p>
    <w:p>
      <w:pPr>
        <w:spacing w:before="280" w:after="80"/>
      </w:pPr>
      <w:r>
        <w:rPr>
          <w:b/>
          <w:color w:val="D71920"/>
          <w:sz w:val="30"/>
        </w:rPr>
        <w:t>4. The 4 Dedicated User Portals</w:t>
      </w:r>
    </w:p>
    <w:p>
      <w:r>
        <w:t>GreenPulse delivers a purpose-built user experience tailored to the exact responsibilities of each stakeholder across the township lifecycle:</w:t>
      </w:r>
    </w:p>
    <w:p>
      <w:pPr>
        <w:spacing w:before="200" w:after="60"/>
      </w:pPr>
      <w:r>
        <w:rPr>
          <w:b/>
          <w:color w:val="0F172A"/>
          <w:sz w:val="25"/>
        </w:rPr>
        <w:t>Portal 1: Site M&amp;E Power Manager (`/me`)</w:t>
      </w:r>
    </w:p>
    <w:p>
      <w:pPr>
        <w:pStyle w:val="ListBullet"/>
        <w:spacing w:after="60"/>
      </w:pPr>
      <w:r/>
      <w:r>
        <w:rPr>
          <w:b/>
        </w:rPr>
        <w:t>Live Power Flow &amp; Battery State</w:t>
      </w:r>
      <w:r>
        <w:t>: Displays live solar generation (+84 kW), machinery power draw (-100 kW), battery State of Charge (88%), and confirms the standby genset is 100% locked out.</w:t>
      </w:r>
    </w:p>
    <w:p>
      <w:pPr>
        <w:pStyle w:val="ListBullet"/>
        <w:spacing w:after="60"/>
      </w:pPr>
      <w:r/>
      <w:r>
        <w:rPr>
          <w:b/>
        </w:rPr>
        <w:t>Heavy Machinery Circuit Control</w:t>
      </w:r>
      <w:r>
        <w:t>: Live power allocation across Tower Crane 1 (45 kW), Passenger Hoist (28 kW), and Submersible Sump Pumps (14 kW). Includes an active modal to connect subcontractor equipment circuits with priority shedding tiers (P0 Critical, P1 Standard, P2 Sheddable).</w:t>
      </w:r>
    </w:p>
    <w:p>
      <w:pPr>
        <w:pStyle w:val="ListBullet"/>
        <w:spacing w:after="60"/>
      </w:pPr>
      <w:r/>
      <w:r>
        <w:rPr>
          <w:b/>
        </w:rPr>
        <w:t>Intelligent Power Planning Tab</w:t>
      </w:r>
      <w:r>
        <w:t>: Shows the 4-phase weather horizon (Morning Sun, Midday Peak Sun, Thunderstorm Window, Evening Clearing) driven by Google Weather API, with interactive hourly power breakdown inspection.</w:t>
      </w:r>
    </w:p>
    <w:p>
      <w:pPr>
        <w:pStyle w:val="ListBullet"/>
        <w:spacing w:after="60"/>
      </w:pPr>
      <w:r/>
      <w:r>
        <w:rPr>
          <w:b/>
        </w:rPr>
        <w:t>Worker CLQ Microgrid (Act 446)</w:t>
      </w:r>
      <w:r>
        <w:t>: Live telemetry proving 42 dormitory fans pulling 4.2 kW continuously, maintaining dorm ambient heat index at a safe 26.5°C with zero 02:00 AM blackouts.</w:t>
      </w:r>
    </w:p>
    <w:p>
      <w:pPr>
        <w:spacing w:before="200" w:after="60"/>
      </w:pPr>
      <w:r>
        <w:rPr>
          <w:b/>
          <w:color w:val="0F172A"/>
          <w:sz w:val="25"/>
        </w:rPr>
        <w:t>Portal 2: Site Environmental Officer (`/eo`)</w:t>
      </w:r>
    </w:p>
    <w:p>
      <w:pPr>
        <w:pStyle w:val="ListBullet"/>
        <w:spacing w:after="60"/>
      </w:pPr>
      <w:r/>
      <w:r>
        <w:rPr>
          <w:b/>
        </w:rPr>
        <w:t>Statutory Sound Level Dashboard</w:t>
      </w:r>
      <w:r>
        <w:t>: Continuous decibel meter displaying perimeter noise (54.1 dBA vs 60 dBA Schedule 6 limit) and acoustic comparison showing the site operates 27.9 dBA quieter than a diesel generator.</w:t>
      </w:r>
    </w:p>
    <w:p>
      <w:pPr>
        <w:pStyle w:val="ListBullet"/>
        <w:spacing w:after="60"/>
      </w:pPr>
      <w:r/>
      <w:r>
        <w:rPr>
          <w:b/>
        </w:rPr>
        <w:t>Acoustic Noise Filter</w:t>
      </w:r>
      <w:r>
        <w:t>: Real-time frequency analysis isolating passing highway dump trucks from true site activity, logging defensible evidence for environmental audits.</w:t>
      </w:r>
    </w:p>
    <w:p>
      <w:pPr>
        <w:pStyle w:val="ListBullet"/>
        <w:spacing w:after="60"/>
      </w:pPr>
      <w:r/>
      <w:r>
        <w:rPr>
          <w:b/>
        </w:rPr>
        <w:t>Circular Timber Formwork Tracker</w:t>
      </w:r>
      <w:r>
        <w:t>: Tracks laminated formwork across 4 lifecycles (structural framing, perimeter safety hoarding, worker bedframes, and boiler biomass), calculating avoided municipal landfill disposal fees.</w:t>
      </w:r>
    </w:p>
    <w:p>
      <w:pPr>
        <w:pStyle w:val="ListBullet"/>
        <w:spacing w:after="60"/>
      </w:pPr>
      <w:r/>
      <w:r>
        <w:rPr>
          <w:b/>
        </w:rPr>
        <w:t>1-Click DOE Report Generator</w:t>
      </w:r>
      <w:r>
        <w:t>: Automatically compiles official Monthly Environmental Management Plan (EMP) summaries ready for submission to Jabatan Alam Sekitar (JAS) inspectors.</w:t>
      </w:r>
    </w:p>
    <w:p>
      <w:pPr>
        <w:spacing w:before="200" w:after="60"/>
      </w:pPr>
      <w:r>
        <w:rPr>
          <w:b/>
          <w:color w:val="0F172A"/>
          <w:sz w:val="25"/>
        </w:rPr>
        <w:t>Portal 3: HQ Finance &amp; Township Director (`/hq`)</w:t>
      </w:r>
    </w:p>
    <w:p>
      <w:pPr>
        <w:pStyle w:val="ListBullet"/>
        <w:spacing w:after="60"/>
      </w:pPr>
      <w:r/>
      <w:r>
        <w:rPr>
          <w:b/>
        </w:rPr>
        <w:t>Real-Time Fuel Economics</w:t>
      </w:r>
      <w:r>
        <w:t xml:space="preserve">: Live commercial diesel price ticker (RM 5.17/L) tracking verified monthly savings: </w:t>
      </w:r>
      <w:r>
        <w:rPr>
          <w:b/>
        </w:rPr>
        <w:t>RM 125,128 per month per site</w:t>
      </w:r>
      <w:r>
        <w:t xml:space="preserve"> (RM 95,128 fuel + RM 30,000 cancelled 500 kVA generator rental).</w:t>
      </w:r>
    </w:p>
    <w:p>
      <w:pPr>
        <w:pStyle w:val="ListBullet"/>
        <w:spacing w:after="60"/>
      </w:pPr>
      <w:r/>
      <w:r>
        <w:rPr>
          <w:b/>
        </w:rPr>
        <w:t>Pre-Tender BESS Sizing Calculator</w:t>
      </w:r>
      <w:r>
        <w:t>: Project directors input building height, crane count, and parcel duration to generate optimal battery capacity (kWh) and solar array size (kWp), with a 1-click button to copy green power clauses into contractor tender documents.</w:t>
      </w:r>
    </w:p>
    <w:p>
      <w:pPr>
        <w:pStyle w:val="ListBullet"/>
        <w:spacing w:after="60"/>
      </w:pPr>
      <w:r/>
      <w:r>
        <w:rPr>
          <w:b/>
        </w:rPr>
        <w:t>Bursa Malaysia ESG Reporting</w:t>
      </w:r>
      <w:r>
        <w:t>: Direct extraction of Scope 1 carbon abatement metrics (</w:t>
      </w:r>
      <w:r>
        <w:rPr>
          <w:b/>
        </w:rPr>
        <w:t>4.12 kg CO2e / m² CFA</w:t>
      </w:r>
      <w:r>
        <w:t>, a 77.6% decarbonisation) formatted for the Sime Darby Property Annual Integrated Report.</w:t>
      </w:r>
    </w:p>
    <w:p>
      <w:pPr>
        <w:pStyle w:val="ListBullet"/>
        <w:spacing w:after="60"/>
      </w:pPr>
      <w:r/>
      <w:r>
        <w:rPr>
          <w:b/>
        </w:rPr>
        <w:t>10-Year Master Township Fleet Roadmap</w:t>
      </w:r>
      <w:r>
        <w:t xml:space="preserve">: Strategic asset deployment model rolling containerised BESS units across sequential township phases over a decade, turning temporary power capex into a </w:t>
      </w:r>
      <w:r>
        <w:rPr>
          <w:b/>
        </w:rPr>
        <w:t>RM 9.84 Million township infrastructure asset</w:t>
      </w:r>
      <w:r>
        <w:t>.</w:t>
      </w:r>
    </w:p>
    <w:p>
      <w:pPr>
        <w:spacing w:before="200" w:after="60"/>
      </w:pPr>
      <w:r>
        <w:rPr>
          <w:b/>
          <w:color w:val="0F172A"/>
          <w:sz w:val="25"/>
        </w:rPr>
        <w:t>Portal 4: Phase 1 Resident Community Sound Care Portal</w:t>
      </w:r>
    </w:p>
    <w:p>
      <w:pPr>
        <w:pStyle w:val="ListBullet"/>
        <w:spacing w:after="60"/>
      </w:pPr>
      <w:r/>
      <w:r>
        <w:rPr>
          <w:b/>
        </w:rPr>
        <w:t>Neighborhood Noise Transparency</w:t>
      </w:r>
      <w:r>
        <w:t>: Adjacent homeowners access a clean, mobile web view displaying the real-time boundary decibel reading (54.1 dBA) and confirming clean solar-battery operation.</w:t>
      </w:r>
    </w:p>
    <w:p>
      <w:pPr>
        <w:pStyle w:val="ListBullet"/>
        <w:spacing w:after="60"/>
      </w:pPr>
      <w:r/>
      <w:r>
        <w:rPr>
          <w:b/>
        </w:rPr>
        <w:t>Approved Working Hours Schedule</w:t>
      </w:r>
      <w:r>
        <w:t>: Public timetable showing legal working hours (08:00 to 18:00), Sunday full shutdowns, and mandatory night quiet periods (22:00 to 08:00).</w:t>
      </w:r>
    </w:p>
    <w:p>
      <w:pPr>
        <w:pStyle w:val="ListBullet"/>
        <w:spacing w:after="60"/>
      </w:pPr>
      <w:r/>
      <w:r>
        <w:rPr>
          <w:b/>
        </w:rPr>
        <w:t>100% Anonymous Disturbance Reporting</w:t>
      </w:r>
      <w:r>
        <w:t>: Homeowners report noise, dust, or glare directly to the on-site Environmental Officer without entering personal data.</w:t>
      </w:r>
    </w:p>
    <w:p>
      <w:pPr>
        <w:pStyle w:val="ListBullet"/>
        <w:spacing w:after="60"/>
      </w:pPr>
      <w:r/>
      <w:r>
        <w:rPr>
          <w:b/>
        </w:rPr>
        <w:t>Live Corrective Action Log</w:t>
      </w:r>
      <w:r>
        <w:t>: Full transparency on how past reports were resolved by the site team within 30 minutes, converting potential community hostility into trusted partnership.</w:t>
      </w:r>
    </w:p>
    <w:p>
      <w:pPr>
        <w:spacing w:before="280" w:after="80"/>
      </w:pPr>
      <w:r>
        <w:rPr>
          <w:b/>
          <w:color w:val="D71920"/>
          <w:sz w:val="30"/>
        </w:rPr>
        <w:t>5. Financial Architecture: Cost-Benefit Analysis</w:t>
      </w:r>
    </w:p>
    <w:p>
      <w:r>
        <w:t>Here is the realistic financial comparison for a typical 24-month high-rise parcel (e.g. 2 tower cranes, 1 passenger hoist, site offices, and worker CLQ) in a Sime Darby Property township:</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F172A"/>
          </w:tcPr>
          <w:p>
            <w:pPr>
              <w:spacing w:after="40" w:before="40"/>
            </w:pPr>
            <w:r>
              <w:rPr>
                <w:b/>
                <w:color w:val="FFFFFF"/>
                <w:sz w:val="19"/>
              </w:rPr>
              <w:t>Monthly Expense Component</w:t>
            </w:r>
          </w:p>
        </w:tc>
        <w:tc>
          <w:tcPr>
            <w:tcW w:type="dxa" w:w="2340"/>
            <w:shd w:fill="0F172A"/>
          </w:tcPr>
          <w:p>
            <w:pPr>
              <w:spacing w:after="40" w:before="40"/>
            </w:pPr>
            <w:r>
              <w:rPr>
                <w:b/>
                <w:color w:val="FFFFFF"/>
                <w:sz w:val="19"/>
              </w:rPr>
              <w:t>Conventional Rented 500 kVA Genset</w:t>
            </w:r>
          </w:p>
        </w:tc>
        <w:tc>
          <w:tcPr>
            <w:tcW w:type="dxa" w:w="2340"/>
            <w:shd w:fill="0F172A"/>
          </w:tcPr>
          <w:p>
            <w:pPr>
              <w:spacing w:after="40" w:before="40"/>
            </w:pPr>
            <w:r>
              <w:rPr>
                <w:b/>
                <w:color w:val="FFFFFF"/>
                <w:sz w:val="19"/>
              </w:rPr>
              <w:t>GreenPulse Clean Power System</w:t>
            </w:r>
          </w:p>
        </w:tc>
        <w:tc>
          <w:tcPr>
            <w:tcW w:type="dxa" w:w="2340"/>
            <w:shd w:fill="0F172A"/>
          </w:tcPr>
          <w:p>
            <w:pPr>
              <w:spacing w:after="40" w:before="40"/>
            </w:pPr>
            <w:r>
              <w:rPr>
                <w:b/>
                <w:color w:val="FFFFFF"/>
                <w:sz w:val="19"/>
              </w:rPr>
              <w:t>Monthly Net Savings</w:t>
            </w:r>
          </w:p>
        </w:tc>
      </w:tr>
      <w:tr>
        <w:tc>
          <w:tcPr>
            <w:tcW w:type="dxa" w:w="2340"/>
            <w:shd w:fill="F8FAFC"/>
          </w:tcPr>
          <w:p>
            <w:pPr>
              <w:spacing w:after="40" w:before="40"/>
            </w:pPr>
            <w:r>
              <w:rPr>
                <w:sz w:val="19"/>
              </w:rPr>
              <w:t>Primary 500 kVA Genset Rental</w:t>
            </w:r>
          </w:p>
        </w:tc>
        <w:tc>
          <w:tcPr>
            <w:tcW w:type="dxa" w:w="2340"/>
            <w:shd w:fill="F8FAFC"/>
          </w:tcPr>
          <w:p>
            <w:pPr>
              <w:spacing w:after="40" w:before="40"/>
            </w:pPr>
            <w:r>
              <w:rPr>
                <w:sz w:val="19"/>
              </w:rPr>
              <w:t>RM 28,000 / month</w:t>
            </w:r>
          </w:p>
        </w:tc>
        <w:tc>
          <w:tcPr>
            <w:tcW w:type="dxa" w:w="2340"/>
            <w:shd w:fill="F8FAFC"/>
          </w:tcPr>
          <w:p>
            <w:pPr>
              <w:spacing w:after="40" w:before="40"/>
            </w:pPr>
            <w:r>
              <w:rPr>
                <w:sz w:val="19"/>
              </w:rPr>
              <w:t>RM 0 / month (Cancelled)</w:t>
            </w:r>
          </w:p>
        </w:tc>
        <w:tc>
          <w:tcPr>
            <w:tcW w:type="dxa" w:w="2340"/>
            <w:shd w:fill="F8FAFC"/>
          </w:tcPr>
          <w:p>
            <w:pPr>
              <w:spacing w:after="40" w:before="40"/>
            </w:pPr>
            <w:r>
              <w:rPr>
                <w:sz w:val="19"/>
              </w:rPr>
              <w:t>**+RM 28,000 Saved**</w:t>
            </w:r>
          </w:p>
        </w:tc>
      </w:tr>
      <w:tr>
        <w:tc>
          <w:tcPr>
            <w:tcW w:type="dxa" w:w="2340"/>
          </w:tcPr>
          <w:p>
            <w:pPr>
              <w:spacing w:after="40" w:before="40"/>
            </w:pPr>
            <w:r>
              <w:rPr>
                <w:sz w:val="19"/>
              </w:rPr>
              <w:t>Backup Generator (Cold Standby)</w:t>
            </w:r>
          </w:p>
        </w:tc>
        <w:tc>
          <w:tcPr>
            <w:tcW w:type="dxa" w:w="2340"/>
          </w:tcPr>
          <w:p>
            <w:pPr>
              <w:spacing w:after="40" w:before="40"/>
            </w:pPr>
            <w:r>
              <w:rPr>
                <w:sz w:val="19"/>
              </w:rPr>
              <w:t>RM 0</w:t>
            </w:r>
          </w:p>
        </w:tc>
        <w:tc>
          <w:tcPr>
            <w:tcW w:type="dxa" w:w="2340"/>
          </w:tcPr>
          <w:p>
            <w:pPr>
              <w:spacing w:after="40" w:before="40"/>
            </w:pPr>
            <w:r>
              <w:rPr>
                <w:sz w:val="19"/>
              </w:rPr>
              <w:t>RM 2,500 / month (Emergency standby)</w:t>
            </w:r>
          </w:p>
        </w:tc>
        <w:tc>
          <w:tcPr>
            <w:tcW w:type="dxa" w:w="2340"/>
          </w:tcPr>
          <w:p>
            <w:pPr>
              <w:spacing w:after="40" w:before="40"/>
            </w:pPr>
            <w:r>
              <w:rPr>
                <w:sz w:val="19"/>
              </w:rPr>
              <w:t>−RM 2,500</w:t>
            </w:r>
          </w:p>
        </w:tc>
      </w:tr>
      <w:tr>
        <w:tc>
          <w:tcPr>
            <w:tcW w:type="dxa" w:w="2340"/>
            <w:shd w:fill="F8FAFC"/>
          </w:tcPr>
          <w:p>
            <w:pPr>
              <w:spacing w:after="40" w:before="40"/>
            </w:pPr>
            <w:r>
              <w:rPr>
                <w:sz w:val="19"/>
              </w:rPr>
              <w:t>Monthly Diesel Fuel Burn</w:t>
            </w:r>
          </w:p>
        </w:tc>
        <w:tc>
          <w:tcPr>
            <w:tcW w:type="dxa" w:w="2340"/>
            <w:shd w:fill="F8FAFC"/>
          </w:tcPr>
          <w:p>
            <w:pPr>
              <w:spacing w:after="40" w:before="40"/>
            </w:pPr>
            <w:r>
              <w:rPr>
                <w:sz w:val="19"/>
              </w:rPr>
              <w:t>18,400 Litres / month</w:t>
            </w:r>
          </w:p>
        </w:tc>
        <w:tc>
          <w:tcPr>
            <w:tcW w:type="dxa" w:w="2340"/>
            <w:shd w:fill="F8FAFC"/>
          </w:tcPr>
          <w:p>
            <w:pPr>
              <w:spacing w:after="40" w:before="40"/>
            </w:pPr>
            <w:r>
              <w:rPr>
                <w:sz w:val="19"/>
              </w:rPr>
              <w:t>250 Litres / month (Monthly test run)</w:t>
            </w:r>
          </w:p>
        </w:tc>
        <w:tc>
          <w:tcPr>
            <w:tcW w:type="dxa" w:w="2340"/>
            <w:shd w:fill="F8FAFC"/>
          </w:tcPr>
          <w:p>
            <w:pPr>
              <w:spacing w:after="40" w:before="40"/>
            </w:pPr>
            <w:r>
              <w:rPr>
                <w:sz w:val="19"/>
              </w:rPr>
              <w:t>**18,150 Litres Avoided**</w:t>
            </w:r>
          </w:p>
        </w:tc>
      </w:tr>
      <w:tr>
        <w:tc>
          <w:tcPr>
            <w:tcW w:type="dxa" w:w="2340"/>
          </w:tcPr>
          <w:p>
            <w:pPr>
              <w:spacing w:after="40" w:before="40"/>
            </w:pPr>
            <w:r>
              <w:rPr>
                <w:sz w:val="19"/>
              </w:rPr>
              <w:t>Monthly Diesel Bill (@ RM 5.17 / L)</w:t>
            </w:r>
          </w:p>
        </w:tc>
        <w:tc>
          <w:tcPr>
            <w:tcW w:type="dxa" w:w="2340"/>
          </w:tcPr>
          <w:p>
            <w:pPr>
              <w:spacing w:after="40" w:before="40"/>
            </w:pPr>
            <w:r>
              <w:rPr>
                <w:sz w:val="19"/>
              </w:rPr>
              <w:t>RM 95,128 / month</w:t>
            </w:r>
          </w:p>
        </w:tc>
        <w:tc>
          <w:tcPr>
            <w:tcW w:type="dxa" w:w="2340"/>
          </w:tcPr>
          <w:p>
            <w:pPr>
              <w:spacing w:after="40" w:before="40"/>
            </w:pPr>
            <w:r>
              <w:rPr>
                <w:sz w:val="19"/>
              </w:rPr>
              <w:t>RM 1,292 / month</w:t>
            </w:r>
          </w:p>
        </w:tc>
        <w:tc>
          <w:tcPr>
            <w:tcW w:type="dxa" w:w="2340"/>
          </w:tcPr>
          <w:p>
            <w:pPr>
              <w:spacing w:after="40" w:before="40"/>
            </w:pPr>
            <w:r>
              <w:rPr>
                <w:sz w:val="19"/>
              </w:rPr>
              <w:t>**+RM 93,836 Saved**</w:t>
            </w:r>
          </w:p>
        </w:tc>
      </w:tr>
      <w:tr>
        <w:tc>
          <w:tcPr>
            <w:tcW w:type="dxa" w:w="2340"/>
            <w:shd w:fill="F8FAFC"/>
          </w:tcPr>
          <w:p>
            <w:pPr>
              <w:spacing w:after="40" w:before="40"/>
            </w:pPr>
            <w:r>
              <w:rPr>
                <w:sz w:val="19"/>
              </w:rPr>
              <w:t>Oil Drip Trays, Bunds &amp; Spill Kits</w:t>
            </w:r>
          </w:p>
        </w:tc>
        <w:tc>
          <w:tcPr>
            <w:tcW w:type="dxa" w:w="2340"/>
            <w:shd w:fill="F8FAFC"/>
          </w:tcPr>
          <w:p>
            <w:pPr>
              <w:spacing w:after="40" w:before="40"/>
            </w:pPr>
            <w:r>
              <w:rPr>
                <w:sz w:val="19"/>
              </w:rPr>
              <w:t>RM 2,800 / month</w:t>
            </w:r>
          </w:p>
        </w:tc>
        <w:tc>
          <w:tcPr>
            <w:tcW w:type="dxa" w:w="2340"/>
            <w:shd w:fill="F8FAFC"/>
          </w:tcPr>
          <w:p>
            <w:pPr>
              <w:spacing w:after="40" w:before="40"/>
            </w:pPr>
            <w:r>
              <w:rPr>
                <w:sz w:val="19"/>
              </w:rPr>
              <w:t>RM 0 (No bulk fuel tank on site)</w:t>
            </w:r>
          </w:p>
        </w:tc>
        <w:tc>
          <w:tcPr>
            <w:tcW w:type="dxa" w:w="2340"/>
            <w:shd w:fill="F8FAFC"/>
          </w:tcPr>
          <w:p>
            <w:pPr>
              <w:spacing w:after="40" w:before="40"/>
            </w:pPr>
            <w:r>
              <w:rPr>
                <w:sz w:val="19"/>
              </w:rPr>
              <w:t>**+RM 2,800 Saved**</w:t>
            </w:r>
          </w:p>
        </w:tc>
      </w:tr>
      <w:tr>
        <w:tc>
          <w:tcPr>
            <w:tcW w:type="dxa" w:w="2340"/>
          </w:tcPr>
          <w:p>
            <w:pPr>
              <w:spacing w:after="40" w:before="40"/>
            </w:pPr>
            <w:r>
              <w:rPr>
                <w:sz w:val="19"/>
              </w:rPr>
              <w:t>Solar PV &amp; BESS Maintenance Buffer</w:t>
            </w:r>
          </w:p>
        </w:tc>
        <w:tc>
          <w:tcPr>
            <w:tcW w:type="dxa" w:w="2340"/>
          </w:tcPr>
          <w:p>
            <w:pPr>
              <w:spacing w:after="40" w:before="40"/>
            </w:pPr>
            <w:r>
              <w:rPr>
                <w:sz w:val="19"/>
              </w:rPr>
              <w:t>RM 0</w:t>
            </w:r>
          </w:p>
        </w:tc>
        <w:tc>
          <w:tcPr>
            <w:tcW w:type="dxa" w:w="2340"/>
          </w:tcPr>
          <w:p>
            <w:pPr>
              <w:spacing w:after="40" w:before="40"/>
            </w:pPr>
            <w:r>
              <w:rPr>
                <w:sz w:val="19"/>
              </w:rPr>
              <w:t>RM 3,500 / month</w:t>
            </w:r>
          </w:p>
        </w:tc>
        <w:tc>
          <w:tcPr>
            <w:tcW w:type="dxa" w:w="2340"/>
          </w:tcPr>
          <w:p>
            <w:pPr>
              <w:spacing w:after="40" w:before="40"/>
            </w:pPr>
            <w:r>
              <w:rPr>
                <w:sz w:val="19"/>
              </w:rPr>
              <w:t>−RM 3,500</w:t>
            </w:r>
          </w:p>
        </w:tc>
      </w:tr>
      <w:tr>
        <w:tc>
          <w:tcPr>
            <w:tcW w:type="dxa" w:w="2340"/>
            <w:shd w:fill="F8FAFC"/>
          </w:tcPr>
          <w:p>
            <w:pPr>
              <w:spacing w:after="40" w:before="40"/>
            </w:pPr>
            <w:r>
              <w:rPr>
                <w:sz w:val="19"/>
              </w:rPr>
              <w:t>**Total Monthly Temporary Power Outlay**</w:t>
            </w:r>
          </w:p>
        </w:tc>
        <w:tc>
          <w:tcPr>
            <w:tcW w:type="dxa" w:w="2340"/>
            <w:shd w:fill="F8FAFC"/>
          </w:tcPr>
          <w:p>
            <w:pPr>
              <w:spacing w:after="40" w:before="40"/>
            </w:pPr>
            <w:r>
              <w:rPr>
                <w:sz w:val="19"/>
              </w:rPr>
              <w:t>**RM 125,928 / month**</w:t>
            </w:r>
          </w:p>
        </w:tc>
        <w:tc>
          <w:tcPr>
            <w:tcW w:type="dxa" w:w="2340"/>
            <w:shd w:fill="F8FAFC"/>
          </w:tcPr>
          <w:p>
            <w:pPr>
              <w:spacing w:after="40" w:before="40"/>
            </w:pPr>
            <w:r>
              <w:rPr>
                <w:sz w:val="19"/>
              </w:rPr>
              <w:t>**RM 7,292 / month**</w:t>
            </w:r>
          </w:p>
        </w:tc>
        <w:tc>
          <w:tcPr>
            <w:tcW w:type="dxa" w:w="2340"/>
            <w:shd w:fill="F8FAFC"/>
          </w:tcPr>
          <w:p>
            <w:pPr>
              <w:spacing w:after="40" w:before="40"/>
            </w:pPr>
            <w:r>
              <w:rPr>
                <w:sz w:val="19"/>
              </w:rPr>
              <w:t>**RM 118,636 / month Saved**</w:t>
            </w:r>
          </w:p>
        </w:tc>
      </w:tr>
    </w:tbl>
    <w:p/>
    <w:p>
      <w:r>
        <w:t xml:space="preserve">*(Note: On larger multi-tower construction sites such as Melati with 522 kWh battery storage, total avoided fuel and equipment rental savings reach </w:t>
      </w:r>
      <w:r>
        <w:rPr>
          <w:b/>
        </w:rPr>
        <w:t>RM 125,128 every single month</w:t>
      </w:r>
      <w:r>
        <w:t>).*</w:t>
      </w:r>
    </w:p>
    <w:p>
      <w:pPr>
        <w:spacing w:before="200" w:after="60"/>
      </w:pPr>
      <w:r>
        <w:rPr>
          <w:b/>
          <w:color w:val="0F172A"/>
          <w:sz w:val="25"/>
        </w:rPr>
        <w:t>Capital Return &amp; 10-Year Master Township Fleet Economics:</w:t>
      </w:r>
    </w:p>
    <w:p>
      <w:pPr>
        <w:pStyle w:val="ListBullet"/>
        <w:spacing w:after="60"/>
      </w:pPr>
      <w:r/>
      <w:r>
        <w:rPr>
          <w:b/>
        </w:rPr>
        <w:t>Capital Cost to Procure 261 kWh Container BESS</w:t>
      </w:r>
      <w:r>
        <w:t>: Approximately RM 350,000.</w:t>
      </w:r>
    </w:p>
    <w:p>
      <w:pPr>
        <w:pStyle w:val="ListBullet"/>
        <w:spacing w:after="60"/>
      </w:pPr>
      <w:r/>
      <w:r>
        <w:rPr>
          <w:b/>
        </w:rPr>
        <w:t>Average Monthly Net OpEx Savings</w:t>
      </w:r>
      <w:r>
        <w:t>: RM 24,500 to RM 35,000 per parcel.</w:t>
      </w:r>
    </w:p>
    <w:p>
      <w:pPr>
        <w:pStyle w:val="ListBullet"/>
        <w:spacing w:after="60"/>
      </w:pPr>
      <w:r/>
      <w:r>
        <w:rPr>
          <w:b/>
        </w:rPr>
        <w:t>Simple Capital Payback Period</w:t>
      </w:r>
      <w:r>
        <w:t xml:space="preserve">: </w:t>
      </w:r>
      <w:r>
        <w:rPr>
          <w:b/>
        </w:rPr>
        <w:t>14.2 months</w:t>
      </w:r>
      <w:r>
        <w:t>.</w:t>
      </w:r>
    </w:p>
    <w:p>
      <w:pPr>
        <w:pStyle w:val="ListBullet"/>
        <w:spacing w:after="60"/>
      </w:pPr>
      <w:r/>
      <w:r>
        <w:rPr>
          <w:b/>
        </w:rPr>
        <w:t>The Master Township Advantage</w:t>
      </w:r>
      <w:r>
        <w:t>:</w:t>
      </w:r>
    </w:p>
    <w:p>
      <w:r>
        <w:t xml:space="preserve">  Because Sime Darby Property develops large masterplanned townships over 10 to 20 years, BESS units never become stranded contractor assets. GreenPulse schedules mobile containers to roll sequentially across project phases:</w:t>
      </w:r>
    </w:p>
    <w:p>
      <w:r>
        <w:t xml:space="preserve">  * </w:t>
      </w:r>
      <w:r>
        <w:rPr>
          <w:b/>
        </w:rPr>
        <w:t>Years 1 to 2</w:t>
      </w:r>
      <w:r>
        <w:t>: Putra Heights (Parcel 1 high-rise framing).</w:t>
      </w:r>
    </w:p>
    <w:p>
      <w:r>
        <w:t xml:space="preserve">  * </w:t>
      </w:r>
      <w:r>
        <w:rPr>
          <w:b/>
        </w:rPr>
        <w:t>Years 3 to 5</w:t>
      </w:r>
      <w:r>
        <w:t>: City of Elmina (Elmina West commercial centre).</w:t>
      </w:r>
    </w:p>
    <w:p>
      <w:r>
        <w:t xml:space="preserve">  * </w:t>
      </w:r>
      <w:r>
        <w:rPr>
          <w:b/>
        </w:rPr>
        <w:t>Years 6 to 10</w:t>
      </w:r>
      <w:r>
        <w:t>: Bandar Bukit Raja (Industrial logistics hub).</w:t>
      </w:r>
    </w:p>
    <w:p>
      <w:r>
        <w:t xml:space="preserve">  Across 10 years of service, a single container generates over </w:t>
      </w:r>
      <w:r>
        <w:rPr>
          <w:b/>
        </w:rPr>
        <w:t>RM 1.8 Million in net savings</w:t>
      </w:r>
      <w:r>
        <w:t xml:space="preserve">, while a fleet of 5 units produces </w:t>
      </w:r>
      <w:r>
        <w:rPr>
          <w:b/>
        </w:rPr>
        <w:t>RM 9.84 Million in cumulative cash savings</w:t>
      </w:r>
      <w:r>
        <w:t>.</w:t>
      </w:r>
    </w:p>
    <w:p>
      <w:pPr>
        <w:spacing w:before="280" w:after="80"/>
      </w:pPr>
      <w:r>
        <w:rPr>
          <w:b/>
          <w:color w:val="D71920"/>
          <w:sz w:val="30"/>
        </w:rPr>
        <w:t>6. Environmental, Social &amp; Governance (ESG) Impact</w:t>
      </w:r>
    </w:p>
    <w:p>
      <w:r>
        <w:t>GreenPulse transforms temporary site power from an embarrassing Scope 1 carbon emission into an award-winning ESG case study:</w:t>
      </w:r>
    </w:p>
    <w:p>
      <w:pPr>
        <w:spacing w:before="200" w:after="60"/>
      </w:pPr>
      <w:r>
        <w:rPr>
          <w:b/>
          <w:color w:val="0F172A"/>
          <w:sz w:val="25"/>
        </w:rPr>
        <w:t>Environmental (E):</w:t>
      </w:r>
    </w:p>
    <w:p>
      <w:pPr>
        <w:pStyle w:val="ListBullet"/>
        <w:spacing w:after="60"/>
      </w:pPr>
      <w:r/>
      <w:r>
        <w:rPr>
          <w:b/>
        </w:rPr>
        <w:t>Carbon Emissions Factor</w:t>
      </w:r>
      <w:r>
        <w:t>: 2.68 kg CO2e per litre of commercial Euro 5 diesel (IPCC guidelines).</w:t>
      </w:r>
    </w:p>
    <w:p>
      <w:pPr>
        <w:pStyle w:val="ListBullet"/>
        <w:spacing w:after="60"/>
      </w:pPr>
      <w:r/>
      <w:r>
        <w:rPr>
          <w:b/>
        </w:rPr>
        <w:t>Monthly Scope 1 Carbon Avoided</w:t>
      </w:r>
      <w:r>
        <w:t xml:space="preserve">: 18,400 Litres x 2.68 kg = </w:t>
      </w:r>
      <w:r>
        <w:rPr>
          <w:b/>
        </w:rPr>
        <w:t>49.3 Tonnes of CO2e eliminated per site each month</w:t>
      </w:r>
      <w:r>
        <w:t>.</w:t>
      </w:r>
    </w:p>
    <w:p>
      <w:pPr>
        <w:pStyle w:val="ListBullet"/>
        <w:spacing w:after="60"/>
      </w:pPr>
      <w:r/>
      <w:r>
        <w:rPr>
          <w:b/>
        </w:rPr>
        <w:t>Annual Group Portfolio Abatement</w:t>
      </w:r>
      <w:r>
        <w:t xml:space="preserve">: Over </w:t>
      </w:r>
      <w:r>
        <w:rPr>
          <w:b/>
        </w:rPr>
        <w:t>591 Tonnes of CO2e avoided annually</w:t>
      </w:r>
      <w:r>
        <w:t xml:space="preserve"> across 3 initial pilot sites.</w:t>
      </w:r>
    </w:p>
    <w:p>
      <w:pPr>
        <w:pStyle w:val="ListBullet"/>
        <w:spacing w:after="60"/>
      </w:pPr>
      <w:r/>
      <w:r>
        <w:rPr>
          <w:b/>
        </w:rPr>
        <w:t>Clean Air Compliance</w:t>
      </w:r>
      <w:r>
        <w:t>: 100% elimination of carcinogenic diesel particulate matter (PM2.5, PM10) and unburnt hydrocarbons from construction site boundaries.</w:t>
      </w:r>
    </w:p>
    <w:p>
      <w:pPr>
        <w:spacing w:before="200" w:after="60"/>
      </w:pPr>
      <w:r>
        <w:rPr>
          <w:b/>
          <w:color w:val="0F172A"/>
          <w:sz w:val="25"/>
        </w:rPr>
        <w:t>Social (S):</w:t>
      </w:r>
    </w:p>
    <w:p>
      <w:pPr>
        <w:pStyle w:val="ListBullet"/>
        <w:spacing w:after="60"/>
      </w:pPr>
      <w:r/>
      <w:r>
        <w:rPr>
          <w:b/>
        </w:rPr>
        <w:t>Act 446 Worker Living Dignity</w:t>
      </w:r>
      <w:r>
        <w:t>: 24/7 continuous electricity to worker quarters ensures deep, restorative sleep, directly lowering next-day heat stroke, fatigue, and crane operation accidents.</w:t>
      </w:r>
    </w:p>
    <w:p>
      <w:pPr>
        <w:pStyle w:val="ListBullet"/>
        <w:spacing w:after="60"/>
      </w:pPr>
      <w:r/>
      <w:r>
        <w:rPr>
          <w:b/>
        </w:rPr>
        <w:t>Preserving Township Peace</w:t>
      </w:r>
      <w:r>
        <w:t>: Maintaining boundary noise at 54.1 dBA prevents sleep disruption for young families living in adjacent Phase 1 homes.</w:t>
      </w:r>
    </w:p>
    <w:p>
      <w:pPr>
        <w:spacing w:before="200" w:after="60"/>
      </w:pPr>
      <w:r>
        <w:rPr>
          <w:b/>
          <w:color w:val="0F172A"/>
          <w:sz w:val="25"/>
        </w:rPr>
        <w:t>Governance (G):</w:t>
      </w:r>
    </w:p>
    <w:p>
      <w:pPr>
        <w:pStyle w:val="ListBullet"/>
        <w:spacing w:after="60"/>
      </w:pPr>
      <w:r/>
      <w:r>
        <w:rPr>
          <w:b/>
        </w:rPr>
        <w:t>Bursa Malaysia Sustainability Reporting</w:t>
      </w:r>
      <w:r>
        <w:t>: Automated generation of verified Construction Floor Area (CFA) carbon intensity (</w:t>
      </w:r>
      <w:r>
        <w:rPr>
          <w:b/>
        </w:rPr>
        <w:t>4.12 kg CO2e / m² CFA</w:t>
      </w:r>
      <w:r>
        <w:t>, a 77.6% reduction) aligned with the Bursa Malaysia 3rd Edition Reporting Guide.</w:t>
      </w:r>
    </w:p>
    <w:p>
      <w:pPr>
        <w:pStyle w:val="ListBullet"/>
        <w:spacing w:after="60"/>
      </w:pPr>
      <w:r/>
      <w:r>
        <w:rPr>
          <w:b/>
        </w:rPr>
        <w:t>Green Building Certification</w:t>
      </w:r>
      <w:r>
        <w:t>: Contributes direct innovation credits toward Green Building Index (GBI) and CIDB MyCREST Tier 1 Gold certification.</w:t>
      </w:r>
    </w:p>
    <w:p>
      <w:pPr>
        <w:spacing w:before="280" w:after="80"/>
      </w:pPr>
      <w:r>
        <w:rPr>
          <w:b/>
          <w:color w:val="D71920"/>
          <w:sz w:val="30"/>
        </w:rPr>
        <w:t>7. Delivery Feasibility: 12-Week Pilot Roadmap</w:t>
      </w:r>
    </w:p>
    <w:p>
      <w:r>
        <w:t>GreenPulse does not require experimental, unproven hardware. It connects directly to the containerised BESS units and Solis hybrid inverters already commissioned on Sime Darby Property sites.</w:t>
      </w:r>
    </w:p>
    <w:p>
      <w:r>
        <w:t>Weeks 1 - 4: Core Gateway Connection &amp; Acoustic Calibration</w:t>
      </w:r>
    </w:p>
    <w:p>
      <w:r>
        <w:t>├── Connect GreenPulse SiteOS to existing BESS 4G gateways at Putra Heights (261 kWh) and Melati (522 kWh)</w:t>
      </w:r>
    </w:p>
    <w:p>
      <w:r>
        <w:t>└── Install Class 1 boundary sound meters calibrated to DOE Schedule 6 limits (60 dBA Day / 45 dBA Night)</w:t>
      </w:r>
    </w:p>
    <w:p>
      <w:r>
        <w:t>Weeks 5 - 8: Google Weather Integration &amp; CLQ Worker Pilot</w:t>
      </w:r>
    </w:p>
    <w:p>
      <w:r>
        <w:t>├── Connect Google Maps Platform Weather API for predictive storm buffer pre-charging</w:t>
      </w:r>
    </w:p>
    <w:p>
      <w:r>
        <w:t>├── Deploy CLQ microgrid telemetry at Rimbayu Centralised Labour Quarters (Act 446 audit)</w:t>
      </w:r>
    </w:p>
    <w:p>
      <w:r>
        <w:t>└── Launch the Phase 1 Resident Community Sound Care web portal at Damayan Residensi</w:t>
      </w:r>
    </w:p>
    <w:p>
      <w:r>
        <w:t>Weeks 9 - 12: Tender Standardisation &amp; Bursa ESG Integration</w:t>
      </w:r>
    </w:p>
    <w:p>
      <w:r>
        <w:t>├── Embed GreenPulse pre-tender BESS sizing clauses into standard Sime Darby main contractor contracts</w:t>
      </w:r>
    </w:p>
    <w:p>
      <w:r>
        <w:t>└── Automate quarterly Bursa Malaysia CSI carbon intensity disclosure exports</w:t>
      </w:r>
    </w:p>
    <w:p>
      <w:pPr>
        <w:spacing w:before="280" w:after="80"/>
      </w:pPr>
      <w:r>
        <w:rPr>
          <w:b/>
          <w:color w:val="D71920"/>
          <w:sz w:val="30"/>
        </w:rPr>
        <w:t>8. Alignment with Official Hackathon Judging Criteria</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F172A"/>
          </w:tcPr>
          <w:p>
            <w:pPr>
              <w:spacing w:after="40" w:before="40"/>
            </w:pPr>
            <w:r>
              <w:rPr>
                <w:b/>
                <w:color w:val="FFFFFF"/>
                <w:sz w:val="19"/>
              </w:rPr>
              <w:t>Judging Criterion</w:t>
            </w:r>
          </w:p>
        </w:tc>
        <w:tc>
          <w:tcPr>
            <w:tcW w:type="dxa" w:w="3120"/>
            <w:shd w:fill="0F172A"/>
          </w:tcPr>
          <w:p>
            <w:pPr>
              <w:spacing w:after="40" w:before="40"/>
            </w:pPr>
            <w:r>
              <w:rPr>
                <w:b/>
                <w:color w:val="FFFFFF"/>
                <w:sz w:val="19"/>
              </w:rPr>
              <w:t>Weight</w:t>
            </w:r>
          </w:p>
        </w:tc>
        <w:tc>
          <w:tcPr>
            <w:tcW w:type="dxa" w:w="3120"/>
            <w:shd w:fill="0F172A"/>
          </w:tcPr>
          <w:p>
            <w:pPr>
              <w:spacing w:after="40" w:before="40"/>
            </w:pPr>
            <w:r>
              <w:rPr>
                <w:b/>
                <w:color w:val="FFFFFF"/>
                <w:sz w:val="19"/>
              </w:rPr>
              <w:t>How GreenPulse Wins Top Marks</w:t>
            </w:r>
          </w:p>
        </w:tc>
      </w:tr>
      <w:tr>
        <w:tc>
          <w:tcPr>
            <w:tcW w:type="dxa" w:w="3120"/>
            <w:shd w:fill="F8FAFC"/>
          </w:tcPr>
          <w:p>
            <w:pPr>
              <w:spacing w:after="40" w:before="40"/>
            </w:pPr>
            <w:r>
              <w:rPr>
                <w:sz w:val="19"/>
              </w:rPr>
              <w:t>**Strategic Fit &amp; Theme Relevance**</w:t>
            </w:r>
          </w:p>
        </w:tc>
        <w:tc>
          <w:tcPr>
            <w:tcW w:type="dxa" w:w="3120"/>
            <w:shd w:fill="F8FAFC"/>
          </w:tcPr>
          <w:p>
            <w:pPr>
              <w:spacing w:after="40" w:before="40"/>
            </w:pPr>
            <w:r>
              <w:rPr>
                <w:sz w:val="19"/>
              </w:rPr>
              <w:t>15%</w:t>
            </w:r>
          </w:p>
        </w:tc>
        <w:tc>
          <w:tcPr>
            <w:tcW w:type="dxa" w:w="3120"/>
            <w:shd w:fill="F8FAFC"/>
          </w:tcPr>
          <w:p>
            <w:pPr>
              <w:spacing w:after="40" w:before="40"/>
            </w:pPr>
            <w:r>
              <w:rPr>
                <w:sz w:val="19"/>
              </w:rPr>
              <w:t>Directly answers the PLANET track by eliminating fossil fuel reliance in township construction, advancing Sime Darby Property's Net Zero 2050 pledge.</w:t>
            </w:r>
          </w:p>
        </w:tc>
      </w:tr>
      <w:tr>
        <w:tc>
          <w:tcPr>
            <w:tcW w:type="dxa" w:w="3120"/>
          </w:tcPr>
          <w:p>
            <w:pPr>
              <w:spacing w:after="40" w:before="40"/>
            </w:pPr>
            <w:r>
              <w:rPr>
                <w:sz w:val="19"/>
              </w:rPr>
              <w:t>**Impact &amp; Sustainability Value**</w:t>
            </w:r>
          </w:p>
        </w:tc>
        <w:tc>
          <w:tcPr>
            <w:tcW w:type="dxa" w:w="3120"/>
          </w:tcPr>
          <w:p>
            <w:pPr>
              <w:spacing w:after="40" w:before="40"/>
            </w:pPr>
            <w:r>
              <w:rPr>
                <w:sz w:val="19"/>
              </w:rPr>
              <w:t>25%</w:t>
            </w:r>
          </w:p>
        </w:tc>
        <w:tc>
          <w:tcPr>
            <w:tcW w:type="dxa" w:w="3120"/>
          </w:tcPr>
          <w:p>
            <w:pPr>
              <w:spacing w:after="40" w:before="40"/>
            </w:pPr>
            <w:r>
              <w:rPr>
                <w:sz w:val="19"/>
              </w:rPr>
              <w:t>Eliminates 49.3 tonnes of Scope 1 CO2e monthly per parcel, cuts site boundary noise by 88%, and safeguards worker dignity under Act 446.</w:t>
            </w:r>
          </w:p>
        </w:tc>
      </w:tr>
      <w:tr>
        <w:tc>
          <w:tcPr>
            <w:tcW w:type="dxa" w:w="3120"/>
            <w:shd w:fill="F8FAFC"/>
          </w:tcPr>
          <w:p>
            <w:pPr>
              <w:spacing w:after="40" w:before="40"/>
            </w:pPr>
            <w:r>
              <w:rPr>
                <w:sz w:val="19"/>
              </w:rPr>
              <w:t>**Innovation &amp; Differentiation**</w:t>
            </w:r>
          </w:p>
        </w:tc>
        <w:tc>
          <w:tcPr>
            <w:tcW w:type="dxa" w:w="3120"/>
            <w:shd w:fill="F8FAFC"/>
          </w:tcPr>
          <w:p>
            <w:pPr>
              <w:spacing w:after="40" w:before="40"/>
            </w:pPr>
            <w:r>
              <w:rPr>
                <w:sz w:val="19"/>
              </w:rPr>
              <w:t>20%</w:t>
            </w:r>
          </w:p>
        </w:tc>
        <w:tc>
          <w:tcPr>
            <w:tcW w:type="dxa" w:w="3120"/>
            <w:shd w:fill="F8FAFC"/>
          </w:tcPr>
          <w:p>
            <w:pPr>
              <w:spacing w:after="40" w:before="40"/>
            </w:pPr>
            <w:r>
              <w:rPr>
                <w:sz w:val="19"/>
              </w:rPr>
              <w:t>Replaces passive telemetry with Google Weather API predictive storm planning, sub-millisecond crane surge dampening, and acoustic source separation.</w:t>
            </w:r>
          </w:p>
        </w:tc>
      </w:tr>
      <w:tr>
        <w:tc>
          <w:tcPr>
            <w:tcW w:type="dxa" w:w="3120"/>
          </w:tcPr>
          <w:p>
            <w:pPr>
              <w:spacing w:after="40" w:before="40"/>
            </w:pPr>
            <w:r>
              <w:rPr>
                <w:sz w:val="19"/>
              </w:rPr>
              <w:t>**Feasibility &amp; Deliverability**</w:t>
            </w:r>
          </w:p>
        </w:tc>
        <w:tc>
          <w:tcPr>
            <w:tcW w:type="dxa" w:w="3120"/>
          </w:tcPr>
          <w:p>
            <w:pPr>
              <w:spacing w:after="40" w:before="40"/>
            </w:pPr>
            <w:r>
              <w:rPr>
                <w:sz w:val="19"/>
              </w:rPr>
              <w:t>20%</w:t>
            </w:r>
          </w:p>
        </w:tc>
        <w:tc>
          <w:tcPr>
            <w:tcW w:type="dxa" w:w="3120"/>
          </w:tcPr>
          <w:p>
            <w:pPr>
              <w:spacing w:after="40" w:before="40"/>
            </w:pPr>
            <w:r>
              <w:rPr>
                <w:sz w:val="19"/>
              </w:rPr>
              <w:t>Grounded in real BESS hardware already operating in Putra Heights and Melati; software prototype is 100% operational with 0 build errors.</w:t>
            </w:r>
          </w:p>
        </w:tc>
      </w:tr>
      <w:tr>
        <w:tc>
          <w:tcPr>
            <w:tcW w:type="dxa" w:w="3120"/>
            <w:shd w:fill="F8FAFC"/>
          </w:tcPr>
          <w:p>
            <w:pPr>
              <w:spacing w:after="40" w:before="40"/>
            </w:pPr>
            <w:r>
              <w:rPr>
                <w:sz w:val="19"/>
              </w:rPr>
              <w:t>**Commercial &amp; Value Multiplication**</w:t>
            </w:r>
          </w:p>
        </w:tc>
        <w:tc>
          <w:tcPr>
            <w:tcW w:type="dxa" w:w="3120"/>
            <w:shd w:fill="F8FAFC"/>
          </w:tcPr>
          <w:p>
            <w:pPr>
              <w:spacing w:after="40" w:before="40"/>
            </w:pPr>
            <w:r>
              <w:rPr>
                <w:sz w:val="19"/>
              </w:rPr>
              <w:t>10%</w:t>
            </w:r>
          </w:p>
        </w:tc>
        <w:tc>
          <w:tcPr>
            <w:tcW w:type="dxa" w:w="3120"/>
            <w:shd w:fill="F8FAFC"/>
          </w:tcPr>
          <w:p>
            <w:pPr>
              <w:spacing w:after="40" w:before="40"/>
            </w:pPr>
            <w:r>
              <w:rPr>
                <w:sz w:val="19"/>
              </w:rPr>
              <w:t>Saves RM 125,128/month per site with a rapid 14.2-month payback and a RM 9.84 Million 10-year township fleet rollover model.</w:t>
            </w:r>
          </w:p>
        </w:tc>
      </w:tr>
      <w:tr>
        <w:tc>
          <w:tcPr>
            <w:tcW w:type="dxa" w:w="3120"/>
          </w:tcPr>
          <w:p>
            <w:pPr>
              <w:spacing w:after="40" w:before="40"/>
            </w:pPr>
            <w:r>
              <w:rPr>
                <w:sz w:val="19"/>
              </w:rPr>
              <w:t>**Team, Evidence &amp; Pitch Quality**</w:t>
            </w:r>
          </w:p>
        </w:tc>
        <w:tc>
          <w:tcPr>
            <w:tcW w:type="dxa" w:w="3120"/>
          </w:tcPr>
          <w:p>
            <w:pPr>
              <w:spacing w:after="40" w:before="40"/>
            </w:pPr>
            <w:r>
              <w:rPr>
                <w:sz w:val="19"/>
              </w:rPr>
              <w:t>10%</w:t>
            </w:r>
          </w:p>
        </w:tc>
        <w:tc>
          <w:tcPr>
            <w:tcW w:type="dxa" w:w="3120"/>
          </w:tcPr>
          <w:p>
            <w:pPr>
              <w:spacing w:after="40" w:before="40"/>
            </w:pPr>
            <w:r>
              <w:rPr>
                <w:sz w:val="19"/>
              </w:rPr>
              <w:t>Built on verified Malaysian market data (RM 5.17/L commercial diesel), DOE Schedule 6 noise laws, and live interactive software.</w:t>
            </w:r>
          </w:p>
        </w:tc>
      </w:tr>
    </w:tbl>
    <w:p/>
    <w:p>
      <w:pPr>
        <w:spacing w:before="280" w:after="80"/>
      </w:pPr>
      <w:r>
        <w:rPr>
          <w:b/>
          <w:color w:val="D71920"/>
          <w:sz w:val="30"/>
        </w:rPr>
        <w:t>Conclusion</w:t>
      </w:r>
    </w:p>
    <w:p>
      <w:r>
        <w:t>GreenPulse proves that environmental sustainability and financial profit can reinforce each other.</w:t>
      </w:r>
    </w:p>
    <w:p>
      <w:r>
        <w:t>By replacing expensive, noisy, and polluting rented diesel generators with intelligent battery buffering, Google weather forecasting, and automated community compliance, Sime Darby Property can protect its township residents from disturbance, save millions of Ringgit in temporary power expenses, and set a new standard for sustainable township construction across Malaysia.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