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D71920"/>
          <w:sz w:val="44"/>
        </w:rPr>
        <w:t>GreenPulse: Clean Construction Power System</w:t>
      </w:r>
    </w:p>
    <w:p>
      <w:pPr>
        <w:spacing w:before="0" w:after="280"/>
      </w:pPr>
      <w:r>
        <w:rPr>
          <w:rFonts w:ascii="Calibri" w:hAnsi="Calibri"/>
          <w:b w:val="0"/>
          <w:i/>
          <w:color w:val="64748B"/>
          <w:sz w:val="24"/>
        </w:rPr>
        <w:t>Sime Darby Property University Hackathon 2026 (Planet Track) — Master System Guide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0F172A"/>
          <w:sz w:val="32"/>
        </w:rP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40" w:type="dxa"/>
              <w:bottom w:w="140" w:type="dxa how"/>
              <w:left w:w="180" w:type="dxa"/>
              <w:right w:w="180" w:type="dxa"/>
            </w:tcMar>
            <w:tcBorders>
              <w:top w:val="none"/>
              <w:left w:val="single" w:sz="24" w:space="0" w:color="D71920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D71920"/>
                <w:sz w:val="22"/>
              </w:rPr>
              <w:t xml:space="preserve">Core Concept: </w:t>
            </w:r>
            <w:r>
              <w:rPr>
                <w:rFonts w:ascii="Calibri" w:hAnsi="Calibri"/>
                <w:b w:val="0"/>
                <w:i w:val="0"/>
                <w:color w:val="1E293B"/>
                <w:sz w:val="22"/>
              </w:rPr>
              <w:t xml:space="preserve">GreenPulse is an intelligent clean energy management system for construction sites that completely replaces noisy, expensive diesel generators with </w:t>
            </w: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Solar Panels + Mobile Battery Storage (BESS) + EV Machinery</w:t>
            </w:r>
            <w:r>
              <w:rPr>
                <w:rFonts w:ascii="Calibri" w:hAnsi="Calibri"/>
                <w:b w:val="0"/>
                <w:i w:val="0"/>
                <w:color w:val="1E293B"/>
                <w:sz w:val="22"/>
              </w:rPr>
              <w:t>, all coordinated by our proprietary Smart Energy Software.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0F172A"/>
          <w:sz w:val="32"/>
        </w:rPr>
        <w:t>2. The Problem Facing Sime Darby Property Today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When Sime Darby develops a new township parcel (such as City of Elmina, Bandar Bukit Raja, or Putra Heights), site development faces four immediate operational bottlenecks: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1. No Grid Power During Critical Construction Phases:</w:t>
      </w:r>
      <w:r>
        <w:rPr>
          <w:rFonts w:ascii="Calibri" w:hAnsi="Calibri"/>
          <w:b w:val="0"/>
          <w:i w:val="0"/>
          <w:color w:val="1E293B"/>
          <w:sz w:val="22"/>
        </w:rPr>
        <w:t xml:space="preserve"> Permanent TNB electrical substations (Pencawang Elektrik) are only commissioned near building completion (which takes 2 to 4 years in Malaysia). Meanwhile, securing temporary TNB supply takes 4 to 9 months, or is completely unavailable in greenfield township parcels (as documented at Rimbayu where there is zero TNB supply). Furthermore, temporary supplies cannot handle the heavy power surges of tower cranes.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2. Expensive Diesel Fuel (Over RM 62,000 / Month per Site):</w:t>
      </w:r>
      <w:r>
        <w:rPr>
          <w:rFonts w:ascii="Calibri" w:hAnsi="Calibri"/>
          <w:b w:val="0"/>
          <w:i w:val="0"/>
          <w:color w:val="1E293B"/>
          <w:sz w:val="22"/>
        </w:rPr>
        <w:t xml:space="preserve"> Because there is no grid power, sites rely on large 500 kVA diesel generators running 24/7. As of October 2026 (official Setel / PETRONAS weekly rate), unsubsidised commercial diesel pump price is RM 5.17 / litre (Euro 5) and RM 5.37 / litre (B7). Commercial construction equipment is strictly excluded from the subsidised BUDI rate (RM 2.10/L). Burning 12,000 litres of diesel at RM 5.17/L costs over RM 62,000 every single month on just fuel.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3. Severe Noise Pollution:</w:t>
      </w:r>
      <w:r>
        <w:rPr>
          <w:rFonts w:ascii="Calibri" w:hAnsi="Calibri"/>
          <w:b w:val="0"/>
          <w:i w:val="0"/>
          <w:color w:val="1E293B"/>
          <w:sz w:val="22"/>
        </w:rPr>
        <w:t xml:space="preserve"> Diesel generators run continuously, generating heavy noise pollution. This frequently triggers resident complaints to the Department of Environment (DOE), risking work stop orders and project delay penalties.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4. Heavy Carbon Footprint:</w:t>
      </w:r>
      <w:r>
        <w:rPr>
          <w:rFonts w:ascii="Calibri" w:hAnsi="Calibri"/>
          <w:b w:val="0"/>
          <w:i w:val="0"/>
          <w:color w:val="1E293B"/>
          <w:sz w:val="22"/>
        </w:rPr>
        <w:t xml:space="preserve"> Burning thousands of litres of diesel releases substantial carbon emissions (approx. 12 to 32+ tonnes of CO2 per month depending on site size), directly conflicting with Sime Darby Property's corporate 40% carbon reduction targets.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0F172A"/>
          <w:sz w:val="32"/>
        </w:rPr>
        <w:t>3. Our Solution: The GreenPulse System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We introduce a complete zero-diesel power package to Sime Darby Property: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D71920"/>
          <w:sz w:val="26"/>
        </w:rPr>
        <w:t>A. The Clean Hardware Package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Rooftop Solar Panels:</w:t>
      </w:r>
      <w:r>
        <w:rPr>
          <w:rFonts w:ascii="Calibri" w:hAnsi="Calibri"/>
          <w:b w:val="0"/>
          <w:i w:val="0"/>
          <w:color w:val="1E293B"/>
          <w:sz w:val="22"/>
        </w:rPr>
        <w:t xml:space="preserve"> Installed on workers' quarters and site offices to generate free daytime electricity.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Mobile Battery Container (BESS):</w:t>
      </w:r>
      <w:r>
        <w:rPr>
          <w:rFonts w:ascii="Calibri" w:hAnsi="Calibri"/>
          <w:b w:val="0"/>
          <w:i w:val="0"/>
          <w:color w:val="1E293B"/>
          <w:sz w:val="22"/>
        </w:rPr>
        <w:t xml:space="preserve"> A containerised modular battery (261 kWh to 522 kWh capacity, as proven on actual sites) that stores solar power and delivers clean power 24/7.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Electric Construction Machinery (EVs):</w:t>
      </w:r>
      <w:r>
        <w:rPr>
          <w:rFonts w:ascii="Calibri" w:hAnsi="Calibri"/>
          <w:b w:val="0"/>
          <w:i w:val="0"/>
          <w:color w:val="1E293B"/>
          <w:sz w:val="22"/>
        </w:rPr>
        <w:t xml:space="preserve"> Battery-powered forklifts, electric hoists, and electric tower cranes to eliminate diesel engines on site.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D71920"/>
          <w:sz w:val="26"/>
        </w:rPr>
        <w:t>B. The Ground Reality: What Exists on IESS Cloud Today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On actual construction sites today (such as Inta Bina Putra Heights with 0.261 MWh and Inta Bina Melati with 0.522 MWh), the only software currently deployed is IESS Cloud.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As seen on their live dashboard, IESS Cloud only shows static hardware stats: Installed Capacity (0.261 MWh or 0.522 MWh), Installed Power (0.2 MW or 0.4 MW), and an 'Online' status dot.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 how"/>
              <w:left w:w="180" w:type="dxa"/>
              <w:right w:w="180" w:type="dxa"/>
            </w:tcMar>
            <w:tcBorders>
              <w:top w:val="none"/>
              <w:left w:val="single" w:sz="24" w:space="0" w:color="64748B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D71920"/>
                <w:sz w:val="22"/>
              </w:rPr>
              <w:t>Why Existing IESS Cloud Software Falls Short:</w:t>
              <w:br/>
            </w: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 xml:space="preserve">• Blind to Weather: </w:t>
            </w:r>
            <w:r>
              <w:rPr>
                <w:rFonts w:ascii="Calibri" w:hAnsi="Calibri"/>
                <w:b w:val="0"/>
                <w:i w:val="0"/>
                <w:color w:val="1E293B"/>
                <w:sz w:val="22"/>
              </w:rPr>
              <w:t>No connection to weather radar or solar irradiance forecasting.</w:t>
              <w:br/>
            </w: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 xml:space="preserve">• Blind to Crane Surges: </w:t>
            </w:r>
            <w:r>
              <w:rPr>
                <w:rFonts w:ascii="Calibri" w:hAnsi="Calibri"/>
                <w:b w:val="0"/>
                <w:i w:val="0"/>
                <w:color w:val="1E293B"/>
                <w:sz w:val="22"/>
              </w:rPr>
              <w:t>No sub-second inrush buffering to prevent power trips when lifting heavy concrete.</w:t>
              <w:br/>
            </w: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 xml:space="preserve">• No EV Scheduling: </w:t>
            </w:r>
            <w:r>
              <w:rPr>
                <w:rFonts w:ascii="Calibri" w:hAnsi="Calibri"/>
                <w:b w:val="0"/>
                <w:i w:val="0"/>
                <w:color w:val="1E293B"/>
                <w:sz w:val="22"/>
              </w:rPr>
              <w:t>No schedule for charging electric forklifts and hoists during peak solar.</w:t>
              <w:br/>
            </w: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 xml:space="preserve">• No Financial or ESG Tracking: </w:t>
            </w:r>
            <w:r>
              <w:rPr>
                <w:rFonts w:ascii="Calibri" w:hAnsi="Calibri"/>
                <w:b w:val="0"/>
                <w:i w:val="0"/>
                <w:color w:val="1E293B"/>
                <w:sz w:val="22"/>
              </w:rPr>
              <w:t>No calculation of diesel fuel saved, money saved, or carbon emissions cut.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D71920"/>
          <w:sz w:val="26"/>
        </w:rPr>
        <w:t>C. The Smart Energy Software (The Brain We Introduce)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Hardware alone is not enough. Without intelligent management, crane startup spikes can trip the battery, and rain can leave the site without power. GreenPulse provides the missing software layer: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Weather Forecasting:</w:t>
      </w:r>
      <w:r>
        <w:rPr>
          <w:rFonts w:ascii="Calibri" w:hAnsi="Calibri"/>
          <w:b w:val="0"/>
          <w:i w:val="0"/>
          <w:color w:val="1E293B"/>
          <w:sz w:val="22"/>
        </w:rPr>
        <w:t xml:space="preserve"> Connects to local weather radar. If rain is forecast, it pre-charges the battery during sunny hours so work never stops.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Crane Inrush Buffer:</w:t>
      </w:r>
      <w:r>
        <w:rPr>
          <w:rFonts w:ascii="Calibri" w:hAnsi="Calibri"/>
          <w:b w:val="0"/>
          <w:i w:val="0"/>
          <w:color w:val="1E293B"/>
          <w:sz w:val="22"/>
        </w:rPr>
        <w:t xml:space="preserve"> Delivers an instant power boost when the 50-tonne crane lifts heavy concrete, preventing power trips.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Smart EV Charging:</w:t>
      </w:r>
      <w:r>
        <w:rPr>
          <w:rFonts w:ascii="Calibri" w:hAnsi="Calibri"/>
          <w:b w:val="0"/>
          <w:i w:val="0"/>
          <w:color w:val="1E293B"/>
          <w:sz w:val="22"/>
        </w:rPr>
        <w:t xml:space="preserve"> Schedules electric forklifts and hoists to charge during peak midday sunshine when solar energy is free.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Automated Savings Ledger:</w:t>
      </w:r>
      <w:r>
        <w:rPr>
          <w:rFonts w:ascii="Calibri" w:hAnsi="Calibri"/>
          <w:b w:val="0"/>
          <w:i w:val="0"/>
          <w:color w:val="1E293B"/>
          <w:sz w:val="22"/>
        </w:rPr>
        <w:t xml:space="preserve"> Tracks diesel litres eliminated, money saved, and verifies that site noise remains quiet.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0F172A"/>
          <w:sz w:val="32"/>
        </w:rPr>
        <w:t>4. The Two Target Users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platform serves two primary stakeholders with tailored operational and executive views: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F172A"/>
            <w:tcMar>
              <w:top w:w="120" w:type="dxa"/>
              <w:bottom w:w="120" w:type="dxa how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Dimension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 how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User 1: On-Site SHE &amp; M&amp;E Officer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 how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User 2: Sime Darby HQ Management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Location &amp; Device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On the Construction Site (iPad / Rugged Field Laptop)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Sime Darby Property HQ (Executive Desktop / Tablet)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Primary Role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Site Safety, Health &amp; Environment (SHE) / M&amp;E Engineer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Township Project Director / Sustainability &amp; ESG Lead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Core Focus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Ground execution, zero equipment trips, noise compliance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Cost savings (P&amp;L), ESG reporting, asset relocation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Daily Checklist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Check current &amp; tomorrow's weather forecast</w:t>
              <w:br/>
              <w:t>• Verify Battery SoC % and power output</w:t>
              <w:br/>
              <w:t>• Monitor equipment power flows (Crane, Hoist, EV)</w:t>
              <w:br/>
              <w:t>• Confirm standby diesel generator is 100% OFF</w:t>
              <w:br/>
              <w:t>• Keep site boundary noise below quiet threshold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Total diesel expenditure saved vs baseline (RM)</w:t>
              <w:br/>
              <w:t>• Litres of diesel fuel displaced across parcels</w:t>
              <w:br/>
              <w:t>• Verified Scope 1 &amp; 2 carbon emissions avoided (tCO2e)</w:t>
              <w:br/>
              <w:t>• Review equipment relocation timeline across parcels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0F172A"/>
          <w:sz w:val="32"/>
        </w:rPr>
        <w:t>5. What Happens When Construction Finishes?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40" w:type="dxa"/>
              <w:bottom w:w="140" w:type="dxa how"/>
              <w:left w:w="180" w:type="dxa"/>
              <w:right w:w="18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D9488"/>
                <w:sz w:val="22"/>
              </w:rPr>
              <w:t>100% Modular and Mobile Asset Lifecycle: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2"/>
              </w:rPr>
              <w:t xml:space="preserve">In Malaysia, a housing development or high-rise takes approximately </w:t>
            </w: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 xml:space="preserve">2 to 3+ years (24 to 36+ months). </w:t>
            </w:r>
            <w:r>
              <w:rPr>
                <w:rFonts w:ascii="Calibri" w:hAnsi="Calibri"/>
                <w:b w:val="0"/>
                <w:i w:val="0"/>
                <w:color w:val="1E293B"/>
                <w:sz w:val="22"/>
              </w:rPr>
              <w:t>Once structural construction reaches completion and permanent TNB grid power is energized, the containerised battery and solar units are disconnected, loaded onto a flatbed trailer, and transported 20 minutes down the road to Sime Darby's next township parcel. Nothing is stranded, and capital investment continues yielding returns over a 10-year lifespan.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0F172A"/>
          <w:sz w:val="32"/>
        </w:rPr>
        <w:t>6. What Our Prototype Shows (Two Clean Core Screens)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D71920"/>
          <w:sz w:val="26"/>
        </w:rPr>
        <w:t>Screen 1: Live Site Energy &amp; Weather Operations (On-Site View)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Live Weather &amp; Predictive Card:</w:t>
      </w:r>
      <w:r>
        <w:rPr>
          <w:rFonts w:ascii="Calibri" w:hAnsi="Calibri"/>
          <w:b w:val="0"/>
          <w:i w:val="0"/>
          <w:color w:val="1E293B"/>
          <w:sz w:val="22"/>
        </w:rPr>
        <w:t xml:space="preserve"> Displays current meteorological conditions and tomorrow's 24-hour solar forecast (e.g., sunny morning vs afternoon monsoon storm).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Battery Telemetry Status:</w:t>
      </w:r>
      <w:r>
        <w:rPr>
          <w:rFonts w:ascii="Calibri" w:hAnsi="Calibri"/>
          <w:b w:val="0"/>
          <w:i w:val="0"/>
          <w:color w:val="1E293B"/>
          <w:sz w:val="22"/>
        </w:rPr>
        <w:t xml:space="preserve"> Live State of Charge (SoC %), battery temperature, voltage, and health status.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Site Power Flow Distribution:</w:t>
      </w:r>
      <w:r>
        <w:rPr>
          <w:rFonts w:ascii="Calibri" w:hAnsi="Calibri"/>
          <w:b w:val="0"/>
          <w:i w:val="0"/>
          <w:color w:val="1E293B"/>
          <w:sz w:val="22"/>
        </w:rPr>
        <w:t xml:space="preserve"> Real-time kilowatt distribution to the 50t Tower Crane, Passenger Hoists, EV Forklifts, and Site Office.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Zero-Diesel Guarantee Indicator:</w:t>
      </w:r>
      <w:r>
        <w:rPr>
          <w:rFonts w:ascii="Calibri" w:hAnsi="Calibri"/>
          <w:b w:val="0"/>
          <w:i w:val="0"/>
          <w:color w:val="1E293B"/>
          <w:sz w:val="22"/>
        </w:rPr>
        <w:t xml:space="preserve"> Live visual confirmation badge showing the standby diesel generator is 100% OFF.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D71920"/>
          <w:sz w:val="26"/>
        </w:rPr>
        <w:t>Screen 2: Financial &amp; Carbon Savings (HQ Executive View)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Live Weekly Malaysian Diesel Benchmark Tracker:</w:t>
      </w:r>
      <w:r>
        <w:rPr>
          <w:rFonts w:ascii="Calibri" w:hAnsi="Calibri"/>
          <w:b w:val="0"/>
          <w:i w:val="0"/>
          <w:color w:val="1E293B"/>
          <w:sz w:val="22"/>
        </w:rPr>
        <w:t xml:space="preserve"> Displays official weekly unsubsidised market fuel prices (e.g., PETRONAS Dynamic Diesel Euro 5: RM 5.17 / L, Diesel B7: RM 5.37 / L for 15–21 Oct 2026). Automatically ties into savings formulas: Litres Displaced × Current Fuel Price = Real-Time RM Saved.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Visual Impact KPI Cards (As seen on live systems):</w:t>
      </w:r>
      <w:r>
        <w:rPr>
          <w:rFonts w:ascii="Calibri" w:hAnsi="Calibri"/>
          <w:b w:val="0"/>
          <w:i w:val="0"/>
          <w:color w:val="1E293B"/>
          <w:sz w:val="22"/>
        </w:rPr>
        <w:t xml:space="preserve"> </w:t>
      </w:r>
    </w:p>
    <w:p>
      <w:pPr>
        <w:pStyle w:val="ListBullet"/>
        <w:spacing w:after="40"/>
        <w:ind w:left="720"/>
      </w:pPr>
      <w:r>
        <w:rPr>
          <w:rFonts w:ascii="Calibri" w:hAnsi="Calibri"/>
          <w:b/>
          <w:i w:val="0"/>
          <w:color w:val="0F172A"/>
          <w:sz w:val="21"/>
        </w:rPr>
        <w:t xml:space="preserve">CO2 Emission Reduction: </w:t>
      </w:r>
      <w:r>
        <w:rPr>
          <w:rFonts w:ascii="Calibri" w:hAnsi="Calibri"/>
          <w:b w:val="0"/>
          <w:i w:val="0"/>
          <w:color w:val="1E293B"/>
          <w:sz w:val="21"/>
        </w:rPr>
        <w:t>Direct metric in Tonnes (e.g., 84.15 Tonnes avoided).</w:t>
      </w:r>
    </w:p>
    <w:p>
      <w:pPr>
        <w:pStyle w:val="ListBullet"/>
        <w:spacing w:after="40"/>
        <w:ind w:left="720"/>
      </w:pPr>
      <w:r>
        <w:rPr>
          <w:rFonts w:ascii="Calibri" w:hAnsi="Calibri"/>
          <w:b/>
          <w:i w:val="0"/>
          <w:color w:val="0F172A"/>
          <w:sz w:val="21"/>
        </w:rPr>
        <w:t xml:space="preserve">Diesel &amp; Fuel Cost Saved: </w:t>
      </w:r>
      <w:r>
        <w:rPr>
          <w:rFonts w:ascii="Calibri" w:hAnsi="Calibri"/>
          <w:b w:val="0"/>
          <w:i w:val="0"/>
          <w:color w:val="1E293B"/>
          <w:sz w:val="21"/>
        </w:rPr>
        <w:t>Total litres avoided and Ringgit saved (over RM 62,000 / month per site).</w:t>
      </w:r>
    </w:p>
    <w:p>
      <w:pPr>
        <w:pStyle w:val="ListBullet"/>
        <w:spacing w:after="80"/>
        <w:ind w:left="720"/>
      </w:pPr>
      <w:r>
        <w:rPr>
          <w:rFonts w:ascii="Calibri" w:hAnsi="Calibri"/>
          <w:b/>
          <w:i w:val="0"/>
          <w:color w:val="0F172A"/>
          <w:sz w:val="21"/>
        </w:rPr>
        <w:t xml:space="preserve">Equivalent Trees Planted: </w:t>
      </w:r>
      <w:r>
        <w:rPr>
          <w:rFonts w:ascii="Calibri" w:hAnsi="Calibri"/>
          <w:b w:val="0"/>
          <w:i w:val="0"/>
          <w:color w:val="1E293B"/>
          <w:sz w:val="21"/>
        </w:rPr>
        <w:t>Intuitive ESG translation metric (e.g., 575 Trees Planted).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Noise Compliance Meter:</w:t>
      </w:r>
      <w:r>
        <w:rPr>
          <w:rFonts w:ascii="Calibri" w:hAnsi="Calibri"/>
          <w:b w:val="0"/>
          <w:i w:val="0"/>
          <w:color w:val="1E293B"/>
          <w:sz w:val="22"/>
        </w:rPr>
        <w:t xml:space="preserve"> Real-time noise status showing site boundary noise is quiet and strictly compliant with DOE residential guidelines.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0F172A"/>
          <w:sz w:val="22"/>
        </w:rPr>
        <w:t>Bursa Malaysia ESG Summary Export:</w:t>
      </w:r>
      <w:r>
        <w:rPr>
          <w:rFonts w:ascii="Calibri" w:hAnsi="Calibri"/>
          <w:b w:val="0"/>
          <w:i w:val="0"/>
          <w:color w:val="1E293B"/>
          <w:sz w:val="22"/>
        </w:rPr>
        <w:t xml:space="preserve"> One-click audit table ready for corporate sustainability disclosures.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0F172A"/>
          <w:sz w:val="32"/>
        </w:rPr>
        <w:t>7. Reference Guide: The Five Energy Operating Tiers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GreenPulse dynamically categorizes the 24-hour daily cycle into five distinct operating tiers to orchestrate battery charging, heavy machinery scheduling, and surge buffering: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F172A"/>
            <w:tcMar>
              <w:top w:w="120" w:type="dxa"/>
              <w:bottom w:w="120" w:type="dxa how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Energy Tier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 how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What It Means on Site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 how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Automated System Action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Critical Peak (Red)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Maximum Power Surge: Tower crane and passenger hoists lift heavy loads simultaneously; site demand peaks.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Battery discharges at maximum power to buffer the spike in milliseconds, preventing breaker trips and eliminating generator startup.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Peak (Orange)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High Work Shift (09:00 - 17:00): Full construction activity with hoists, bar benders, lighting, and site offices running.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Battery delivers clean stored energy to cover all active operational loads while the standby diesel generator remains 100% OFF.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Shoulder (Cyan)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Transition Hours (07:00 - 08:30 &amp; 17:00 - 19:00): Shifts beginning or winding down; machinery power demands moderate.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System balances state of charge, prepares evening schedule, and diagnostics verify zero system faults.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Off-Peak (Green)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Nighttime Baseline (20:00 - 07:00): Heavy machinery idle; only perimeter security lighting and worker ventilation running.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Low, steady battery discharge. Zero engine noise so surrounding residential neighbours enjoy peaceful nights.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Deep Off-Peak (Purple)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Golden Solar Window (11:30 - 14:30): Midday solar generation reaches maximum peak surplus.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 how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Maximum solar charging into the 522 kWh BESS; electric forklifts and EV machinery are scheduled to plug in for 100% free charging.</w:t>
            </w:r>
          </w:p>
        </w:tc>
      </w:tr>
    </w:tbl>
    <w:p>
      <w:pPr>
        <w:spacing w:before="0"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