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pPr>
      <w:r>
        <w:rPr>
          <w:b/>
          <w:bCs/>
          <w:color w:val="1F2933"/>
          <w:sz w:val="30"/>
          <w:szCs w:val="30"/>
        </w:rPr>
        <w:t xml:space="preserve">CRM Integration — Requirements &amp; Verification Checklist</w:t>
      </w:r>
    </w:p>
    <w:p>
      <w:pPr>
        <w:spacing w:after="160" w:line="300"/>
      </w:pPr>
      <w:r>
        <w:rPr>
          <w:i/>
          <w:iCs/>
          <w:color w:val="52606D"/>
          <w:sz w:val="21"/>
          <w:szCs w:val="21"/>
        </w:rPr>
        <w:t xml:space="preserve">Prepared for whoever manages our CRM, to confirm before we connect our booking system to it.</w:t>
      </w:r>
    </w:p>
    <w:p>
      <w:pPr>
        <w:spacing w:after="160" w:line="300"/>
      </w:pPr>
      <w:r>
        <w:rPr>
          <w:i w:val="false"/>
          <w:iCs w:val="false"/>
          <w:color w:val="52606D"/>
          <w:sz w:val="21"/>
          <w:szCs w:val="21"/>
        </w:rPr>
        <w:t xml:space="preserve">We’re planning to connect our booking system (Rooman Bookings) to the CRM, so that a new appointment automatically creates or updates a contact in the CRM — which can then trigger a WhatsApp message, and make the customer available for staff to call, using the CRM’s own existing features. We are not planning to build WhatsApp or calling into the booking system itself; the CRM would own both entirely.</w:t>
      </w:r>
    </w:p>
    <w:p>
      <w:pPr>
        <w:spacing w:after="160" w:line="300"/>
      </w:pPr>
      <w:r>
        <w:rPr>
          <w:i w:val="false"/>
          <w:iCs w:val="false"/>
          <w:color w:val="52606D"/>
          <w:sz w:val="21"/>
          <w:szCs w:val="21"/>
        </w:rPr>
        <w:t xml:space="preserve">Before we build anything, we need you to confirm a few things about how the CRM works today. Please go through this checklist and fill in your answers, then send it back to us. Section A is the most important — if either of those two items is "no," everything else can wait until that’s sorted, since it changes what we’d actually be building.</w:t>
      </w:r>
    </w:p>
    <w:p>
      <w:pPr>
        <w:pStyle w:val="Heading2"/>
        <w:pBdr>
          <w:bottom w:val="single" w:color="B25C00" w:sz="6" w:space="4"/>
        </w:pBdr>
        <w:spacing w:after="120" w:before="340"/>
      </w:pPr>
      <w:r>
        <w:rPr>
          <w:b/>
          <w:bCs/>
          <w:color w:val="1F2933"/>
          <w:sz w:val="24"/>
          <w:szCs w:val="24"/>
        </w:rPr>
        <w:t xml:space="preserve">Section A — Please confirm these first</w:t>
      </w:r>
    </w:p>
    <w:p>
      <w:pPr>
        <w:spacing w:after="160" w:line="300"/>
      </w:pPr>
      <w:r>
        <w:rPr>
          <w:i w:val="false"/>
          <w:iCs w:val="false"/>
          <w:color w:val="52606D"/>
          <w:sz w:val="21"/>
          <w:szCs w:val="21"/>
        </w:rPr>
        <w:t xml:space="preserve">These two determine whether the rest of this checklist matters at all.</w:t>
      </w:r>
    </w:p>
    <w:p>
      <w:pPr>
        <w:spacing w:after="40" w:before="100"/>
        <w:ind w:left="60"/>
      </w:pPr>
      <w:r>
        <w:rPr>
          <w:color w:val="1F2933"/>
          <w:sz w:val="24"/>
          <w:szCs w:val="24"/>
        </w:rPr>
        <w:t xml:space="preserve">☐  </w:t>
      </w:r>
      <w:r>
        <w:rPr>
          <w:b/>
          <w:bCs/>
          <w:color w:val="1F2933"/>
          <w:sz w:val="21"/>
          <w:szCs w:val="21"/>
        </w:rPr>
        <w:t xml:space="preserve">WhatsApp messaging is already working inside the CRM today — meaning someone can open a contact right now and successfully send them a WhatsApp message, with no new integration involved.</w:t>
      </w:r>
      <w:r>
        <w:rPr>
          <w:i/>
          <w:iCs/>
          <w:color w:val="B25C00"/>
          <w:sz w:val="18"/>
          <w:szCs w:val="18"/>
        </w:rPr>
        <w:t xml:space="preserve">  (please confirm this one specifically)</w:t>
      </w:r>
    </w:p>
    <w:p>
      <w:pPr>
        <w:spacing w:after="160"/>
        <w:ind w:left="420"/>
      </w:pPr>
      <w:r>
        <w:rPr>
          <w:i/>
          <w:iCs/>
          <w:color w:val="52606D"/>
          <w:sz w:val="19"/>
          <w:szCs w:val="19"/>
        </w:rPr>
        <w:t xml:space="preserve">If NO: what needs to happen first (e.g. WhatsApp Business API approval, message template approval)? Please describe: _________________________________________________</w:t>
      </w:r>
    </w:p>
    <w:p>
      <w:pPr>
        <w:spacing w:after="40" w:before="100"/>
        <w:ind w:left="60"/>
      </w:pPr>
      <w:r>
        <w:rPr>
          <w:color w:val="1F2933"/>
          <w:sz w:val="24"/>
          <w:szCs w:val="24"/>
        </w:rPr>
        <w:t xml:space="preserve">☐  </w:t>
      </w:r>
      <w:r>
        <w:rPr>
          <w:b w:val="false"/>
          <w:bCs w:val="false"/>
          <w:color w:val="1F2933"/>
          <w:sz w:val="21"/>
          <w:szCs w:val="21"/>
        </w:rPr>
        <w:t xml:space="preserve">Calling, or at least click-to-call, is already working inside the CRM today for a real customer contact.</w:t>
      </w:r>
    </w:p>
    <w:p>
      <w:pPr>
        <w:spacing w:after="160"/>
        <w:ind w:left="420"/>
      </w:pPr>
      <w:r>
        <w:rPr>
          <w:i/>
          <w:iCs/>
          <w:color w:val="52606D"/>
          <w:sz w:val="19"/>
          <w:szCs w:val="19"/>
        </w:rPr>
        <w:t xml:space="preserve">If NO: what needs to happen first? Please describe: _________________________________________________</w:t>
      </w:r>
    </w:p>
    <w:p>
      <w:pPr>
        <w:pStyle w:val="Heading2"/>
        <w:pBdr>
          <w:bottom w:val="single" w:color="B25C00" w:sz="6" w:space="4"/>
        </w:pBdr>
        <w:spacing w:after="120" w:before="340"/>
      </w:pPr>
      <w:r>
        <w:rPr>
          <w:b/>
          <w:bCs/>
          <w:color w:val="1F2933"/>
          <w:sz w:val="24"/>
          <w:szCs w:val="24"/>
        </w:rPr>
        <w:t xml:space="preserve">Section B — Can the CRM be connected to at all?</w:t>
      </w:r>
    </w:p>
    <w:p>
      <w:pPr>
        <w:spacing w:after="160" w:line="300"/>
      </w:pPr>
      <w:r>
        <w:rPr>
          <w:i w:val="false"/>
          <w:iCs w:val="false"/>
          <w:color w:val="52606D"/>
          <w:sz w:val="21"/>
          <w:szCs w:val="21"/>
        </w:rPr>
        <w:t xml:space="preserve">This decides whether an automatic connection is possible, and if so, what shape it takes.</w:t>
      </w:r>
    </w:p>
    <w:p>
      <w:pPr>
        <w:spacing w:after="40" w:before="100"/>
        <w:ind w:left="60"/>
      </w:pPr>
      <w:r>
        <w:rPr>
          <w:color w:val="1F2933"/>
          <w:sz w:val="24"/>
          <w:szCs w:val="24"/>
        </w:rPr>
        <w:t xml:space="preserve">☐  </w:t>
      </w:r>
      <w:r>
        <w:rPr>
          <w:b w:val="false"/>
          <w:bCs w:val="false"/>
          <w:color w:val="1F2933"/>
          <w:sz w:val="21"/>
          <w:szCs w:val="21"/>
        </w:rPr>
        <w:t xml:space="preserve">The CRM has an API — a way for another system to send it data automatically, without a person clicking anything.</w:t>
      </w:r>
    </w:p>
    <w:p>
      <w:pPr>
        <w:spacing w:after="160"/>
        <w:ind w:left="420"/>
      </w:pPr>
      <w:r>
        <w:rPr>
          <w:i/>
          <w:iCs/>
          <w:color w:val="52606D"/>
          <w:sz w:val="19"/>
          <w:szCs w:val="19"/>
        </w:rPr>
        <w:t xml:space="preserve">If you’re not sure, please ask whoever built or maintains the CRM directly: "can another system send data in through an API?"</w:t>
      </w:r>
    </w:p>
    <w:p>
      <w:pPr>
        <w:spacing w:after="40" w:before="100"/>
        <w:ind w:left="60"/>
      </w:pPr>
      <w:r>
        <w:rPr>
          <w:color w:val="1F2933"/>
          <w:sz w:val="24"/>
          <w:szCs w:val="24"/>
        </w:rPr>
        <w:t xml:space="preserve">☐  </w:t>
      </w:r>
      <w:r>
        <w:rPr>
          <w:b w:val="false"/>
          <w:bCs w:val="false"/>
          <w:color w:val="1F2933"/>
          <w:sz w:val="21"/>
          <w:szCs w:val="21"/>
        </w:rPr>
        <w:t xml:space="preserve">That API can create a new contact/lead.</w:t>
      </w:r>
    </w:p>
    <w:p>
      <w:pPr>
        <w:spacing w:after="40" w:before="100"/>
        <w:ind w:left="60"/>
      </w:pPr>
      <w:r>
        <w:rPr>
          <w:color w:val="1F2933"/>
          <w:sz w:val="24"/>
          <w:szCs w:val="24"/>
        </w:rPr>
        <w:t xml:space="preserve">☐  </w:t>
      </w:r>
      <w:r>
        <w:rPr>
          <w:b w:val="false"/>
          <w:bCs w:val="false"/>
          <w:color w:val="1F2933"/>
          <w:sz w:val="21"/>
          <w:szCs w:val="21"/>
        </w:rPr>
        <w:t xml:space="preserve">That API can also update an existing contact — not only create new ones — so a returning customer doesn’t end up as a duplicate every time they book again.</w:t>
      </w:r>
    </w:p>
    <w:p>
      <w:pPr>
        <w:spacing w:after="40" w:before="100"/>
        <w:ind w:left="60"/>
      </w:pPr>
      <w:r>
        <w:rPr>
          <w:color w:val="1F2933"/>
          <w:sz w:val="24"/>
          <w:szCs w:val="24"/>
        </w:rPr>
        <w:t xml:space="preserve">☐  </w:t>
      </w:r>
      <w:r>
        <w:rPr>
          <w:b/>
          <w:bCs/>
          <w:color w:val="1F2933"/>
          <w:sz w:val="21"/>
          <w:szCs w:val="21"/>
        </w:rPr>
        <w:t xml:space="preserve">Creating or updating a contact through the API actually triggers the CRM’s own automation (the WhatsApp send, notifying a staff member, etc.) — rather than the data just being stored with nothing happening.</w:t>
      </w:r>
      <w:r>
        <w:rPr>
          <w:i/>
          <w:iCs/>
          <w:color w:val="B25C00"/>
          <w:sz w:val="18"/>
          <w:szCs w:val="18"/>
        </w:rPr>
        <w:t xml:space="preserve">  (please confirm this one specifically)</w:t>
      </w:r>
    </w:p>
    <w:p>
      <w:pPr>
        <w:spacing w:after="160"/>
        <w:ind w:left="420"/>
      </w:pPr>
      <w:r>
        <w:rPr>
          <w:i/>
          <w:iCs/>
          <w:color w:val="52606D"/>
          <w:sz w:val="19"/>
          <w:szCs w:val="19"/>
        </w:rPr>
        <w:t xml:space="preserve">This is the item most often assumed rather than checked. Some systems accept API data but only run automations for records created through their own screens — please confirm this specifically, even if the answer to the previous three is yes.</w:t>
      </w:r>
    </w:p>
    <w:p>
      <w:pPr>
        <w:pStyle w:val="Heading2"/>
        <w:pBdr>
          <w:bottom w:val="single" w:color="B25C00" w:sz="6" w:space="4"/>
        </w:pBdr>
        <w:spacing w:after="120" w:before="340"/>
      </w:pPr>
      <w:r>
        <w:rPr>
          <w:b/>
          <w:bCs/>
          <w:color w:val="1F2933"/>
          <w:sz w:val="24"/>
          <w:szCs w:val="24"/>
        </w:rPr>
        <w:t xml:space="preserve">Section C — Technical details</w:t>
      </w:r>
    </w:p>
    <w:p>
      <w:pPr>
        <w:spacing w:after="160" w:line="300"/>
      </w:pPr>
      <w:r>
        <w:rPr>
          <w:i w:val="false"/>
          <w:iCs w:val="false"/>
          <w:color w:val="52606D"/>
          <w:sz w:val="21"/>
          <w:szCs w:val="21"/>
        </w:rPr>
        <w:t xml:space="preserve">Only needed once Sections A and B are confirmed. Please fill in what you can, or attach documentation that covers it.</w:t>
      </w:r>
    </w:p>
    <w:tbl>
      <w:tblPr>
        <w:tblW w:type="dxa" w:w="9200"/>
        <w:tblBorders>
          <w:top w:val="single" w:color="CBD2D9" w:sz="4"/>
          <w:left w:val="single" w:color="CBD2D9" w:sz="4"/>
          <w:bottom w:val="single" w:color="CBD2D9" w:sz="4"/>
          <w:right w:val="single" w:color="CBD2D9" w:sz="4"/>
          <w:insideH w:val="single" w:color="CBD2D9" w:sz="4"/>
          <w:insideV w:val="single" w:color="CBD2D9" w:sz="4"/>
        </w:tblBorders>
      </w:tblPr>
      <w:tblGrid>
        <w:gridCol w:w="3400"/>
        <w:gridCol w:w="5800"/>
      </w:tblGrid>
      <w:tr>
        <w:tc>
          <w:tcPr>
            <w:tcW w:type="dxa" w:w="3400"/>
            <w:shd w:fill="F5F7FA" w:val="clear"/>
            <w:tcMar>
              <w:top w:type="dxa" w:w="100"/>
              <w:left w:type="dxa" w:w="140"/>
              <w:bottom w:type="dxa" w:w="100"/>
              <w:right w:type="dxa" w:w="140"/>
            </w:tcMar>
          </w:tcPr>
          <w:p>
            <w:r>
              <w:rPr>
                <w:b/>
                <w:bCs/>
                <w:color w:val="1F2933"/>
                <w:sz w:val="20"/>
                <w:szCs w:val="20"/>
              </w:rPr>
              <w:t xml:space="preserve">API base address / URL</w:t>
            </w:r>
          </w:p>
        </w:tc>
        <w:tc>
          <w:tcPr>
            <w:tcW w:type="dxa" w:w="5800"/>
            <w:tcMar>
              <w:top w:type="dxa" w:w="100"/>
              <w:left w:type="dxa" w:w="140"/>
              <w:bottom w:type="dxa" w:w="100"/>
              <w:right w:type="dxa" w:w="140"/>
            </w:tcMar>
          </w:tcPr>
          <w:p>
            <w:r>
              <w:rPr>
                <w:sz w:val="20"/>
                <w:szCs w:val="20"/>
              </w:rPr>
              <w:t xml:space="preserve"> </w:t>
            </w:r>
          </w:p>
        </w:tc>
      </w:tr>
      <w:tr>
        <w:tc>
          <w:tcPr>
            <w:tcW w:type="dxa" w:w="3400"/>
            <w:shd w:fill="F5F7FA" w:val="clear"/>
            <w:tcMar>
              <w:top w:type="dxa" w:w="100"/>
              <w:left w:type="dxa" w:w="140"/>
              <w:bottom w:type="dxa" w:w="100"/>
              <w:right w:type="dxa" w:w="140"/>
            </w:tcMar>
          </w:tcPr>
          <w:p>
            <w:r>
              <w:rPr>
                <w:b/>
                <w:bCs/>
                <w:color w:val="1F2933"/>
                <w:sz w:val="20"/>
                <w:szCs w:val="20"/>
              </w:rPr>
              <w:t xml:space="preserve">Where the documentation lives (link or attach a PDF)</w:t>
            </w:r>
          </w:p>
        </w:tc>
        <w:tc>
          <w:tcPr>
            <w:tcW w:type="dxa" w:w="5800"/>
            <w:tcMar>
              <w:top w:type="dxa" w:w="100"/>
              <w:left w:type="dxa" w:w="140"/>
              <w:bottom w:type="dxa" w:w="100"/>
              <w:right w:type="dxa" w:w="140"/>
            </w:tcMar>
          </w:tcPr>
          <w:p>
            <w:r>
              <w:rPr>
                <w:sz w:val="20"/>
                <w:szCs w:val="20"/>
              </w:rPr>
              <w:t xml:space="preserve"> </w:t>
            </w:r>
          </w:p>
        </w:tc>
      </w:tr>
      <w:tr>
        <w:tc>
          <w:tcPr>
            <w:tcW w:type="dxa" w:w="3400"/>
            <w:shd w:fill="F5F7FA" w:val="clear"/>
            <w:tcMar>
              <w:top w:type="dxa" w:w="100"/>
              <w:left w:type="dxa" w:w="140"/>
              <w:bottom w:type="dxa" w:w="100"/>
              <w:right w:type="dxa" w:w="140"/>
            </w:tcMar>
          </w:tcPr>
          <w:p>
            <w:r>
              <w:rPr>
                <w:b/>
                <w:bCs/>
                <w:color w:val="1F2933"/>
                <w:sz w:val="20"/>
                <w:szCs w:val="20"/>
              </w:rPr>
              <w:t xml:space="preserve">How we authenticate (API key, token, etc.)</w:t>
            </w:r>
          </w:p>
        </w:tc>
        <w:tc>
          <w:tcPr>
            <w:tcW w:type="dxa" w:w="5800"/>
            <w:tcMar>
              <w:top w:type="dxa" w:w="100"/>
              <w:left w:type="dxa" w:w="140"/>
              <w:bottom w:type="dxa" w:w="100"/>
              <w:right w:type="dxa" w:w="140"/>
            </w:tcMar>
          </w:tcPr>
          <w:p>
            <w:r>
              <w:rPr>
                <w:sz w:val="20"/>
                <w:szCs w:val="20"/>
              </w:rPr>
              <w:t xml:space="preserve"> </w:t>
            </w:r>
          </w:p>
        </w:tc>
      </w:tr>
      <w:tr>
        <w:tc>
          <w:tcPr>
            <w:tcW w:type="dxa" w:w="3400"/>
            <w:shd w:fill="F5F7FA" w:val="clear"/>
            <w:tcMar>
              <w:top w:type="dxa" w:w="100"/>
              <w:left w:type="dxa" w:w="140"/>
              <w:bottom w:type="dxa" w:w="100"/>
              <w:right w:type="dxa" w:w="140"/>
            </w:tcMar>
          </w:tcPr>
          <w:p>
            <w:r>
              <w:rPr>
                <w:b/>
                <w:bCs/>
                <w:color w:val="1F2933"/>
                <w:sz w:val="20"/>
                <w:szCs w:val="20"/>
              </w:rPr>
              <w:t xml:space="preserve">Fields required to create a contact (name, phone, email, others?)</w:t>
            </w:r>
          </w:p>
        </w:tc>
        <w:tc>
          <w:tcPr>
            <w:tcW w:type="dxa" w:w="5800"/>
            <w:tcMar>
              <w:top w:type="dxa" w:w="100"/>
              <w:left w:type="dxa" w:w="140"/>
              <w:bottom w:type="dxa" w:w="100"/>
              <w:right w:type="dxa" w:w="140"/>
            </w:tcMar>
          </w:tcPr>
          <w:p>
            <w:r>
              <w:rPr>
                <w:sz w:val="20"/>
                <w:szCs w:val="20"/>
              </w:rPr>
              <w:t xml:space="preserve"> </w:t>
            </w:r>
          </w:p>
        </w:tc>
      </w:tr>
      <w:tr>
        <w:tc>
          <w:tcPr>
            <w:tcW w:type="dxa" w:w="3400"/>
            <w:shd w:fill="F5F7FA" w:val="clear"/>
            <w:tcMar>
              <w:top w:type="dxa" w:w="100"/>
              <w:left w:type="dxa" w:w="140"/>
              <w:bottom w:type="dxa" w:w="100"/>
              <w:right w:type="dxa" w:w="140"/>
            </w:tcMar>
          </w:tcPr>
          <w:p>
            <w:r>
              <w:rPr>
                <w:b/>
                <w:bCs/>
                <w:color w:val="1F2933"/>
                <w:sz w:val="20"/>
                <w:szCs w:val="20"/>
              </w:rPr>
              <w:t xml:space="preserve">Required phone number format (e.g. +91XXXXXXXXXX, or plain 10 digits?)</w:t>
            </w:r>
          </w:p>
        </w:tc>
        <w:tc>
          <w:tcPr>
            <w:tcW w:type="dxa" w:w="5800"/>
            <w:tcMar>
              <w:top w:type="dxa" w:w="100"/>
              <w:left w:type="dxa" w:w="140"/>
              <w:bottom w:type="dxa" w:w="100"/>
              <w:right w:type="dxa" w:w="140"/>
            </w:tcMar>
          </w:tcPr>
          <w:p>
            <w:r>
              <w:rPr>
                <w:sz w:val="20"/>
                <w:szCs w:val="20"/>
              </w:rPr>
              <w:t xml:space="preserve"> </w:t>
            </w:r>
          </w:p>
        </w:tc>
      </w:tr>
      <w:tr>
        <w:tc>
          <w:tcPr>
            <w:tcW w:type="dxa" w:w="3400"/>
            <w:shd w:fill="F5F7FA" w:val="clear"/>
            <w:tcMar>
              <w:top w:type="dxa" w:w="100"/>
              <w:left w:type="dxa" w:w="140"/>
              <w:bottom w:type="dxa" w:w="100"/>
              <w:right w:type="dxa" w:w="140"/>
            </w:tcMar>
          </w:tcPr>
          <w:p>
            <w:r>
              <w:rPr>
                <w:b/>
                <w:bCs/>
                <w:color w:val="1F2933"/>
                <w:sz w:val="20"/>
                <w:szCs w:val="20"/>
              </w:rPr>
              <w:t xml:space="preserve">Any limit on how many API calls we can make per minute or per day</w:t>
            </w:r>
          </w:p>
        </w:tc>
        <w:tc>
          <w:tcPr>
            <w:tcW w:type="dxa" w:w="5800"/>
            <w:tcMar>
              <w:top w:type="dxa" w:w="100"/>
              <w:left w:type="dxa" w:w="140"/>
              <w:bottom w:type="dxa" w:w="100"/>
              <w:right w:type="dxa" w:w="140"/>
            </w:tcMar>
          </w:tcPr>
          <w:p>
            <w:r>
              <w:rPr>
                <w:sz w:val="20"/>
                <w:szCs w:val="20"/>
              </w:rPr>
              <w:t xml:space="preserve"> </w:t>
            </w:r>
          </w:p>
        </w:tc>
      </w:tr>
      <w:tr>
        <w:tc>
          <w:tcPr>
            <w:tcW w:type="dxa" w:w="3400"/>
            <w:shd w:fill="F5F7FA" w:val="clear"/>
            <w:tcMar>
              <w:top w:type="dxa" w:w="100"/>
              <w:left w:type="dxa" w:w="140"/>
              <w:bottom w:type="dxa" w:w="100"/>
              <w:right w:type="dxa" w:w="140"/>
            </w:tcMar>
          </w:tcPr>
          <w:p>
            <w:r>
              <w:rPr>
                <w:b/>
                <w:bCs/>
                <w:color w:val="1F2933"/>
                <w:sz w:val="20"/>
                <w:szCs w:val="20"/>
              </w:rPr>
              <w:t xml:space="preserve">What a successful response looks like (status code / body)</w:t>
            </w:r>
          </w:p>
        </w:tc>
        <w:tc>
          <w:tcPr>
            <w:tcW w:type="dxa" w:w="5800"/>
            <w:tcMar>
              <w:top w:type="dxa" w:w="100"/>
              <w:left w:type="dxa" w:w="140"/>
              <w:bottom w:type="dxa" w:w="100"/>
              <w:right w:type="dxa" w:w="140"/>
            </w:tcMar>
          </w:tcPr>
          <w:p>
            <w:r>
              <w:rPr>
                <w:sz w:val="20"/>
                <w:szCs w:val="20"/>
              </w:rPr>
              <w:t xml:space="preserve"> </w:t>
            </w:r>
          </w:p>
        </w:tc>
      </w:tr>
      <w:tr>
        <w:tc>
          <w:tcPr>
            <w:tcW w:type="dxa" w:w="3400"/>
            <w:shd w:fill="F5F7FA" w:val="clear"/>
            <w:tcMar>
              <w:top w:type="dxa" w:w="100"/>
              <w:left w:type="dxa" w:w="140"/>
              <w:bottom w:type="dxa" w:w="100"/>
              <w:right w:type="dxa" w:w="140"/>
            </w:tcMar>
          </w:tcPr>
          <w:p>
            <w:r>
              <w:rPr>
                <w:b/>
                <w:bCs/>
                <w:color w:val="1F2933"/>
                <w:sz w:val="20"/>
                <w:szCs w:val="20"/>
              </w:rPr>
              <w:t xml:space="preserve">What a failed response looks like (status code / body)</w:t>
            </w:r>
          </w:p>
        </w:tc>
        <w:tc>
          <w:tcPr>
            <w:tcW w:type="dxa" w:w="5800"/>
            <w:tcMar>
              <w:top w:type="dxa" w:w="100"/>
              <w:left w:type="dxa" w:w="140"/>
              <w:bottom w:type="dxa" w:w="100"/>
              <w:right w:type="dxa" w:w="140"/>
            </w:tcMar>
          </w:tcPr>
          <w:p>
            <w:r>
              <w:rPr>
                <w:sz w:val="20"/>
                <w:szCs w:val="20"/>
              </w:rPr>
              <w:t xml:space="preserve"> </w:t>
            </w:r>
          </w:p>
        </w:tc>
      </w:tr>
    </w:tbl>
    <w:p>
      <w:pPr>
        <w:pStyle w:val="Heading2"/>
        <w:pBdr>
          <w:bottom w:val="single" w:color="B25C00" w:sz="6" w:space="4"/>
        </w:pBdr>
        <w:spacing w:after="120" w:before="340"/>
      </w:pPr>
      <w:r>
        <w:rPr>
          <w:b/>
          <w:bCs/>
          <w:color w:val="1F2933"/>
          <w:sz w:val="24"/>
          <w:szCs w:val="24"/>
        </w:rPr>
        <w:t xml:space="preserve">What we need from you</w:t>
      </w:r>
    </w:p>
    <w:p>
      <w:pPr>
        <w:spacing w:after="160" w:line="300"/>
      </w:pPr>
      <w:r>
        <w:rPr>
          <w:i w:val="false"/>
          <w:iCs w:val="false"/>
          <w:color w:val="52606D"/>
          <w:sz w:val="21"/>
          <w:szCs w:val="21"/>
        </w:rPr>
        <w:t xml:space="preserve">Please send back, alongside your answers above:</w:t>
      </w:r>
    </w:p>
    <w:p>
      <w:pPr>
        <w:spacing w:after="120"/>
        <w:ind w:left="260" w:hanging="260"/>
      </w:pPr>
      <w:r>
        <w:rPr>
          <w:b/>
          <w:bCs/>
          <w:color w:val="B25C00"/>
          <w:sz w:val="21"/>
          <w:szCs w:val="21"/>
        </w:rPr>
        <w:t xml:space="preserve">1.  </w:t>
      </w:r>
      <w:r>
        <w:rPr>
          <w:color w:val="1F2933"/>
          <w:sz w:val="21"/>
          <w:szCs w:val="21"/>
        </w:rPr>
        <w:t xml:space="preserve">Confirmation of every item in Sections A and B.</w:t>
      </w:r>
    </w:p>
    <w:p>
      <w:pPr>
        <w:spacing w:after="120"/>
        <w:ind w:left="260" w:hanging="260"/>
      </w:pPr>
      <w:r>
        <w:rPr>
          <w:b/>
          <w:bCs/>
          <w:color w:val="B25C00"/>
          <w:sz w:val="21"/>
          <w:szCs w:val="21"/>
        </w:rPr>
        <w:t xml:space="preserve">2.  </w:t>
      </w:r>
      <w:r>
        <w:rPr>
          <w:color w:val="1F2933"/>
          <w:sz w:val="21"/>
          <w:szCs w:val="21"/>
        </w:rPr>
        <w:t xml:space="preserve">A link to the API documentation, or a copy/attachment of it.</w:t>
      </w:r>
    </w:p>
    <w:p>
      <w:pPr>
        <w:spacing w:after="120"/>
        <w:ind w:left="260" w:hanging="260"/>
      </w:pPr>
      <w:r>
        <w:rPr>
          <w:b/>
          <w:bCs/>
          <w:color w:val="B25C00"/>
          <w:sz w:val="21"/>
          <w:szCs w:val="21"/>
        </w:rPr>
        <w:t xml:space="preserve">3.  </w:t>
      </w:r>
      <w:r>
        <w:rPr>
          <w:color w:val="1F2933"/>
          <w:sz w:val="21"/>
          <w:szCs w:val="21"/>
        </w:rPr>
        <w:t xml:space="preserve">A working API key or credential we can use for testing — a test/sandbox one if the CRM has one, rather than a live production key.</w:t>
      </w:r>
    </w:p>
    <w:p>
      <w:pPr>
        <w:spacing w:after="120"/>
        <w:ind w:left="260" w:hanging="260"/>
      </w:pPr>
      <w:r>
        <w:rPr>
          <w:b/>
          <w:bCs/>
          <w:color w:val="B25C00"/>
          <w:sz w:val="21"/>
          <w:szCs w:val="21"/>
        </w:rPr>
        <w:t xml:space="preserve">4.  </w:t>
      </w:r>
      <w:r>
        <w:rPr>
          <w:color w:val="1F2933"/>
          <w:sz w:val="21"/>
          <w:szCs w:val="21"/>
        </w:rPr>
        <w:t xml:space="preserve">The exact endpoint(s) and required fields for creating and updating a contact.</w:t>
      </w:r>
    </w:p>
    <w:p>
      <w:pPr>
        <w:spacing w:after="120"/>
        <w:ind w:left="260" w:hanging="260"/>
      </w:pPr>
      <w:r>
        <w:rPr>
          <w:b/>
          <w:bCs/>
          <w:color w:val="B25C00"/>
          <w:sz w:val="21"/>
          <w:szCs w:val="21"/>
        </w:rPr>
        <w:t xml:space="preserve">5.  </w:t>
      </w:r>
      <w:r>
        <w:rPr>
          <w:color w:val="1F2933"/>
          <w:sz w:val="21"/>
          <w:szCs w:val="21"/>
        </w:rPr>
        <w:t xml:space="preserve">Confirmation of which events in the CRM’s automation can be triggered this way (for example: "new contact created," "contact field updated").</w:t>
      </w:r>
    </w:p>
    <w:p>
      <w:pPr>
        <w:spacing w:after="120"/>
        <w:ind w:left="260" w:hanging="260"/>
      </w:pPr>
      <w:r>
        <w:rPr>
          <w:b/>
          <w:bCs/>
          <w:color w:val="B25C00"/>
          <w:sz w:val="21"/>
          <w:szCs w:val="21"/>
        </w:rPr>
        <w:t xml:space="preserve">6.  </w:t>
      </w:r>
      <w:r>
        <w:rPr>
          <w:color w:val="1F2933"/>
          <w:sz w:val="21"/>
          <w:szCs w:val="21"/>
        </w:rPr>
        <w:t xml:space="preserve">A contact person we can reach for follow-up technical questions while we build this.</w:t>
      </w:r>
    </w:p>
    <w:p>
      <w:pPr>
        <w:pBdr>
          <w:left w:val="single" w:color="B25C00" w:sz="24" w:space="8"/>
        </w:pBdr>
        <w:shd w:fill="FDF3E6" w:val="clear"/>
        <w:spacing w:after="200"/>
        <w:ind w:left="120"/>
      </w:pPr>
      <w:r>
        <w:rPr>
          <w:b/>
          <w:bCs/>
          <w:color w:val="1F2933"/>
          <w:sz w:val="20"/>
          <w:szCs w:val="20"/>
        </w:rPr>
        <w:t xml:space="preserve">Once we have these answers, we’ll agree the exact data we plan to send, test it together in a non-production environment, and only then turn it on for real.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r>
      <w:rPr>
        <w:color w:val="52606D"/>
        <w:sz w:val="16"/>
        <w:szCs w:val="16"/>
      </w:rPr>
      <w:t xml:space="preserve"> of </w:t>
    </w:r>
    <w:r>
      <w:rPr>
        <w:color w:val="52606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2D9" w:sz="4" w:space="4"/>
      </w:pBdr>
      <w:jc w:val="right"/>
    </w:pPr>
    <w:r>
      <w:rPr>
        <w:color w:val="52606D"/>
        <w:sz w:val="16"/>
        <w:szCs w:val="16"/>
      </w:rPr>
      <w:t xml:space="preserve">CRM Integration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2026-09-26T05:12:08.344Z</dcterms:created>
  <dcterms:modified xsi:type="dcterms:W3CDTF">2026-09-26T05:12:08.345Z</dcterms:modified>
</cp:coreProperties>
</file>

<file path=docProps/custom.xml><?xml version="1.0" encoding="utf-8"?>
<Properties xmlns="http://schemas.openxmlformats.org/officeDocument/2006/custom-properties" xmlns:vt="http://schemas.openxmlformats.org/officeDocument/2006/docPropsVTypes"/>
</file>