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PARTNERSHIPS &amp; ANALYTICS</w:t>
      </w:r>
    </w:p>
    <w:p>
      <w:pPr>
        <w:spacing w:after="120"/>
      </w:pPr>
    </w:p>
    <w:p>
      <w:pPr>
        <w:spacing w:after="40"/>
        <w:jc w:val="center"/>
      </w:pPr>
      <w:r>
        <w:rPr>
          <w:rFonts w:ascii="Arial" w:cs="Arial" w:eastAsia="Arial" w:hAnsi="Arial"/>
          <w:color w:val="555555"/>
          <w:sz w:val="22"/>
          <w:szCs w:val="22"/>
        </w:rPr>
        <w:t xml:space="preserve">Sponsor &amp; Partnership Database | Post-Event Analytics Framework</w:t>
      </w:r>
    </w:p>
    <w:p>
      <w:pPr>
        <w:spacing w:after="40"/>
        <w:jc w:val="center"/>
      </w:pPr>
      <w:r>
        <w:rPr>
          <w:rFonts w:ascii="Arial" w:cs="Arial" w:eastAsia="Arial" w:hAnsi="Arial"/>
          <w:i/>
          <w:iCs/>
          <w:color w:val="555555"/>
          <w:sz w:val="18"/>
          <w:szCs w:val="18"/>
        </w:rPr>
        <w:t xml:space="preserve">The Final Companion Document to the Master Blueprint v2.0</w:t>
      </w:r>
    </w:p>
    <w:p>
      <w:pPr>
        <w:spacing w:after="300"/>
      </w:pPr>
    </w:p>
    <w:p>
      <w:pPr>
        <w:spacing w:after="30"/>
        <w:jc w:val="center"/>
      </w:pPr>
      <w:r>
        <w:rPr>
          <w:rFonts w:ascii="Arial" w:cs="Arial" w:eastAsia="Arial" w:hAnsi="Arial"/>
          <w:b/>
          <w:bCs/>
          <w:color w:val="1B2A4A"/>
          <w:sz w:val="18"/>
          <w:szCs w:val="18"/>
        </w:rPr>
        <w:t xml:space="preserve">Document Date: </w:t>
      </w:r>
      <w:r>
        <w:rPr>
          <w:rFonts w:ascii="Arial" w:cs="Arial" w:eastAsia="Arial" w:hAnsi="Arial"/>
          <w:color w:val="2D2D2D"/>
          <w:sz w:val="18"/>
          <w:szCs w:val="18"/>
        </w:rPr>
        <w:t xml:space="preserve">March 2026</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Part I: </w:t>
      </w:r>
      <w:r>
        <w:rPr>
          <w:rFonts w:ascii="Arial" w:cs="Arial" w:eastAsia="Arial" w:hAnsi="Arial"/>
          <w:color w:val="2D2D2D"/>
          <w:sz w:val="18"/>
          <w:szCs w:val="18"/>
        </w:rPr>
        <w:t xml:space="preserve">Partnerships — 14 partner categories, 24-field pipeline tracker, 13-step outreach priority, immersion protection policy, partnership value model</w:t>
      </w:r>
    </w:p>
    <w:p>
      <w:pPr>
        <w:spacing w:after="30"/>
        <w:jc w:val="center"/>
      </w:pPr>
      <w:r>
        <w:rPr>
          <w:rFonts w:ascii="Arial" w:cs="Arial" w:eastAsia="Arial" w:hAnsi="Arial"/>
          <w:b/>
          <w:bCs/>
          <w:color w:val="1B2A4A"/>
          <w:sz w:val="18"/>
          <w:szCs w:val="18"/>
        </w:rPr>
        <w:t xml:space="preserve">Part II: </w:t>
      </w:r>
      <w:r>
        <w:rPr>
          <w:rFonts w:ascii="Arial" w:cs="Arial" w:eastAsia="Arial" w:hAnsi="Arial"/>
          <w:color w:val="2D2D2D"/>
          <w:sz w:val="18"/>
          <w:szCs w:val="18"/>
        </w:rPr>
        <w:t xml:space="preserve">Analytics — Data collection timeline, 40+ KPIs across 4 categories, post-event survey template, year-over-year comparison framework, analytics report template, continuous improvement cycle</w:t>
      </w:r>
    </w:p>
    <w:p>
      <w:pPr>
        <w:spacing w:after="30"/>
        <w:jc w:val="center"/>
      </w:pPr>
      <w:r>
        <w:rPr>
          <w:rFonts w:ascii="Arial" w:cs="Arial" w:eastAsia="Arial" w:hAnsi="Arial"/>
          <w:b/>
          <w:bCs/>
          <w:color w:val="1B2A4A"/>
          <w:sz w:val="18"/>
          <w:szCs w:val="18"/>
        </w:rPr>
        <w:t xml:space="preserve"> </w:t>
      </w:r>
      <w:r>
        <w:rPr>
          <w:rFonts w:ascii="Arial" w:cs="Arial" w:eastAsia="Arial" w:hAnsi="Arial"/>
          <w:color w:val="2D2D2D"/>
          <w:sz w:val="18"/>
          <w:szCs w:val="18"/>
        </w:rPr>
        <w:t xml:space="preserve"/>
      </w:r>
    </w:p>
    <w:p>
      <w:pPr>
        <w:spacing w:after="30"/>
        <w:jc w:val="center"/>
      </w:pPr>
      <w:r>
        <w:rPr>
          <w:rFonts w:ascii="Arial" w:cs="Arial" w:eastAsia="Arial" w:hAnsi="Arial"/>
          <w:b/>
          <w:bCs/>
          <w:color w:val="1B2A4A"/>
          <w:sz w:val="18"/>
          <w:szCs w:val="18"/>
        </w:rPr>
        <w:t xml:space="preserve">DOCUMENT 10 OF 10 </w:t>
      </w:r>
      <w:r>
        <w:rPr>
          <w:rFonts w:ascii="Arial" w:cs="Arial" w:eastAsia="Arial" w:hAnsi="Arial"/>
          <w:color w:val="2D2D2D"/>
          <w:sz w:val="18"/>
          <w:szCs w:val="18"/>
        </w:rPr>
        <w:t xml:space="preserve">This completes the Legacy of the Realm operational library.</w:t>
      </w:r>
    </w:p>
    <w:p>
      <w:pPr>
        <w:spacing w:after="6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Sponsor &amp; Partnership Database</w:t>
      </w:r>
    </w:p>
    <w:p>
      <w:pPr>
        <w:spacing w:after="100" w:line="264"/>
      </w:pPr>
      <w:r>
        <w:rPr>
          <w:rFonts w:ascii="Arial" w:cs="Arial" w:eastAsia="Arial" w:hAnsi="Arial"/>
          <w:b w:val="false"/>
          <w:bCs w:val="false"/>
          <w:i w:val="false"/>
          <w:iCs w:val="false"/>
          <w:color w:val="2D2D2D"/>
          <w:sz w:val="18"/>
          <w:szCs w:val="18"/>
        </w:rPr>
        <w:t xml:space="preserve">Legacy of the Realm cannot exist in isolation. It needs local farms for food, breweries for ale, equestrian centers for horses, artisans for props, tourism boards for promotion, and potentially corporate sponsors for capital. This database tracks every potential and active partnership from first contact through multi-year relationship.</w:t>
      </w:r>
    </w:p>
    <w:p>
      <w:pPr>
        <w:spacing w:after="100" w:line="264"/>
      </w:pPr>
      <w:r>
        <w:rPr>
          <w:rFonts w:ascii="Arial" w:cs="Arial" w:eastAsia="Arial" w:hAnsi="Arial"/>
          <w:b/>
          <w:bCs/>
          <w:i w:val="false"/>
          <w:iCs w:val="false"/>
          <w:color w:val="2D2D2D"/>
          <w:sz w:val="18"/>
          <w:szCs w:val="18"/>
        </w:rPr>
        <w:t xml:space="preserve">Principle: partnerships should SERVE THE IMMERSION, not break it. A brewery partner who brews ‘Realm Ale’ adds authenticity. A corporate sponsor who wants a branded banner in Market Row destroys it. The filter is always: does this make the Realm more real, or less?</w:t>
      </w:r>
    </w:p>
    <w:p>
      <w:pPr>
        <w:pStyle w:val="Heading2"/>
        <w:spacing w:before="280" w:after="140"/>
      </w:pPr>
      <w:r>
        <w:rPr>
          <w:rFonts w:ascii="Arial" w:cs="Arial" w:eastAsia="Arial" w:hAnsi="Arial"/>
          <w:b/>
          <w:bCs/>
          <w:color w:val="2C3E6B"/>
          <w:sz w:val="26"/>
          <w:szCs w:val="26"/>
        </w:rPr>
        <w:t xml:space="preserve">1A. Partnership Categories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1000"/>
        <w:gridCol w:w="700"/>
        <w:gridCol w:w="1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They Provide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We Offer Them</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Immersion Fit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Brewery / Meadmaker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Festival-branded ale, mead, cider. Period-style beverages. Keg supply. Possible on-site brewing demo.</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Exclusive pouring rights (or primary). Brand mention in materials. In-world identity (‘Official Ale of the Realm’). Volume sales.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period beverages are core immersion. The brewer CAN be an in-world character.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(Y0)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 breweries within 50km of Chazeuil. Meadmakers. Cideries.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Farm(s)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Eggs, vegetables, fruit, herbs, dairy, meat (some). Possibly livestock for display (chickens, goats).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Reliable bulk orders for 8+ days. ‘Farm-to-Realm’ marketing. In-world credit (‘Supplied by Ferme de [name]’).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local farm produce is more authentic than supermarket. Livestock transforms atmosphere.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(Y0)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Farms within 30km. AMAP networks. Local marché producers.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Boulangerie / Baker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bread supply (100+ loaves/day). Possibly on-site bread oven collaboration.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Volume daily order for 8–10 days. ‘Baker to the Realm’ marketing.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fresh bread is the single most immersive food smell.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(Y0)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Boulangeries artisanales within 20km.</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Boucherie / Charcutier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Meat supply: beef, pork, lamb, sausages, charcuterie. Quality local sourcing.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Volume orders. Reliable repeat business.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quality meat improves feast dramatically.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(Y0)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Boucheries, charcutiers within 30km.</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Equestrian Center / Riding School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Horses (2–4), handlers, equipment, possibly cart/wagon. Mounted demonstrations.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Fee for service. Promotion to their audience. Cross-marketing.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horses transform the Realm from festival to living world.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(Y1+)</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écuries, centres équestres. Percheron breeders (central France specialty).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Falconry Center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Birds of prey, licensed handlers, demonstration equipment.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Fee for service. Premium attraction billing. Promotion.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falconry is peak medieval prestige. Magnetic crowd draw.</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(Y2+)</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Licensed falconry centers within 100km. Regional bird sanctuaries.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Tourism Board / Office de Tourisme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Regional promotion, visitor guides listing, tourism website feature, possible grant funding.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Cultural event in the region. Tourism traffic. Heritage valorization narrative.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NEUTRAL — they promote us, they don’t appear in the Realm.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(Y1)</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Office de Tourisme local, Comité Départemental du Tourisme, Atout France (national).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Regional Cultural Authority / DRAC</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Potential grant funding (aide à la création, patrimoine vivant). Legitimacy endorsement.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Cultural valorization of heritage site. Educational programming. Visitor engagement with patrimoine.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POSITIVE — DRAC endorsement strengthens ABF relationship and public credibility.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(Y0–Y1)</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DRAC Auvergne-Rhône-Alpes (or relevant region). Fondation du Patrimoine.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Municipality / Mairie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Permits, road access, noise tolerance, local goodwill, possible in-kind support (waste collection, signage).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activity in commune. Employment. Tourism. Cultural prestige.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NEUTRAL to POSITIVE — good Mairie relationship makes everything easier.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(Y0)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Mairie de Chazeuil + neighboring communes.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Media Partners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Press coverage, documentary interest, influencer content, photography.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 exclusive content, behind-the-scenes, interview opportunities, premiere footage.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 — editorial coverage is great. Sponsored content must be invisible.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(Y0–Y1)</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LARP/medieval niche press. Travel press. Documentary producers. Select influencers (2–3 max, curated).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Corporate Sponsors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Cash investment. Equipment loans. Service provision (e.g., portable toilet company, generator rental at discount).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Logo placement (NEVER in guest-visible areas — website, printed materials, press releases only). Hospitality packages. VIP access.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DANGEROUS if mishandled. Corporate branding inside the Realm destroys immersion. Must be kept strictly off-stage.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until Y2+</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industry suppliers. Regional businesses. Cultural foundations.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Partnerships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Skilled craftspeople who operate guild workshops in exchange for free access + sales rights.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stall/workshop space + in-world status (Guild Master). They bring skill and authenticity.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real artisans ARE the immersion.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(Y0)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Blacksmiths, leatherworkers, weavers, potters, woodworkers. Reenactment artisan community.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HEMA / Martial Arts Clubs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trainers, tournament marshals, safety expertise, experienced fighters.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tickets for members. Training space. Tournament participation. Community cross-promotion.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trained fighters improve combat quality and safety.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(Y0–Y1)</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HEMA clubs. SCA chapters. Reenactment combat groups.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 Ensembles / Folk Groups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Performers, instruments, repertoire, atmosphere.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tickets + meals + performance fees (for professionals). Stage time. Audience.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live period music defines atmosphere.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(Y0)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Medieval/Renaissance music ensembles. Folk music collectives. Conservatory early music departments.</w:t>
            </w:r>
          </w:p>
        </w:tc>
      </w:tr>
    </w:tbl>
    <w:p>
      <w:r>
        <w:br w:type="page"/>
      </w:r>
    </w:p>
    <w:p>
      <w:pPr>
        <w:pStyle w:val="Heading2"/>
        <w:spacing w:before="280" w:after="140"/>
      </w:pPr>
      <w:r>
        <w:rPr>
          <w:rFonts w:ascii="Arial" w:cs="Arial" w:eastAsia="Arial" w:hAnsi="Arial"/>
          <w:b/>
          <w:bCs/>
          <w:color w:val="2C3E6B"/>
          <w:sz w:val="26"/>
          <w:szCs w:val="26"/>
        </w:rPr>
        <w:t xml:space="preserve">1B. Partnership Pipeline Tracker (Airtable Schema)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7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partner_id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Auto-number</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Unique identifier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partner_name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Organization or individual name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category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Brewery, Farm, Baker, Butcher, Equestrian, Falconry, Tourism, DRAC, Mairie, Media, Corporate, Artisan, HEMA, Music, Other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contact_name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Primary contact person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contact_email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Email</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contact_phone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Phone</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website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URL</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City/commune + distance from Chazeuil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pipeline_stage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Identified, Contacted, Meeting Scheduled, Proposal Sent, Negotiating, Agreed, Active, Dormant, Declined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relationship_owner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Linked record → Staff</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Who manages this relationship</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first_contact_date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we first reached out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last_contact_date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Most recent communication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next_action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What’s the next step? ‘Send proposal by April 15.’</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next_action_date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Deadline for next step</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what_they_provide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want from them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what_we_offer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offer in return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agreement_type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Barter (exchange of value), Fee-for-service (we pay them), Sponsorship (they pay us), Hybrid, In-kind, None yet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estimated_value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(EUR)</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annual value of partnership (cash or in-kind equivalent)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contract_signed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Formal agreement in place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contract_document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Attachment</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Signed contract/agreement PDF</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event_years_active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Which years they’ve been active: ‘Y0, Y1’</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satisfaction_rating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Number (1–5)</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Our satisfaction with this partner: 1=poor, 5=excellent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7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Relationship history, key conversations, issues, opportunities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immersion_impact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7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Enhances immersion, Neutral, Risks immersion</w:t>
            </w:r>
          </w:p>
        </w:tc>
      </w:tr>
    </w:tbl>
    <w:p>
      <w:pPr>
        <w:pStyle w:val="Heading2"/>
        <w:spacing w:before="280" w:after="140"/>
      </w:pPr>
      <w:r>
        <w:rPr>
          <w:rFonts w:ascii="Arial" w:cs="Arial" w:eastAsia="Arial" w:hAnsi="Arial"/>
          <w:b/>
          <w:bCs/>
          <w:color w:val="2C3E6B"/>
          <w:sz w:val="26"/>
          <w:szCs w:val="26"/>
        </w:rPr>
        <w:t xml:space="preserve">1C. Partnership Outreach Priority Matrix</w:t>
      </w:r>
    </w:p>
    <w:p>
      <w:pPr>
        <w:spacing w:after="100" w:line="264"/>
      </w:pPr>
      <w:r>
        <w:rPr>
          <w:rFonts w:ascii="Arial" w:cs="Arial" w:eastAsia="Arial" w:hAnsi="Arial"/>
          <w:b w:val="false"/>
          <w:bCs w:val="false"/>
          <w:i w:val="false"/>
          <w:iCs w:val="false"/>
          <w:color w:val="2D2D2D"/>
          <w:sz w:val="18"/>
          <w:szCs w:val="18"/>
        </w:rPr>
        <w:t xml:space="preserve">Who to contact first, in what order, and why.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000"/>
        <w:gridCol w:w="2400"/>
        <w:gridCol w:w="3400"/>
      </w:tblGrid>
      <w:tr>
        <w:trPr>
          <w:tblHeader/>
        </w:trPr>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 to Contact</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This Order</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Approach</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Mairie de Chazeuil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1 (immediately)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Everything depends on local government goodwill. Permits, noise, roads, camping — the Mairie is gate zero.</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Personal visit by founder. Formal letter of introduction. Emphasize cultural valorization, tourism, local employment.</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brewery / meadmaker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 2–3</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Beverage is the single largest partnership by volume and revenue impact. Lead time for custom brewing is 6–12 weeks.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Visit in person. Bring the concept document. Propose ‘Realm Ale’ collaboration. Start with pilot-scale order.</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farm(s) for food supply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3–4</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supply must be locked in well before the event. Farms plan seasons ahead.</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Visit farms. Explain volume and timing. Ask about delivery logistics. Start with one primary + one backup.</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boulangerie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 3–4</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bread requires a standing order relationship. Baker needs advance notice for volume.</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Visit. Explain: 100 loaves/day for 8–10 days. Ask about wood-fired options. Negotiate bulk pricing.</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guild masters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4–6</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craftspeople need time to plan, prepare tools, and arrange time off work/life.</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Attend reenactment events and craft fairs. Approach in person. Offer free ticket + workshop space. Sell the vision.</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HEMA / martial arts clubs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 4–6</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Fighters need training coordination and safety planning.</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club leaders. Invite to pre-pilot. Offer group tickets at discount. Propose tournament collaboration.</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 ensembles / folk musicians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4–6</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Musicians book seasons ahead. Best performers go first.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early music societies, folk festival organizers. Offer performance residency (full event, free ticket + meals + small fee for professionals).</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boucherie / charcutier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 5–6</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Meat supply needs less lead time than brewery but still requires advance ordering.</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Visit. Explain volume. Negotiate 2-day delivery cycle during event.</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Tourism board / Office de Tourisme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6–8</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Tourism promotion has long lead times for print guides and website updates.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Formal letter + event summary + projected visitor numbers. Ask about listing and promotion support.</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DRAC / cultural funding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 6–8</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Grant applications have specific windows. Research délais de dépôt.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Research available programs (patrimoine vivant, aide à la création culturelle). Prepare dossier emphasizing heritage valorization.</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Media partners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8–10</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Media engagement should happen AFTER you have content (pre-pilot footage) to show.</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Press kit with pre-pilot footage. Invite 2–3 curated influencers/journalists to pilot. Editorial, not advertising.</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Equestrian center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 8–12 (for Y1)</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Horses are complex: insurance, handlers, logistics. Not for the pilot unless already established.</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Visit local écuries. Propose partnership for Y1. Start with 2 horses + handlers for specific event days.</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Corporate sponsors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2+</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seek corporate money before the event has proven itself. Sponsors need proof.</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Approach only with documented attendance, media coverage, and audience demographics. Professional sponsorship deck.</w:t>
            </w:r>
          </w:p>
        </w:tc>
      </w:tr>
    </w:tbl>
    <w:p>
      <w:r>
        <w:br w:type="page"/>
      </w:r>
    </w:p>
    <w:p>
      <w:pPr>
        <w:pStyle w:val="Heading2"/>
        <w:spacing w:before="280" w:after="140"/>
      </w:pPr>
      <w:r>
        <w:rPr>
          <w:rFonts w:ascii="Arial" w:cs="Arial" w:eastAsia="Arial" w:hAnsi="Arial"/>
          <w:b/>
          <w:bCs/>
          <w:color w:val="2C3E6B"/>
          <w:sz w:val="26"/>
          <w:szCs w:val="26"/>
        </w:rPr>
        <w:t xml:space="preserve">1D. Sponsorship Rules — Immersion Protection Policy</w:t>
      </w:r>
    </w:p>
    <w:p>
      <w:pPr>
        <w:spacing w:after="100" w:line="264"/>
      </w:pPr>
      <w:r>
        <w:rPr>
          <w:rFonts w:ascii="Arial" w:cs="Arial" w:eastAsia="Arial" w:hAnsi="Arial"/>
          <w:b/>
          <w:bCs/>
          <w:i w:val="false"/>
          <w:iCs w:val="false"/>
          <w:color w:val="2D2D2D"/>
          <w:sz w:val="18"/>
          <w:szCs w:val="18"/>
        </w:rPr>
        <w:t xml:space="preserve">This policy protects the Realm from commercial contamination. It is NON-NEGOTIABLE.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8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Rule</w:t>
            </w:r>
          </w:p>
        </w:tc>
        <w:tc>
          <w:tcPr>
            <w:tcW w:type="dxa" w:w="4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Exception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corporate logos or branding visible anywhere in the guest experience</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banners, signs, stickers, screens, wearables, or any visual element bearing a corporate identity within any guest-facing zone of the Realm.</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Backstage/logistics area only. Website sponsor page. Printed program (if one exists). Press releases.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product placement inside the Realm</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branded products, samples, or promotional materials distributed to participants during the event.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brewery partner’s ale may be served under an IN-WORLD name (‘The Brewer’s Best’). The real brewery name appears only on the website/materials.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sponsor-driven programming</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sponsor-required events, activations, speeches, or any content shaped by a sponsor’s marketing goals.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sponsor may be acknowledged at the Opening or Closing Ceremony with a brief ‘The Realm thanks [name] for their support’ — once, not repeated.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data sharing with sponsors</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personal data (emails, names, demographics) is NEVER shared with sponsors without explicit participant consent.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Anonymized aggregate data (total attendance, demographic summary) may be shared for sponsorship reporting.</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Sponsor hospitality is IN-WORLD</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Corporate guests of sponsors attend as participants, in costume, under realm rules. They do not receive branded VIP areas.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Sponsors may receive Noble-tier tickets at a discount. Their guests enter the Realm as nobles, not as ‘sponsored visitors.’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has VETO power</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founder/Sovereign can reject any sponsorship that threatens immersion quality, regardless of financial value.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exception. Money never overrides world integrity.</w:t>
            </w:r>
          </w:p>
        </w:tc>
      </w:tr>
    </w:tbl>
    <w:p>
      <w:pPr>
        <w:pStyle w:val="Heading2"/>
        <w:spacing w:before="280" w:after="140"/>
      </w:pPr>
      <w:r>
        <w:rPr>
          <w:rFonts w:ascii="Arial" w:cs="Arial" w:eastAsia="Arial" w:hAnsi="Arial"/>
          <w:b/>
          <w:bCs/>
          <w:color w:val="2C3E6B"/>
          <w:sz w:val="26"/>
          <w:szCs w:val="26"/>
        </w:rPr>
        <w:t xml:space="preserve">1E. Partnership Value Model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000"/>
        <w:gridCol w:w="12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Partner Type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Estimated Annual Value (Y1)</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 to Us</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Net Value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Grows With Scale?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Brewery (primary)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 (beverage supply at wholesale + custom brew)</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€2,500–4,000 (product cost)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 margin + immersion value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volume scales with attendance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Farm(s) (food supply)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€5,000–8,000 (produce at farm-gate prices)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€5,000–8,000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Near break-even vs. wholesale + freshness + authenticity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Boulangerie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€1,200–1,800 (bread supply)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€1,200–1,800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Break-even + freshness + immersion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guild masters (5–10)</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€3,000–6,000 (skilled labor equivalent)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€2,500–5,000 (free tickets + space)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Net positive: we get skilled labor, they get a venue. Win-win.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more artisans = richer world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Musicians (6–12)</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€5,000–8,000 (performance value equivalent)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€2,500–5,500 (tickets + meals + fees)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Net positive: atmosphere transformation far exceeds cost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Tourism board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€1,000–5,000 (promotion value)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(our effort only)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Pure upside if they list and promote us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DRAC / cultural grant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€2,000–10,000 (if grant obtained)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 application effort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Pure upside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 but not guaranteed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Equestrian (Y1+)</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 (prestige + premium experiences)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 (handler fees + logistics)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Break-even financially but HUGE immersion multiplier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Moderately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Corporate sponsor (Y2+)</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€5,000–20,000 (cash or in-kind)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(except hospitality)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Pure revenue if immersion rules are respected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PARTNERSHIP ECOSYSTEM (Y1)</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€23,000–70,000 value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€17,000–35,000 cost</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€6,000–35,000 net + immersion value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r>
        <w:br w:type="page"/>
      </w:r>
    </w:p>
    <w:p>
      <w:pPr>
        <w:pStyle w:val="Heading1"/>
        <w:spacing w:before="360" w:after="200"/>
      </w:pPr>
      <w:r>
        <w:rPr>
          <w:rFonts w:ascii="Arial" w:cs="Arial" w:eastAsia="Arial" w:hAnsi="Arial"/>
          <w:b/>
          <w:bCs/>
          <w:color w:val="1B2A4A"/>
          <w:sz w:val="32"/>
          <w:szCs w:val="32"/>
        </w:rPr>
        <w:t xml:space="preserve">Part II: Post-Event Analytics Framework</w:t>
      </w:r>
    </w:p>
    <w:p>
      <w:pPr>
        <w:spacing w:after="100" w:line="264"/>
      </w:pPr>
      <w:r>
        <w:rPr>
          <w:rFonts w:ascii="Arial" w:cs="Arial" w:eastAsia="Arial" w:hAnsi="Arial"/>
          <w:b w:val="false"/>
          <w:bCs w:val="false"/>
          <w:i w:val="false"/>
          <w:iCs w:val="false"/>
          <w:color w:val="2D2D2D"/>
          <w:sz w:val="18"/>
          <w:szCs w:val="18"/>
        </w:rPr>
        <w:t xml:space="preserve">What gets measured gets improved. This framework defines exactly what data to collect after each event, how to analyze it, what benchmarks to target, and how to compare year-over-year. It transforms ‘it felt good’ into ‘we know exactly what worked, what didn’t, and what to change.’</w:t>
      </w:r>
    </w:p>
    <w:p>
      <w:pPr>
        <w:spacing w:after="100" w:line="264"/>
      </w:pPr>
      <w:r>
        <w:rPr>
          <w:rFonts w:ascii="Arial" w:cs="Arial" w:eastAsia="Arial" w:hAnsi="Arial"/>
          <w:b/>
          <w:bCs/>
          <w:i w:val="false"/>
          <w:iCs w:val="false"/>
          <w:color w:val="2D2D2D"/>
          <w:sz w:val="18"/>
          <w:szCs w:val="18"/>
        </w:rPr>
        <w:t xml:space="preserve">The Analytics Lead role is assigned to the Community &amp; Marketing Director, with support from the Economy Director (financial data) and Immersion Director (content data). The post-event analytics report should be completed within 6 weeks of each event.</w:t>
      </w:r>
    </w:p>
    <w:p>
      <w:pPr>
        <w:pStyle w:val="Heading2"/>
        <w:spacing w:before="280" w:after="140"/>
      </w:pPr>
      <w:r>
        <w:rPr>
          <w:rFonts w:ascii="Arial" w:cs="Arial" w:eastAsia="Arial" w:hAnsi="Arial"/>
          <w:b/>
          <w:bCs/>
          <w:color w:val="2C3E6B"/>
          <w:sz w:val="26"/>
          <w:szCs w:val="26"/>
        </w:rPr>
        <w:t xml:space="preserve">2A. Data Collection Timeline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1400"/>
        <w:gridCol w:w="1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to Collect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Deadline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 (continuous)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data: token transactions, daily velocity samples, treasury counts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daily log + Airtable transaction records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 Treasury Clerks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Real-time (logged daily)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 (continuous)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completion data: which quests completed, by whom, time taken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 logs in Airtable (Quest table: status field)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 + Quest Runners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Real-time (logged on completion)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 (continuous)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events: all rep changes logged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Warden/Guild Master entries in Airtable (Reputation Events table)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Guild Masters, Immersion Director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Real-time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 (continuous)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incidents: all incidents logged in incident report forms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Paper forms at Medical Station + post-event digitization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 Safety Director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Paper real-time; digital within 48hrs post-event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 (daily)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Attendance by zone: visual estimate of traffic levels by zone at 3 time points (morning, afternoon, evening)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report via radio; logged in daily ops summary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Supervisor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evening debrief</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 (daily)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service counts: meals served per service window</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tally counter or manual count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Head Cook</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Post-service each meal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close (Monday)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 redemption data: how many tokens redeemed, converted to credit, spent on merchandise, or abandoned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redemption desk log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Monday evening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Day +2–3</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survey: satisfaction, return intent, NPS, qualitative feedback</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Online survey (Google Forms, Typeform, or SurveyMonkey) emailed to all participants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Survey sent Day +2. Open for 2 weeks.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Day +7–14</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and volunteer debrief: structured feedback from all departments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Department-level debrief meetings (1 hour each) + written summary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 facilitates; each dept head submits written summary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debriefs completed within 2 weeks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Day +14–28</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Financial reconciliation: actual revenue vs. budget, actual costs vs. budget, variance analysis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spreadsheet + Airtable Budget table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Lead / Economy Director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weeks post-event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Day +28–42</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analytics report compiled and presented to core team</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report with visualizations (charts, tables)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 + Analytics Lead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 weeks post-event</w:t>
            </w:r>
          </w:p>
        </w:tc>
      </w:tr>
    </w:tbl>
    <w:p>
      <w:r>
        <w:br w:type="page"/>
      </w:r>
    </w:p>
    <w:p>
      <w:pPr>
        <w:pStyle w:val="Heading2"/>
        <w:spacing w:before="280" w:after="140"/>
      </w:pPr>
      <w:r>
        <w:rPr>
          <w:rFonts w:ascii="Arial" w:cs="Arial" w:eastAsia="Arial" w:hAnsi="Arial"/>
          <w:b/>
          <w:bCs/>
          <w:color w:val="2C3E6B"/>
          <w:sz w:val="26"/>
          <w:szCs w:val="26"/>
        </w:rPr>
        <w:t xml:space="preserve">2B. KPI Dashboard — Master Metrics</w:t>
      </w:r>
    </w:p>
    <w:p>
      <w:pPr>
        <w:spacing w:after="100" w:line="264"/>
      </w:pPr>
      <w:r>
        <w:rPr>
          <w:rFonts w:ascii="Arial" w:cs="Arial" w:eastAsia="Arial" w:hAnsi="Arial"/>
          <w:b w:val="false"/>
          <w:bCs w:val="false"/>
          <w:i w:val="false"/>
          <w:iCs w:val="false"/>
          <w:color w:val="2D2D2D"/>
          <w:sz w:val="18"/>
          <w:szCs w:val="18"/>
        </w:rPr>
        <w:t xml:space="preserve">These are the numbers that matter most. They are reported in the post-event analytics report and compared year-over-year.</w:t>
      </w:r>
    </w:p>
    <w:p>
      <w:pPr>
        <w:pStyle w:val="Heading3"/>
        <w:spacing w:before="220" w:after="100"/>
      </w:pPr>
      <w:r>
        <w:rPr>
          <w:rFonts w:ascii="Arial" w:cs="Arial" w:eastAsia="Arial" w:hAnsi="Arial"/>
          <w:b/>
          <w:bCs/>
          <w:color w:val="4A5A8A"/>
          <w:sz w:val="22"/>
          <w:szCs w:val="22"/>
        </w:rPr>
        <w:t xml:space="preserve">Attendance &amp; Participation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800"/>
        <w:gridCol w:w="800"/>
        <w:gridCol w:w="800"/>
        <w:gridCol w:w="1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KPI</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Definition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 Source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Y0 Target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Y1 Target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Y3 Target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Red Flag If</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attendance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Unique participants checked in at Crown Gate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check-in data</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150–250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400–500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700–800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70% of tickets sold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Show rate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Checked in / confirmed tickets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vs. ticket sales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&gt;85%</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&gt;90%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&gt;95%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80% (indicates pricing, logistics, or commitment problem)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Average stay duration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Nights stayed / total possible nights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check-in/check-out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&gt;90% stay full event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&gt;95%</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&gt;98%</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85% (people leaving early = experience problem)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 distribution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of participants per class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data</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to planned ratio</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Within 20% of target per class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Within 10%</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single class &gt;40% (homogeneity) or &lt;5% (dead class)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vs. returning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first-time vs. returning participants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CRM events_attended field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 new (first event)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60–70% new / 30–40% returning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40–50% new / 50–60% returning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Returning drops below 30% at Y2+ (retention crisis)</w:t>
            </w:r>
          </w:p>
        </w:tc>
      </w:tr>
    </w:tbl>
    <w:p>
      <w:pPr>
        <w:pStyle w:val="Heading3"/>
        <w:spacing w:before="220" w:after="100"/>
      </w:pPr>
      <w:r>
        <w:rPr>
          <w:rFonts w:ascii="Arial" w:cs="Arial" w:eastAsia="Arial" w:hAnsi="Arial"/>
          <w:b/>
          <w:bCs/>
          <w:color w:val="4A5A8A"/>
          <w:sz w:val="22"/>
          <w:szCs w:val="22"/>
        </w:rPr>
        <w:t xml:space="preserve">Satisfaction &amp; Sentiment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700"/>
        <w:gridCol w:w="700"/>
        <w:gridCol w:w="700"/>
        <w:gridCol w:w="1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KPI</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Definition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 Source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Y0 Target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Y1 Target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Y3 Target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Red Flag If</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Overall satisfaction (1–10)</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Average survey score to ‘How would you rate your overall experience?’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8.5+</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6.5</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Net Promoter Score (NPS)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‘Would you recommend this to a friend?’ (0–10). NPS = %Promoters(9–10) − %Detractors(0–6)</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0 (more detractors than promoters)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Return intent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answering ‘Definitely’ or ‘Probably’ returning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40%</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rating (1–10)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immersive did the world feel?’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6.0 (immersion failure)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quality rating (1–10)</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‘How would you rate the food and drink?’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5.5 (food is fundamental)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Value for money (1–10)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‘Did you feel the event was good value for the price?’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5.0 (pricing crisis)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perception (1–10)</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‘Did you feel safe throughout the event?’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7.0 (safety perception crisis)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Top 3 positives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Open-text: ‘What were the best parts of your experience?’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 (coded thematically)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Identify themes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Track theme evolution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Track theme evolution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negative themes dominate top mentions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Top 3 negatives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Open-text: ‘What would you most like improved?’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 (coded thematically)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Identify themes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Track whether Y0 issues resolved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issues &lt; recurring issues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complaints Y0→Y1→Y2 = failure to improve</w:t>
            </w:r>
          </w:p>
        </w:tc>
      </w:tr>
    </w:tbl>
    <w:p>
      <w:r>
        <w:br w:type="page"/>
      </w:r>
    </w:p>
    <w:p>
      <w:pPr>
        <w:pStyle w:val="Heading3"/>
        <w:spacing w:before="220" w:after="100"/>
      </w:pPr>
      <w:r>
        <w:rPr>
          <w:rFonts w:ascii="Arial" w:cs="Arial" w:eastAsia="Arial" w:hAnsi="Arial"/>
          <w:b/>
          <w:bCs/>
          <w:color w:val="4A5A8A"/>
          <w:sz w:val="22"/>
          <w:szCs w:val="22"/>
        </w:rPr>
        <w:t xml:space="preserve">Economic Performance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800"/>
        <w:gridCol w:w="800"/>
        <w:gridCol w:w="800"/>
        <w:gridCol w:w="1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KPI</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Definition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 Source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Y0 Target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Y1 Target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Y3 Target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Red Flag If</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revenue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income: tickets + food + merchandise + token exchange + sponsorship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records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Break-even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€300K–500K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€600K–900K</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60% of budget projection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Revenue per participant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revenue / total participants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 registration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€200–400 (pilot pricing)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€700+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€900+</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€500 at Y1 (underpriced or underserved)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costs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expenses: staff, infrastructure, food, insurance, marketing, props, contingency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records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 revenue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~€230K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~€400K</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Exceeds revenue by &gt;10% without explanation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Net margin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Revenue − costs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records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(break-even)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€70K–100K</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€150K–250K</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Negative at Y1+ (unsustainable)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 velocity (avg daily)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tokens transacted per day / total tokens in circulation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daily logs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Data collection (no target yet)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0.3–0.5 (30–50% of supply moves daily)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at 0.3–0.5</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0.2 (stagnant economy) or above 0.7 (hyperactive / inflation risk)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Token redemption rate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Tokens redeemed for cash / total tokens distributed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redemption log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Data collection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&lt;30% (most tokens stay in-world)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&lt;25%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Above 40% (people extracting cash rather than reinvesting)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revenue vs. cost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token income vs. food procurement + operation cost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 Treasury records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Data collection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Break-even to +10%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+5–15%</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losing &gt;10% = unsustainable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sell-through rate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Tickets sold / tickets available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platform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&gt;60%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&gt;75%</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&gt;85%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50% (marketing or pricing problem)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Early bird conversion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Early bird tickets / total tickets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CRM data</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 (first event)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&gt;30%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&gt;40%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20% (insufficient return loyalty or poorly timed offer)</w:t>
            </w:r>
          </w:p>
        </w:tc>
      </w:tr>
    </w:tbl>
    <w:p>
      <w:pPr>
        <w:pStyle w:val="Heading3"/>
        <w:spacing w:before="220" w:after="100"/>
      </w:pPr>
      <w:r>
        <w:rPr>
          <w:rFonts w:ascii="Arial" w:cs="Arial" w:eastAsia="Arial" w:hAnsi="Arial"/>
          <w:b/>
          <w:bCs/>
          <w:color w:val="4A5A8A"/>
          <w:sz w:val="22"/>
          <w:szCs w:val="22"/>
        </w:rPr>
        <w:t xml:space="preserve">Operational Performance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000"/>
        <w:gridCol w:w="800"/>
        <w:gridCol w:w="800"/>
        <w:gridCol w:w="1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KPI</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Definition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 Source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Y0 Target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Y1 Target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Red Flag If</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incidents (total)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logged incidents requiring medical attention or safety intervention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Incident report forms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&lt;5</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&lt;10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&gt;15 or any single serious injury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Quests completed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quests completed / total quests deployed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table in Airtable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&gt;50% completion rate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&gt;65%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40% (quests aren’t engaging or findable)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Titles granted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reputation titles awarded during the event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system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10–20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30–60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10 at Y1 (system underused)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 named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 persistent settlements established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 database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(pilot)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at Y1 (settlement system not working)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charters granted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guilds officially chartered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records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at Y1 (guild system not engaging)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satisfaction (1–10)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Average staff/volunteer survey score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debrief survey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Below 6.0 (staff burnout or management failure)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return intent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of volunteers saying they’ll return to volunteer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survey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 50% (volunteer model at risk)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Permit compliance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required permits obtained and no regulatory issues during event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Legal/Permits tracker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permit violation or regulatory issue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Waste management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waste removed. No environmental complaints.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 report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environmental complaint or uncleared waste</w:t>
            </w:r>
          </w:p>
        </w:tc>
      </w:tr>
    </w:tbl>
    <w:p>
      <w:r>
        <w:br w:type="page"/>
      </w:r>
    </w:p>
    <w:p>
      <w:pPr>
        <w:pStyle w:val="Heading2"/>
        <w:spacing w:before="280" w:after="140"/>
      </w:pPr>
      <w:r>
        <w:rPr>
          <w:rFonts w:ascii="Arial" w:cs="Arial" w:eastAsia="Arial" w:hAnsi="Arial"/>
          <w:b/>
          <w:bCs/>
          <w:color w:val="2C3E6B"/>
          <w:sz w:val="26"/>
          <w:szCs w:val="26"/>
        </w:rPr>
        <w:t xml:space="preserve">2C. Post-Event Survey Template</w:t>
      </w:r>
    </w:p>
    <w:p>
      <w:pPr>
        <w:spacing w:after="100" w:line="264"/>
      </w:pPr>
      <w:r>
        <w:rPr>
          <w:rFonts w:ascii="Arial" w:cs="Arial" w:eastAsia="Arial" w:hAnsi="Arial"/>
          <w:b w:val="false"/>
          <w:bCs w:val="false"/>
          <w:i w:val="false"/>
          <w:iCs w:val="false"/>
          <w:color w:val="2D2D2D"/>
          <w:sz w:val="18"/>
          <w:szCs w:val="18"/>
        </w:rPr>
        <w:t xml:space="preserve">This survey is sent to all participants 2–3 days after the event. It should take 8–10 minutes to complete. Keep it focused — long surveys get abandoned.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800"/>
        <w:gridCol w:w="1200"/>
        <w:gridCol w:w="500"/>
        <w:gridCol w:w="2000"/>
      </w:tblGrid>
      <w:tr>
        <w:trPr>
          <w:tblHeader/>
        </w:trPr>
        <w:tc>
          <w:tcPr>
            <w:tcW w:type="dxa" w:w="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 / Options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Required?</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How would you rate your overall experience at Legacy of the Realm?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Primary satisfaction metric</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immersive did the world feel?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quality metric</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How would you rate the food and drink?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quality metric</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would you rate the value for money?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1–10</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Pricing validation</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Did you feel safe throughout the event?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1–10</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perception</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likely are you to recommend Legacy of the Realm to a friend?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0–10 (NPS format)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Net Promoter Score</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How likely are you to return next year?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Definitely / Probably / Maybe / Unlikely / Not returning</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Return intent</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class did you play?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classes]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Class-specific analysis</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 this your first time attending?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No (returning from 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vs. returning segmentation</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were the 3 best parts of your experience?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text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text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Positive theme identification</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3 things would you most like improved?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text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text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Negative theme identification / improvement priorities</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did you find out about Legacy of the Realm?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Multi-select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media / Friend referral / LARP forum / Reenactment event / Press article / Influencer / Search engine / Other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Marketing channel attribution</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Rate the following aspects (1–10 each): Quest system / Economy system / Tournament/combat / Music &amp; atmosphere / Tavern experience / Guild workshops / Staff helpfulness / Costume standards / Camp facilities / Sanitation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Matrix (10 sub-questions)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1–10 each</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Detailed component analysis</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Did you participate in any of the following? (check all): Quests / Guild workshop / Tournament / Political RP / Gambling / Tavern evening / Craft purchase / Shadow economy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Multi-select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 list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Engagement breadth measurement</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other comments, stories, or feedback?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text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text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Rich qualitative data. Often contains the most valuable insights.</w:t>
            </w:r>
          </w:p>
        </w:tc>
      </w:tr>
    </w:tbl>
    <w:p>
      <w:pPr>
        <w:spacing w:after="100" w:line="264"/>
      </w:pPr>
      <w:r>
        <w:rPr>
          <w:rFonts w:ascii="Arial" w:cs="Arial" w:eastAsia="Arial" w:hAnsi="Arial"/>
          <w:b w:val="false"/>
          <w:bCs w:val="false"/>
          <w:i/>
          <w:iCs/>
          <w:color w:val="2D2D2D"/>
          <w:sz w:val="18"/>
          <w:szCs w:val="18"/>
        </w:rPr>
        <w:t xml:space="preserve">Target survey response rate: 50%+ of attendees. Offer an incentive: ‘Complete the survey and receive a 10% early bird discount on next year’s ticket.’</w:t>
      </w:r>
    </w:p>
    <w:p>
      <w:r>
        <w:br w:type="page"/>
      </w:r>
    </w:p>
    <w:p>
      <w:pPr>
        <w:pStyle w:val="Heading2"/>
        <w:spacing w:before="280" w:after="140"/>
      </w:pPr>
      <w:r>
        <w:rPr>
          <w:rFonts w:ascii="Arial" w:cs="Arial" w:eastAsia="Arial" w:hAnsi="Arial"/>
          <w:b/>
          <w:bCs/>
          <w:color w:val="2C3E6B"/>
          <w:sz w:val="26"/>
          <w:szCs w:val="26"/>
        </w:rPr>
        <w:t xml:space="preserve">2D. Year-Over-Year Comparison Framework</w:t>
      </w:r>
    </w:p>
    <w:p>
      <w:pPr>
        <w:spacing w:after="100" w:line="264"/>
      </w:pPr>
      <w:r>
        <w:rPr>
          <w:rFonts w:ascii="Arial" w:cs="Arial" w:eastAsia="Arial" w:hAnsi="Arial"/>
          <w:b w:val="false"/>
          <w:bCs w:val="false"/>
          <w:i w:val="false"/>
          <w:iCs w:val="false"/>
          <w:color w:val="2D2D2D"/>
          <w:sz w:val="18"/>
          <w:szCs w:val="18"/>
        </w:rPr>
        <w:t xml:space="preserve">After Year 1, every metric is compared against the previous year. This reveals trends, validates improvements, and exposes emerging problems.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1400"/>
        <w:gridCol w:w="2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Metric Category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Year-Over-Year Question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Healthy Trend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Warning Trend</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 If Warning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Attendance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Is total attendance growing?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+15–25% per year until capacity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Flat or declining</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Review marketing, pricing, timing, competition. Conduct lapsed-attendee survey.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Is overall satisfaction improving?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+0.3–0.5 points per year on 10-point scale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Flat or declining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Deep-dive into component scores. Identify which area dragged down. Fix it.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Are more people recommending us?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NPS increasing by 5–10 points per year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NPS declining</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Analyze detractor feedback. Address root causes. Consider experience overhaul.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Return rate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Are people actually coming back?</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Actual return rate matches or exceeds stated intent from previous year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Actual return &lt; stated intent by &gt;15 points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Gap = barriers (price, dates, logistics) not experience. Survey lapsed. Offer incentives.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Revenue per head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Are we earning more per participant?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Growing with premium offerings and upsells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Flat or declining despite price increases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Value perception declining. Add value before adding price.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health</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Is the token economy stable and engaging?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stable. Redemption rate stable or declining. No inflation events.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Velocity spiking. Redemption rate increasing. Merchant price complaints.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Review money supply, sinks, and pricing. Activate inflation controls. See Economy Database.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Are incidents decreasing?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Fewer incidents per 100 participants each year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Incidents per capita increasing</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Review safety protocols, training, equipment. Consider activity restrictions.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satisfaction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Are staff and volunteers happy?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 stable or improving. Volunteer return rate &gt;60%.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 declining. Key volunteers not returning.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burnout, under-appreciation, or structural problems. Debrief deeply. Invest in staff welfare.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engagement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Are quests being completed and enjoyed?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Completion rate stable. Variety increasing. Survey ratings improving.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Completion rate declining. Same quest types repeated. Survey complaints.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fatigue. Need new quest types, better story arcs, more variety. Invest in Quest Lead resources.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score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Is the world getting MORE real?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rating improving by 0.3–0.5/year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Flat or declining immersion rating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Identify what breaks immersion (survey Q11). Invest in costume standards, soundscape, NPC quality, prop quality.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 efficiency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Are we spending smarter?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Net margin improving while quality stable or improving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Costs growing faster than revenue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Audit every cost category. Identify waste. Renegotiate supplier contracts. Don’t cut quality — cut waste.</w:t>
            </w:r>
          </w:p>
        </w:tc>
      </w:tr>
    </w:tbl>
    <w:p>
      <w:pPr>
        <w:pStyle w:val="Heading2"/>
        <w:spacing w:before="280" w:after="140"/>
      </w:pPr>
      <w:r>
        <w:rPr>
          <w:rFonts w:ascii="Arial" w:cs="Arial" w:eastAsia="Arial" w:hAnsi="Arial"/>
          <w:b/>
          <w:bCs/>
          <w:color w:val="2C3E6B"/>
          <w:sz w:val="26"/>
          <w:szCs w:val="26"/>
        </w:rPr>
        <w:t xml:space="preserve">2E. Analytics Report Template</w:t>
      </w:r>
    </w:p>
    <w:p>
      <w:pPr>
        <w:spacing w:after="100" w:line="264"/>
      </w:pPr>
      <w:r>
        <w:rPr>
          <w:rFonts w:ascii="Arial" w:cs="Arial" w:eastAsia="Arial" w:hAnsi="Arial"/>
          <w:b w:val="false"/>
          <w:bCs w:val="false"/>
          <w:i w:val="false"/>
          <w:iCs w:val="false"/>
          <w:color w:val="2D2D2D"/>
          <w:sz w:val="18"/>
          <w:szCs w:val="18"/>
        </w:rPr>
        <w:t xml:space="preserve">The post-event analytics report follows this structure. It is presented to the core team 6 weeks after each event.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800"/>
        <w:gridCol w:w="14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Section</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Length</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Owner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Executive Summary</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key findings. Headline numbers. Overall health assessment.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page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Analytics Lead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Attendance &amp; Demographics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attendance, show rate, class distribution, new vs. returning, geographic origin, language distribution.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pages with charts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 Deep-Dive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Survey results: overall, immersion, food, value, safety, NPS. Component matrix breakdown. Top positives and negatives (coded themes).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pages with charts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Financial Performance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Revenue vs. budget by line. Cost vs. budget by line. Margin. Token economy audit: velocity, redemption, inflation metrics.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pages with tables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 Finance Lead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Operational Review</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incident summary. Permit compliance. Waste management. Staffing performance. Volunteer return intent.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pages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Content &amp; Immersion Review</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completion rates by type. Titles granted. Guilds chartered. Settlements named. Story arc outcomes. NPC performance notes.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pages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Marketing &amp; CRM Review</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Channel attribution. Email engagement. Conversion funnel. CRM stage movement. Social media metrics.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pages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Partnership Review</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Active partnerships performance. New partnerships identified. Partnership satisfaction ratings.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page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Relationship owners (compiled by Community Director)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Year-Over-Year Comparison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KPI vs. previous year. Trend arrows. Highlight improvements and regressions.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pages (from Y1 onward)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Analytics Lead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Recommendations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Top 10 prioritized recommendations for next year. Each with: problem identified, proposed solution, estimated cost, owner, deadline.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pages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Core team (collaborative)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Appendices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survey data. Financial spreadsheets. Incident reports. Quest completion logs.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 needed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Various</w:t>
            </w:r>
          </w:p>
        </w:tc>
      </w:tr>
    </w:tbl>
    <w:p>
      <w:pPr>
        <w:spacing w:after="100" w:line="264"/>
      </w:pPr>
      <w:r>
        <w:rPr>
          <w:rFonts w:ascii="Arial" w:cs="Arial" w:eastAsia="Arial" w:hAnsi="Arial"/>
          <w:b/>
          <w:bCs/>
          <w:i w:val="false"/>
          <w:iCs w:val="false"/>
          <w:color w:val="2D2D2D"/>
          <w:sz w:val="18"/>
          <w:szCs w:val="18"/>
        </w:rPr>
        <w:t xml:space="preserve">Total report length: 12–20 pages + appendices. This is a WORKING DOCUMENT, not a vanity piece. Every page must contain actionable information.</w:t>
      </w:r>
    </w:p>
    <w:p>
      <w:r>
        <w:br w:type="page"/>
      </w:r>
    </w:p>
    <w:p>
      <w:pPr>
        <w:pStyle w:val="Heading2"/>
        <w:spacing w:before="280" w:after="140"/>
      </w:pPr>
      <w:r>
        <w:rPr>
          <w:rFonts w:ascii="Arial" w:cs="Arial" w:eastAsia="Arial" w:hAnsi="Arial"/>
          <w:b/>
          <w:bCs/>
          <w:color w:val="2C3E6B"/>
          <w:sz w:val="26"/>
          <w:szCs w:val="26"/>
        </w:rPr>
        <w:t xml:space="preserve">2F. Continuous Improvement Cycle</w:t>
      </w:r>
    </w:p>
    <w:p>
      <w:pPr>
        <w:spacing w:after="100" w:line="264"/>
      </w:pPr>
      <w:r>
        <w:rPr>
          <w:rFonts w:ascii="Arial" w:cs="Arial" w:eastAsia="Arial" w:hAnsi="Arial"/>
          <w:b w:val="false"/>
          <w:bCs w:val="false"/>
          <w:i w:val="false"/>
          <w:iCs w:val="false"/>
          <w:color w:val="2D2D2D"/>
          <w:sz w:val="18"/>
          <w:szCs w:val="18"/>
        </w:rPr>
        <w:t xml:space="preserve">Analytics are worthless unless they drive change. This cycle ensures every finding becomes an action.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2200"/>
        <w:gridCol w:w="12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Output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Collect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 + 2 weeks post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Gather all data per timeline (2A)</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data in Airtable, survey responses, financial records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departments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Analyze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Weeks 2–5 post-event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Process data, calculate KPIs, code qualitative feedback, generate charts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Draft analytics report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Analytics Lead + department heads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Present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 6 post-event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Present report to full core team. Discuss findings. Challenge interpretations.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Validated findings. Shared understanding.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Analytics Lead presents; all attend</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Prioritize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Week 6–7 post-event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From findings, identify top 10 improvements. Score by impact and feasibility. Assign owners.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Prioritized improvement list with owners and deadlines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 core team</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Plan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Weeks 7–10 post-event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Improvement owners draft implementation plans. Budget allocated. Timeline set.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Implementation plans per improvement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Improvement owners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Execute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Months 3–12 post-event (pre-production for next year)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Implement improvements during pre-production for the next event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Improvements built into next year’s systems, schedule, design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departments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 Verify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next event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Monitor whether improvements worked. Collect same KPIs. Compare.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Year-over-year comparison confirms or denies improvement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Analytics Lead</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Repeat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 next event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cycle again. Every year, the Realm gets measurably better.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Continuous compounding improvement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w:t>
            </w:r>
          </w:p>
        </w:tc>
      </w:tr>
    </w:tbl>
    <w:p>
      <w:pPr>
        <w:spacing w:after="100" w:line="264"/>
      </w:pPr>
      <w:r>
        <w:rPr>
          <w:rFonts w:ascii="Arial" w:cs="Arial" w:eastAsia="Arial" w:hAnsi="Arial"/>
          <w:b w:val="false"/>
          <w:bCs w:val="false"/>
          <w:i/>
          <w:iCs/>
          <w:color w:val="2D2D2D"/>
          <w:sz w:val="18"/>
          <w:szCs w:val="18"/>
        </w:rPr>
        <w:t xml:space="preserve">The Realm that measures, learns. The Realm that learns, improves. The Realm that improves, endures.</w:t>
      </w:r>
    </w:p>
    <w:p>
      <w:pPr>
        <w:pBdr>
          <w:bottom w:val="single" w:color="8B6914" w:sz="8" w:space="1"/>
        </w:pBdr>
        <w:spacing w:before="300" w:after="300"/>
      </w:pPr>
    </w:p>
    <w:p>
      <w:pPr>
        <w:spacing w:after="200"/>
        <w:jc w:val="center"/>
      </w:pPr>
      <w:r>
        <w:rPr>
          <w:rFonts w:ascii="Arial" w:cs="Arial" w:eastAsia="Arial" w:hAnsi="Arial"/>
          <w:b/>
          <w:bCs/>
          <w:color w:val="1B2A4A"/>
          <w:sz w:val="24"/>
          <w:szCs w:val="24"/>
        </w:rPr>
        <w:t xml:space="preserve">THE LEGACY OF THE REALM OPERATIONAL LIBRARY IS COMPLETE</w:t>
      </w:r>
    </w:p>
    <w:p>
      <w:pPr>
        <w:spacing w:after="60"/>
        <w:jc w:val="center"/>
      </w:pPr>
      <w:r>
        <w:rPr>
          <w:rFonts w:ascii="Arial" w:cs="Arial" w:eastAsia="Arial" w:hAnsi="Arial"/>
          <w:color w:val="555555"/>
          <w:sz w:val="20"/>
          <w:szCs w:val="20"/>
        </w:rPr>
        <w:t xml:space="preserve">10 Documents | 15,000+ Paragraphs | Every System Defined</w:t>
      </w:r>
    </w:p>
    <w:p>
      <w:pPr>
        <w:spacing w:after="200"/>
      </w:pPr>
    </w:p>
    <w:p>
      <w:pPr>
        <w:spacing w:after="40"/>
        <w:jc w:val="center"/>
      </w:pPr>
      <w:r>
        <w:rPr>
          <w:rFonts w:ascii="Arial" w:cs="Arial" w:eastAsia="Arial" w:hAnsi="Arial"/>
          <w:color w:val="2D2D2D"/>
          <w:sz w:val="18"/>
          <w:szCs w:val="18"/>
        </w:rPr>
        <w:t xml:space="preserve">1. Master Blueprint v2.0 — The Bible</w:t>
      </w:r>
    </w:p>
    <w:p>
      <w:pPr>
        <w:spacing w:after="40"/>
        <w:jc w:val="center"/>
      </w:pPr>
      <w:r>
        <w:rPr>
          <w:rFonts w:ascii="Arial" w:cs="Arial" w:eastAsia="Arial" w:hAnsi="Arial"/>
          <w:color w:val="2D2D2D"/>
          <w:sz w:val="18"/>
          <w:szCs w:val="18"/>
        </w:rPr>
        <w:t xml:space="preserve">2. Guild &amp; Profession Database — 18 guilds, 150+ supplier entries, MVP strategy</w:t>
      </w:r>
    </w:p>
    <w:p>
      <w:pPr>
        <w:spacing w:after="40"/>
        <w:jc w:val="center"/>
      </w:pPr>
      <w:r>
        <w:rPr>
          <w:rFonts w:ascii="Arial" w:cs="Arial" w:eastAsia="Arial" w:hAnsi="Arial"/>
          <w:color w:val="2D2D2D"/>
          <w:sz w:val="18"/>
          <w:szCs w:val="18"/>
        </w:rPr>
        <w:t xml:space="preserve">3. Core Systems Database — Classes, quests, zones, staffing roles</w:t>
      </w:r>
    </w:p>
    <w:p>
      <w:pPr>
        <w:spacing w:after="40"/>
        <w:jc w:val="center"/>
      </w:pPr>
      <w:r>
        <w:rPr>
          <w:rFonts w:ascii="Arial" w:cs="Arial" w:eastAsia="Arial" w:hAnsi="Arial"/>
          <w:color w:val="2D2D2D"/>
          <w:sz w:val="18"/>
          <w:szCs w:val="18"/>
        </w:rPr>
        <w:t xml:space="preserve">4. Economy &amp; Supplier Database — Currency, 200+ items, 3 economy models, procurement</w:t>
      </w:r>
    </w:p>
    <w:p>
      <w:pPr>
        <w:spacing w:after="40"/>
        <w:jc w:val="center"/>
      </w:pPr>
      <w:r>
        <w:rPr>
          <w:rFonts w:ascii="Arial" w:cs="Arial" w:eastAsia="Arial" w:hAnsi="Arial"/>
          <w:color w:val="2D2D2D"/>
          <w:sz w:val="18"/>
          <w:szCs w:val="18"/>
        </w:rPr>
        <w:t xml:space="preserve">5. Risk Playbook &amp; Legal Bible — 30 risks, 7 protocols, full French compliance</w:t>
      </w:r>
    </w:p>
    <w:p>
      <w:pPr>
        <w:spacing w:after="40"/>
        <w:jc w:val="center"/>
      </w:pPr>
      <w:r>
        <w:rPr>
          <w:rFonts w:ascii="Arial" w:cs="Arial" w:eastAsia="Arial" w:hAnsi="Arial"/>
          <w:color w:val="2D2D2D"/>
          <w:sz w:val="18"/>
          <w:szCs w:val="18"/>
        </w:rPr>
        <w:t xml:space="preserve">6. Costume &amp; Asset Inventory — Wardrobe specs, lending library, €38K asset register</w:t>
      </w:r>
    </w:p>
    <w:p>
      <w:pPr>
        <w:spacing w:after="40"/>
        <w:jc w:val="center"/>
      </w:pPr>
      <w:r>
        <w:rPr>
          <w:rFonts w:ascii="Arial" w:cs="Arial" w:eastAsia="Arial" w:hAnsi="Arial"/>
          <w:color w:val="2D2D2D"/>
          <w:sz w:val="18"/>
          <w:szCs w:val="18"/>
        </w:rPr>
        <w:t xml:space="preserve">7. Lore Bible &amp; Communication Database — World history, NPCs, all scripts and templates</w:t>
      </w:r>
    </w:p>
    <w:p>
      <w:pPr>
        <w:spacing w:after="40"/>
        <w:jc w:val="center"/>
      </w:pPr>
      <w:r>
        <w:rPr>
          <w:rFonts w:ascii="Arial" w:cs="Arial" w:eastAsia="Arial" w:hAnsi="Arial"/>
          <w:color w:val="2D2D2D"/>
          <w:sz w:val="18"/>
          <w:szCs w:val="18"/>
        </w:rPr>
        <w:t xml:space="preserve">8. Food &amp; Atmosphere Database — 8-day menu, HACCP, soundscape, music programming</w:t>
      </w:r>
    </w:p>
    <w:p>
      <w:pPr>
        <w:spacing w:after="40"/>
        <w:jc w:val="center"/>
      </w:pPr>
      <w:r>
        <w:rPr>
          <w:rFonts w:ascii="Arial" w:cs="Arial" w:eastAsia="Arial" w:hAnsi="Arial"/>
          <w:color w:val="2D2D2D"/>
          <w:sz w:val="18"/>
          <w:szCs w:val="18"/>
        </w:rPr>
        <w:t xml:space="preserve">9. Operations Trilogy — 10-day schedule, participant CRM, weather contingency</w:t>
      </w:r>
    </w:p>
    <w:p>
      <w:pPr>
        <w:spacing w:after="40"/>
        <w:jc w:val="center"/>
      </w:pPr>
      <w:r>
        <w:rPr>
          <w:rFonts w:ascii="Arial" w:cs="Arial" w:eastAsia="Arial" w:hAnsi="Arial"/>
          <w:color w:val="2D2D2D"/>
          <w:sz w:val="18"/>
          <w:szCs w:val="18"/>
        </w:rPr>
        <w:t xml:space="preserve">10. Partnerships &amp; Analytics — Sponsor pipeline, post-event measurement, continuous improvement</w:t>
      </w:r>
    </w:p>
    <w:p>
      <w:pPr>
        <w:spacing w:after="300"/>
      </w:pPr>
    </w:p>
    <w:p>
      <w:pPr>
        <w:spacing w:after="100"/>
        <w:jc w:val="center"/>
      </w:pPr>
      <w:r>
        <w:rPr>
          <w:rFonts w:ascii="Arial" w:cs="Arial" w:eastAsia="Arial" w:hAnsi="Arial"/>
          <w:i/>
          <w:iCs/>
          <w:color w:val="555555"/>
          <w:sz w:val="20"/>
          <w:szCs w:val="20"/>
        </w:rPr>
        <w:t xml:space="preserve">The foundations are laid. The systems are designed. The world is written.</w:t>
      </w:r>
    </w:p>
    <w:p>
      <w:pPr>
        <w:spacing w:after="100"/>
        <w:jc w:val="center"/>
      </w:pPr>
      <w:r>
        <w:rPr>
          <w:rFonts w:ascii="Arial" w:cs="Arial" w:eastAsia="Arial" w:hAnsi="Arial"/>
          <w:b/>
          <w:bCs/>
          <w:color w:val="1B2A4A"/>
          <w:sz w:val="22"/>
          <w:szCs w:val="22"/>
        </w:rPr>
        <w:t xml:space="preserve">Now it is time to build.</w:t>
      </w: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Partnerships &amp; Analytics v1.0 — Document 10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2026-03-20T06:00:04.365Z</dcterms:created>
  <dcterms:modified xsi:type="dcterms:W3CDTF">2026-03-20T06:00:04.366Z</dcterms:modified>
</cp:coreProperties>
</file>

<file path=docProps/custom.xml><?xml version="1.0" encoding="utf-8"?>
<Properties xmlns="http://schemas.openxmlformats.org/officeDocument/2006/custom-properties" xmlns:vt="http://schemas.openxmlformats.org/officeDocument/2006/docPropsVTypes"/>
</file>