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F155"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6D581B40"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681A6121" w14:textId="0B692EBE"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02917DDB" wp14:editId="1EBEF9E7">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570D2AFE"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2F3743B7" w14:textId="77777777" w:rsidR="0003169B" w:rsidRDefault="0003169B" w:rsidP="0003169B">
      <w:pPr>
        <w:jc w:val="center"/>
        <w:rPr>
          <w:rFonts w:ascii="Arial" w:hAnsi="Arial" w:cs="Arial"/>
          <w:b/>
          <w:bCs/>
          <w:sz w:val="24"/>
          <w:szCs w:val="24"/>
        </w:rPr>
      </w:pPr>
      <w:r>
        <w:rPr>
          <w:rFonts w:ascii="Arial" w:hAnsi="Arial" w:cs="Arial"/>
          <w:b/>
          <w:bCs/>
          <w:sz w:val="24"/>
          <w:szCs w:val="24"/>
        </w:rPr>
        <w:t>CENTRO DE COMERCIO REGIONAL ANTIOQUIA</w:t>
      </w:r>
    </w:p>
    <w:p w14:paraId="762D9D77" w14:textId="77777777" w:rsidR="0003169B" w:rsidRDefault="0003169B" w:rsidP="0003169B">
      <w:pPr>
        <w:jc w:val="center"/>
        <w:rPr>
          <w:rFonts w:ascii="Arial" w:hAnsi="Arial" w:cs="Arial"/>
          <w:b/>
          <w:bCs/>
          <w:sz w:val="24"/>
          <w:szCs w:val="24"/>
        </w:rPr>
      </w:pPr>
    </w:p>
    <w:p w14:paraId="4EFEE434"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Pr>
          <w:rFonts w:ascii="Arial" w:eastAsia="Times New Roman" w:hAnsi="Arial" w:cs="Arial"/>
          <w:b/>
          <w:bCs/>
          <w:color w:val="000000"/>
          <w:kern w:val="0"/>
          <w:sz w:val="24"/>
          <w:szCs w:val="24"/>
          <w:lang w:eastAsia="es-CO"/>
          <w14:ligatures w14:val="none"/>
        </w:rPr>
        <w:t>TECNOLOGÍA EN ANÁLISIS Y DESARROLLO DE SOFTWARE - 2675805</w:t>
      </w:r>
    </w:p>
    <w:p w14:paraId="2385700A" w14:textId="77777777" w:rsidR="0003169B" w:rsidRDefault="0003169B" w:rsidP="0003169B">
      <w:pPr>
        <w:jc w:val="center"/>
        <w:rPr>
          <w:rFonts w:ascii="Arial" w:hAnsi="Arial" w:cs="Arial"/>
          <w:b/>
          <w:bCs/>
          <w:sz w:val="24"/>
          <w:szCs w:val="24"/>
        </w:rPr>
      </w:pPr>
    </w:p>
    <w:p w14:paraId="5127FE9B" w14:textId="77777777" w:rsidR="0003169B" w:rsidRDefault="0003169B" w:rsidP="0003169B">
      <w:pPr>
        <w:jc w:val="center"/>
        <w:rPr>
          <w:rFonts w:ascii="Arial" w:hAnsi="Arial" w:cs="Arial"/>
          <w:b/>
          <w:bCs/>
          <w:sz w:val="24"/>
          <w:szCs w:val="24"/>
        </w:rPr>
      </w:pPr>
    </w:p>
    <w:p w14:paraId="5C19E120" w14:textId="77777777" w:rsidR="00B35F88" w:rsidRDefault="00B35F88" w:rsidP="0003169B">
      <w:pPr>
        <w:jc w:val="center"/>
        <w:rPr>
          <w:rFonts w:ascii="Arial" w:hAnsi="Arial" w:cs="Arial"/>
          <w:b/>
          <w:bCs/>
          <w:sz w:val="24"/>
          <w:szCs w:val="24"/>
        </w:rPr>
      </w:pPr>
    </w:p>
    <w:p w14:paraId="065F6B63" w14:textId="77777777" w:rsidR="0003169B" w:rsidRDefault="0003169B" w:rsidP="0003169B">
      <w:pPr>
        <w:jc w:val="center"/>
        <w:rPr>
          <w:rFonts w:ascii="Arial" w:hAnsi="Arial" w:cs="Arial"/>
          <w:b/>
          <w:bCs/>
          <w:sz w:val="24"/>
          <w:szCs w:val="24"/>
        </w:rPr>
      </w:pPr>
    </w:p>
    <w:p w14:paraId="76E4B775" w14:textId="644330F6" w:rsidR="00823711" w:rsidRDefault="00CA5AE7" w:rsidP="00CA5AE7">
      <w:pPr>
        <w:rPr>
          <w:rFonts w:ascii="Arial" w:hAnsi="Arial" w:cs="Arial"/>
          <w:b/>
          <w:bCs/>
          <w:sz w:val="24"/>
          <w:szCs w:val="24"/>
        </w:rPr>
      </w:pPr>
      <w:r w:rsidRPr="00CA5AE7">
        <w:rPr>
          <w:rFonts w:ascii="Arial" w:hAnsi="Arial" w:cs="Arial"/>
          <w:b/>
          <w:bCs/>
          <w:sz w:val="24"/>
          <w:szCs w:val="24"/>
        </w:rPr>
        <w:t>Evidencia de producto: GA9-240201526-AA4-EV01 ejemplo de una marca sostenible que cumpla</w:t>
      </w:r>
      <w:r>
        <w:rPr>
          <w:rFonts w:ascii="Arial" w:hAnsi="Arial" w:cs="Arial"/>
          <w:b/>
          <w:bCs/>
          <w:sz w:val="24"/>
          <w:szCs w:val="24"/>
        </w:rPr>
        <w:t xml:space="preserve"> </w:t>
      </w:r>
      <w:r w:rsidRPr="00CA5AE7">
        <w:rPr>
          <w:rFonts w:ascii="Arial" w:hAnsi="Arial" w:cs="Arial"/>
          <w:b/>
          <w:bCs/>
          <w:sz w:val="24"/>
          <w:szCs w:val="24"/>
        </w:rPr>
        <w:t>con Triple Bottom Line</w:t>
      </w:r>
    </w:p>
    <w:p w14:paraId="1CA18B51" w14:textId="77777777" w:rsidR="004A06C9" w:rsidRDefault="004A06C9" w:rsidP="0003169B">
      <w:pPr>
        <w:rPr>
          <w:rFonts w:ascii="Arial" w:hAnsi="Arial" w:cs="Arial"/>
          <w:b/>
          <w:bCs/>
          <w:sz w:val="24"/>
          <w:szCs w:val="24"/>
        </w:rPr>
      </w:pPr>
    </w:p>
    <w:p w14:paraId="02171B91" w14:textId="77777777" w:rsidR="00CA5AE7" w:rsidRDefault="00CA5AE7" w:rsidP="0003169B">
      <w:pPr>
        <w:rPr>
          <w:rFonts w:ascii="Arial" w:hAnsi="Arial" w:cs="Arial"/>
          <w:b/>
          <w:bCs/>
          <w:sz w:val="24"/>
          <w:szCs w:val="24"/>
        </w:rPr>
      </w:pPr>
    </w:p>
    <w:p w14:paraId="0B45EB1C" w14:textId="77777777" w:rsidR="00B1230F" w:rsidRDefault="00B1230F" w:rsidP="0003169B">
      <w:pPr>
        <w:rPr>
          <w:rFonts w:ascii="Arial" w:hAnsi="Arial" w:cs="Arial"/>
          <w:b/>
          <w:bCs/>
          <w:sz w:val="24"/>
          <w:szCs w:val="24"/>
        </w:rPr>
      </w:pPr>
    </w:p>
    <w:p w14:paraId="67D0D80E" w14:textId="77777777" w:rsidR="0003169B" w:rsidRDefault="0003169B" w:rsidP="0003169B">
      <w:pPr>
        <w:jc w:val="center"/>
        <w:rPr>
          <w:rFonts w:ascii="Arial" w:hAnsi="Arial" w:cs="Arial"/>
          <w:b/>
          <w:bCs/>
          <w:sz w:val="24"/>
          <w:szCs w:val="24"/>
        </w:rPr>
      </w:pPr>
    </w:p>
    <w:p w14:paraId="51FD8466" w14:textId="77777777" w:rsidR="0003169B" w:rsidRDefault="0003169B" w:rsidP="0003169B">
      <w:pPr>
        <w:jc w:val="center"/>
        <w:rPr>
          <w:rFonts w:ascii="Arial" w:hAnsi="Arial" w:cs="Arial"/>
          <w:b/>
          <w:bCs/>
          <w:sz w:val="24"/>
          <w:szCs w:val="24"/>
        </w:rPr>
      </w:pPr>
      <w:r>
        <w:rPr>
          <w:rFonts w:ascii="Arial" w:hAnsi="Arial" w:cs="Arial"/>
          <w:b/>
          <w:bCs/>
          <w:sz w:val="24"/>
          <w:szCs w:val="24"/>
        </w:rPr>
        <w:t>DANIEL FELIPE ARIAS CORREDOR</w:t>
      </w:r>
    </w:p>
    <w:p w14:paraId="05CD2BCD" w14:textId="77777777" w:rsidR="0003169B" w:rsidRDefault="0003169B" w:rsidP="0003169B">
      <w:pPr>
        <w:jc w:val="center"/>
        <w:rPr>
          <w:rFonts w:ascii="Arial" w:hAnsi="Arial" w:cs="Arial"/>
          <w:b/>
          <w:bCs/>
          <w:sz w:val="24"/>
          <w:szCs w:val="24"/>
        </w:rPr>
      </w:pPr>
    </w:p>
    <w:p w14:paraId="25EDE994" w14:textId="77777777" w:rsidR="009841C1" w:rsidRDefault="009841C1" w:rsidP="0003169B">
      <w:pPr>
        <w:jc w:val="center"/>
        <w:rPr>
          <w:rFonts w:ascii="Arial" w:hAnsi="Arial" w:cs="Arial"/>
          <w:b/>
          <w:bCs/>
          <w:sz w:val="24"/>
          <w:szCs w:val="24"/>
        </w:rPr>
      </w:pPr>
    </w:p>
    <w:p w14:paraId="2B161CC8" w14:textId="77777777" w:rsidR="0003169B" w:rsidRDefault="0003169B" w:rsidP="0003169B">
      <w:pPr>
        <w:rPr>
          <w:rFonts w:ascii="Arial" w:hAnsi="Arial" w:cs="Arial"/>
          <w:b/>
          <w:bCs/>
          <w:sz w:val="24"/>
          <w:szCs w:val="24"/>
        </w:rPr>
      </w:pPr>
    </w:p>
    <w:p w14:paraId="1184A86B" w14:textId="0A5AFF2C" w:rsidR="00CB3B94" w:rsidRDefault="0003169B" w:rsidP="0003169B">
      <w:pPr>
        <w:jc w:val="center"/>
        <w:rPr>
          <w:rFonts w:ascii="Arial" w:hAnsi="Arial" w:cs="Arial"/>
          <w:b/>
          <w:bCs/>
          <w:kern w:val="0"/>
          <w:sz w:val="24"/>
          <w:szCs w:val="24"/>
          <w14:ligatures w14:val="none"/>
        </w:rPr>
      </w:pPr>
      <w:r>
        <w:rPr>
          <w:rFonts w:ascii="Arial" w:hAnsi="Arial" w:cs="Arial"/>
          <w:b/>
          <w:bCs/>
          <w:kern w:val="0"/>
          <w:sz w:val="24"/>
          <w:szCs w:val="24"/>
          <w14:ligatures w14:val="none"/>
        </w:rPr>
        <w:t>2023</w:t>
      </w:r>
    </w:p>
    <w:p w14:paraId="1C1730F9" w14:textId="77777777" w:rsidR="0003169B" w:rsidRDefault="0003169B" w:rsidP="0003169B">
      <w:pPr>
        <w:jc w:val="center"/>
        <w:rPr>
          <w:rFonts w:ascii="Arial" w:hAnsi="Arial" w:cs="Arial"/>
          <w:b/>
          <w:bCs/>
          <w:kern w:val="0"/>
          <w:sz w:val="24"/>
          <w:szCs w:val="24"/>
          <w14:ligatures w14:val="none"/>
        </w:rPr>
      </w:pPr>
    </w:p>
    <w:p w14:paraId="5EB2789A" w14:textId="412D3100" w:rsidR="00E508BD" w:rsidRPr="00A124CB" w:rsidRDefault="009841C1" w:rsidP="0003169B">
      <w:pPr>
        <w:spacing w:line="360" w:lineRule="auto"/>
        <w:rPr>
          <w:rFonts w:ascii="Arial" w:hAnsi="Arial" w:cs="Arial"/>
          <w:i/>
          <w:iCs/>
          <w:sz w:val="24"/>
          <w:szCs w:val="24"/>
        </w:rPr>
      </w:pPr>
      <w:r w:rsidRPr="00A124CB">
        <w:rPr>
          <w:rFonts w:ascii="Arial" w:hAnsi="Arial" w:cs="Arial"/>
          <w:i/>
          <w:iCs/>
          <w:sz w:val="24"/>
          <w:szCs w:val="24"/>
        </w:rPr>
        <w:lastRenderedPageBreak/>
        <w:t>Introducción</w:t>
      </w:r>
    </w:p>
    <w:p w14:paraId="242BFFC8" w14:textId="67792259" w:rsidR="00F92386" w:rsidRDefault="00F92386" w:rsidP="0003169B">
      <w:pPr>
        <w:spacing w:line="360" w:lineRule="auto"/>
        <w:rPr>
          <w:rFonts w:ascii="Arial" w:eastAsia="Arial" w:hAnsi="Arial" w:cs="Arial"/>
          <w:bCs/>
          <w:sz w:val="24"/>
          <w:szCs w:val="24"/>
        </w:rPr>
      </w:pPr>
      <w:r>
        <w:rPr>
          <w:rFonts w:ascii="Arial" w:eastAsia="Arial" w:hAnsi="Arial" w:cs="Arial"/>
          <w:bCs/>
          <w:sz w:val="24"/>
          <w:szCs w:val="24"/>
        </w:rPr>
        <w:t xml:space="preserve">Este </w:t>
      </w:r>
      <w:r w:rsidR="00B35F88">
        <w:rPr>
          <w:rFonts w:ascii="Arial" w:eastAsia="Arial" w:hAnsi="Arial" w:cs="Arial"/>
          <w:bCs/>
          <w:sz w:val="24"/>
          <w:szCs w:val="24"/>
        </w:rPr>
        <w:t xml:space="preserve">documento tiene como propósito </w:t>
      </w:r>
      <w:r w:rsidR="00B1230F">
        <w:rPr>
          <w:rFonts w:ascii="Arial" w:eastAsia="Arial" w:hAnsi="Arial" w:cs="Arial"/>
          <w:bCs/>
          <w:sz w:val="24"/>
          <w:szCs w:val="24"/>
        </w:rPr>
        <w:t xml:space="preserve">presentar el </w:t>
      </w:r>
      <w:r w:rsidR="00CA5AE7">
        <w:rPr>
          <w:rFonts w:ascii="Arial" w:eastAsia="Arial" w:hAnsi="Arial" w:cs="Arial"/>
          <w:bCs/>
          <w:sz w:val="24"/>
          <w:szCs w:val="24"/>
        </w:rPr>
        <w:t>ejemplo de una compañía sostenible que cumpla con el indicador de sostenibilidad conocido con el Triple Bottom Line. Primero se definirá brevemente este término, luego se presentará a la empresa escogida y se mencionará la manera en que cumple con cada uno de los pilares del Triple Bottom Line.</w:t>
      </w:r>
    </w:p>
    <w:p w14:paraId="618204EE" w14:textId="77777777" w:rsidR="00CA5AE7" w:rsidRDefault="00CA5AE7" w:rsidP="0003169B">
      <w:pPr>
        <w:spacing w:line="360" w:lineRule="auto"/>
        <w:rPr>
          <w:rFonts w:ascii="Arial" w:eastAsia="Arial" w:hAnsi="Arial" w:cs="Arial"/>
          <w:bCs/>
          <w:sz w:val="24"/>
          <w:szCs w:val="24"/>
        </w:rPr>
      </w:pPr>
    </w:p>
    <w:p w14:paraId="39A99901" w14:textId="6D3ECDB9" w:rsidR="00CA5AE7" w:rsidRPr="00CA5AE7" w:rsidRDefault="00CA5AE7" w:rsidP="0003169B">
      <w:pPr>
        <w:spacing w:line="360" w:lineRule="auto"/>
        <w:rPr>
          <w:rFonts w:ascii="Arial" w:eastAsia="Arial" w:hAnsi="Arial" w:cs="Arial"/>
          <w:bCs/>
          <w:i/>
          <w:iCs/>
          <w:sz w:val="24"/>
          <w:szCs w:val="24"/>
          <w:lang w:val="en-US"/>
        </w:rPr>
      </w:pPr>
      <w:r w:rsidRPr="00CA5AE7">
        <w:rPr>
          <w:rFonts w:ascii="Arial" w:eastAsia="Arial" w:hAnsi="Arial" w:cs="Arial"/>
          <w:bCs/>
          <w:i/>
          <w:iCs/>
          <w:sz w:val="24"/>
          <w:szCs w:val="24"/>
          <w:lang w:val="en-US"/>
        </w:rPr>
        <w:t>¿Qué es Triple Bottom Line?</w:t>
      </w:r>
    </w:p>
    <w:p w14:paraId="1631AF81" w14:textId="622FB617" w:rsidR="00CA5AE7" w:rsidRPr="00CA5AE7" w:rsidRDefault="00CA5AE7" w:rsidP="0003169B">
      <w:pPr>
        <w:spacing w:line="360" w:lineRule="auto"/>
        <w:rPr>
          <w:rFonts w:ascii="Arial" w:eastAsia="Arial" w:hAnsi="Arial" w:cs="Arial"/>
          <w:bCs/>
          <w:sz w:val="24"/>
          <w:szCs w:val="24"/>
        </w:rPr>
      </w:pPr>
      <w:r w:rsidRPr="00CA5AE7">
        <w:rPr>
          <w:rFonts w:ascii="Arial" w:eastAsia="Arial" w:hAnsi="Arial" w:cs="Arial"/>
          <w:bCs/>
          <w:sz w:val="24"/>
          <w:szCs w:val="24"/>
        </w:rPr>
        <w:t>Es un indicador de s</w:t>
      </w:r>
      <w:r>
        <w:rPr>
          <w:rFonts w:ascii="Arial" w:eastAsia="Arial" w:hAnsi="Arial" w:cs="Arial"/>
          <w:bCs/>
          <w:sz w:val="24"/>
          <w:szCs w:val="24"/>
        </w:rPr>
        <w:t xml:space="preserve">ostenibilidad que </w:t>
      </w:r>
      <w:r w:rsidR="00002813">
        <w:rPr>
          <w:rFonts w:ascii="Arial" w:eastAsia="Arial" w:hAnsi="Arial" w:cs="Arial"/>
          <w:bCs/>
          <w:sz w:val="24"/>
          <w:szCs w:val="24"/>
        </w:rPr>
        <w:t>evalúa el desempeño de una empresa en tres pilares fundamentales: sostenibilidad ambiental, aporte social y sostenibilidad económica. El pilar ambiental se refiere a la manera en la que la empresa usa los recursos naturales de manera sostenible y los beneficios que brinda al medio ambiente. El pilar social significa si la empresa promueve la igualdad de oportunidades a las personas, el respeto a los derechos humanos y los impactos positivos que ofrece a la comunidad. Por último, el pilar económico es el desempeño financiero sostenible de la empresa, en otras palabras, las ganancias que obtiene la empresa se deben dar de manera sostenida, debe haber prosperidad económica y se deben crear empleos sostenibles.</w:t>
      </w:r>
    </w:p>
    <w:p w14:paraId="59FDF864" w14:textId="77777777" w:rsidR="00A124CB" w:rsidRPr="00CA5AE7" w:rsidRDefault="00A124CB" w:rsidP="0003169B">
      <w:pPr>
        <w:spacing w:line="360" w:lineRule="auto"/>
        <w:rPr>
          <w:rFonts w:ascii="Arial" w:hAnsi="Arial" w:cs="Arial"/>
          <w:sz w:val="24"/>
          <w:szCs w:val="24"/>
        </w:rPr>
      </w:pPr>
    </w:p>
    <w:p w14:paraId="356D20F1" w14:textId="54F01AD6" w:rsidR="00CE5CBA" w:rsidRDefault="00002813" w:rsidP="00CA5AE7">
      <w:pPr>
        <w:spacing w:line="360" w:lineRule="auto"/>
        <w:rPr>
          <w:rFonts w:ascii="Arial" w:hAnsi="Arial" w:cs="Arial"/>
          <w:i/>
          <w:iCs/>
          <w:sz w:val="24"/>
          <w:szCs w:val="24"/>
        </w:rPr>
      </w:pPr>
      <w:r>
        <w:rPr>
          <w:rFonts w:ascii="Arial" w:hAnsi="Arial" w:cs="Arial"/>
          <w:i/>
          <w:iCs/>
          <w:sz w:val="24"/>
          <w:szCs w:val="24"/>
        </w:rPr>
        <w:t>Empresa escogida. Davivienda</w:t>
      </w:r>
    </w:p>
    <w:p w14:paraId="7DE1FC3F" w14:textId="45AD4E34" w:rsidR="00002813" w:rsidRDefault="00002813" w:rsidP="00CA5AE7">
      <w:pPr>
        <w:spacing w:line="360" w:lineRule="auto"/>
        <w:rPr>
          <w:rFonts w:ascii="Arial" w:hAnsi="Arial" w:cs="Arial"/>
          <w:sz w:val="24"/>
          <w:szCs w:val="24"/>
        </w:rPr>
      </w:pPr>
      <w:r>
        <w:rPr>
          <w:rFonts w:ascii="Arial" w:hAnsi="Arial" w:cs="Arial"/>
          <w:sz w:val="24"/>
          <w:szCs w:val="24"/>
        </w:rPr>
        <w:t xml:space="preserve">Davivienda es un banco referente importante en el sector financiero de Colombia. Forma parte del grupo empresarial </w:t>
      </w:r>
      <w:r w:rsidR="00304E03">
        <w:rPr>
          <w:rFonts w:ascii="Arial" w:hAnsi="Arial" w:cs="Arial"/>
          <w:sz w:val="24"/>
          <w:szCs w:val="24"/>
        </w:rPr>
        <w:t>Bolívar</w:t>
      </w:r>
      <w:r>
        <w:rPr>
          <w:rFonts w:ascii="Arial" w:hAnsi="Arial" w:cs="Arial"/>
          <w:sz w:val="24"/>
          <w:szCs w:val="24"/>
        </w:rPr>
        <w:t>. Su marca representa una banca que pretende hacerle la vida mas sencilla a sus clientes</w:t>
      </w:r>
      <w:r w:rsidR="00301B40">
        <w:rPr>
          <w:rFonts w:ascii="Arial" w:hAnsi="Arial" w:cs="Arial"/>
          <w:sz w:val="24"/>
          <w:szCs w:val="24"/>
        </w:rPr>
        <w:t>, acompañándolos en el cumplimiento de sus objetivos.</w:t>
      </w:r>
    </w:p>
    <w:p w14:paraId="52E33DA4" w14:textId="22C9A4FB" w:rsidR="00301B40" w:rsidRDefault="00301B40" w:rsidP="00CA5AE7">
      <w:pPr>
        <w:spacing w:line="360" w:lineRule="auto"/>
        <w:rPr>
          <w:rFonts w:ascii="Arial" w:hAnsi="Arial" w:cs="Arial"/>
          <w:sz w:val="24"/>
          <w:szCs w:val="24"/>
        </w:rPr>
      </w:pPr>
      <w:r>
        <w:rPr>
          <w:rFonts w:ascii="Arial" w:hAnsi="Arial" w:cs="Arial"/>
          <w:sz w:val="24"/>
          <w:szCs w:val="24"/>
        </w:rPr>
        <w:t xml:space="preserve">Según el Instituto Nacional de Contadore Públicos INCP, Davivienda forma parte de las 14 empresas colombianas mejor calificadas en sostenibilidad, según el </w:t>
      </w:r>
      <w:proofErr w:type="spellStart"/>
      <w:r w:rsidRPr="00301B40">
        <w:rPr>
          <w:rFonts w:ascii="Arial" w:hAnsi="Arial" w:cs="Arial"/>
          <w:i/>
          <w:iCs/>
          <w:sz w:val="24"/>
          <w:szCs w:val="24"/>
        </w:rPr>
        <w:t>Sustainability</w:t>
      </w:r>
      <w:proofErr w:type="spellEnd"/>
      <w:r w:rsidRPr="00301B40">
        <w:rPr>
          <w:rFonts w:ascii="Arial" w:hAnsi="Arial" w:cs="Arial"/>
          <w:i/>
          <w:iCs/>
          <w:sz w:val="24"/>
          <w:szCs w:val="24"/>
        </w:rPr>
        <w:t xml:space="preserve"> </w:t>
      </w:r>
      <w:proofErr w:type="spellStart"/>
      <w:r w:rsidRPr="00301B40">
        <w:rPr>
          <w:rFonts w:ascii="Arial" w:hAnsi="Arial" w:cs="Arial"/>
          <w:i/>
          <w:iCs/>
          <w:sz w:val="24"/>
          <w:szCs w:val="24"/>
        </w:rPr>
        <w:t>Yearbook</w:t>
      </w:r>
      <w:proofErr w:type="spellEnd"/>
      <w:r w:rsidRPr="00301B40">
        <w:rPr>
          <w:rFonts w:ascii="Arial" w:hAnsi="Arial" w:cs="Arial"/>
          <w:i/>
          <w:iCs/>
          <w:sz w:val="24"/>
          <w:szCs w:val="24"/>
        </w:rPr>
        <w:t xml:space="preserve"> 2022</w:t>
      </w:r>
      <w:r>
        <w:rPr>
          <w:rFonts w:ascii="Arial" w:hAnsi="Arial" w:cs="Arial"/>
          <w:i/>
          <w:iCs/>
          <w:sz w:val="24"/>
          <w:szCs w:val="24"/>
        </w:rPr>
        <w:t xml:space="preserve"> </w:t>
      </w:r>
      <w:r>
        <w:rPr>
          <w:rFonts w:ascii="Arial" w:hAnsi="Arial" w:cs="Arial"/>
          <w:sz w:val="24"/>
          <w:szCs w:val="24"/>
        </w:rPr>
        <w:t>(INCP, 2022).</w:t>
      </w:r>
    </w:p>
    <w:p w14:paraId="7F767045" w14:textId="525067AF" w:rsidR="00301B40" w:rsidRDefault="00301B40" w:rsidP="00CA5AE7">
      <w:pPr>
        <w:spacing w:line="360" w:lineRule="auto"/>
        <w:rPr>
          <w:rFonts w:ascii="Arial" w:eastAsia="Arial" w:hAnsi="Arial" w:cs="Arial"/>
          <w:bCs/>
          <w:sz w:val="24"/>
          <w:szCs w:val="24"/>
        </w:rPr>
      </w:pPr>
      <w:r>
        <w:rPr>
          <w:rFonts w:ascii="Arial" w:hAnsi="Arial" w:cs="Arial"/>
          <w:sz w:val="24"/>
          <w:szCs w:val="24"/>
        </w:rPr>
        <w:lastRenderedPageBreak/>
        <w:t xml:space="preserve">Según el sitio web de la empresa, su estrategia de sostenibilidad se basa en la ‘Gestión ASG’ donde sus ejes son ambiental, social y gobierno corporativo o económico. A continuación, se presentarán cada uno de estos ejes según los lineamientos de los tres pilares del </w:t>
      </w:r>
      <w:r>
        <w:rPr>
          <w:rFonts w:ascii="Arial" w:eastAsia="Arial" w:hAnsi="Arial" w:cs="Arial"/>
          <w:bCs/>
          <w:sz w:val="24"/>
          <w:szCs w:val="24"/>
        </w:rPr>
        <w:t>Triple Bottom Line</w:t>
      </w:r>
      <w:r>
        <w:rPr>
          <w:rFonts w:ascii="Arial" w:eastAsia="Arial" w:hAnsi="Arial" w:cs="Arial"/>
          <w:bCs/>
          <w:sz w:val="24"/>
          <w:szCs w:val="24"/>
        </w:rPr>
        <w:t>.</w:t>
      </w:r>
    </w:p>
    <w:p w14:paraId="3C1664E5" w14:textId="1CE2EB31" w:rsidR="00301B40" w:rsidRPr="00060FC6" w:rsidRDefault="00301B40" w:rsidP="00301B40">
      <w:pPr>
        <w:pStyle w:val="Prrafodelista"/>
        <w:numPr>
          <w:ilvl w:val="0"/>
          <w:numId w:val="7"/>
        </w:numPr>
        <w:spacing w:line="360" w:lineRule="auto"/>
        <w:rPr>
          <w:rFonts w:ascii="Arial" w:hAnsi="Arial" w:cs="Arial"/>
          <w:sz w:val="24"/>
          <w:szCs w:val="24"/>
        </w:rPr>
      </w:pPr>
      <w:r>
        <w:rPr>
          <w:rFonts w:ascii="Arial" w:hAnsi="Arial" w:cs="Arial"/>
          <w:sz w:val="24"/>
          <w:szCs w:val="24"/>
        </w:rPr>
        <w:t xml:space="preserve">Sostenibilidad ambiental: Davivienda está comprometido con la regeneración del planeta y frenar el cambio climático. </w:t>
      </w:r>
      <w:r w:rsidR="00060FC6">
        <w:rPr>
          <w:rFonts w:ascii="Arial" w:hAnsi="Arial" w:cs="Arial"/>
          <w:sz w:val="24"/>
          <w:szCs w:val="24"/>
        </w:rPr>
        <w:t xml:space="preserve">Están adheridos al TCFD (Grupo de trabajo sobre información financiera relacionada con el clima) e integran lineamientos </w:t>
      </w:r>
      <w:proofErr w:type="spellStart"/>
      <w:r w:rsidR="00060FC6">
        <w:rPr>
          <w:rFonts w:ascii="Arial" w:hAnsi="Arial" w:cs="Arial"/>
          <w:sz w:val="24"/>
          <w:szCs w:val="24"/>
        </w:rPr>
        <w:t>dicados</w:t>
      </w:r>
      <w:proofErr w:type="spellEnd"/>
      <w:r w:rsidR="00060FC6">
        <w:rPr>
          <w:rFonts w:ascii="Arial" w:hAnsi="Arial" w:cs="Arial"/>
          <w:sz w:val="24"/>
          <w:szCs w:val="24"/>
        </w:rPr>
        <w:t xml:space="preserve"> por el </w:t>
      </w:r>
      <w:r w:rsidR="00060FC6" w:rsidRPr="00060FC6">
        <w:rPr>
          <w:rFonts w:ascii="Arial" w:hAnsi="Arial" w:cs="Arial"/>
          <w:i/>
          <w:iCs/>
          <w:sz w:val="24"/>
          <w:szCs w:val="24"/>
        </w:rPr>
        <w:t xml:space="preserve">Paris </w:t>
      </w:r>
      <w:proofErr w:type="spellStart"/>
      <w:r w:rsidR="00060FC6" w:rsidRPr="00060FC6">
        <w:rPr>
          <w:rFonts w:ascii="Arial" w:hAnsi="Arial" w:cs="Arial"/>
          <w:i/>
          <w:iCs/>
          <w:sz w:val="24"/>
          <w:szCs w:val="24"/>
        </w:rPr>
        <w:t>Agreement</w:t>
      </w:r>
      <w:proofErr w:type="spellEnd"/>
      <w:r w:rsidR="00060FC6" w:rsidRPr="00060FC6">
        <w:rPr>
          <w:rFonts w:ascii="Arial" w:hAnsi="Arial" w:cs="Arial"/>
          <w:i/>
          <w:iCs/>
          <w:sz w:val="24"/>
          <w:szCs w:val="24"/>
        </w:rPr>
        <w:t xml:space="preserve"> Capital </w:t>
      </w:r>
      <w:proofErr w:type="spellStart"/>
      <w:r w:rsidR="00060FC6" w:rsidRPr="00060FC6">
        <w:rPr>
          <w:rFonts w:ascii="Arial" w:hAnsi="Arial" w:cs="Arial"/>
          <w:i/>
          <w:iCs/>
          <w:sz w:val="24"/>
          <w:szCs w:val="24"/>
        </w:rPr>
        <w:t>Transition</w:t>
      </w:r>
      <w:proofErr w:type="spellEnd"/>
      <w:r w:rsidR="00060FC6" w:rsidRPr="00060FC6">
        <w:rPr>
          <w:rFonts w:ascii="Arial" w:hAnsi="Arial" w:cs="Arial"/>
          <w:i/>
          <w:iCs/>
          <w:sz w:val="24"/>
          <w:szCs w:val="24"/>
        </w:rPr>
        <w:t xml:space="preserve"> Center (PACTA)</w:t>
      </w:r>
      <w:r w:rsidR="00060FC6">
        <w:rPr>
          <w:rFonts w:ascii="Arial" w:hAnsi="Arial" w:cs="Arial"/>
          <w:sz w:val="24"/>
          <w:szCs w:val="24"/>
        </w:rPr>
        <w:t xml:space="preserve">, el </w:t>
      </w:r>
      <w:proofErr w:type="spellStart"/>
      <w:r w:rsidR="00060FC6" w:rsidRPr="00060FC6">
        <w:rPr>
          <w:rFonts w:ascii="Arial" w:hAnsi="Arial" w:cs="Arial"/>
          <w:i/>
          <w:iCs/>
          <w:sz w:val="24"/>
          <w:szCs w:val="24"/>
        </w:rPr>
        <w:t>Partnership</w:t>
      </w:r>
      <w:proofErr w:type="spellEnd"/>
      <w:r w:rsidR="00060FC6" w:rsidRPr="00060FC6">
        <w:rPr>
          <w:rFonts w:ascii="Arial" w:hAnsi="Arial" w:cs="Arial"/>
          <w:i/>
          <w:iCs/>
          <w:sz w:val="24"/>
          <w:szCs w:val="24"/>
        </w:rPr>
        <w:t xml:space="preserve"> </w:t>
      </w:r>
      <w:proofErr w:type="spellStart"/>
      <w:r w:rsidR="00060FC6" w:rsidRPr="00060FC6">
        <w:rPr>
          <w:rFonts w:ascii="Arial" w:hAnsi="Arial" w:cs="Arial"/>
          <w:i/>
          <w:iCs/>
          <w:sz w:val="24"/>
          <w:szCs w:val="24"/>
        </w:rPr>
        <w:t>for</w:t>
      </w:r>
      <w:proofErr w:type="spellEnd"/>
      <w:r w:rsidR="00060FC6" w:rsidRPr="00060FC6">
        <w:rPr>
          <w:rFonts w:ascii="Arial" w:hAnsi="Arial" w:cs="Arial"/>
          <w:i/>
          <w:iCs/>
          <w:sz w:val="24"/>
          <w:szCs w:val="24"/>
        </w:rPr>
        <w:t xml:space="preserve"> </w:t>
      </w:r>
      <w:proofErr w:type="spellStart"/>
      <w:r w:rsidR="00060FC6" w:rsidRPr="00060FC6">
        <w:rPr>
          <w:rFonts w:ascii="Arial" w:hAnsi="Arial" w:cs="Arial"/>
          <w:i/>
          <w:iCs/>
          <w:sz w:val="24"/>
          <w:szCs w:val="24"/>
        </w:rPr>
        <w:t>Carbon</w:t>
      </w:r>
      <w:proofErr w:type="spellEnd"/>
      <w:r w:rsidR="00060FC6" w:rsidRPr="00060FC6">
        <w:rPr>
          <w:rFonts w:ascii="Arial" w:hAnsi="Arial" w:cs="Arial"/>
          <w:i/>
          <w:iCs/>
          <w:sz w:val="24"/>
          <w:szCs w:val="24"/>
        </w:rPr>
        <w:t xml:space="preserve"> </w:t>
      </w:r>
      <w:proofErr w:type="spellStart"/>
      <w:r w:rsidR="00060FC6" w:rsidRPr="00060FC6">
        <w:rPr>
          <w:rFonts w:ascii="Arial" w:hAnsi="Arial" w:cs="Arial"/>
          <w:i/>
          <w:iCs/>
          <w:sz w:val="24"/>
          <w:szCs w:val="24"/>
        </w:rPr>
        <w:t>Accounting</w:t>
      </w:r>
      <w:proofErr w:type="spellEnd"/>
      <w:r w:rsidR="00060FC6" w:rsidRPr="00060FC6">
        <w:rPr>
          <w:rFonts w:ascii="Arial" w:hAnsi="Arial" w:cs="Arial"/>
          <w:i/>
          <w:iCs/>
          <w:sz w:val="24"/>
          <w:szCs w:val="24"/>
        </w:rPr>
        <w:t xml:space="preserve"> </w:t>
      </w:r>
      <w:proofErr w:type="spellStart"/>
      <w:r w:rsidR="00060FC6" w:rsidRPr="00060FC6">
        <w:rPr>
          <w:rFonts w:ascii="Arial" w:hAnsi="Arial" w:cs="Arial"/>
          <w:i/>
          <w:iCs/>
          <w:sz w:val="24"/>
          <w:szCs w:val="24"/>
        </w:rPr>
        <w:t>Financials</w:t>
      </w:r>
      <w:proofErr w:type="spellEnd"/>
      <w:r w:rsidR="00060FC6" w:rsidRPr="00060FC6">
        <w:rPr>
          <w:rFonts w:ascii="Arial" w:hAnsi="Arial" w:cs="Arial"/>
          <w:i/>
          <w:iCs/>
          <w:sz w:val="24"/>
          <w:szCs w:val="24"/>
        </w:rPr>
        <w:t xml:space="preserve"> (PCAF)</w:t>
      </w:r>
      <w:r w:rsidR="00060FC6">
        <w:rPr>
          <w:rFonts w:ascii="Arial" w:hAnsi="Arial" w:cs="Arial"/>
          <w:i/>
          <w:iCs/>
          <w:sz w:val="24"/>
          <w:szCs w:val="24"/>
        </w:rPr>
        <w:t xml:space="preserve"> </w:t>
      </w:r>
      <w:r w:rsidR="00060FC6">
        <w:rPr>
          <w:rFonts w:ascii="Arial" w:hAnsi="Arial" w:cs="Arial"/>
          <w:sz w:val="24"/>
          <w:szCs w:val="24"/>
        </w:rPr>
        <w:t xml:space="preserve">y el </w:t>
      </w:r>
      <w:r w:rsidR="00060FC6" w:rsidRPr="00060FC6">
        <w:rPr>
          <w:rFonts w:ascii="Arial" w:hAnsi="Arial" w:cs="Arial"/>
          <w:i/>
          <w:iCs/>
          <w:sz w:val="24"/>
          <w:szCs w:val="24"/>
        </w:rPr>
        <w:t>CDP</w:t>
      </w:r>
      <w:r w:rsidR="00060FC6">
        <w:rPr>
          <w:rFonts w:ascii="Arial" w:hAnsi="Arial" w:cs="Arial"/>
          <w:i/>
          <w:iCs/>
          <w:sz w:val="24"/>
          <w:szCs w:val="24"/>
        </w:rPr>
        <w:t>.</w:t>
      </w:r>
    </w:p>
    <w:p w14:paraId="630D0A89" w14:textId="77777777" w:rsidR="00060FC6" w:rsidRDefault="00060FC6" w:rsidP="00060FC6">
      <w:pPr>
        <w:pStyle w:val="Prrafodelista"/>
        <w:spacing w:line="360" w:lineRule="auto"/>
        <w:rPr>
          <w:rFonts w:ascii="Arial" w:hAnsi="Arial" w:cs="Arial"/>
          <w:sz w:val="24"/>
          <w:szCs w:val="24"/>
        </w:rPr>
      </w:pPr>
      <w:r>
        <w:rPr>
          <w:rFonts w:ascii="Arial" w:hAnsi="Arial" w:cs="Arial"/>
          <w:sz w:val="24"/>
          <w:szCs w:val="24"/>
        </w:rPr>
        <w:t>Adicional cuentan con un sistema de administración de riesgo ambiental y social conocido como SARAS, que incluye políticas para evaluar el otorgamiento de créditos y decisiones de inversión de manera que no afecten negativamente al medio ambiente.</w:t>
      </w:r>
    </w:p>
    <w:p w14:paraId="770F676D" w14:textId="6665CD68" w:rsidR="00060FC6" w:rsidRDefault="00060FC6" w:rsidP="00060FC6">
      <w:pPr>
        <w:pStyle w:val="Prrafodelista"/>
        <w:spacing w:line="360" w:lineRule="auto"/>
        <w:rPr>
          <w:rFonts w:ascii="Arial" w:hAnsi="Arial" w:cs="Arial"/>
          <w:sz w:val="24"/>
          <w:szCs w:val="24"/>
        </w:rPr>
      </w:pPr>
      <w:r>
        <w:rPr>
          <w:rFonts w:ascii="Arial" w:hAnsi="Arial" w:cs="Arial"/>
          <w:sz w:val="24"/>
          <w:szCs w:val="24"/>
        </w:rPr>
        <w:t xml:space="preserve">Por </w:t>
      </w:r>
      <w:r w:rsidR="00902DDF">
        <w:rPr>
          <w:rFonts w:ascii="Arial" w:hAnsi="Arial" w:cs="Arial"/>
          <w:sz w:val="24"/>
          <w:szCs w:val="24"/>
        </w:rPr>
        <w:t>último,</w:t>
      </w:r>
      <w:r>
        <w:rPr>
          <w:rFonts w:ascii="Arial" w:hAnsi="Arial" w:cs="Arial"/>
          <w:sz w:val="24"/>
          <w:szCs w:val="24"/>
        </w:rPr>
        <w:t xml:space="preserve"> tienen una estrategia de ecoeficiencia basada en el uso eficiente de recursos naturales, impulsando la cultura ambiental a través del programa “Líderes y Gestores Ambientales”. De esta manera, cuentan con el certificado ICONTEC</w:t>
      </w:r>
      <w:r w:rsidR="00902DDF">
        <w:rPr>
          <w:rFonts w:ascii="Arial" w:hAnsi="Arial" w:cs="Arial"/>
          <w:sz w:val="24"/>
          <w:szCs w:val="24"/>
        </w:rPr>
        <w:t xml:space="preserve"> de Carbono Neutro Verificado para 2021.</w:t>
      </w:r>
    </w:p>
    <w:p w14:paraId="30FFED7E" w14:textId="77777777" w:rsidR="00902DDF" w:rsidRDefault="00902DDF" w:rsidP="00902DDF">
      <w:pPr>
        <w:pStyle w:val="Prrafodelista"/>
        <w:spacing w:line="360" w:lineRule="auto"/>
        <w:rPr>
          <w:rFonts w:ascii="Arial" w:hAnsi="Arial" w:cs="Arial"/>
          <w:sz w:val="24"/>
          <w:szCs w:val="24"/>
        </w:rPr>
      </w:pPr>
    </w:p>
    <w:p w14:paraId="24BEE1E8" w14:textId="561EA4E1" w:rsidR="00902DDF" w:rsidRDefault="00902DDF" w:rsidP="001D5D03">
      <w:pPr>
        <w:pStyle w:val="Prrafodelista"/>
        <w:numPr>
          <w:ilvl w:val="0"/>
          <w:numId w:val="7"/>
        </w:numPr>
        <w:spacing w:line="360" w:lineRule="auto"/>
        <w:rPr>
          <w:rFonts w:ascii="Arial" w:hAnsi="Arial" w:cs="Arial"/>
          <w:sz w:val="24"/>
          <w:szCs w:val="24"/>
        </w:rPr>
      </w:pPr>
      <w:r w:rsidRPr="00902DDF">
        <w:rPr>
          <w:rFonts w:ascii="Arial" w:hAnsi="Arial" w:cs="Arial"/>
          <w:sz w:val="24"/>
          <w:szCs w:val="24"/>
        </w:rPr>
        <w:t>Sostenibilidad social: Davivienda promueve la diversidad y equidad mediante diversas estrategias. Primero con inclusión y educación financiera, eliminando barraras para el acceso a la banca y fomentando buenos hábitos financieros a partir de la educación financiera, con portales como ‘mis finanzas en casa’, ‘</w:t>
      </w:r>
      <w:proofErr w:type="spellStart"/>
      <w:r w:rsidRPr="00902DDF">
        <w:rPr>
          <w:rFonts w:ascii="Arial" w:hAnsi="Arial" w:cs="Arial"/>
          <w:sz w:val="24"/>
          <w:szCs w:val="24"/>
        </w:rPr>
        <w:t>monetarium</w:t>
      </w:r>
      <w:proofErr w:type="spellEnd"/>
      <w:r w:rsidRPr="00902DDF">
        <w:rPr>
          <w:rFonts w:ascii="Arial" w:hAnsi="Arial" w:cs="Arial"/>
          <w:sz w:val="24"/>
          <w:szCs w:val="24"/>
        </w:rPr>
        <w:t>’, ‘mis finanzas para invertir’, etc.</w:t>
      </w:r>
    </w:p>
    <w:p w14:paraId="2CABC1C3" w14:textId="1CF5C7BD" w:rsidR="00902DDF" w:rsidRDefault="00902DDF" w:rsidP="00902DDF">
      <w:pPr>
        <w:pStyle w:val="Prrafodelista"/>
        <w:spacing w:line="360" w:lineRule="auto"/>
        <w:rPr>
          <w:rFonts w:ascii="Arial" w:hAnsi="Arial" w:cs="Arial"/>
          <w:sz w:val="24"/>
          <w:szCs w:val="24"/>
        </w:rPr>
      </w:pPr>
      <w:r>
        <w:rPr>
          <w:rFonts w:ascii="Arial" w:hAnsi="Arial" w:cs="Arial"/>
          <w:sz w:val="24"/>
          <w:szCs w:val="24"/>
        </w:rPr>
        <w:t xml:space="preserve">Una segunda estrategia es el impulso a la capacitación de las comunidades, por </w:t>
      </w:r>
      <w:r w:rsidR="0083529A">
        <w:rPr>
          <w:rFonts w:ascii="Arial" w:hAnsi="Arial" w:cs="Arial"/>
          <w:sz w:val="24"/>
          <w:szCs w:val="24"/>
        </w:rPr>
        <w:t>ejemplo,</w:t>
      </w:r>
      <w:r>
        <w:rPr>
          <w:rFonts w:ascii="Arial" w:hAnsi="Arial" w:cs="Arial"/>
          <w:sz w:val="24"/>
          <w:szCs w:val="24"/>
        </w:rPr>
        <w:t xml:space="preserve"> la ‘Fundación Bolívar Davivienda’, la cual apoya proyectos transformadores de las comunidades y generando espacios de aprendizaje para que las personas puedan desarrollar sus talentos no solo a nivel financiero sino cultural y artístico.</w:t>
      </w:r>
    </w:p>
    <w:p w14:paraId="317A65CD" w14:textId="21932CC5" w:rsidR="0083529A" w:rsidRDefault="0083529A" w:rsidP="00902DDF">
      <w:pPr>
        <w:pStyle w:val="Prrafodelista"/>
        <w:spacing w:line="360" w:lineRule="auto"/>
        <w:rPr>
          <w:rFonts w:ascii="Arial" w:hAnsi="Arial" w:cs="Arial"/>
          <w:sz w:val="24"/>
          <w:szCs w:val="24"/>
        </w:rPr>
      </w:pPr>
      <w:r>
        <w:rPr>
          <w:rFonts w:ascii="Arial" w:hAnsi="Arial" w:cs="Arial"/>
          <w:sz w:val="24"/>
          <w:szCs w:val="24"/>
        </w:rPr>
        <w:t xml:space="preserve">Por último, en cuanto a diversidad e inclusión, Davivienda esta comprometida a equiparar las oportunidades de sus trabajadores y proporcionar el acceso a un </w:t>
      </w:r>
      <w:r>
        <w:rPr>
          <w:rFonts w:ascii="Arial" w:hAnsi="Arial" w:cs="Arial"/>
          <w:sz w:val="24"/>
          <w:szCs w:val="24"/>
        </w:rPr>
        <w:lastRenderedPageBreak/>
        <w:t>puesto de trabajo a personas de todos los grupos poblacionales. Por ejemplo, 42% de cargos directivos son mujeres y 29% de la junta directiva son mujeres.</w:t>
      </w:r>
    </w:p>
    <w:p w14:paraId="1723CA51" w14:textId="77777777" w:rsidR="0083529A" w:rsidRDefault="0083529A" w:rsidP="00902DDF">
      <w:pPr>
        <w:pStyle w:val="Prrafodelista"/>
        <w:spacing w:line="360" w:lineRule="auto"/>
        <w:rPr>
          <w:rFonts w:ascii="Arial" w:hAnsi="Arial" w:cs="Arial"/>
          <w:sz w:val="24"/>
          <w:szCs w:val="24"/>
        </w:rPr>
      </w:pPr>
    </w:p>
    <w:p w14:paraId="7093A352" w14:textId="38DE7672" w:rsidR="0083529A" w:rsidRDefault="0083529A" w:rsidP="0083529A">
      <w:pPr>
        <w:pStyle w:val="Prrafodelista"/>
        <w:numPr>
          <w:ilvl w:val="0"/>
          <w:numId w:val="7"/>
        </w:numPr>
        <w:spacing w:line="360" w:lineRule="auto"/>
        <w:rPr>
          <w:rFonts w:ascii="Arial" w:hAnsi="Arial" w:cs="Arial"/>
          <w:sz w:val="24"/>
          <w:szCs w:val="24"/>
        </w:rPr>
      </w:pPr>
      <w:r>
        <w:rPr>
          <w:rFonts w:ascii="Arial" w:hAnsi="Arial" w:cs="Arial"/>
          <w:sz w:val="24"/>
          <w:szCs w:val="24"/>
        </w:rPr>
        <w:t xml:space="preserve">Sostenibilidad económica: Davivienda genera progreso y competitividad a su entorno. Una estrategia consiste em generar soluciones financieras sostenibles para sus clientes, integrando a sus portafolios servicios de ahorro, financiamiento y seguros. Por lo anterior el 10,7% de su participación en cartera es sostenible. Otra estrategia es la financiación a proyectos de eficiencia energética y energías limpias, mediante sus ‘líneas verdes’ que viene a ser rutas de inversión en proyectos de: energía renovable, construcción sostenible, producción limpia, agro sostenible, eficiencia energética, infraestructura sostenible, hipotecas verdes y vehículo eléctrico o híbrido. </w:t>
      </w:r>
      <w:r w:rsidR="00304E03">
        <w:rPr>
          <w:rFonts w:ascii="Arial" w:hAnsi="Arial" w:cs="Arial"/>
          <w:sz w:val="24"/>
          <w:szCs w:val="24"/>
        </w:rPr>
        <w:t>Frente</w:t>
      </w:r>
      <w:r>
        <w:rPr>
          <w:rFonts w:ascii="Arial" w:hAnsi="Arial" w:cs="Arial"/>
          <w:sz w:val="24"/>
          <w:szCs w:val="24"/>
        </w:rPr>
        <w:t xml:space="preserve"> a la diversidad y </w:t>
      </w:r>
      <w:r w:rsidR="00304E03">
        <w:rPr>
          <w:rFonts w:ascii="Arial" w:hAnsi="Arial" w:cs="Arial"/>
          <w:sz w:val="24"/>
          <w:szCs w:val="24"/>
        </w:rPr>
        <w:t>equidad</w:t>
      </w:r>
      <w:r>
        <w:rPr>
          <w:rFonts w:ascii="Arial" w:hAnsi="Arial" w:cs="Arial"/>
          <w:sz w:val="24"/>
          <w:szCs w:val="24"/>
        </w:rPr>
        <w:t xml:space="preserve">, cuentan </w:t>
      </w:r>
      <w:r w:rsidR="00304E03">
        <w:rPr>
          <w:rFonts w:ascii="Arial" w:hAnsi="Arial" w:cs="Arial"/>
          <w:sz w:val="24"/>
          <w:szCs w:val="24"/>
        </w:rPr>
        <w:t>‘líneas sociales’ o líneas de financiación dirigidas a viviendas de interés social y Pymes dirigidas por mujeres.</w:t>
      </w:r>
    </w:p>
    <w:p w14:paraId="54EE3724" w14:textId="67B4AE7C" w:rsidR="00304E03" w:rsidRDefault="00304E03" w:rsidP="00304E03">
      <w:pPr>
        <w:pStyle w:val="Prrafodelista"/>
        <w:spacing w:line="360" w:lineRule="auto"/>
        <w:rPr>
          <w:rFonts w:ascii="Arial" w:hAnsi="Arial" w:cs="Arial"/>
          <w:sz w:val="24"/>
          <w:szCs w:val="24"/>
        </w:rPr>
      </w:pPr>
      <w:r>
        <w:rPr>
          <w:rFonts w:ascii="Arial" w:hAnsi="Arial" w:cs="Arial"/>
          <w:sz w:val="24"/>
          <w:szCs w:val="24"/>
        </w:rPr>
        <w:t xml:space="preserve">Por último, Davivienda cuenta con un gobierno corporativo </w:t>
      </w:r>
      <w:r>
        <w:rPr>
          <w:rFonts w:ascii="Arial" w:hAnsi="Arial" w:cs="Arial"/>
          <w:sz w:val="24"/>
          <w:szCs w:val="24"/>
        </w:rPr>
        <w:t>con un 71% de miembros independientes</w:t>
      </w:r>
      <w:r>
        <w:rPr>
          <w:rFonts w:ascii="Arial" w:hAnsi="Arial" w:cs="Arial"/>
          <w:sz w:val="24"/>
          <w:szCs w:val="24"/>
        </w:rPr>
        <w:t>, dirigido en un 29% por mujeres en junta directiva, que se rigen por un conjunto de políticas y normas dirigidas a las buenas prácticas, con el fon de preservar la ética empresarial. Por tanto, se preocupan en que su órgano directivo sea diverso y con experiencia y un conocimiento adecuado en el sector financiero.</w:t>
      </w:r>
    </w:p>
    <w:p w14:paraId="09EF06BC" w14:textId="77777777" w:rsidR="00F37EAC" w:rsidRPr="00F37EAC" w:rsidRDefault="00F37EAC" w:rsidP="00304E03">
      <w:pPr>
        <w:pStyle w:val="Prrafodelista"/>
        <w:spacing w:line="360" w:lineRule="auto"/>
        <w:rPr>
          <w:rFonts w:ascii="Arial" w:hAnsi="Arial" w:cs="Arial"/>
          <w:i/>
          <w:iCs/>
          <w:sz w:val="24"/>
          <w:szCs w:val="24"/>
        </w:rPr>
      </w:pPr>
    </w:p>
    <w:p w14:paraId="4770DF86" w14:textId="1031B705" w:rsidR="00F37EAC" w:rsidRPr="00F37EAC" w:rsidRDefault="00F37EAC" w:rsidP="00304E03">
      <w:pPr>
        <w:pStyle w:val="Prrafodelista"/>
        <w:spacing w:line="360" w:lineRule="auto"/>
        <w:rPr>
          <w:rFonts w:ascii="Arial" w:hAnsi="Arial" w:cs="Arial"/>
          <w:i/>
          <w:iCs/>
          <w:sz w:val="24"/>
          <w:szCs w:val="24"/>
        </w:rPr>
      </w:pPr>
      <w:r w:rsidRPr="00F37EAC">
        <w:rPr>
          <w:rFonts w:ascii="Arial" w:hAnsi="Arial" w:cs="Arial"/>
          <w:i/>
          <w:iCs/>
          <w:sz w:val="24"/>
          <w:szCs w:val="24"/>
        </w:rPr>
        <w:t>Referencias</w:t>
      </w:r>
    </w:p>
    <w:p w14:paraId="61C629B4" w14:textId="77777777" w:rsidR="00F37EAC" w:rsidRDefault="00F37EAC" w:rsidP="00304E03">
      <w:pPr>
        <w:pStyle w:val="Prrafodelista"/>
        <w:spacing w:line="360" w:lineRule="auto"/>
        <w:rPr>
          <w:rFonts w:ascii="Arial" w:hAnsi="Arial" w:cs="Arial"/>
          <w:sz w:val="24"/>
          <w:szCs w:val="24"/>
        </w:rPr>
      </w:pPr>
    </w:p>
    <w:p w14:paraId="5597E5FF" w14:textId="77777777" w:rsidR="007414C3" w:rsidRDefault="007414C3" w:rsidP="007414C3">
      <w:pPr>
        <w:pStyle w:val="Prrafodelista"/>
        <w:spacing w:line="360" w:lineRule="auto"/>
        <w:ind w:left="1429" w:hanging="709"/>
        <w:rPr>
          <w:rFonts w:ascii="Arial" w:hAnsi="Arial" w:cs="Arial"/>
          <w:sz w:val="24"/>
          <w:szCs w:val="24"/>
        </w:rPr>
      </w:pPr>
      <w:r>
        <w:rPr>
          <w:rFonts w:ascii="Arial" w:hAnsi="Arial" w:cs="Arial"/>
          <w:sz w:val="24"/>
          <w:szCs w:val="24"/>
        </w:rPr>
        <w:t xml:space="preserve">Davivienda. </w:t>
      </w:r>
      <w:r w:rsidRPr="007414C3">
        <w:rPr>
          <w:rFonts w:ascii="Arial" w:hAnsi="Arial" w:cs="Arial"/>
          <w:i/>
          <w:iCs/>
          <w:sz w:val="24"/>
          <w:szCs w:val="24"/>
        </w:rPr>
        <w:t>Sostenibilidad</w:t>
      </w:r>
      <w:r>
        <w:rPr>
          <w:rFonts w:ascii="Arial" w:hAnsi="Arial" w:cs="Arial"/>
          <w:sz w:val="24"/>
          <w:szCs w:val="24"/>
        </w:rPr>
        <w:t xml:space="preserve">. Recuperado de: </w:t>
      </w:r>
      <w:hyperlink r:id="rId9" w:history="1">
        <w:r w:rsidRPr="00AE3D8B">
          <w:rPr>
            <w:rStyle w:val="Hipervnculo"/>
            <w:rFonts w:ascii="Arial" w:hAnsi="Arial" w:cs="Arial"/>
            <w:sz w:val="24"/>
            <w:szCs w:val="24"/>
          </w:rPr>
          <w:t>https://sostenibilidad.davivienda.com</w:t>
        </w:r>
      </w:hyperlink>
    </w:p>
    <w:p w14:paraId="36233C34" w14:textId="10CD10AB" w:rsidR="007414C3" w:rsidRPr="007414C3" w:rsidRDefault="007414C3" w:rsidP="007414C3">
      <w:pPr>
        <w:pStyle w:val="Prrafodelista"/>
        <w:spacing w:line="360" w:lineRule="auto"/>
        <w:ind w:left="1429" w:hanging="709"/>
        <w:rPr>
          <w:rFonts w:ascii="Arial" w:hAnsi="Arial" w:cs="Arial"/>
          <w:sz w:val="24"/>
          <w:szCs w:val="24"/>
        </w:rPr>
      </w:pPr>
      <w:r>
        <w:rPr>
          <w:rFonts w:ascii="Arial" w:hAnsi="Arial" w:cs="Arial"/>
          <w:sz w:val="24"/>
          <w:szCs w:val="24"/>
        </w:rPr>
        <w:t xml:space="preserve">INCP (2022). </w:t>
      </w:r>
      <w:r w:rsidRPr="007414C3">
        <w:rPr>
          <w:rFonts w:ascii="Arial" w:hAnsi="Arial" w:cs="Arial"/>
          <w:i/>
          <w:iCs/>
          <w:sz w:val="24"/>
          <w:szCs w:val="24"/>
        </w:rPr>
        <w:t>14 empresas colombianas incluidas en listado de sostenibilidad a nivel mundial</w:t>
      </w:r>
      <w:r>
        <w:rPr>
          <w:rFonts w:ascii="Arial" w:hAnsi="Arial" w:cs="Arial"/>
          <w:i/>
          <w:iCs/>
          <w:sz w:val="24"/>
          <w:szCs w:val="24"/>
        </w:rPr>
        <w:t xml:space="preserve">. </w:t>
      </w:r>
      <w:r>
        <w:rPr>
          <w:rFonts w:ascii="Arial" w:hAnsi="Arial" w:cs="Arial"/>
          <w:sz w:val="24"/>
          <w:szCs w:val="24"/>
        </w:rPr>
        <w:t xml:space="preserve">Recuperado de: </w:t>
      </w:r>
      <w:hyperlink r:id="rId10" w:history="1">
        <w:r w:rsidRPr="00AE3D8B">
          <w:rPr>
            <w:rStyle w:val="Hipervnculo"/>
            <w:rFonts w:ascii="Arial" w:hAnsi="Arial" w:cs="Arial"/>
            <w:sz w:val="24"/>
            <w:szCs w:val="24"/>
          </w:rPr>
          <w:t>https://incp.org.co/14-empresas-colombianas-incluidas-en-listado-de-sostenibilidad-a-nivel-mundial/</w:t>
        </w:r>
      </w:hyperlink>
    </w:p>
    <w:p w14:paraId="0983E391" w14:textId="358E7B76" w:rsidR="00F37EAC" w:rsidRDefault="00F37EAC" w:rsidP="007414C3">
      <w:pPr>
        <w:pStyle w:val="Prrafodelista"/>
        <w:spacing w:line="360" w:lineRule="auto"/>
        <w:ind w:left="1429" w:hanging="709"/>
        <w:rPr>
          <w:rFonts w:ascii="Arial" w:hAnsi="Arial" w:cs="Arial"/>
          <w:sz w:val="24"/>
          <w:szCs w:val="24"/>
        </w:rPr>
      </w:pPr>
      <w:proofErr w:type="spellStart"/>
      <w:r>
        <w:rPr>
          <w:rFonts w:ascii="Arial" w:hAnsi="Arial" w:cs="Arial"/>
          <w:sz w:val="24"/>
          <w:szCs w:val="24"/>
        </w:rPr>
        <w:t>Geoi</w:t>
      </w:r>
      <w:r w:rsidR="007414C3">
        <w:rPr>
          <w:rFonts w:ascii="Arial" w:hAnsi="Arial" w:cs="Arial"/>
          <w:sz w:val="24"/>
          <w:szCs w:val="24"/>
        </w:rPr>
        <w:t>n</w:t>
      </w:r>
      <w:r>
        <w:rPr>
          <w:rFonts w:ascii="Arial" w:hAnsi="Arial" w:cs="Arial"/>
          <w:sz w:val="24"/>
          <w:szCs w:val="24"/>
        </w:rPr>
        <w:t>nova</w:t>
      </w:r>
      <w:proofErr w:type="spellEnd"/>
      <w:r>
        <w:rPr>
          <w:rFonts w:ascii="Arial" w:hAnsi="Arial" w:cs="Arial"/>
          <w:sz w:val="24"/>
          <w:szCs w:val="24"/>
        </w:rPr>
        <w:t xml:space="preserve"> (2023). </w:t>
      </w:r>
      <w:r w:rsidRPr="00F37EAC">
        <w:rPr>
          <w:rFonts w:ascii="Arial" w:hAnsi="Arial" w:cs="Arial"/>
          <w:i/>
          <w:iCs/>
          <w:sz w:val="24"/>
          <w:szCs w:val="24"/>
        </w:rPr>
        <w:t>¿Qué es la Triple Bottom Line? Sostenibilidad en empresas</w:t>
      </w:r>
      <w:r>
        <w:rPr>
          <w:rFonts w:ascii="Arial" w:hAnsi="Arial" w:cs="Arial"/>
          <w:i/>
          <w:iCs/>
          <w:sz w:val="24"/>
          <w:szCs w:val="24"/>
        </w:rPr>
        <w:t xml:space="preserve">. </w:t>
      </w:r>
      <w:r>
        <w:rPr>
          <w:rFonts w:ascii="Arial" w:hAnsi="Arial" w:cs="Arial"/>
          <w:sz w:val="24"/>
          <w:szCs w:val="24"/>
        </w:rPr>
        <w:t xml:space="preserve">Recuperado de: </w:t>
      </w:r>
      <w:hyperlink r:id="rId11" w:history="1">
        <w:r w:rsidR="007414C3" w:rsidRPr="00AE3D8B">
          <w:rPr>
            <w:rStyle w:val="Hipervnculo"/>
            <w:rFonts w:ascii="Arial" w:hAnsi="Arial" w:cs="Arial"/>
            <w:sz w:val="24"/>
            <w:szCs w:val="24"/>
          </w:rPr>
          <w:t>https://geoinnova.org/blog-territorio/que-es-la-triple-bottom-line-sostenibilidad-en-empresas/</w:t>
        </w:r>
      </w:hyperlink>
    </w:p>
    <w:p w14:paraId="51FCDB99" w14:textId="77777777" w:rsidR="007414C3" w:rsidRPr="007414C3" w:rsidRDefault="007414C3" w:rsidP="007414C3">
      <w:pPr>
        <w:spacing w:line="360" w:lineRule="auto"/>
        <w:rPr>
          <w:rFonts w:ascii="Arial" w:hAnsi="Arial" w:cs="Arial"/>
          <w:sz w:val="24"/>
          <w:szCs w:val="24"/>
        </w:rPr>
      </w:pPr>
    </w:p>
    <w:sectPr w:rsidR="007414C3" w:rsidRPr="007414C3" w:rsidSect="00E508B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75A"/>
    <w:multiLevelType w:val="hybridMultilevel"/>
    <w:tmpl w:val="082CC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0179FB"/>
    <w:multiLevelType w:val="hybridMultilevel"/>
    <w:tmpl w:val="E93AEC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655C28"/>
    <w:multiLevelType w:val="hybridMultilevel"/>
    <w:tmpl w:val="32BA65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33102F9"/>
    <w:multiLevelType w:val="hybridMultilevel"/>
    <w:tmpl w:val="D414A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2405F8A"/>
    <w:multiLevelType w:val="hybridMultilevel"/>
    <w:tmpl w:val="0A4C3E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C743BA2"/>
    <w:multiLevelType w:val="hybridMultilevel"/>
    <w:tmpl w:val="1B12DE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D480EB9"/>
    <w:multiLevelType w:val="hybridMultilevel"/>
    <w:tmpl w:val="500429C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1">
      <w:start w:val="1"/>
      <w:numFmt w:val="bullet"/>
      <w:lvlText w:val=""/>
      <w:lvlJc w:val="left"/>
      <w:pPr>
        <w:ind w:left="2160" w:hanging="360"/>
      </w:pPr>
      <w:rPr>
        <w:rFonts w:ascii="Symbol" w:hAnsi="Symbol"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5108036">
    <w:abstractNumId w:val="0"/>
  </w:num>
  <w:num w:numId="2" w16cid:durableId="1538617180">
    <w:abstractNumId w:val="3"/>
  </w:num>
  <w:num w:numId="3" w16cid:durableId="1665359485">
    <w:abstractNumId w:val="2"/>
  </w:num>
  <w:num w:numId="4" w16cid:durableId="2006660295">
    <w:abstractNumId w:val="6"/>
  </w:num>
  <w:num w:numId="5" w16cid:durableId="1766807920">
    <w:abstractNumId w:val="4"/>
  </w:num>
  <w:num w:numId="6" w16cid:durableId="1226142858">
    <w:abstractNumId w:val="1"/>
  </w:num>
  <w:num w:numId="7" w16cid:durableId="1693411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3169B"/>
    <w:rsid w:val="00002813"/>
    <w:rsid w:val="00013ECD"/>
    <w:rsid w:val="0003169B"/>
    <w:rsid w:val="00060FC6"/>
    <w:rsid w:val="00067AFC"/>
    <w:rsid w:val="000E5080"/>
    <w:rsid w:val="000F3E68"/>
    <w:rsid w:val="001412EB"/>
    <w:rsid w:val="00166EBE"/>
    <w:rsid w:val="00173E9B"/>
    <w:rsid w:val="002534A5"/>
    <w:rsid w:val="002660B4"/>
    <w:rsid w:val="00266742"/>
    <w:rsid w:val="002965D4"/>
    <w:rsid w:val="002E29C8"/>
    <w:rsid w:val="00301B40"/>
    <w:rsid w:val="003024A9"/>
    <w:rsid w:val="00304E03"/>
    <w:rsid w:val="003353DC"/>
    <w:rsid w:val="003D4CD7"/>
    <w:rsid w:val="003F7376"/>
    <w:rsid w:val="0040159D"/>
    <w:rsid w:val="004367E7"/>
    <w:rsid w:val="004803C6"/>
    <w:rsid w:val="004A06C9"/>
    <w:rsid w:val="005779EE"/>
    <w:rsid w:val="00675C57"/>
    <w:rsid w:val="006B19EC"/>
    <w:rsid w:val="007414C3"/>
    <w:rsid w:val="007C2927"/>
    <w:rsid w:val="00810E02"/>
    <w:rsid w:val="00823711"/>
    <w:rsid w:val="0083529A"/>
    <w:rsid w:val="008B1E7E"/>
    <w:rsid w:val="008B5177"/>
    <w:rsid w:val="00902DDF"/>
    <w:rsid w:val="00964184"/>
    <w:rsid w:val="009841C1"/>
    <w:rsid w:val="00991B57"/>
    <w:rsid w:val="009B3455"/>
    <w:rsid w:val="00A124CB"/>
    <w:rsid w:val="00AA4DC3"/>
    <w:rsid w:val="00AE0FCC"/>
    <w:rsid w:val="00B01CAE"/>
    <w:rsid w:val="00B1230F"/>
    <w:rsid w:val="00B142BB"/>
    <w:rsid w:val="00B23EE1"/>
    <w:rsid w:val="00B35F88"/>
    <w:rsid w:val="00B44028"/>
    <w:rsid w:val="00B459C3"/>
    <w:rsid w:val="00C76B2A"/>
    <w:rsid w:val="00C76B79"/>
    <w:rsid w:val="00C97524"/>
    <w:rsid w:val="00CA5AE7"/>
    <w:rsid w:val="00CB3B94"/>
    <w:rsid w:val="00CD65E6"/>
    <w:rsid w:val="00CE5CBA"/>
    <w:rsid w:val="00E508BD"/>
    <w:rsid w:val="00ED3C92"/>
    <w:rsid w:val="00F06451"/>
    <w:rsid w:val="00F37EAC"/>
    <w:rsid w:val="00F92386"/>
    <w:rsid w:val="00F94B02"/>
    <w:rsid w:val="00FC2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8EC2"/>
  <w15:docId w15:val="{585EFAD5-B89B-418D-9FE8-055EA5D0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4CB"/>
    <w:pPr>
      <w:ind w:left="720"/>
      <w:contextualSpacing/>
    </w:pPr>
    <w:rPr>
      <w:rFonts w:ascii="Calibri" w:eastAsia="Calibri" w:hAnsi="Calibri" w:cs="Calibri"/>
      <w:kern w:val="0"/>
      <w:lang w:eastAsia="es-CO"/>
      <w14:ligatures w14:val="none"/>
    </w:rPr>
  </w:style>
  <w:style w:type="paragraph" w:styleId="Descripcin">
    <w:name w:val="caption"/>
    <w:basedOn w:val="Normal"/>
    <w:next w:val="Normal"/>
    <w:uiPriority w:val="35"/>
    <w:unhideWhenUsed/>
    <w:qFormat/>
    <w:rsid w:val="009B345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F7376"/>
    <w:rPr>
      <w:color w:val="0563C1" w:themeColor="hyperlink"/>
      <w:u w:val="single"/>
    </w:rPr>
  </w:style>
  <w:style w:type="character" w:styleId="Mencinsinresolver">
    <w:name w:val="Unresolved Mention"/>
    <w:basedOn w:val="Fuentedeprrafopredeter"/>
    <w:uiPriority w:val="99"/>
    <w:semiHidden/>
    <w:unhideWhenUsed/>
    <w:rsid w:val="003F7376"/>
    <w:rPr>
      <w:color w:val="605E5C"/>
      <w:shd w:val="clear" w:color="auto" w:fill="E1DFDD"/>
    </w:rPr>
  </w:style>
  <w:style w:type="character" w:styleId="Hipervnculovisitado">
    <w:name w:val="FollowedHyperlink"/>
    <w:basedOn w:val="Fuentedeprrafopredeter"/>
    <w:uiPriority w:val="99"/>
    <w:semiHidden/>
    <w:unhideWhenUsed/>
    <w:rsid w:val="003F7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73272">
      <w:bodyDiv w:val="1"/>
      <w:marLeft w:val="0"/>
      <w:marRight w:val="0"/>
      <w:marTop w:val="0"/>
      <w:marBottom w:val="0"/>
      <w:divBdr>
        <w:top w:val="none" w:sz="0" w:space="0" w:color="auto"/>
        <w:left w:val="none" w:sz="0" w:space="0" w:color="auto"/>
        <w:bottom w:val="none" w:sz="0" w:space="0" w:color="auto"/>
        <w:right w:val="none" w:sz="0" w:space="0" w:color="auto"/>
      </w:divBdr>
      <w:divsChild>
        <w:div w:id="1419212795">
          <w:marLeft w:val="0"/>
          <w:marRight w:val="0"/>
          <w:marTop w:val="0"/>
          <w:marBottom w:val="0"/>
          <w:divBdr>
            <w:top w:val="none" w:sz="0" w:space="0" w:color="auto"/>
            <w:left w:val="none" w:sz="0" w:space="0" w:color="auto"/>
            <w:bottom w:val="none" w:sz="0" w:space="0" w:color="auto"/>
            <w:right w:val="none" w:sz="0" w:space="0" w:color="auto"/>
          </w:divBdr>
          <w:divsChild>
            <w:div w:id="1588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7963">
      <w:bodyDiv w:val="1"/>
      <w:marLeft w:val="0"/>
      <w:marRight w:val="0"/>
      <w:marTop w:val="0"/>
      <w:marBottom w:val="0"/>
      <w:divBdr>
        <w:top w:val="none" w:sz="0" w:space="0" w:color="auto"/>
        <w:left w:val="none" w:sz="0" w:space="0" w:color="auto"/>
        <w:bottom w:val="none" w:sz="0" w:space="0" w:color="auto"/>
        <w:right w:val="none" w:sz="0" w:space="0" w:color="auto"/>
      </w:divBdr>
      <w:divsChild>
        <w:div w:id="649287513">
          <w:marLeft w:val="0"/>
          <w:marRight w:val="0"/>
          <w:marTop w:val="0"/>
          <w:marBottom w:val="0"/>
          <w:divBdr>
            <w:top w:val="none" w:sz="0" w:space="0" w:color="auto"/>
            <w:left w:val="none" w:sz="0" w:space="0" w:color="auto"/>
            <w:bottom w:val="none" w:sz="0" w:space="0" w:color="auto"/>
            <w:right w:val="none" w:sz="0" w:space="0" w:color="auto"/>
          </w:divBdr>
          <w:divsChild>
            <w:div w:id="11548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258">
      <w:bodyDiv w:val="1"/>
      <w:marLeft w:val="0"/>
      <w:marRight w:val="0"/>
      <w:marTop w:val="0"/>
      <w:marBottom w:val="0"/>
      <w:divBdr>
        <w:top w:val="none" w:sz="0" w:space="0" w:color="auto"/>
        <w:left w:val="none" w:sz="0" w:space="0" w:color="auto"/>
        <w:bottom w:val="none" w:sz="0" w:space="0" w:color="auto"/>
        <w:right w:val="none" w:sz="0" w:space="0" w:color="auto"/>
      </w:divBdr>
    </w:div>
    <w:div w:id="353924410">
      <w:bodyDiv w:val="1"/>
      <w:marLeft w:val="0"/>
      <w:marRight w:val="0"/>
      <w:marTop w:val="0"/>
      <w:marBottom w:val="0"/>
      <w:divBdr>
        <w:top w:val="none" w:sz="0" w:space="0" w:color="auto"/>
        <w:left w:val="none" w:sz="0" w:space="0" w:color="auto"/>
        <w:bottom w:val="none" w:sz="0" w:space="0" w:color="auto"/>
        <w:right w:val="none" w:sz="0" w:space="0" w:color="auto"/>
      </w:divBdr>
      <w:divsChild>
        <w:div w:id="1293093068">
          <w:marLeft w:val="0"/>
          <w:marRight w:val="0"/>
          <w:marTop w:val="0"/>
          <w:marBottom w:val="0"/>
          <w:divBdr>
            <w:top w:val="none" w:sz="0" w:space="0" w:color="auto"/>
            <w:left w:val="none" w:sz="0" w:space="0" w:color="auto"/>
            <w:bottom w:val="none" w:sz="0" w:space="0" w:color="auto"/>
            <w:right w:val="none" w:sz="0" w:space="0" w:color="auto"/>
          </w:divBdr>
          <w:divsChild>
            <w:div w:id="18679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8190">
      <w:bodyDiv w:val="1"/>
      <w:marLeft w:val="0"/>
      <w:marRight w:val="0"/>
      <w:marTop w:val="0"/>
      <w:marBottom w:val="0"/>
      <w:divBdr>
        <w:top w:val="none" w:sz="0" w:space="0" w:color="auto"/>
        <w:left w:val="none" w:sz="0" w:space="0" w:color="auto"/>
        <w:bottom w:val="none" w:sz="0" w:space="0" w:color="auto"/>
        <w:right w:val="none" w:sz="0" w:space="0" w:color="auto"/>
      </w:divBdr>
    </w:div>
    <w:div w:id="478814766">
      <w:bodyDiv w:val="1"/>
      <w:marLeft w:val="0"/>
      <w:marRight w:val="0"/>
      <w:marTop w:val="0"/>
      <w:marBottom w:val="0"/>
      <w:divBdr>
        <w:top w:val="none" w:sz="0" w:space="0" w:color="auto"/>
        <w:left w:val="none" w:sz="0" w:space="0" w:color="auto"/>
        <w:bottom w:val="none" w:sz="0" w:space="0" w:color="auto"/>
        <w:right w:val="none" w:sz="0" w:space="0" w:color="auto"/>
      </w:divBdr>
      <w:divsChild>
        <w:div w:id="420948529">
          <w:marLeft w:val="0"/>
          <w:marRight w:val="0"/>
          <w:marTop w:val="0"/>
          <w:marBottom w:val="0"/>
          <w:divBdr>
            <w:top w:val="none" w:sz="0" w:space="0" w:color="auto"/>
            <w:left w:val="none" w:sz="0" w:space="0" w:color="auto"/>
            <w:bottom w:val="none" w:sz="0" w:space="0" w:color="auto"/>
            <w:right w:val="none" w:sz="0" w:space="0" w:color="auto"/>
          </w:divBdr>
          <w:divsChild>
            <w:div w:id="1046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1497">
      <w:bodyDiv w:val="1"/>
      <w:marLeft w:val="0"/>
      <w:marRight w:val="0"/>
      <w:marTop w:val="0"/>
      <w:marBottom w:val="0"/>
      <w:divBdr>
        <w:top w:val="none" w:sz="0" w:space="0" w:color="auto"/>
        <w:left w:val="none" w:sz="0" w:space="0" w:color="auto"/>
        <w:bottom w:val="none" w:sz="0" w:space="0" w:color="auto"/>
        <w:right w:val="none" w:sz="0" w:space="0" w:color="auto"/>
      </w:divBdr>
      <w:divsChild>
        <w:div w:id="589849688">
          <w:marLeft w:val="0"/>
          <w:marRight w:val="0"/>
          <w:marTop w:val="0"/>
          <w:marBottom w:val="0"/>
          <w:divBdr>
            <w:top w:val="none" w:sz="0" w:space="0" w:color="auto"/>
            <w:left w:val="none" w:sz="0" w:space="0" w:color="auto"/>
            <w:bottom w:val="none" w:sz="0" w:space="0" w:color="auto"/>
            <w:right w:val="none" w:sz="0" w:space="0" w:color="auto"/>
          </w:divBdr>
          <w:divsChild>
            <w:div w:id="1474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346">
      <w:bodyDiv w:val="1"/>
      <w:marLeft w:val="0"/>
      <w:marRight w:val="0"/>
      <w:marTop w:val="0"/>
      <w:marBottom w:val="0"/>
      <w:divBdr>
        <w:top w:val="none" w:sz="0" w:space="0" w:color="auto"/>
        <w:left w:val="none" w:sz="0" w:space="0" w:color="auto"/>
        <w:bottom w:val="none" w:sz="0" w:space="0" w:color="auto"/>
        <w:right w:val="none" w:sz="0" w:space="0" w:color="auto"/>
      </w:divBdr>
      <w:divsChild>
        <w:div w:id="674452570">
          <w:marLeft w:val="0"/>
          <w:marRight w:val="0"/>
          <w:marTop w:val="0"/>
          <w:marBottom w:val="0"/>
          <w:divBdr>
            <w:top w:val="none" w:sz="0" w:space="0" w:color="auto"/>
            <w:left w:val="none" w:sz="0" w:space="0" w:color="auto"/>
            <w:bottom w:val="none" w:sz="0" w:space="0" w:color="auto"/>
            <w:right w:val="none" w:sz="0" w:space="0" w:color="auto"/>
          </w:divBdr>
          <w:divsChild>
            <w:div w:id="17679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4621">
      <w:bodyDiv w:val="1"/>
      <w:marLeft w:val="0"/>
      <w:marRight w:val="0"/>
      <w:marTop w:val="0"/>
      <w:marBottom w:val="0"/>
      <w:divBdr>
        <w:top w:val="none" w:sz="0" w:space="0" w:color="auto"/>
        <w:left w:val="none" w:sz="0" w:space="0" w:color="auto"/>
        <w:bottom w:val="none" w:sz="0" w:space="0" w:color="auto"/>
        <w:right w:val="none" w:sz="0" w:space="0" w:color="auto"/>
      </w:divBdr>
    </w:div>
    <w:div w:id="963314695">
      <w:bodyDiv w:val="1"/>
      <w:marLeft w:val="0"/>
      <w:marRight w:val="0"/>
      <w:marTop w:val="0"/>
      <w:marBottom w:val="0"/>
      <w:divBdr>
        <w:top w:val="none" w:sz="0" w:space="0" w:color="auto"/>
        <w:left w:val="none" w:sz="0" w:space="0" w:color="auto"/>
        <w:bottom w:val="none" w:sz="0" w:space="0" w:color="auto"/>
        <w:right w:val="none" w:sz="0" w:space="0" w:color="auto"/>
      </w:divBdr>
      <w:divsChild>
        <w:div w:id="1080368475">
          <w:marLeft w:val="0"/>
          <w:marRight w:val="0"/>
          <w:marTop w:val="0"/>
          <w:marBottom w:val="0"/>
          <w:divBdr>
            <w:top w:val="none" w:sz="0" w:space="0" w:color="auto"/>
            <w:left w:val="none" w:sz="0" w:space="0" w:color="auto"/>
            <w:bottom w:val="none" w:sz="0" w:space="0" w:color="auto"/>
            <w:right w:val="none" w:sz="0" w:space="0" w:color="auto"/>
          </w:divBdr>
          <w:divsChild>
            <w:div w:id="5288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32">
      <w:bodyDiv w:val="1"/>
      <w:marLeft w:val="0"/>
      <w:marRight w:val="0"/>
      <w:marTop w:val="0"/>
      <w:marBottom w:val="0"/>
      <w:divBdr>
        <w:top w:val="none" w:sz="0" w:space="0" w:color="auto"/>
        <w:left w:val="none" w:sz="0" w:space="0" w:color="auto"/>
        <w:bottom w:val="none" w:sz="0" w:space="0" w:color="auto"/>
        <w:right w:val="none" w:sz="0" w:space="0" w:color="auto"/>
      </w:divBdr>
    </w:div>
    <w:div w:id="1154372381">
      <w:bodyDiv w:val="1"/>
      <w:marLeft w:val="0"/>
      <w:marRight w:val="0"/>
      <w:marTop w:val="0"/>
      <w:marBottom w:val="0"/>
      <w:divBdr>
        <w:top w:val="none" w:sz="0" w:space="0" w:color="auto"/>
        <w:left w:val="none" w:sz="0" w:space="0" w:color="auto"/>
        <w:bottom w:val="none" w:sz="0" w:space="0" w:color="auto"/>
        <w:right w:val="none" w:sz="0" w:space="0" w:color="auto"/>
      </w:divBdr>
      <w:divsChild>
        <w:div w:id="1501850383">
          <w:marLeft w:val="0"/>
          <w:marRight w:val="0"/>
          <w:marTop w:val="0"/>
          <w:marBottom w:val="0"/>
          <w:divBdr>
            <w:top w:val="none" w:sz="0" w:space="0" w:color="auto"/>
            <w:left w:val="none" w:sz="0" w:space="0" w:color="auto"/>
            <w:bottom w:val="none" w:sz="0" w:space="0" w:color="auto"/>
            <w:right w:val="none" w:sz="0" w:space="0" w:color="auto"/>
          </w:divBdr>
          <w:divsChild>
            <w:div w:id="4953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319">
      <w:bodyDiv w:val="1"/>
      <w:marLeft w:val="0"/>
      <w:marRight w:val="0"/>
      <w:marTop w:val="0"/>
      <w:marBottom w:val="0"/>
      <w:divBdr>
        <w:top w:val="none" w:sz="0" w:space="0" w:color="auto"/>
        <w:left w:val="none" w:sz="0" w:space="0" w:color="auto"/>
        <w:bottom w:val="none" w:sz="0" w:space="0" w:color="auto"/>
        <w:right w:val="none" w:sz="0" w:space="0" w:color="auto"/>
      </w:divBdr>
      <w:divsChild>
        <w:div w:id="136383484">
          <w:marLeft w:val="0"/>
          <w:marRight w:val="0"/>
          <w:marTop w:val="0"/>
          <w:marBottom w:val="0"/>
          <w:divBdr>
            <w:top w:val="none" w:sz="0" w:space="0" w:color="auto"/>
            <w:left w:val="none" w:sz="0" w:space="0" w:color="auto"/>
            <w:bottom w:val="none" w:sz="0" w:space="0" w:color="auto"/>
            <w:right w:val="none" w:sz="0" w:space="0" w:color="auto"/>
          </w:divBdr>
          <w:divsChild>
            <w:div w:id="13275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4823">
      <w:bodyDiv w:val="1"/>
      <w:marLeft w:val="0"/>
      <w:marRight w:val="0"/>
      <w:marTop w:val="0"/>
      <w:marBottom w:val="0"/>
      <w:divBdr>
        <w:top w:val="none" w:sz="0" w:space="0" w:color="auto"/>
        <w:left w:val="none" w:sz="0" w:space="0" w:color="auto"/>
        <w:bottom w:val="none" w:sz="0" w:space="0" w:color="auto"/>
        <w:right w:val="none" w:sz="0" w:space="0" w:color="auto"/>
      </w:divBdr>
    </w:div>
    <w:div w:id="1233007957">
      <w:bodyDiv w:val="1"/>
      <w:marLeft w:val="0"/>
      <w:marRight w:val="0"/>
      <w:marTop w:val="0"/>
      <w:marBottom w:val="0"/>
      <w:divBdr>
        <w:top w:val="none" w:sz="0" w:space="0" w:color="auto"/>
        <w:left w:val="none" w:sz="0" w:space="0" w:color="auto"/>
        <w:bottom w:val="none" w:sz="0" w:space="0" w:color="auto"/>
        <w:right w:val="none" w:sz="0" w:space="0" w:color="auto"/>
      </w:divBdr>
      <w:divsChild>
        <w:div w:id="605432163">
          <w:marLeft w:val="0"/>
          <w:marRight w:val="0"/>
          <w:marTop w:val="0"/>
          <w:marBottom w:val="0"/>
          <w:divBdr>
            <w:top w:val="none" w:sz="0" w:space="0" w:color="auto"/>
            <w:left w:val="none" w:sz="0" w:space="0" w:color="auto"/>
            <w:bottom w:val="none" w:sz="0" w:space="0" w:color="auto"/>
            <w:right w:val="none" w:sz="0" w:space="0" w:color="auto"/>
          </w:divBdr>
          <w:divsChild>
            <w:div w:id="12345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490">
      <w:bodyDiv w:val="1"/>
      <w:marLeft w:val="0"/>
      <w:marRight w:val="0"/>
      <w:marTop w:val="0"/>
      <w:marBottom w:val="0"/>
      <w:divBdr>
        <w:top w:val="none" w:sz="0" w:space="0" w:color="auto"/>
        <w:left w:val="none" w:sz="0" w:space="0" w:color="auto"/>
        <w:bottom w:val="none" w:sz="0" w:space="0" w:color="auto"/>
        <w:right w:val="none" w:sz="0" w:space="0" w:color="auto"/>
      </w:divBdr>
    </w:div>
    <w:div w:id="1690523596">
      <w:bodyDiv w:val="1"/>
      <w:marLeft w:val="0"/>
      <w:marRight w:val="0"/>
      <w:marTop w:val="0"/>
      <w:marBottom w:val="0"/>
      <w:divBdr>
        <w:top w:val="none" w:sz="0" w:space="0" w:color="auto"/>
        <w:left w:val="none" w:sz="0" w:space="0" w:color="auto"/>
        <w:bottom w:val="none" w:sz="0" w:space="0" w:color="auto"/>
        <w:right w:val="none" w:sz="0" w:space="0" w:color="auto"/>
      </w:divBdr>
    </w:div>
    <w:div w:id="2112704482">
      <w:bodyDiv w:val="1"/>
      <w:marLeft w:val="0"/>
      <w:marRight w:val="0"/>
      <w:marTop w:val="0"/>
      <w:marBottom w:val="0"/>
      <w:divBdr>
        <w:top w:val="none" w:sz="0" w:space="0" w:color="auto"/>
        <w:left w:val="none" w:sz="0" w:space="0" w:color="auto"/>
        <w:bottom w:val="none" w:sz="0" w:space="0" w:color="auto"/>
        <w:right w:val="none" w:sz="0" w:space="0" w:color="auto"/>
      </w:divBdr>
      <w:divsChild>
        <w:div w:id="1159805983">
          <w:marLeft w:val="0"/>
          <w:marRight w:val="0"/>
          <w:marTop w:val="0"/>
          <w:marBottom w:val="0"/>
          <w:divBdr>
            <w:top w:val="none" w:sz="0" w:space="0" w:color="auto"/>
            <w:left w:val="none" w:sz="0" w:space="0" w:color="auto"/>
            <w:bottom w:val="none" w:sz="0" w:space="0" w:color="auto"/>
            <w:right w:val="none" w:sz="0" w:space="0" w:color="auto"/>
          </w:divBdr>
          <w:divsChild>
            <w:div w:id="292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eoinnova.org/blog-territorio/que-es-la-triple-bottom-line-sostenibilidad-en-empresas/" TargetMode="External"/><Relationship Id="rId5" Type="http://schemas.openxmlformats.org/officeDocument/2006/relationships/styles" Target="styles.xml"/><Relationship Id="rId10" Type="http://schemas.openxmlformats.org/officeDocument/2006/relationships/hyperlink" Target="https://incp.org.co/14-empresas-colombianas-incluidas-en-listado-de-sostenibilidad-a-nivel-mundial/" TargetMode="External"/><Relationship Id="rId4" Type="http://schemas.openxmlformats.org/officeDocument/2006/relationships/numbering" Target="numbering.xml"/><Relationship Id="rId9" Type="http://schemas.openxmlformats.org/officeDocument/2006/relationships/hyperlink" Target="https://sostenibilidad.daviviend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932EE0-033E-4E2F-A1FC-0B89EDD6C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B0C0C2-7443-4F12-99C8-7C7AA8C8FB1F}">
  <ds:schemaRefs>
    <ds:schemaRef ds:uri="http://schemas.microsoft.com/sharepoint/v3/contenttype/forms"/>
  </ds:schemaRefs>
</ds:datastoreItem>
</file>

<file path=customXml/itemProps3.xml><?xml version="1.0" encoding="utf-8"?>
<ds:datastoreItem xmlns:ds="http://schemas.openxmlformats.org/officeDocument/2006/customXml" ds:itemID="{3674B5B2-C1AB-43B1-9411-460F2F1405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942</Words>
  <Characters>5182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3</cp:revision>
  <cp:lastPrinted>2023-09-24T05:58:00Z</cp:lastPrinted>
  <dcterms:created xsi:type="dcterms:W3CDTF">2023-09-24T05:58:00Z</dcterms:created>
  <dcterms:modified xsi:type="dcterms:W3CDTF">2023-09-24T06:05:00Z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