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44"/>
          <w:szCs w:val="44"/>
        </w:rPr>
      </w:pPr>
      <w:r>
        <w:rPr>
          <w:rFonts w:cs="Arial" w:ascii="Arial" w:hAnsi="Arial"/>
          <w:b/>
          <w:sz w:val="28"/>
          <w:szCs w:val="28"/>
        </w:rPr>
        <w:t>Identificação e Registro de Não Conformidade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20"/>
          <w:szCs w:val="20"/>
        </w:rPr>
        <w:t>Propósito</w:t>
      </w:r>
    </w:p>
    <w:p>
      <w:pPr>
        <w:pStyle w:val="Normal"/>
        <w:tabs>
          <w:tab w:val="left" w:pos="10773" w:leader="none"/>
        </w:tabs>
        <w:spacing w:lineRule="auto" w:line="360"/>
        <w:jc w:val="both"/>
        <w:rPr/>
      </w:pPr>
      <w:r>
        <w:rPr>
          <w:rFonts w:cs="Arial"/>
        </w:rPr>
        <w:tab/>
        <w:t>Este procedimento tem por objetivo estabelecer os critérios para identificar, classificar, investigar, documentar e divulgar qualquer não-conformidade ou potencial não-conformidade ocorrida que possa gerar Este Procedimento tem por objetivo estabelecer os critérios para identificar, divulgar qualquer não-conformidade ou potencial não-conformidade ocorrida que possa gerar impacto na qualidade do software.</w:t>
      </w:r>
      <w:r>
        <w:rPr>
          <w:rFonts w:cs="Arial"/>
          <w:b/>
        </w:rPr>
        <w:t xml:space="preserve"> </w:t>
      </w:r>
    </w:p>
    <w:p>
      <w:pPr>
        <w:pStyle w:val="Normal"/>
        <w:tabs>
          <w:tab w:val="left" w:pos="10773" w:leader="none"/>
        </w:tabs>
        <w:spacing w:lineRule="auto" w:line="360"/>
        <w:ind w:left="34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20"/>
          <w:szCs w:val="20"/>
        </w:rPr>
        <w:t>Definições</w:t>
      </w:r>
    </w:p>
    <w:p>
      <w:pPr>
        <w:pStyle w:val="Normal"/>
        <w:tabs>
          <w:tab w:val="left" w:pos="10773" w:leader="none"/>
        </w:tabs>
        <w:spacing w:lineRule="auto" w:line="360"/>
        <w:ind w:left="357" w:right="170" w:hanging="35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36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0"/>
          <w:szCs w:val="20"/>
        </w:rPr>
        <w:t xml:space="preserve">Não-Conformidade (NC): É o não atendimento aos parâmetros estabelecidos para um requisito ou processo; </w:t>
      </w:r>
    </w:p>
    <w:p>
      <w:pPr>
        <w:pStyle w:val="Normal"/>
        <w:numPr>
          <w:ilvl w:val="0"/>
          <w:numId w:val="3"/>
        </w:numPr>
        <w:spacing w:lineRule="auto" w:line="36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0"/>
          <w:szCs w:val="20"/>
        </w:rPr>
        <w:t>Não-conformidade Menor: Não-conformidade relacionada a documentos internos (Procedimentos, Especificações, Manuais, etc..) cujos impactos sejam internos, não causando prejuízo ao cliente;</w:t>
      </w:r>
    </w:p>
    <w:p>
      <w:pPr>
        <w:pStyle w:val="Normal"/>
        <w:numPr>
          <w:ilvl w:val="0"/>
          <w:numId w:val="3"/>
        </w:numPr>
        <w:spacing w:lineRule="auto" w:line="36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Style w:val="Strong"/>
          <w:rFonts w:cs="Arial" w:ascii="Arial" w:hAnsi="Arial"/>
          <w:b w:val="false"/>
          <w:sz w:val="20"/>
          <w:szCs w:val="20"/>
        </w:rPr>
        <w:t>Não-conformidade Maior: Não-conformidade cujos impactos possam afetar os aspectos regulatórios ou ainda causar prejuízo ao cliente.</w:t>
      </w:r>
    </w:p>
    <w:p>
      <w:pPr>
        <w:pStyle w:val="Normal"/>
        <w:spacing w:lineRule="auto" w:line="360"/>
        <w:ind w:left="360" w:hanging="0"/>
        <w:jc w:val="both"/>
        <w:rPr>
          <w:rStyle w:val="Strong"/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20"/>
          <w:szCs w:val="20"/>
        </w:rPr>
        <w:t>Políticas</w:t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rFonts w:cs="Arial" w:ascii="Arial" w:hAnsi="Arial"/>
          <w:color w:val="000000"/>
          <w:sz w:val="20"/>
          <w:szCs w:val="20"/>
          <w:shd w:fill="BBDDFF" w:val="clear"/>
        </w:rPr>
        <w:t>Toda atividade de controle de trabalho não-conforme deve ser gerenciada por pessoa devidamente capacitada, com responsabilidade e autoridade.</w:t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rFonts w:cs="Arial" w:ascii="Arial" w:hAnsi="Arial"/>
          <w:color w:val="000000"/>
          <w:sz w:val="20"/>
          <w:szCs w:val="20"/>
          <w:shd w:fill="BBDDFF" w:val="clear"/>
        </w:rPr>
        <w:t>O trabalho não-conforme deve ser identificado e corrigido num tempo hábil.</w:t>
      </w:r>
      <w:r>
        <w:rPr>
          <w:rFonts w:cs="Arial" w:ascii="Arial" w:hAnsi="Arial"/>
          <w:color w:val="000000"/>
          <w:sz w:val="20"/>
          <w:szCs w:val="20"/>
        </w:rPr>
        <w:br/>
      </w:r>
    </w:p>
    <w:p>
      <w:pPr>
        <w:pStyle w:val="Normal"/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20"/>
          <w:szCs w:val="20"/>
        </w:rPr>
        <w:t>Papeis</w:t>
      </w:r>
    </w:p>
    <w:p>
      <w:pPr>
        <w:pStyle w:val="ListParagraph"/>
        <w:numPr>
          <w:ilvl w:val="0"/>
          <w:numId w:val="0"/>
        </w:numPr>
        <w:ind w:left="360" w:hanging="0"/>
        <w:outlineLvl w:val="0"/>
        <w:rPr>
          <w:rStyle w:val="Strong"/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Style w:val="Tabelacomgrade"/>
        <w:tblW w:w="9813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Papel</w:t>
            </w:r>
          </w:p>
        </w:tc>
        <w:tc>
          <w:tcPr>
            <w:tcW w:w="75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sz w:val="20"/>
                <w:szCs w:val="20"/>
              </w:rPr>
              <w:t>Coordenador de Garantia da Qualidade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Formação</w:t>
            </w:r>
          </w:p>
        </w:tc>
        <w:tc>
          <w:tcPr>
            <w:tcW w:w="75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Essa ocupação deve ser exercida por pessoas com escolaridade de ensino superior na área de tecnologia da informação com conhecimento em sistema de gestão da qualidade.</w:t>
            </w:r>
          </w:p>
        </w:tc>
      </w:tr>
      <w:tr>
        <w:trPr>
          <w:trHeight w:val="695" w:hRule="atLeast"/>
        </w:trPr>
        <w:tc>
          <w:tcPr>
            <w:tcW w:w="22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Conhecimentos</w:t>
            </w:r>
          </w:p>
        </w:tc>
        <w:tc>
          <w:tcPr>
            <w:tcW w:w="75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Conceitos sobre sistema de gestão da qualidade.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Conhecimento na área de tecnologia da informação</w:t>
            </w:r>
          </w:p>
          <w:p>
            <w:pPr>
              <w:pStyle w:val="ListParagraph"/>
              <w:ind w:left="360" w:hanging="0"/>
              <w:rPr>
                <w:rStyle w:val="Strong"/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Responsabilidades</w:t>
            </w:r>
          </w:p>
        </w:tc>
        <w:tc>
          <w:tcPr>
            <w:tcW w:w="75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4"/>
              </w:numPr>
              <w:suppressAutoHyphens w:val="true"/>
              <w:spacing w:lineRule="auto" w:line="360"/>
              <w:ind w:left="357" w:hanging="3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Colaboradores dos setores: identificar as não-conformidades ou potenciais não-conformidades e comunicar imediatamente aos responsáveis do setor. 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true"/>
              <w:spacing w:lineRule="auto" w:line="360"/>
              <w:ind w:left="357" w:hanging="3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Coordenadores/supervisores dos setores ou pessoa por estes designadas: realizar o preenchimento do Relatório de Não-Conformidade (RNC), participar da investigação das não-conformidades, dar a disposição e implementar as medidas corretivas e preventivas.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true"/>
              <w:spacing w:lineRule="auto" w:line="360"/>
              <w:ind w:left="357" w:hanging="3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Colaborador do setor de Garantia Qualidade: abrir, numerar, acompanhar e encerrar o Relatório de Não-Conformidade (RNC).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true"/>
              <w:spacing w:lineRule="auto" w:line="360"/>
              <w:ind w:left="357" w:hanging="3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Analista de Garantia Qualidade ou colaborador designado: aceitar ou não a abertura do Relatório de Não-Conformidade (RNC), classificar a não-conformidade e dar suporte as áreas envolvidas para realizar a investigação e determinação das ações de correção da não-conformidade. Avaliar as propostas para a correção das não-conformidades e monitorar o cumprimento deste procedimento.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true"/>
              <w:spacing w:lineRule="auto" w:line="360"/>
              <w:ind w:left="357" w:hanging="3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Coordenador de Garantia da Qualidade: dar suporte para implementação, manutenção e cumprimento das normas descritas neste procedimento.</w:t>
            </w:r>
          </w:p>
          <w:p>
            <w:pPr>
              <w:pStyle w:val="ListParagraph"/>
              <w:ind w:left="360" w:hanging="0"/>
              <w:rPr>
                <w:rStyle w:val="Strong"/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20"/>
          <w:szCs w:val="20"/>
        </w:rPr>
        <w:t>Métricas</w:t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elacomgrade"/>
        <w:tblW w:w="9813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Indicador</w:t>
            </w:r>
          </w:p>
        </w:tc>
        <w:tc>
          <w:tcPr>
            <w:tcW w:w="75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Índice de acompanhamento de não conformidades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Objetivo</w:t>
            </w:r>
          </w:p>
        </w:tc>
        <w:tc>
          <w:tcPr>
            <w:tcW w:w="75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Garantir que as não conformidades não voltem a ocorrer.</w:t>
            </w:r>
          </w:p>
        </w:tc>
      </w:tr>
      <w:tr>
        <w:trPr>
          <w:trHeight w:val="592" w:hRule="atLeast"/>
        </w:trPr>
        <w:tc>
          <w:tcPr>
            <w:tcW w:w="22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Coleta</w:t>
            </w:r>
          </w:p>
        </w:tc>
        <w:tc>
          <w:tcPr>
            <w:tcW w:w="75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0"/>
                <w:szCs w:val="20"/>
              </w:rPr>
              <w:t>Quando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Ao abrir nova conformidade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0"/>
                <w:szCs w:val="20"/>
              </w:rPr>
              <w:t>Quem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Coordenado da Garantia da Qualidade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0"/>
                <w:szCs w:val="20"/>
              </w:rPr>
              <w:t>Como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Ao detectar nova não conformidade deve ser verificado se a mesma não conformidade já ocorreu anteriormente.</w:t>
            </w:r>
          </w:p>
          <w:p>
            <w:pPr>
              <w:pStyle w:val="Normal"/>
              <w:rPr>
                <w:rStyle w:val="Strong"/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IANC = QNRE / QNCN</w:t>
            </w:r>
          </w:p>
          <w:p>
            <w:pPr>
              <w:pStyle w:val="Normal"/>
              <w:rPr>
                <w:rStyle w:val="Strong"/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QNRE quantidade de não conformidade existente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 xml:space="preserve">Quantidade de não conformidade nova. 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O IANC são calculados automaticamente pela planilha.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sz w:val="20"/>
                <w:szCs w:val="20"/>
              </w:rPr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Análise</w:t>
            </w:r>
          </w:p>
        </w:tc>
        <w:tc>
          <w:tcPr>
            <w:tcW w:w="75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IANC &lt;= 10% BAIXO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IANC &lt;= 30% MÉDIO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IANC &gt; 30% ALTO</w:t>
            </w:r>
          </w:p>
          <w:p>
            <w:pPr>
              <w:pStyle w:val="Normal"/>
              <w:rPr>
                <w:rStyle w:val="Strong"/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A Meta é obter IANC BAIXO</w:t>
            </w:r>
          </w:p>
        </w:tc>
      </w:tr>
    </w:tbl>
    <w:p>
      <w:pPr>
        <w:pStyle w:val="Normal"/>
        <w:ind w:left="36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ind w:left="36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20"/>
          <w:szCs w:val="20"/>
        </w:rPr>
        <w:t>Comunicações</w:t>
      </w:r>
    </w:p>
    <w:p>
      <w:pPr>
        <w:pStyle w:val="ListParagraph"/>
        <w:ind w:left="360" w:hanging="0"/>
        <w:jc w:val="both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elacomgrade"/>
        <w:tblW w:w="10069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2581"/>
        <w:gridCol w:w="7487"/>
      </w:tblGrid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Comunicação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Relatório de Não Conformidade</w:t>
            </w:r>
          </w:p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Certificado de conformidade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Emissor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Coordenador da Garantia da Qualidade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 xml:space="preserve">Receptores 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Todos os integrantes da equipe técnica do projeto</w:t>
            </w:r>
          </w:p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Diretoria</w:t>
            </w:r>
          </w:p>
        </w:tc>
      </w:tr>
      <w:tr>
        <w:trPr>
          <w:trHeight w:val="347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Mensagem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Adequação do projeto ao frente ao plano de auditoria..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Meio de Comunicação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E-mail</w:t>
            </w:r>
          </w:p>
        </w:tc>
      </w:tr>
      <w:tr>
        <w:trPr>
          <w:trHeight w:val="387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Quando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Ao final do processo de identificar e registrar uma não conformidade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ListParagraph"/>
        <w:ind w:left="360" w:hanging="0"/>
        <w:rPr>
          <w:rStyle w:val="Strong"/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20"/>
          <w:szCs w:val="20"/>
        </w:rPr>
        <w:t>Macro Fluxo </w:t>
      </w:r>
    </w:p>
    <w:p>
      <w:pPr>
        <w:pStyle w:val="Normal"/>
        <w:ind w:left="360" w:hanging="0"/>
        <w:rPr>
          <w:rStyle w:val="Strong"/>
          <w:rFonts w:cs="Arial"/>
        </w:rPr>
      </w:pPr>
      <w:r>
        <w:rPr>
          <w:rFonts w:cs="Arial"/>
        </w:rPr>
      </w:r>
    </w:p>
    <w:p>
      <w:pPr>
        <w:pStyle w:val="Normal"/>
        <w:ind w:left="360" w:hanging="0"/>
        <w:rPr>
          <w:rStyle w:val="Strong"/>
          <w:rFonts w:cs="Arial"/>
        </w:rPr>
      </w:pPr>
      <w:r>
        <w:rPr>
          <w:rFonts w:cs="Arial"/>
        </w:rPr>
      </w:r>
    </w:p>
    <w:p>
      <w:pPr>
        <w:pStyle w:val="Normal"/>
        <w:ind w:left="360" w:hanging="0"/>
        <w:rPr>
          <w:rStyle w:val="Strong"/>
          <w:rFonts w:cs="Arial"/>
        </w:rPr>
      </w:pPr>
      <w:r>
        <w:rPr>
          <w:rFonts w:cs="Arial"/>
        </w:rPr>
      </w:r>
    </w:p>
    <w:p>
      <w:pPr>
        <w:pStyle w:val="Normal"/>
        <w:ind w:left="360" w:hanging="0"/>
        <w:rPr>
          <w:rStyle w:val="Strong"/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Style w:val="Strong"/>
          <w:rFonts w:cs="Arial" w:ascii="Arial" w:hAnsi="Arial"/>
          <w:sz w:val="20"/>
          <w:szCs w:val="20"/>
        </w:rPr>
        <w:t>Atividades</w:t>
      </w:r>
    </w:p>
    <w:p>
      <w:pPr>
        <w:pStyle w:val="ListParagraph"/>
        <w:rPr>
          <w:rStyle w:val="Strong"/>
          <w:rFonts w:ascii="Arial" w:hAnsi="Arial" w:cs="Arial"/>
          <w:sz w:val="32"/>
          <w:szCs w:val="32"/>
        </w:rPr>
      </w:pPr>
      <w:r>
        <w:rPr/>
      </w:r>
    </w:p>
    <w:p>
      <w:pPr>
        <w:pStyle w:val="ListParagraph"/>
        <w:rPr>
          <w:rStyle w:val="Strong"/>
          <w:rFonts w:ascii="Arial" w:hAnsi="Arial" w:cs="Arial"/>
          <w:sz w:val="32"/>
          <w:szCs w:val="32"/>
        </w:rPr>
      </w:pPr>
      <w:r>
        <w:rPr/>
      </w:r>
    </w:p>
    <w:tbl>
      <w:tblPr>
        <w:tblStyle w:val="Tabelacomgrade"/>
        <w:tblW w:w="9763" w:type="dxa"/>
        <w:jc w:val="left"/>
        <w:tblInd w:w="40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2385"/>
        <w:gridCol w:w="7378"/>
      </w:tblGrid>
      <w:tr>
        <w:trPr/>
        <w:tc>
          <w:tcPr>
            <w:tcW w:w="238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737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Planejar auditoria</w:t>
            </w:r>
          </w:p>
        </w:tc>
      </w:tr>
      <w:tr>
        <w:trPr/>
        <w:tc>
          <w:tcPr>
            <w:tcW w:w="2385" w:type="dxa"/>
            <w:vMerge w:val="restart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Responsabilidades</w:t>
            </w:r>
          </w:p>
        </w:tc>
        <w:tc>
          <w:tcPr>
            <w:tcW w:w="737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Realização:  </w:t>
            </w:r>
            <w:r>
              <w:rPr>
                <w:rFonts w:cs="Arial" w:ascii="Arial" w:hAnsi="Arial"/>
                <w:sz w:val="20"/>
                <w:szCs w:val="20"/>
              </w:rPr>
              <w:t>Coordenador da Garantia da Qualidade</w:t>
            </w:r>
          </w:p>
        </w:tc>
      </w:tr>
      <w:tr>
        <w:trPr/>
        <w:tc>
          <w:tcPr>
            <w:tcW w:w="2385" w:type="dxa"/>
            <w:vMerge w:val="continue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737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Colaboração: </w:t>
            </w:r>
            <w:r>
              <w:rPr>
                <w:rFonts w:cs="Arial" w:ascii="Arial" w:hAnsi="Arial"/>
                <w:sz w:val="20"/>
                <w:szCs w:val="20"/>
              </w:rPr>
              <w:t>Colaboradores da Garantia da Qualidade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737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Encaminhar a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 xml:space="preserve">genda 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 xml:space="preserve">de 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 xml:space="preserve">auditoria 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para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 xml:space="preserve"> equipe desenvolvedora;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Confirmar com equipe de desenvolvimento data da auditoria;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Definir equipe de auditoria;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Definir recurso necessários a auditoria;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Iniciar auditoria com reunião de abertura entre os colaboradores do setor de Garantia da Qualidade e equipe de desenvolvimento;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jc w:val="both"/>
              <w:rPr>
                <w:rFonts w:ascii="Arial" w:hAnsi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Arial"/>
              </w:rPr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37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left" w:pos="323" w:leader="none"/>
              </w:tabs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Confirmação do agendamento da auditoria com equipe técnica;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323" w:leader="none"/>
              </w:tabs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Aprovação da auditoria pela diretoria.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37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left" w:pos="323" w:leader="none"/>
              </w:tabs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u w:val="single"/>
              </w:rPr>
              <w:t xml:space="preserve">Plano de </w:t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t>projeto</w:t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t>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323" w:leader="none"/>
              </w:tabs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Projeto.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Critérios de Saída</w:t>
            </w:r>
          </w:p>
        </w:tc>
        <w:tc>
          <w:tcPr>
            <w:tcW w:w="737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6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Confirmação de audito</w:t>
            </w:r>
            <w:r>
              <w:rPr>
                <w:rFonts w:cs="Arial" w:ascii="Arial" w:hAnsi="Arial"/>
                <w:sz w:val="20"/>
                <w:szCs w:val="20"/>
              </w:rPr>
              <w:t>ri</w:t>
            </w:r>
            <w:r>
              <w:rPr>
                <w:rFonts w:cs="Arial" w:ascii="Arial" w:hAnsi="Arial"/>
                <w:sz w:val="20"/>
                <w:szCs w:val="20"/>
              </w:rPr>
              <w:t>a</w:t>
            </w:r>
          </w:p>
          <w:p>
            <w:pPr>
              <w:pStyle w:val="Normal"/>
              <w:numPr>
                <w:ilvl w:val="0"/>
                <w:numId w:val="6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Plano de auditoria aprovado</w:t>
            </w:r>
            <w:r>
              <w:rPr>
                <w:rFonts w:cs="Arial" w:ascii="Arial" w:hAnsi="Arial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Produtos</w:t>
            </w:r>
          </w:p>
        </w:tc>
        <w:tc>
          <w:tcPr>
            <w:tcW w:w="737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widowControl/>
              <w:numPr>
                <w:ilvl w:val="0"/>
                <w:numId w:val="9"/>
              </w:numPr>
              <w:tabs>
                <w:tab w:val="left" w:pos="323" w:leader="none"/>
              </w:tabs>
              <w:bidi w:val="0"/>
              <w:spacing w:before="0" w:after="0"/>
              <w:ind w:left="0" w:right="0" w:firstLine="454"/>
              <w:contextualSpacing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t>Documento para confirmar auditoria;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Ferramentas</w:t>
            </w:r>
          </w:p>
        </w:tc>
        <w:tc>
          <w:tcPr>
            <w:tcW w:w="737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10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Computador/notebook;</w:t>
            </w:r>
          </w:p>
          <w:p>
            <w:pPr>
              <w:pStyle w:val="Normal"/>
              <w:numPr>
                <w:ilvl w:val="0"/>
                <w:numId w:val="10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Editor de Texto.</w:t>
            </w:r>
          </w:p>
        </w:tc>
      </w:tr>
    </w:tbl>
    <w:p>
      <w:pPr>
        <w:pStyle w:val="Normal"/>
        <w:ind w:firstLine="360"/>
        <w:rPr>
          <w:rStyle w:val="Strong"/>
          <w:rFonts w:ascii="Arial" w:hAnsi="Arial" w:cs="Arial"/>
          <w:b w:val="false"/>
          <w:b w:val="false"/>
          <w:sz w:val="20"/>
          <w:szCs w:val="20"/>
        </w:rPr>
      </w:pPr>
      <w:r>
        <w:rPr>
          <w:rFonts w:cs="Arial" w:ascii="Arial" w:hAnsi="Arial"/>
          <w:b w:val="false"/>
          <w:sz w:val="20"/>
          <w:szCs w:val="20"/>
        </w:rPr>
      </w:r>
    </w:p>
    <w:tbl>
      <w:tblPr>
        <w:tblStyle w:val="Tabelacomgrade"/>
        <w:tblW w:w="9763" w:type="dxa"/>
        <w:jc w:val="left"/>
        <w:tblInd w:w="40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2385"/>
        <w:gridCol w:w="7378"/>
      </w:tblGrid>
      <w:tr>
        <w:trPr/>
        <w:tc>
          <w:tcPr>
            <w:tcW w:w="238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737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Identificar a não conformidade</w:t>
            </w:r>
          </w:p>
        </w:tc>
      </w:tr>
      <w:tr>
        <w:trPr/>
        <w:tc>
          <w:tcPr>
            <w:tcW w:w="2385" w:type="dxa"/>
            <w:vMerge w:val="restart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Responsabilidades</w:t>
            </w:r>
          </w:p>
        </w:tc>
        <w:tc>
          <w:tcPr>
            <w:tcW w:w="737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Realização:  </w:t>
            </w:r>
            <w:r>
              <w:rPr>
                <w:rFonts w:cs="Arial" w:ascii="Arial" w:hAnsi="Arial"/>
                <w:sz w:val="20"/>
                <w:szCs w:val="20"/>
              </w:rPr>
              <w:t>Coordenador da Garantia da Qualidade</w:t>
            </w:r>
          </w:p>
        </w:tc>
      </w:tr>
      <w:tr>
        <w:trPr/>
        <w:tc>
          <w:tcPr>
            <w:tcW w:w="2385" w:type="dxa"/>
            <w:vMerge w:val="continue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737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Colaboração: </w:t>
            </w:r>
            <w:r>
              <w:rPr>
                <w:rFonts w:cs="Arial" w:ascii="Arial" w:hAnsi="Arial"/>
                <w:sz w:val="20"/>
                <w:szCs w:val="20"/>
              </w:rPr>
              <w:t>Colaboradores da Garantia da Qualidade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Tarefas</w:t>
            </w:r>
          </w:p>
        </w:tc>
        <w:tc>
          <w:tcPr>
            <w:tcW w:w="737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 xml:space="preserve">Verificar conformidade do projeto frente ao 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u w:val="single"/>
              </w:rPr>
              <w:t>plano de auditoria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;</w:t>
            </w:r>
          </w:p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Caso detectar uma não conformidade, a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 xml:space="preserve">brir 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u w:val="single"/>
              </w:rPr>
              <w:t xml:space="preserve">relatório de não conformidade 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u w:val="none"/>
              </w:rPr>
              <w:t>para as não conformidades detectadas;</w:t>
            </w:r>
          </w:p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Preencher relatório de 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u w:val="single"/>
              </w:rPr>
              <w:t>não conformidade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conforme instruções descritas no modelo do mesmo.</w:t>
            </w:r>
          </w:p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Encaminhar relatório de não conformidade a 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u w:val="none"/>
              </w:rPr>
              <w:t>equipe de desenvolvimento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u w:val="none"/>
              </w:rPr>
              <w:t>.</w:t>
            </w:r>
          </w:p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u w:val="none"/>
              </w:rPr>
              <w:t>Caso não for detectado nenhuma não conformidade, emitir certificado de conformidade do projeto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37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left" w:pos="323" w:leader="none"/>
              </w:tabs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Confirmação do agendamento da auditoria com equipe técnica;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val="left" w:pos="323" w:leader="none"/>
              </w:tabs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Plano de auditoria aprovado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37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left" w:pos="323" w:leader="none"/>
              </w:tabs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  <w:u w:val="single"/>
              </w:rPr>
              <w:t>Plano de auditoria;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23" w:leader="none"/>
              </w:tabs>
              <w:ind w:left="759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Critérios de Saída</w:t>
            </w:r>
          </w:p>
        </w:tc>
        <w:tc>
          <w:tcPr>
            <w:tcW w:w="737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15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Não conformidade identificada e registrada no Relatório de não conformidade.</w:t>
            </w:r>
          </w:p>
          <w:p>
            <w:pPr>
              <w:pStyle w:val="Normal"/>
              <w:numPr>
                <w:ilvl w:val="0"/>
                <w:numId w:val="15"/>
              </w:numPr>
              <w:jc w:val="both"/>
              <w:rPr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  <w:u w:val="single"/>
              </w:rPr>
              <w:t>Certificado de conformidade de projeto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Produtos</w:t>
            </w:r>
          </w:p>
        </w:tc>
        <w:tc>
          <w:tcPr>
            <w:tcW w:w="737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tabs>
                <w:tab w:val="left" w:pos="323" w:leader="none"/>
              </w:tabs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Relatório de não conformidade com as não conformidades descritas</w:t>
            </w:r>
          </w:p>
          <w:p>
            <w:pPr>
              <w:pStyle w:val="ListParagraph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Certificado de conformidade do projeto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Ferramentas</w:t>
            </w:r>
          </w:p>
        </w:tc>
        <w:tc>
          <w:tcPr>
            <w:tcW w:w="737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Computador/notebook;</w:t>
            </w:r>
          </w:p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Editor de Texto.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sectPr>
      <w:type w:val="nextPage"/>
      <w:pgSz w:w="11906" w:h="16838"/>
      <w:pgMar w:left="993" w:right="843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Univer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  <w:szCs w:val="22"/>
        <w:rFonts w:ascii="Arial" w:hAnsi="Arial" w:cs="Aria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59"/>
        </w:tabs>
        <w:ind w:left="759" w:hanging="360"/>
      </w:pPr>
    </w:lvl>
    <w:lvl w:ilvl="1">
      <w:start w:val="1"/>
      <w:numFmt w:val="decimal"/>
      <w:lvlText w:val="%2."/>
      <w:lvlJc w:val="left"/>
      <w:pPr>
        <w:tabs>
          <w:tab w:val="num" w:pos="1119"/>
        </w:tabs>
        <w:ind w:left="1119" w:hanging="360"/>
      </w:pPr>
    </w:lvl>
    <w:lvl w:ilvl="2">
      <w:start w:val="1"/>
      <w:numFmt w:val="decimal"/>
      <w:lvlText w:val="%3."/>
      <w:lvlJc w:val="left"/>
      <w:pPr>
        <w:tabs>
          <w:tab w:val="num" w:pos="1479"/>
        </w:tabs>
        <w:ind w:left="1479" w:hanging="360"/>
      </w:pPr>
    </w:lvl>
    <w:lvl w:ilvl="3">
      <w:start w:val="1"/>
      <w:numFmt w:val="decimal"/>
      <w:lvlText w:val="%4."/>
      <w:lvlJc w:val="left"/>
      <w:pPr>
        <w:tabs>
          <w:tab w:val="num" w:pos="1839"/>
        </w:tabs>
        <w:ind w:left="1839" w:hanging="360"/>
      </w:pPr>
    </w:lvl>
    <w:lvl w:ilvl="4">
      <w:start w:val="1"/>
      <w:numFmt w:val="decimal"/>
      <w:lvlText w:val="%5."/>
      <w:lvlJc w:val="left"/>
      <w:pPr>
        <w:tabs>
          <w:tab w:val="num" w:pos="2199"/>
        </w:tabs>
        <w:ind w:left="2199" w:hanging="360"/>
      </w:pPr>
    </w:lvl>
    <w:lvl w:ilvl="5">
      <w:start w:val="1"/>
      <w:numFmt w:val="decimal"/>
      <w:lvlText w:val="%6."/>
      <w:lvlJc w:val="left"/>
      <w:pPr>
        <w:tabs>
          <w:tab w:val="num" w:pos="2559"/>
        </w:tabs>
        <w:ind w:left="2559" w:hanging="360"/>
      </w:pPr>
    </w:lvl>
    <w:lvl w:ilvl="6">
      <w:start w:val="1"/>
      <w:numFmt w:val="decimal"/>
      <w:lvlText w:val="%7."/>
      <w:lvlJc w:val="left"/>
      <w:pPr>
        <w:tabs>
          <w:tab w:val="num" w:pos="2919"/>
        </w:tabs>
        <w:ind w:left="2919" w:hanging="360"/>
      </w:pPr>
    </w:lvl>
    <w:lvl w:ilvl="7">
      <w:start w:val="1"/>
      <w:numFmt w:val="decimal"/>
      <w:lvlText w:val="%8."/>
      <w:lvlJc w:val="left"/>
      <w:pPr>
        <w:tabs>
          <w:tab w:val="num" w:pos="3279"/>
        </w:tabs>
        <w:ind w:left="3279" w:hanging="360"/>
      </w:pPr>
    </w:lvl>
    <w:lvl w:ilvl="8">
      <w:start w:val="1"/>
      <w:numFmt w:val="decimal"/>
      <w:lvlText w:val="%9."/>
      <w:lvlJc w:val="left"/>
      <w:pPr>
        <w:tabs>
          <w:tab w:val="num" w:pos="3639"/>
        </w:tabs>
        <w:ind w:left="3639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59"/>
        </w:tabs>
        <w:ind w:left="759" w:hanging="360"/>
      </w:pPr>
    </w:lvl>
    <w:lvl w:ilvl="1">
      <w:start w:val="1"/>
      <w:numFmt w:val="decimal"/>
      <w:lvlText w:val="%2."/>
      <w:lvlJc w:val="left"/>
      <w:pPr>
        <w:tabs>
          <w:tab w:val="num" w:pos="1119"/>
        </w:tabs>
        <w:ind w:left="1119" w:hanging="360"/>
      </w:pPr>
    </w:lvl>
    <w:lvl w:ilvl="2">
      <w:start w:val="1"/>
      <w:numFmt w:val="decimal"/>
      <w:lvlText w:val="%3."/>
      <w:lvlJc w:val="left"/>
      <w:pPr>
        <w:tabs>
          <w:tab w:val="num" w:pos="1479"/>
        </w:tabs>
        <w:ind w:left="1479" w:hanging="360"/>
      </w:pPr>
    </w:lvl>
    <w:lvl w:ilvl="3">
      <w:start w:val="1"/>
      <w:numFmt w:val="decimal"/>
      <w:lvlText w:val="%4."/>
      <w:lvlJc w:val="left"/>
      <w:pPr>
        <w:tabs>
          <w:tab w:val="num" w:pos="1839"/>
        </w:tabs>
        <w:ind w:left="1839" w:hanging="360"/>
      </w:pPr>
    </w:lvl>
    <w:lvl w:ilvl="4">
      <w:start w:val="1"/>
      <w:numFmt w:val="decimal"/>
      <w:lvlText w:val="%5."/>
      <w:lvlJc w:val="left"/>
      <w:pPr>
        <w:tabs>
          <w:tab w:val="num" w:pos="2199"/>
        </w:tabs>
        <w:ind w:left="2199" w:hanging="360"/>
      </w:pPr>
    </w:lvl>
    <w:lvl w:ilvl="5">
      <w:start w:val="1"/>
      <w:numFmt w:val="decimal"/>
      <w:lvlText w:val="%6."/>
      <w:lvlJc w:val="left"/>
      <w:pPr>
        <w:tabs>
          <w:tab w:val="num" w:pos="2559"/>
        </w:tabs>
        <w:ind w:left="2559" w:hanging="360"/>
      </w:pPr>
    </w:lvl>
    <w:lvl w:ilvl="6">
      <w:start w:val="1"/>
      <w:numFmt w:val="decimal"/>
      <w:lvlText w:val="%7."/>
      <w:lvlJc w:val="left"/>
      <w:pPr>
        <w:tabs>
          <w:tab w:val="num" w:pos="2919"/>
        </w:tabs>
        <w:ind w:left="2919" w:hanging="360"/>
      </w:pPr>
    </w:lvl>
    <w:lvl w:ilvl="7">
      <w:start w:val="1"/>
      <w:numFmt w:val="decimal"/>
      <w:lvlText w:val="%8."/>
      <w:lvlJc w:val="left"/>
      <w:pPr>
        <w:tabs>
          <w:tab w:val="num" w:pos="3279"/>
        </w:tabs>
        <w:ind w:left="3279" w:hanging="360"/>
      </w:pPr>
    </w:lvl>
    <w:lvl w:ilvl="8">
      <w:start w:val="1"/>
      <w:numFmt w:val="decimal"/>
      <w:lvlText w:val="%9."/>
      <w:lvlJc w:val="left"/>
      <w:pPr>
        <w:tabs>
          <w:tab w:val="num" w:pos="3639"/>
        </w:tabs>
        <w:ind w:left="3639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39"/>
        </w:tabs>
        <w:ind w:left="39" w:hanging="360"/>
      </w:pPr>
    </w:lvl>
    <w:lvl w:ilvl="1">
      <w:start w:val="1"/>
      <w:numFmt w:val="decimal"/>
      <w:lvlText w:val="%2."/>
      <w:lvlJc w:val="left"/>
      <w:pPr>
        <w:tabs>
          <w:tab w:val="num" w:pos="399"/>
        </w:tabs>
        <w:ind w:left="399" w:hanging="360"/>
      </w:pPr>
    </w:lvl>
    <w:lvl w:ilvl="2">
      <w:start w:val="1"/>
      <w:numFmt w:val="decimal"/>
      <w:lvlText w:val="%3."/>
      <w:lvlJc w:val="left"/>
      <w:pPr>
        <w:tabs>
          <w:tab w:val="num" w:pos="759"/>
        </w:tabs>
        <w:ind w:left="759" w:hanging="360"/>
      </w:pPr>
    </w:lvl>
    <w:lvl w:ilvl="3">
      <w:start w:val="1"/>
      <w:numFmt w:val="decimal"/>
      <w:lvlText w:val="%4."/>
      <w:lvlJc w:val="left"/>
      <w:pPr>
        <w:tabs>
          <w:tab w:val="num" w:pos="1119"/>
        </w:tabs>
        <w:ind w:left="1119" w:hanging="360"/>
      </w:pPr>
    </w:lvl>
    <w:lvl w:ilvl="4">
      <w:start w:val="1"/>
      <w:numFmt w:val="decimal"/>
      <w:lvlText w:val="%5."/>
      <w:lvlJc w:val="left"/>
      <w:pPr>
        <w:tabs>
          <w:tab w:val="num" w:pos="1479"/>
        </w:tabs>
        <w:ind w:left="1479" w:hanging="360"/>
      </w:pPr>
    </w:lvl>
    <w:lvl w:ilvl="5">
      <w:start w:val="1"/>
      <w:numFmt w:val="decimal"/>
      <w:lvlText w:val="%6."/>
      <w:lvlJc w:val="left"/>
      <w:pPr>
        <w:tabs>
          <w:tab w:val="num" w:pos="1839"/>
        </w:tabs>
        <w:ind w:left="1839" w:hanging="360"/>
      </w:pPr>
    </w:lvl>
    <w:lvl w:ilvl="6">
      <w:start w:val="1"/>
      <w:numFmt w:val="decimal"/>
      <w:lvlText w:val="%7."/>
      <w:lvlJc w:val="left"/>
      <w:pPr>
        <w:tabs>
          <w:tab w:val="num" w:pos="2199"/>
        </w:tabs>
        <w:ind w:left="2199" w:hanging="360"/>
      </w:pPr>
    </w:lvl>
    <w:lvl w:ilvl="7">
      <w:start w:val="1"/>
      <w:numFmt w:val="decimal"/>
      <w:lvlText w:val="%8."/>
      <w:lvlJc w:val="left"/>
      <w:pPr>
        <w:tabs>
          <w:tab w:val="num" w:pos="2559"/>
        </w:tabs>
        <w:ind w:left="2559" w:hanging="360"/>
      </w:pPr>
    </w:lvl>
    <w:lvl w:ilvl="8">
      <w:start w:val="1"/>
      <w:numFmt w:val="decimal"/>
      <w:lvlText w:val="%9."/>
      <w:lvlJc w:val="left"/>
      <w:pPr>
        <w:tabs>
          <w:tab w:val="num" w:pos="2919"/>
        </w:tabs>
        <w:ind w:left="2919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19"/>
        </w:tabs>
        <w:ind w:left="111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79"/>
        </w:tabs>
        <w:ind w:left="147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39"/>
        </w:tabs>
        <w:ind w:left="183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99"/>
        </w:tabs>
        <w:ind w:left="219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59"/>
        </w:tabs>
        <w:ind w:left="255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79"/>
        </w:tabs>
        <w:ind w:left="327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39"/>
        </w:tabs>
        <w:ind w:left="3639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19"/>
        </w:tabs>
        <w:ind w:left="111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79"/>
        </w:tabs>
        <w:ind w:left="147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39"/>
        </w:tabs>
        <w:ind w:left="183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99"/>
        </w:tabs>
        <w:ind w:left="219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59"/>
        </w:tabs>
        <w:ind w:left="255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79"/>
        </w:tabs>
        <w:ind w:left="327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39"/>
        </w:tabs>
        <w:ind w:left="3639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5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28f0"/>
    <w:pPr>
      <w:widowControl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00000A"/>
      <w:sz w:val="24"/>
      <w:szCs w:val="24"/>
      <w:lang w:val="pt-BR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character" w:styleId="ListLabel1" w:customStyle="1">
    <w:name w:val="ListLabel 1"/>
    <w:qFormat/>
    <w:rsid w:val="009c28f0"/>
    <w:rPr>
      <w:sz w:val="20"/>
    </w:rPr>
  </w:style>
  <w:style w:type="character" w:styleId="ListLabel2" w:customStyle="1">
    <w:name w:val="ListLabel 2"/>
    <w:qFormat/>
    <w:rsid w:val="009c28f0"/>
    <w:rPr>
      <w:sz w:val="20"/>
    </w:rPr>
  </w:style>
  <w:style w:type="character" w:styleId="ListLabel3" w:customStyle="1">
    <w:name w:val="ListLabel 3"/>
    <w:qFormat/>
    <w:rsid w:val="009c28f0"/>
    <w:rPr>
      <w:sz w:val="20"/>
    </w:rPr>
  </w:style>
  <w:style w:type="character" w:styleId="ListLabel4" w:customStyle="1">
    <w:name w:val="ListLabel 4"/>
    <w:qFormat/>
    <w:rsid w:val="009c28f0"/>
    <w:rPr>
      <w:sz w:val="20"/>
    </w:rPr>
  </w:style>
  <w:style w:type="character" w:styleId="ListLabel5" w:customStyle="1">
    <w:name w:val="ListLabel 5"/>
    <w:qFormat/>
    <w:rsid w:val="009c28f0"/>
    <w:rPr>
      <w:sz w:val="20"/>
    </w:rPr>
  </w:style>
  <w:style w:type="character" w:styleId="ListLabel6" w:customStyle="1">
    <w:name w:val="ListLabel 6"/>
    <w:qFormat/>
    <w:rsid w:val="009c28f0"/>
    <w:rPr>
      <w:sz w:val="20"/>
    </w:rPr>
  </w:style>
  <w:style w:type="character" w:styleId="ListLabel7" w:customStyle="1">
    <w:name w:val="ListLabel 7"/>
    <w:qFormat/>
    <w:rsid w:val="009c28f0"/>
    <w:rPr>
      <w:sz w:val="20"/>
    </w:rPr>
  </w:style>
  <w:style w:type="character" w:styleId="ListLabel8" w:customStyle="1">
    <w:name w:val="ListLabel 8"/>
    <w:qFormat/>
    <w:rsid w:val="009c28f0"/>
    <w:rPr>
      <w:sz w:val="20"/>
    </w:rPr>
  </w:style>
  <w:style w:type="character" w:styleId="ListLabel9" w:customStyle="1">
    <w:name w:val="ListLabel 9"/>
    <w:qFormat/>
    <w:rsid w:val="009c28f0"/>
    <w:rPr>
      <w:sz w:val="20"/>
    </w:rPr>
  </w:style>
  <w:style w:type="character" w:styleId="WW8Num5z0" w:customStyle="1">
    <w:name w:val="WW8Num5z0"/>
    <w:qFormat/>
    <w:rsid w:val="009c28f0"/>
    <w:rPr>
      <w:rFonts w:ascii="Arial" w:hAnsi="Arial" w:cs="Arial"/>
      <w:sz w:val="22"/>
      <w:szCs w:val="22"/>
    </w:rPr>
  </w:style>
  <w:style w:type="character" w:styleId="SubttuloChar" w:customStyle="1">
    <w:name w:val="Subtítulo Char"/>
    <w:basedOn w:val="DefaultParagraphFont"/>
    <w:link w:val="Subttulo"/>
    <w:qFormat/>
    <w:rsid w:val="001c57f9"/>
    <w:rPr>
      <w:rFonts w:ascii="Univers" w:hAnsi="Univers" w:eastAsia="Times New Roman" w:cs="Univers"/>
      <w:sz w:val="26"/>
      <w:szCs w:val="20"/>
      <w:lang w:val="pt-BR" w:eastAsia="zh-CN"/>
    </w:rPr>
  </w:style>
  <w:style w:type="character" w:styleId="ListLabel10">
    <w:name w:val="ListLabel 10"/>
    <w:qFormat/>
    <w:rPr>
      <w:rFonts w:ascii="Arial" w:hAnsi="Arial" w:cs="Symbol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Arial" w:hAnsi="Arial" w:cs="Symbol"/>
      <w:b w:val="false"/>
      <w:sz w:val="2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Arial" w:hAnsi="Arial" w:cs="Arial"/>
      <w:sz w:val="22"/>
      <w:szCs w:val="22"/>
    </w:rPr>
  </w:style>
  <w:style w:type="character" w:styleId="ListLabel47">
    <w:name w:val="ListLabel 47"/>
    <w:qFormat/>
    <w:rPr>
      <w:sz w:val="22"/>
      <w:szCs w:val="22"/>
    </w:rPr>
  </w:style>
  <w:style w:type="character" w:styleId="ListLabel48">
    <w:name w:val="ListLabel 48"/>
    <w:qFormat/>
    <w:rPr>
      <w:rFonts w:ascii="Arial" w:hAnsi="Arial"/>
      <w:b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55">
    <w:name w:val="ListLabel 55"/>
    <w:qFormat/>
    <w:rPr>
      <w:rFonts w:ascii="Arial" w:hAnsi="Arial" w:cs="Symbol"/>
      <w:b w:val="false"/>
      <w:sz w:val="22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Arial" w:hAnsi="Arial" w:cs="Arial"/>
      <w:sz w:val="22"/>
      <w:szCs w:val="22"/>
    </w:rPr>
  </w:style>
  <w:style w:type="character" w:styleId="ListLabel65">
    <w:name w:val="ListLabel 65"/>
    <w:qFormat/>
    <w:rPr>
      <w:rFonts w:ascii="Arial" w:hAnsi="Arial" w:cs="Symbol"/>
      <w:sz w:val="20"/>
      <w:szCs w:val="22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rsid w:val="009c28f0"/>
    <w:pPr>
      <w:spacing w:lineRule="auto" w:line="288" w:before="0" w:after="140"/>
    </w:pPr>
    <w:rPr/>
  </w:style>
  <w:style w:type="paragraph" w:styleId="Lista">
    <w:name w:val="List"/>
    <w:basedOn w:val="Corpodetexto"/>
    <w:rsid w:val="009c28f0"/>
    <w:pPr/>
    <w:rPr>
      <w:rFonts w:cs="Lucida Sans"/>
    </w:rPr>
  </w:style>
  <w:style w:type="paragraph" w:styleId="Legenda" w:customStyle="1">
    <w:name w:val="Caption"/>
    <w:basedOn w:val="Normal"/>
    <w:qFormat/>
    <w:rsid w:val="009c28f0"/>
    <w:pPr>
      <w:suppressLineNumbers/>
      <w:spacing w:before="120" w:after="120"/>
    </w:pPr>
    <w:rPr>
      <w:rFonts w:cs="Lucida Sans"/>
      <w:i/>
      <w:iCs/>
    </w:rPr>
  </w:style>
  <w:style w:type="paragraph" w:styleId="Ndice" w:customStyle="1">
    <w:name w:val="Índice"/>
    <w:basedOn w:val="Normal"/>
    <w:qFormat/>
    <w:rsid w:val="009c28f0"/>
    <w:pPr>
      <w:suppressLineNumbers/>
    </w:pPr>
    <w:rPr>
      <w:rFonts w:cs="Lucida Sans"/>
    </w:rPr>
  </w:style>
  <w:style w:type="paragraph" w:styleId="Ttulododocumento">
    <w:name w:val="Title"/>
    <w:basedOn w:val="Normal"/>
    <w:qFormat/>
    <w:rsid w:val="009c28f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istParagraph">
    <w:name w:val="List Paragraph"/>
    <w:basedOn w:val="Normal"/>
    <w:uiPriority w:val="34"/>
    <w:qFormat/>
    <w:rsid w:val="00e7118d"/>
    <w:pPr>
      <w:spacing w:before="0" w:after="0"/>
      <w:ind w:left="720" w:hanging="0"/>
      <w:contextualSpacing/>
    </w:pPr>
    <w:rPr/>
  </w:style>
  <w:style w:type="paragraph" w:styleId="Subttulo">
    <w:name w:val="Subtitle"/>
    <w:basedOn w:val="Normal"/>
    <w:link w:val="SubttuloChar"/>
    <w:qFormat/>
    <w:rsid w:val="001c57f9"/>
    <w:pPr>
      <w:suppressAutoHyphens w:val="true"/>
      <w:spacing w:lineRule="auto" w:line="228"/>
      <w:ind w:left="357" w:hanging="357"/>
      <w:jc w:val="both"/>
    </w:pPr>
    <w:rPr>
      <w:rFonts w:ascii="Univers" w:hAnsi="Univers" w:eastAsia="Times New Roman" w:cs="Univers"/>
      <w:sz w:val="26"/>
      <w:szCs w:val="20"/>
      <w:lang w:eastAsia="zh-CN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5" w:customStyle="1">
    <w:name w:val="WW8Num5"/>
    <w:qFormat/>
    <w:rsid w:val="009c28f0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LibreOffice/5.2.7.2$Windows_x86 LibreOffice_project/2b7f1e640c46ceb28adf43ee075a6e8b8439ed10</Application>
  <Pages>3</Pages>
  <Words>736</Words>
  <Characters>4654</Characters>
  <CharactersWithSpaces>5247</CharactersWithSpaces>
  <Paragraphs>112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2017-10-05T12:01:00Z</dcterms:created>
  <dc:creator>Adailton Araújo</dc:creator>
  <dc:description/>
  <dc:language>pt-BR</dc:language>
  <cp:lastModifiedBy/>
  <dcterms:modified xsi:type="dcterms:W3CDTF">2017-10-06T21:34:06Z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