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aps/>
          <w:color w:val="1A3A5C"/>
          <w:sz w:val="48"/>
          <w:szCs w:val="48"/>
        </w:rPr>
        <w:t xml:space="preserve">WARM-UP READOUT</w:t>
      </w:r>
    </w:p>
    <w:p>
      <w:pPr>
        <w:spacing w:after="80" w:before="0"/>
      </w:pPr>
      <w:r>
        <w:rPr>
          <w:rFonts w:ascii="Arial" w:cs="Arial" w:eastAsia="Arial" w:hAnsi="Arial"/>
          <w:color w:val="2563EB"/>
          <w:sz w:val="28"/>
          <w:szCs w:val="28"/>
        </w:rPr>
        <w:t xml:space="preserve">Pre-Spike Findings &amp; Observations</w:t>
      </w:r>
    </w:p>
    <w:p>
      <w:pPr>
        <w:pBdr>
          <w:bottom w:val="single" w:color="1A3A5C" w:sz="8"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PROJECT</w:t>
            </w:r>
          </w:p>
          <w:p>
            <w:r>
              <w:rPr>
                <w:rFonts w:ascii="Arial" w:cs="Arial" w:eastAsia="Arial" w:hAnsi="Arial"/>
                <w:color w:val="0F172A"/>
                <w:sz w:val="18"/>
                <w:szCs w:val="18"/>
              </w:rPr>
              <w:t xml:space="preserve">Civic Document Intelligence</w:t>
            </w:r>
          </w:p>
        </w:tc>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HACKATHON</w:t>
            </w:r>
          </w:p>
          <w:p>
            <w:r>
              <w:rPr>
                <w:rFonts w:ascii="Arial" w:cs="Arial" w:eastAsia="Arial" w:hAnsi="Arial"/>
                <w:color w:val="0F172A"/>
                <w:sz w:val="18"/>
                <w:szCs w:val="18"/>
              </w:rPr>
              <w:t xml:space="preserve">Gemma 4 Good</w:t>
            </w:r>
          </w:p>
        </w:tc>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DATE</w:t>
            </w:r>
          </w:p>
          <w:p>
            <w:r>
              <w:rPr>
                <w:rFonts w:ascii="Arial" w:cs="Arial" w:eastAsia="Arial" w:hAnsi="Arial"/>
                <w:color w:val="0F172A"/>
                <w:sz w:val="18"/>
                <w:szCs w:val="18"/>
              </w:rPr>
              <w:t xml:space="preserve">April 2026</w:t>
            </w:r>
          </w:p>
        </w:tc>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2563EB"/>
                <w:sz w:val="16"/>
                <w:szCs w:val="16"/>
              </w:rPr>
              <w:t xml:space="preserve">STATUS</w:t>
            </w:r>
          </w:p>
          <w:p>
            <w:r>
              <w:rPr>
                <w:rFonts w:ascii="Arial" w:cs="Arial" w:eastAsia="Arial" w:hAnsi="Arial"/>
                <w:color w:val="0F172A"/>
                <w:sz w:val="18"/>
                <w:szCs w:val="18"/>
              </w:rPr>
              <w:t xml:space="preserve">Pre-Spike Complete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MODEL</w:t>
            </w:r>
          </w:p>
          <w:p>
            <w:r>
              <w:rPr>
                <w:rFonts w:ascii="Arial" w:cs="Arial" w:eastAsia="Arial" w:hAnsi="Arial"/>
                <w:color w:val="0F172A"/>
                <w:sz w:val="18"/>
                <w:szCs w:val="18"/>
              </w:rPr>
              <w:t xml:space="preserve">gemma4:e2b via Ollama</w:t>
            </w:r>
          </w:p>
        </w:tc>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TEMPERATURE</w:t>
            </w:r>
          </w:p>
          <w:p>
            <w:r>
              <w:rPr>
                <w:rFonts w:ascii="Arial" w:cs="Arial" w:eastAsia="Arial" w:hAnsi="Arial"/>
                <w:color w:val="0F172A"/>
                <w:sz w:val="18"/>
                <w:szCs w:val="18"/>
              </w:rPr>
              <w:t xml:space="preserve">0.0 (all runs)</w:t>
            </w:r>
          </w:p>
        </w:tc>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ARTIFACTS</w:t>
            </w:r>
          </w:p>
          <w:p>
            <w:r>
              <w:rPr>
                <w:rFonts w:ascii="Arial" w:cs="Arial" w:eastAsia="Arial" w:hAnsi="Arial"/>
                <w:color w:val="0F172A"/>
                <w:sz w:val="18"/>
                <w:szCs w:val="18"/>
              </w:rPr>
              <w:t xml:space="preserve">D01 + D03 (2 documents)</w:t>
            </w:r>
          </w:p>
        </w:tc>
        <w:tc>
          <w:tcPr>
            <w:tcW w:type="dxa" w:w="234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64748B"/>
                <w:sz w:val="16"/>
                <w:szCs w:val="16"/>
              </w:rPr>
              <w:t xml:space="preserve">TOTAL RUNS</w:t>
            </w:r>
          </w:p>
          <w:p>
            <w:r>
              <w:rPr>
                <w:rFonts w:ascii="Arial" w:cs="Arial" w:eastAsia="Arial" w:hAnsi="Arial"/>
                <w:color w:val="0F172A"/>
                <w:sz w:val="18"/>
                <w:szCs w:val="18"/>
              </w:rPr>
              <w:t xml:space="preserve">~65 inference calls</w:t>
            </w:r>
          </w:p>
        </w:tc>
      </w:tr>
    </w:tbl>
    <w:p>
      <w:pPr>
        <w:spacing w:after="0" w:before="320"/>
      </w:pPr>
      <w:r>
        <w:t xml:space="preserve"/>
      </w:r>
    </w:p>
    <w:p>
      <w:pPr>
        <w:pStyle w:val="Heading1"/>
      </w:pPr>
      <w:r>
        <w:rPr>
          <w:rFonts w:ascii="Arial" w:cs="Arial" w:eastAsia="Arial" w:hAnsi="Arial"/>
          <w:b/>
          <w:bCs/>
          <w:color w:val="1A3A5C"/>
          <w:sz w:val="32"/>
          <w:szCs w:val="32"/>
        </w:rPr>
        <w:t xml:space="preserve">Executive Summary</w:t>
      </w:r>
    </w:p>
    <w:p>
      <w:pPr>
        <w:spacing w:after="60" w:before="60"/>
      </w:pPr>
      <w:r>
        <w:rPr>
          <w:rFonts w:ascii="Arial" w:cs="Arial" w:eastAsia="Arial" w:hAnsi="Arial"/>
          <w:color w:val="0F172A"/>
          <w:sz w:val="20"/>
          <w:szCs w:val="20"/>
        </w:rPr>
        <w:t xml:space="preserve">The warm-up experiments (W1–W4) were completed against the first two synthetic artifacts — D01 (DTA verification notice) and D03 (pay stub) — in both clean PDF and degraded phone-photo variants. No brick walls were encountered. Every failure observed has a clear mitigation path through prompt engineering, architectural choices, or UX design. The model is a viable foundation for the formal spike.</w:t>
      </w:r>
    </w:p>
    <w:p>
      <w:pPr>
        <w:spacing w:after="0" w:before="80"/>
      </w:pPr>
      <w:r>
        <w:t xml:space="preserve"/>
      </w:r>
    </w:p>
    <w:p>
      <w:pPr>
        <w:spacing w:after="60" w:before="60"/>
      </w:pPr>
      <w:r>
        <w:rPr>
          <w:rFonts w:ascii="Arial" w:cs="Arial" w:eastAsia="Arial" w:hAnsi="Arial"/>
          <w:color w:val="0F172A"/>
          <w:sz w:val="20"/>
          <w:szCs w:val="20"/>
        </w:rPr>
        <w:t xml:space="preserve">The model demonstrates two clearly distinct capability layers with different reliability profiles: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F0FDF4" w:val="clear"/>
            <w:tcMar>
              <w:top w:type="dxa" w:w="120"/>
              <w:left w:type="dxa" w:w="160"/>
              <w:bottom w:type="dxa" w:w="120"/>
              <w:right w:type="dxa" w:w="160"/>
            </w:tcMar>
          </w:tcPr>
          <w:p>
            <w:r>
              <w:rPr>
                <w:rFonts w:ascii="Arial" w:cs="Arial" w:eastAsia="Arial" w:hAnsi="Arial"/>
                <w:b/>
                <w:bCs/>
                <w:color w:val="166534"/>
                <w:sz w:val="19"/>
                <w:szCs w:val="19"/>
              </w:rPr>
              <w:t xml:space="preserve">JUDGMENT LAYER  —  STRONG</w:t>
            </w:r>
          </w:p>
          <w:p>
            <w:pPr>
              <w:spacing w:before="60"/>
            </w:pPr>
            <w:r>
              <w:rPr>
                <w:rFonts w:ascii="Arial" w:cs="Arial" w:eastAsia="Arial" w:hAnsi="Arial"/>
                <w:color w:val="0F172A"/>
                <w:sz w:val="18"/>
                <w:szCs w:val="18"/>
              </w:rPr>
              <w:t xml:space="preserve">Document type classification, category matching, and document intent assessment are reliable, stable, and correct across clean and degraded inputs. This is the layer the product depends on most.</w:t>
            </w:r>
          </w:p>
        </w:tc>
        <w:tc>
          <w:tcPr>
            <w:tcW w:type="dxa" w:w="4680"/>
            <w:tcBorders>
              <w:top w:val="single" w:color="CBD5E1" w:sz="1"/>
              <w:left w:val="single" w:color="CBD5E1" w:sz="1"/>
              <w:bottom w:val="single" w:color="CBD5E1" w:sz="1"/>
              <w:right w:val="single" w:color="CBD5E1" w:sz="1"/>
            </w:tcBorders>
            <w:shd w:fill="FFFBEB" w:val="clear"/>
            <w:tcMar>
              <w:top w:type="dxa" w:w="120"/>
              <w:left w:type="dxa" w:w="160"/>
              <w:bottom w:type="dxa" w:w="120"/>
              <w:right w:type="dxa" w:w="160"/>
            </w:tcMar>
          </w:tcPr>
          <w:p>
            <w:r>
              <w:rPr>
                <w:rFonts w:ascii="Arial" w:cs="Arial" w:eastAsia="Arial" w:hAnsi="Arial"/>
                <w:b/>
                <w:bCs/>
                <w:color w:val="92400E"/>
                <w:sz w:val="19"/>
                <w:szCs w:val="19"/>
              </w:rPr>
              <w:t xml:space="preserve">TRANSCRIPTION LAYER  —  NEEDS WORK</w:t>
            </w:r>
          </w:p>
          <w:p>
            <w:pPr>
              <w:spacing w:before="60"/>
            </w:pPr>
            <w:r>
              <w:rPr>
                <w:rFonts w:ascii="Arial" w:cs="Arial" w:eastAsia="Arial" w:hAnsi="Arial"/>
                <w:color w:val="0F172A"/>
                <w:sz w:val="18"/>
                <w:szCs w:val="18"/>
              </w:rPr>
              <w:t xml:space="preserve">Exact field extraction (financial values, names, evidence quotes) is unreliable under degradation and prone to column confusion on tabular layouts. Fixable with prompt hardening and architectural mitigations.</w:t>
            </w:r>
          </w:p>
        </w:tc>
      </w:tr>
    </w:tbl>
    <w:p>
      <w:pPr>
        <w:spacing w:after="0" w:before="320"/>
      </w:pPr>
      <w:r>
        <w:t xml:space="preserve"/>
      </w:r>
    </w:p>
    <w:p>
      <w:pPr>
        <w:pStyle w:val="Heading1"/>
      </w:pPr>
      <w:r>
        <w:rPr>
          <w:rFonts w:ascii="Arial" w:cs="Arial" w:eastAsia="Arial" w:hAnsi="Arial"/>
          <w:b/>
          <w:bCs/>
          <w:color w:val="1A3A5C"/>
          <w:sz w:val="32"/>
          <w:szCs w:val="32"/>
        </w:rPr>
        <w:t xml:space="preserve">Top-Line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80"/>
        <w:gridCol w:w="1580"/>
        <w:gridCol w:w="1400"/>
        <w:gridCol w:w="1600"/>
      </w:tblGrid>
      <w:tr>
        <w:trPr>
          <w:tblHeader/>
        </w:trPr>
        <w:tc>
          <w:tcPr>
            <w:tcW w:type="dxa" w:w="3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8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Clean PDF</w:t>
            </w:r>
          </w:p>
        </w:tc>
        <w:tc>
          <w:tcPr>
            <w:tcW w:type="dxa" w:w="158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Degraded JPG</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6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Extraction accuracy (W1)</w:t>
            </w:r>
          </w:p>
        </w:tc>
        <w:tc>
          <w:tcPr>
            <w:tcW w:type="dxa" w:w="1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F172A"/>
                <w:sz w:val="18"/>
                <w:szCs w:val="18"/>
              </w:rPr>
              <w:t xml:space="preserve">87.8%</w:t>
            </w:r>
          </w:p>
        </w:tc>
        <w:tc>
          <w:tcPr>
            <w:tcW w:type="dxa" w:w="1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0F172A"/>
                <w:sz w:val="18"/>
                <w:szCs w:val="18"/>
              </w:rPr>
              <w:t xml:space="preserve">84.2%</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A3A5C"/>
                <w:sz w:val="17"/>
                <w:szCs w:val="17"/>
              </w:rPr>
              <w:t xml:space="preserve">≥80% / ≥60%</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PASS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Hallucination rate (W1)</w:t>
            </w:r>
          </w:p>
        </w:tc>
        <w:tc>
          <w:tcPr>
            <w:tcW w:type="dxa" w:w="1580"/>
            <w:tcBorders>
              <w:top w:val="single" w:color="CBD5E1" w:sz="1"/>
              <w:left w:val="single" w:color="CBD5E1" w:sz="1"/>
              <w:bottom w:val="single" w:color="CBD5E1" w:sz="1"/>
              <w:right w:val="single" w:color="CBD5E1" w:sz="1"/>
            </w:tcBorders>
            <w:shd w:fill="FFF3F3"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41.4%</w:t>
            </w:r>
          </w:p>
        </w:tc>
        <w:tc>
          <w:tcPr>
            <w:tcW w:type="dxa" w:w="15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14.3%</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A3A5C"/>
                <w:sz w:val="17"/>
                <w:szCs w:val="17"/>
              </w:rPr>
              <w:t xml:space="preserve">≤5%</w:t>
            </w:r>
          </w:p>
        </w:tc>
        <w:tc>
          <w:tcPr>
            <w:tcW w:type="dxa" w:w="1600"/>
            <w:tcBorders>
              <w:top w:val="single" w:color="CBD5E1" w:sz="1"/>
              <w:left w:val="single" w:color="CBD5E1" w:sz="1"/>
              <w:bottom w:val="single" w:color="CBD5E1" w:sz="1"/>
              <w:right w:val="single" w:color="CBD5E1" w:sz="1"/>
            </w:tcBorders>
            <w:shd w:fill="FFF3F3" w:val="clear"/>
            <w:tcMar>
              <w:top w:type="dxa" w:w="80"/>
              <w:left w:type="dxa" w:w="120"/>
              <w:bottom w:type="dxa" w:w="80"/>
              <w:right w:type="dxa" w:w="120"/>
            </w:tcMar>
          </w:tcPr>
          <w:p>
            <w:pPr>
              <w:jc w:val="center"/>
            </w:pPr>
            <w:r>
              <w:rPr>
                <w:rFonts w:ascii="Arial" w:cs="Arial" w:eastAsia="Arial" w:hAnsi="Arial"/>
                <w:b/>
                <w:bCs/>
                <w:color w:val="B71C1C"/>
                <w:sz w:val="18"/>
                <w:szCs w:val="18"/>
              </w:rPr>
              <w:t xml:space="preserve">✗ FAIL</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JSON parseable (W1)</w:t>
            </w:r>
          </w:p>
        </w:tc>
        <w:tc>
          <w:tcPr>
            <w:tcW w:type="dxa" w:w="15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100%</w:t>
            </w:r>
          </w:p>
        </w:tc>
        <w:tc>
          <w:tcPr>
            <w:tcW w:type="dxa" w:w="15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100%</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A3A5C"/>
                <w:sz w:val="17"/>
                <w:szCs w:val="17"/>
              </w:rPr>
              <w:t xml:space="preserve">≥95%</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PASS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Doc type classification (W2)</w:t>
            </w:r>
          </w:p>
        </w:tc>
        <w:tc>
          <w:tcPr>
            <w:tcW w:type="dxa" w:w="15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100%</w:t>
            </w:r>
          </w:p>
        </w:tc>
        <w:tc>
          <w:tcPr>
            <w:tcW w:type="dxa" w:w="15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100%</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A3A5C"/>
                <w:sz w:val="17"/>
                <w:szCs w:val="17"/>
              </w:rPr>
              <w:t xml:space="preserve">≥75%</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PASS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Category matching accuracy (W4)</w:t>
            </w:r>
          </w:p>
        </w:tc>
        <w:tc>
          <w:tcPr>
            <w:tcW w:type="dxa" w:w="15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100%</w:t>
            </w:r>
          </w:p>
        </w:tc>
        <w:tc>
          <w:tcPr>
            <w:tcW w:type="dxa" w:w="15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100%</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A3A5C"/>
                <w:sz w:val="17"/>
                <w:szCs w:val="17"/>
              </w:rPr>
              <w:t xml:space="preserve">≥70%</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PASS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Abstention on obscured fields (W3)</w:t>
            </w:r>
          </w:p>
        </w:tc>
        <w:tc>
          <w:tcPr>
            <w:tcW w:type="dxa" w:w="15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0% → 100%*</w:t>
            </w:r>
          </w:p>
        </w:tc>
        <w:tc>
          <w:tcPr>
            <w:tcW w:type="dxa" w:w="158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color w:val="92400E"/>
                <w:sz w:val="17"/>
                <w:szCs w:val="17"/>
              </w:rPr>
              <w:t xml:space="preserve">prompt fix req.</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color w:val="1A3A5C"/>
                <w:sz w:val="17"/>
                <w:szCs w:val="17"/>
              </w:rPr>
              <w:t xml:space="preserve">≥80%</w:t>
            </w:r>
          </w:p>
        </w:tc>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 FIXED*</w:t>
            </w:r>
          </w:p>
        </w:tc>
      </w:tr>
    </w:tbl>
    <w:p>
      <w:pPr>
        <w:spacing w:after="0" w:before="60"/>
      </w:pPr>
      <w:r>
        <w:t xml:space="preserve"/>
      </w:r>
    </w:p>
    <w:p>
      <w:pPr>
        <w:spacing w:after="60" w:before="60"/>
      </w:pPr>
      <w:r>
        <w:rPr>
          <w:rFonts w:ascii="Arial" w:cs="Arial" w:eastAsia="Arial" w:hAnsi="Arial"/>
          <w:i/>
          <w:iCs/>
          <w:color w:val="64748B"/>
          <w:sz w:val="17"/>
          <w:szCs w:val="17"/>
        </w:rPr>
        <w:t xml:space="preserve">* Abstention on dates improved to 100% after prompt redesign. Name field confabulation resolved from wrong-name to near-correct with transcription instruction. See F3–F4.</w:t>
      </w:r>
    </w:p>
    <w:p>
      <w:pPr>
        <w:spacing w:after="0" w:before="320"/>
      </w:pPr>
      <w:r>
        <w:t xml:space="preserve"/>
      </w:r>
    </w:p>
    <w:p>
      <w:pPr>
        <w:pStyle w:val="Heading1"/>
      </w:pPr>
      <w:r>
        <w:rPr>
          <w:rFonts w:ascii="Arial" w:cs="Arial" w:eastAsia="Arial" w:hAnsi="Arial"/>
          <w:b/>
          <w:bCs/>
          <w:color w:val="1A3A5C"/>
          <w:sz w:val="32"/>
          <w:szCs w:val="32"/>
        </w:rPr>
        <w:t xml:space="preserve">Key Findings</w:t>
      </w:r>
    </w:p>
    <w:p>
      <w:pPr>
        <w:pStyle w:val="Heading2"/>
        <w:spacing w:after="100" w:before="280"/>
      </w:pPr>
      <w:r>
        <w:rPr>
          <w:rFonts w:ascii="Arial" w:cs="Arial" w:eastAsia="Arial" w:hAnsi="Arial"/>
          <w:b/>
          <w:bCs/>
          <w:color w:val="1A3A5C"/>
          <w:sz w:val="24"/>
          <w:szCs w:val="24"/>
        </w:rPr>
        <w:t xml:space="preserve">W1 — Structured Extraction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CBD5E1" w:sz="1"/>
              <w:right w:val="single" w:color="CBD5E1" w:sz="1"/>
            </w:tcBorders>
            <w:shd w:fill="FFF3F3" w:val="clear"/>
            <w:tcMar>
              <w:top w:type="dxa" w:w="120"/>
              <w:left w:type="dxa" w:w="180"/>
              <w:bottom w:type="dxa" w:w="60"/>
              <w:right w:type="dxa" w:w="180"/>
            </w:tcMar>
          </w:tcPr>
          <w:p>
            <w:r>
              <w:rPr>
                <w:rFonts w:ascii="Arial" w:cs="Arial" w:eastAsia="Arial" w:hAnsi="Arial"/>
                <w:b/>
                <w:bCs/>
                <w:color w:val="B71C1C"/>
                <w:sz w:val="18"/>
                <w:szCs w:val="18"/>
              </w:rPr>
              <w:t xml:space="preserve">F1  </w:t>
            </w:r>
            <w:r>
              <w:rPr>
                <w:rFonts w:ascii="Arial" w:cs="Arial" w:eastAsia="Arial" w:hAnsi="Arial"/>
                <w:b/>
                <w:bCs/>
                <w:color w:val="B71C1C"/>
                <w:sz w:val="17"/>
                <w:szCs w:val="17"/>
              </w:rPr>
              <w:t xml:space="preserve">[HIGH]  </w:t>
            </w:r>
            <w:r>
              <w:rPr>
                <w:rFonts w:ascii="Arial" w:cs="Arial" w:eastAsia="Arial" w:hAnsi="Arial"/>
                <w:b/>
                <w:bCs/>
                <w:color w:val="0F172A"/>
                <w:sz w:val="20"/>
                <w:szCs w:val="20"/>
              </w:rPr>
              <w:t xml:space="preserve">YTD Column Confusion on Tabular Pay Stubs</w:t>
            </w:r>
          </w:p>
        </w:tc>
      </w:tr>
      <w:tr>
        <w:tc>
          <w:tcPr>
            <w:tcW w:type="dxa" w:w="9360"/>
            <w:tcBorders>
              <w:top w:val="none" w:color="FFFFFF" w:sz="0"/>
              <w:left w:val="single" w:color="B71C1C"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Model reliably extracts correct values on degraded images but systematically misattributes YTD totals as current-period values on clean PDFs (gross income: 9/10 runs wrong, net income: 10/10 runs wrong). Explicit prompt instructions to prefer current-period values did not reliably fix this. The model is reading accurately but selecting the wrong column. This failure mode is expected to generalize to all real-world pay stubs (ADP, Paychex, Gusto) which use the same current/YTD adjacent-column layout.</w:t>
            </w:r>
          </w:p>
        </w:tc>
      </w:tr>
      <w:tr>
        <w:tc>
          <w:tcPr>
            <w:tcW w:type="dxa" w:w="9360"/>
            <w:tcBorders>
              <w:top w:val="none" w:color="FFFFFF" w:sz="0"/>
              <w:left w:val="single" w:color="B71C1C" w:sz="6"/>
              <w:bottom w:val="single" w:color="B71C1C"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MITIGATION →  </w:t>
            </w:r>
            <w:r>
              <w:rPr>
                <w:rFonts w:ascii="Arial" w:cs="Arial" w:eastAsia="Arial" w:hAnsi="Arial"/>
                <w:color w:val="0F172A"/>
                <w:sz w:val="18"/>
                <w:szCs w:val="18"/>
              </w:rPr>
              <w:t xml:space="preserve">Prompt specificity (column labels + approximate expected value range) reduces but does not eliminate. Architectural fix: validate extracted income against plausible range for the proof window; flag implausibly high values for human review.</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CBD5E1" w:sz="1"/>
              <w:right w:val="single" w:color="CBD5E1" w:sz="1"/>
            </w:tcBorders>
            <w:shd w:fill="FFF3F3" w:val="clear"/>
            <w:tcMar>
              <w:top w:type="dxa" w:w="120"/>
              <w:left w:type="dxa" w:w="180"/>
              <w:bottom w:type="dxa" w:w="60"/>
              <w:right w:type="dxa" w:w="180"/>
            </w:tcMar>
          </w:tcPr>
          <w:p>
            <w:r>
              <w:rPr>
                <w:rFonts w:ascii="Arial" w:cs="Arial" w:eastAsia="Arial" w:hAnsi="Arial"/>
                <w:b/>
                <w:bCs/>
                <w:color w:val="B71C1C"/>
                <w:sz w:val="18"/>
                <w:szCs w:val="18"/>
              </w:rPr>
              <w:t xml:space="preserve">F2  </w:t>
            </w:r>
            <w:r>
              <w:rPr>
                <w:rFonts w:ascii="Arial" w:cs="Arial" w:eastAsia="Arial" w:hAnsi="Arial"/>
                <w:b/>
                <w:bCs/>
                <w:color w:val="B71C1C"/>
                <w:sz w:val="17"/>
                <w:szCs w:val="17"/>
              </w:rPr>
              <w:t xml:space="preserve">[HIGH]  </w:t>
            </w:r>
            <w:r>
              <w:rPr>
                <w:rFonts w:ascii="Arial" w:cs="Arial" w:eastAsia="Arial" w:hAnsi="Arial"/>
                <w:b/>
                <w:bCs/>
                <w:color w:val="0F172A"/>
                <w:sz w:val="20"/>
                <w:szCs w:val="20"/>
              </w:rPr>
              <w:t xml:space="preserve">Arithmetic Inference on Degraded Net Pay</w:t>
            </w:r>
          </w:p>
        </w:tc>
      </w:tr>
      <w:tr>
        <w:tc>
          <w:tcPr>
            <w:tcW w:type="dxa" w:w="9360"/>
            <w:tcBorders>
              <w:top w:val="none" w:color="FFFFFF" w:sz="0"/>
              <w:left w:val="single" w:color="B71C1C"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On degraded images, the model computes net pay by subtracting deductions from gross rather than reading the explicitly labeled Net Pay box. When the deduction value is misread due to cramped column spacing ($522.65 read as ~$589), this produces a confident wrong net figure ($1,258.75 vs correct $1,324.85) with no abstention signal — consistent across 10/10 degraded runs. Dangerous because the output is internally consistent and looks plausible.</w:t>
            </w:r>
          </w:p>
        </w:tc>
      </w:tr>
      <w:tr>
        <w:tc>
          <w:tcPr>
            <w:tcW w:type="dxa" w:w="9360"/>
            <w:tcBorders>
              <w:top w:val="none" w:color="FFFFFF" w:sz="0"/>
              <w:left w:val="single" w:color="B71C1C" w:sz="6"/>
              <w:bottom w:val="single" w:color="B71C1C"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MITIGATION →  </w:t>
            </w:r>
            <w:r>
              <w:rPr>
                <w:rFonts w:ascii="Arial" w:cs="Arial" w:eastAsia="Arial" w:hAnsi="Arial"/>
                <w:color w:val="0F172A"/>
                <w:sz w:val="18"/>
                <w:szCs w:val="18"/>
              </w:rPr>
              <w:t xml:space="preserve">Add explicit prompt instruction: 'Read each field value directly from its labeled location. Do not calculate or infer any value by arithmetic.' Pair with range validation in the matching layer.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CBD5E1" w:sz="1"/>
              <w:right w:val="single" w:color="CBD5E1" w:sz="1"/>
            </w:tcBorders>
            <w:shd w:fill="FFFBEB" w:val="clear"/>
            <w:tcMar>
              <w:top w:type="dxa" w:w="120"/>
              <w:left w:type="dxa" w:w="180"/>
              <w:bottom w:type="dxa" w:w="60"/>
              <w:right w:type="dxa" w:w="180"/>
            </w:tcMar>
          </w:tcPr>
          <w:p>
            <w:r>
              <w:rPr>
                <w:rFonts w:ascii="Arial" w:cs="Arial" w:eastAsia="Arial" w:hAnsi="Arial"/>
                <w:b/>
                <w:bCs/>
                <w:color w:val="92400E"/>
                <w:sz w:val="18"/>
                <w:szCs w:val="18"/>
              </w:rPr>
              <w:t xml:space="preserve">F3  </w:t>
            </w:r>
            <w:r>
              <w:rPr>
                <w:rFonts w:ascii="Arial" w:cs="Arial" w:eastAsia="Arial" w:hAnsi="Arial"/>
                <w:b/>
                <w:bCs/>
                <w:color w:val="92400E"/>
                <w:sz w:val="17"/>
                <w:szCs w:val="17"/>
              </w:rPr>
              <w:t xml:space="preserve">[MEDIUM]  </w:t>
            </w:r>
            <w:r>
              <w:rPr>
                <w:rFonts w:ascii="Arial" w:cs="Arial" w:eastAsia="Arial" w:hAnsi="Arial"/>
                <w:b/>
                <w:bCs/>
                <w:color w:val="0F172A"/>
                <w:sz w:val="20"/>
                <w:szCs w:val="20"/>
              </w:rPr>
              <w:t xml:space="preserve">Counterintuitive Inverse Performance on Financial Fields</w:t>
            </w:r>
          </w:p>
        </w:tc>
      </w:tr>
      <w:tr>
        <w:tc>
          <w:tcPr>
            <w:tcW w:type="dxa" w:w="9360"/>
            <w:tcBorders>
              <w:top w:val="none" w:color="FFFFFF" w:sz="0"/>
              <w:left w:val="single" w:color="92400E"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Gross income was correct 10/10 on degraded but only 1/10 on clean PDF. Degradation appears to suppress the YTD column visually, removing the confusing candidate. This means model performance on financial fields does not correlate with image quality in the expected direction. Formal spike targets (≥80% clean, ≥60% degraded) may need to be reframed for financial fields.</w:t>
            </w:r>
          </w:p>
        </w:tc>
      </w:tr>
      <w:tr>
        <w:tc>
          <w:tcPr>
            <w:tcW w:type="dxa" w:w="9360"/>
            <w:tcBorders>
              <w:top w:val="none" w:color="FFFFFF" w:sz="0"/>
              <w:left w:val="single" w:color="92400E" w:sz="6"/>
              <w:bottom w:val="single" w:color="92400E"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IMPLICATION →  </w:t>
            </w:r>
            <w:r>
              <w:rPr>
                <w:rFonts w:ascii="Arial" w:cs="Arial" w:eastAsia="Arial" w:hAnsi="Arial"/>
                <w:color w:val="0F172A"/>
                <w:sz w:val="18"/>
                <w:szCs w:val="18"/>
              </w:rPr>
              <w:t xml:space="preserve">Do not assume clean PDFs will outperform degraded photos for all field types. The formal spike should score financial fields separately and track clean vs degraded gaps per field, not just overall.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6"/>
              <w:bottom w:val="single" w:color="CBD5E1" w:sz="1"/>
              <w:right w:val="single" w:color="CBD5E1" w:sz="1"/>
            </w:tcBorders>
            <w:shd w:fill="F0FDF4" w:val="clear"/>
            <w:tcMar>
              <w:top w:type="dxa" w:w="120"/>
              <w:left w:type="dxa" w:w="180"/>
              <w:bottom w:type="dxa" w:w="60"/>
              <w:right w:type="dxa" w:w="180"/>
            </w:tcMar>
          </w:tcPr>
          <w:p>
            <w:r>
              <w:rPr>
                <w:rFonts w:ascii="Arial" w:cs="Arial" w:eastAsia="Arial" w:hAnsi="Arial"/>
                <w:b/>
                <w:bCs/>
                <w:color w:val="166534"/>
                <w:sz w:val="18"/>
                <w:szCs w:val="18"/>
              </w:rPr>
              <w:t xml:space="preserve">F4  </w:t>
            </w:r>
            <w:r>
              <w:rPr>
                <w:rFonts w:ascii="Arial" w:cs="Arial" w:eastAsia="Arial" w:hAnsi="Arial"/>
                <w:b/>
                <w:bCs/>
                <w:color w:val="166534"/>
                <w:sz w:val="17"/>
                <w:szCs w:val="17"/>
              </w:rPr>
              <w:t xml:space="preserve">[LOW]  </w:t>
            </w:r>
            <w:r>
              <w:rPr>
                <w:rFonts w:ascii="Arial" w:cs="Arial" w:eastAsia="Arial" w:hAnsi="Arial"/>
                <w:b/>
                <w:bCs/>
                <w:color w:val="0F172A"/>
                <w:sz w:val="20"/>
                <w:szCs w:val="20"/>
              </w:rPr>
              <w:t xml:space="preserve">Consistent Hyphenated Surname Truncation</w:t>
            </w:r>
          </w:p>
        </w:tc>
      </w:tr>
      <w:tr>
        <w:tc>
          <w:tcPr>
            <w:tcW w:type="dxa" w:w="9360"/>
            <w:tcBorders>
              <w:top w:val="none" w:color="FFFFFF" w:sz="0"/>
              <w:left w:val="single" w:color="166534"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Maria Gonzalez-Reyes truncated to Maria Gonzalez-Rey on both clean and degraded across all runs. Hyphenated surnames clipped consistently. Low severity for spike but meaningful for a production system serving a Spanish-surname-heavy population.</w:t>
            </w:r>
          </w:p>
        </w:tc>
      </w:tr>
      <w:tr>
        <w:tc>
          <w:tcPr>
            <w:tcW w:type="dxa" w:w="9360"/>
            <w:tcBorders>
              <w:top w:val="none" w:color="FFFFFF" w:sz="0"/>
              <w:left w:val="single" w:color="166534" w:sz="6"/>
              <w:bottom w:val="single" w:color="166534"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MITIGATION →  </w:t>
            </w:r>
            <w:r>
              <w:rPr>
                <w:rFonts w:ascii="Arial" w:cs="Arial" w:eastAsia="Arial" w:hAnsi="Arial"/>
                <w:color w:val="0F172A"/>
                <w:sz w:val="18"/>
                <w:szCs w:val="18"/>
              </w:rPr>
              <w:t xml:space="preserve">Fuzzy string matching with Levenshtein distance ≤ 3 handles this gracefully. Do not use exact string match for name fields in the matching layer.</w:t>
            </w:r>
          </w:p>
        </w:tc>
      </w:tr>
    </w:tbl>
    <w:p>
      <w:pPr>
        <w:spacing w:after="0" w:before="200"/>
      </w:pPr>
      <w:r>
        <w:t xml:space="preserve"/>
      </w:r>
    </w:p>
    <w:p>
      <w:pPr>
        <w:pStyle w:val="Heading2"/>
        <w:spacing w:after="100" w:before="280"/>
      </w:pPr>
      <w:r>
        <w:rPr>
          <w:rFonts w:ascii="Arial" w:cs="Arial" w:eastAsia="Arial" w:hAnsi="Arial"/>
          <w:b/>
          <w:bCs/>
          <w:color w:val="1A3A5C"/>
          <w:sz w:val="24"/>
          <w:szCs w:val="24"/>
        </w:rPr>
        <w:t xml:space="preserve">W2 — Document Type Classification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CBD5E1" w:sz="1"/>
              <w:right w:val="single" w:color="CBD5E1" w:sz="1"/>
            </w:tcBorders>
            <w:shd w:fill="FFFBEB" w:val="clear"/>
            <w:tcMar>
              <w:top w:type="dxa" w:w="120"/>
              <w:left w:type="dxa" w:w="180"/>
              <w:bottom w:type="dxa" w:w="60"/>
              <w:right w:type="dxa" w:w="180"/>
            </w:tcMar>
          </w:tcPr>
          <w:p>
            <w:r>
              <w:rPr>
                <w:rFonts w:ascii="Arial" w:cs="Arial" w:eastAsia="Arial" w:hAnsi="Arial"/>
                <w:b/>
                <w:bCs/>
                <w:color w:val="92400E"/>
                <w:sz w:val="18"/>
                <w:szCs w:val="18"/>
              </w:rPr>
              <w:t xml:space="preserve">F5  </w:t>
            </w:r>
            <w:r>
              <w:rPr>
                <w:rFonts w:ascii="Arial" w:cs="Arial" w:eastAsia="Arial" w:hAnsi="Arial"/>
                <w:b/>
                <w:bCs/>
                <w:color w:val="92400E"/>
                <w:sz w:val="17"/>
                <w:szCs w:val="17"/>
              </w:rPr>
              <w:t xml:space="preserve">[MEDIUM]  </w:t>
            </w:r>
            <w:r>
              <w:rPr>
                <w:rFonts w:ascii="Arial" w:cs="Arial" w:eastAsia="Arial" w:hAnsi="Arial"/>
                <w:b/>
                <w:bCs/>
                <w:color w:val="0F172A"/>
                <w:sz w:val="20"/>
                <w:szCs w:val="20"/>
              </w:rPr>
              <w:t xml:space="preserve">Evidence Grounding Degrades on Degraded Images</w:t>
            </w:r>
          </w:p>
        </w:tc>
      </w:tr>
      <w:tr>
        <w:tc>
          <w:tcPr>
            <w:tcW w:type="dxa" w:w="9360"/>
            <w:tcBorders>
              <w:top w:val="none" w:color="FFFFFF" w:sz="0"/>
              <w:left w:val="single" w:color="92400E"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Classification labels are correct and perfectly stable (20/20) across all document types, clean and degraded. However, the evidence field that explains the classification fabricates text on degraded inputs. D01-degraded: model cited 'Department of Transportation is required to verify current household income' — agency name wrong, sentence paraphrased, not quoted. Classification judgment can be trusted; evidence citations cannot.</w:t>
            </w:r>
          </w:p>
        </w:tc>
      </w:tr>
      <w:tr>
        <w:tc>
          <w:tcPr>
            <w:tcW w:type="dxa" w:w="9360"/>
            <w:tcBorders>
              <w:top w:val="none" w:color="FFFFFF" w:sz="0"/>
              <w:left w:val="single" w:color="92400E" w:sz="6"/>
              <w:bottom w:val="single" w:color="92400E"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MITIGATION →  </w:t>
            </w:r>
            <w:r>
              <w:rPr>
                <w:rFonts w:ascii="Arial" w:cs="Arial" w:eastAsia="Arial" w:hAnsi="Arial"/>
                <w:color w:val="0F172A"/>
                <w:sz w:val="18"/>
                <w:szCs w:val="18"/>
              </w:rPr>
              <w:t xml:space="preserve">Do not surface the evidence field directly to residents on degraded inputs. Use evidence for internal logging and debugging only. Flag evidence citations from degraded images as 'supporting context' not 'verified quote' in any UI.</w:t>
            </w:r>
          </w:p>
        </w:tc>
      </w:tr>
    </w:tbl>
    <w:p>
      <w:pPr>
        <w:spacing w:after="0" w:before="200"/>
      </w:pPr>
      <w:r>
        <w:t xml:space="preserve"/>
      </w:r>
    </w:p>
    <w:p>
      <w:pPr>
        <w:pStyle w:val="Heading2"/>
        <w:spacing w:after="100" w:before="280"/>
      </w:pPr>
      <w:r>
        <w:rPr>
          <w:rFonts w:ascii="Arial" w:cs="Arial" w:eastAsia="Arial" w:hAnsi="Arial"/>
          <w:b/>
          <w:bCs/>
          <w:color w:val="1A3A5C"/>
          <w:sz w:val="24"/>
          <w:szCs w:val="24"/>
        </w:rPr>
        <w:t xml:space="preserve">W3 — Abstention Behavior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6"/>
              <w:bottom w:val="single" w:color="CBD5E1" w:sz="1"/>
              <w:right w:val="single" w:color="CBD5E1" w:sz="1"/>
            </w:tcBorders>
            <w:shd w:fill="FFFBEB" w:val="clear"/>
            <w:tcMar>
              <w:top w:type="dxa" w:w="120"/>
              <w:left w:type="dxa" w:w="180"/>
              <w:bottom w:type="dxa" w:w="60"/>
              <w:right w:type="dxa" w:w="180"/>
            </w:tcMar>
          </w:tcPr>
          <w:p>
            <w:r>
              <w:rPr>
                <w:rFonts w:ascii="Arial" w:cs="Arial" w:eastAsia="Arial" w:hAnsi="Arial"/>
                <w:b/>
                <w:bCs/>
                <w:color w:val="92400E"/>
                <w:sz w:val="18"/>
                <w:szCs w:val="18"/>
              </w:rPr>
              <w:t xml:space="preserve">F6  </w:t>
            </w:r>
            <w:r>
              <w:rPr>
                <w:rFonts w:ascii="Arial" w:cs="Arial" w:eastAsia="Arial" w:hAnsi="Arial"/>
                <w:b/>
                <w:bCs/>
                <w:color w:val="92400E"/>
                <w:sz w:val="17"/>
                <w:szCs w:val="17"/>
              </w:rPr>
              <w:t xml:space="preserve">[MEDIUM]  </w:t>
            </w:r>
            <w:r>
              <w:rPr>
                <w:rFonts w:ascii="Arial" w:cs="Arial" w:eastAsia="Arial" w:hAnsi="Arial"/>
                <w:b/>
                <w:bCs/>
                <w:color w:val="0F172A"/>
                <w:sz w:val="20"/>
                <w:szCs w:val="20"/>
              </w:rPr>
              <w:t xml:space="preserve">Semantic Field Naming Required for Date Disambiguation</w:t>
            </w:r>
          </w:p>
        </w:tc>
      </w:tr>
      <w:tr>
        <w:tc>
          <w:tcPr>
            <w:tcW w:type="dxa" w:w="9360"/>
            <w:tcBorders>
              <w:top w:val="none" w:color="FFFFFF" w:sz="0"/>
              <w:left w:val="single" w:color="92400E"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When prompted for a generic 'key_date' field, model returns the notice date (April 1) instead of the response deadline (April 15) with high confidence and no UNCERTAIN signal — even when the deadline box is obscured. Renaming fields to 'notice_date' and 'response_deadline' resolved this 5/5 in a single prompt iteration. The model knows what these semantic labels mean and uses them to locate the correct value.</w:t>
            </w:r>
          </w:p>
        </w:tc>
      </w:tr>
      <w:tr>
        <w:tc>
          <w:tcPr>
            <w:tcW w:type="dxa" w:w="9360"/>
            <w:tcBorders>
              <w:top w:val="none" w:color="FFFFFF" w:sz="0"/>
              <w:left w:val="single" w:color="92400E" w:sz="6"/>
              <w:bottom w:val="single" w:color="92400E"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MITIGATION →  </w:t>
            </w:r>
            <w:r>
              <w:rPr>
                <w:rFonts w:ascii="Arial" w:cs="Arial" w:eastAsia="Arial" w:hAnsi="Arial"/>
                <w:color w:val="0F172A"/>
                <w:sz w:val="18"/>
                <w:szCs w:val="18"/>
              </w:rPr>
              <w:t xml:space="preserve">Always use semantically precise field names in extraction prompts, not generic labels. This is now confirmed pattern and should be applied to all formal spike prompts.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single" w:color="B71C1C" w:sz="6"/>
              <w:bottom w:val="single" w:color="CBD5E1" w:sz="1"/>
              <w:right w:val="single" w:color="CBD5E1" w:sz="1"/>
            </w:tcBorders>
            <w:shd w:fill="FFF3F3" w:val="clear"/>
            <w:tcMar>
              <w:top w:type="dxa" w:w="120"/>
              <w:left w:type="dxa" w:w="180"/>
              <w:bottom w:type="dxa" w:w="60"/>
              <w:right w:type="dxa" w:w="180"/>
            </w:tcMar>
          </w:tcPr>
          <w:p>
            <w:r>
              <w:rPr>
                <w:rFonts w:ascii="Arial" w:cs="Arial" w:eastAsia="Arial" w:hAnsi="Arial"/>
                <w:b/>
                <w:bCs/>
                <w:color w:val="B71C1C"/>
                <w:sz w:val="18"/>
                <w:szCs w:val="18"/>
              </w:rPr>
              <w:t xml:space="preserve">F7  </w:t>
            </w:r>
            <w:r>
              <w:rPr>
                <w:rFonts w:ascii="Arial" w:cs="Arial" w:eastAsia="Arial" w:hAnsi="Arial"/>
                <w:b/>
                <w:bCs/>
                <w:color w:val="B71C1C"/>
                <w:sz w:val="17"/>
                <w:szCs w:val="17"/>
              </w:rPr>
              <w:t xml:space="preserve">[HIGH]  </w:t>
            </w:r>
            <w:r>
              <w:rPr>
                <w:rFonts w:ascii="Arial" w:cs="Arial" w:eastAsia="Arial" w:hAnsi="Arial"/>
                <w:b/>
                <w:bCs/>
                <w:color w:val="0F172A"/>
                <w:sz w:val="20"/>
                <w:szCs w:val="20"/>
              </w:rPr>
              <w:t xml:space="preserve">Name Field Confabulation vs Transcription Error</w:t>
            </w:r>
          </w:p>
        </w:tc>
      </w:tr>
      <w:tr>
        <w:tc>
          <w:tcPr>
            <w:tcW w:type="dxa" w:w="9360"/>
            <w:tcBorders>
              <w:top w:val="none" w:color="FFFFFF" w:sz="0"/>
              <w:left w:val="single" w:color="B71C1C"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Without explicit transcription instructions, model confabulates entirely wrong names with high confidence ('Darla Gonzales' — not present anywhere in the document, stable 5/5). With character-level quoting instruction, model attempts genuine transcription and gets structurally correct results with minor character errors ('Maria Gonzalez-Raynes' vs 'Reyes'). These are fundamentally different failure modes: confabulation is unrecoverable without human review; transcription error is recoverable via fuzzy matching.</w:t>
            </w:r>
          </w:p>
        </w:tc>
      </w:tr>
      <w:tr>
        <w:tc>
          <w:tcPr>
            <w:tcW w:type="dxa" w:w="9360"/>
            <w:tcBorders>
              <w:top w:val="none" w:color="FFFFFF" w:sz="0"/>
              <w:left w:val="single" w:color="B71C1C" w:sz="6"/>
              <w:bottom w:val="single" w:color="B71C1C"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MITIGATION →  </w:t>
            </w:r>
            <w:r>
              <w:rPr>
                <w:rFonts w:ascii="Arial" w:cs="Arial" w:eastAsia="Arial" w:hAnsi="Arial"/>
                <w:color w:val="0F172A"/>
                <w:sz w:val="18"/>
                <w:szCs w:val="18"/>
              </w:rPr>
              <w:t xml:space="preserve">Always use transcription-mode prompting for name fields. Add instruction: 'Copy the name character-by-character as it appears. If any characters are unclear, return UNCERTAIN.' Pair with fuzzy match (Levenshtein ≤ 3) in the matching layer.</w:t>
            </w:r>
          </w:p>
        </w:tc>
      </w:tr>
    </w:tbl>
    <w:p>
      <w:pPr>
        <w:spacing w:after="0" w:before="200"/>
      </w:pPr>
      <w:r>
        <w:t xml:space="preserve"/>
      </w:r>
    </w:p>
    <w:p>
      <w:pPr>
        <w:pStyle w:val="Heading2"/>
        <w:spacing w:after="100" w:before="280"/>
      </w:pPr>
      <w:r>
        <w:rPr>
          <w:rFonts w:ascii="Arial" w:cs="Arial" w:eastAsia="Arial" w:hAnsi="Arial"/>
          <w:b/>
          <w:bCs/>
          <w:color w:val="1A3A5C"/>
          <w:sz w:val="24"/>
          <w:szCs w:val="24"/>
        </w:rPr>
        <w:t xml:space="preserve">W4 — Category Matching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6"/>
              <w:bottom w:val="single" w:color="CBD5E1" w:sz="1"/>
              <w:right w:val="single" w:color="CBD5E1" w:sz="1"/>
            </w:tcBorders>
            <w:shd w:fill="F0FDF4" w:val="clear"/>
            <w:tcMar>
              <w:top w:type="dxa" w:w="120"/>
              <w:left w:type="dxa" w:w="180"/>
              <w:bottom w:type="dxa" w:w="60"/>
              <w:right w:type="dxa" w:w="180"/>
            </w:tcMar>
          </w:tcPr>
          <w:p>
            <w:r>
              <w:rPr>
                <w:rFonts w:ascii="Arial" w:cs="Arial" w:eastAsia="Arial" w:hAnsi="Arial"/>
                <w:b/>
                <w:bCs/>
                <w:color w:val="166534"/>
                <w:sz w:val="18"/>
                <w:szCs w:val="18"/>
              </w:rPr>
              <w:t xml:space="preserve">F8  </w:t>
            </w:r>
            <w:r>
              <w:rPr>
                <w:rFonts w:ascii="Arial" w:cs="Arial" w:eastAsia="Arial" w:hAnsi="Arial"/>
                <w:b/>
                <w:bCs/>
                <w:color w:val="166534"/>
                <w:sz w:val="17"/>
                <w:szCs w:val="17"/>
              </w:rPr>
              <w:t xml:space="preserve">[LOW]  </w:t>
            </w:r>
            <w:r>
              <w:rPr>
                <w:rFonts w:ascii="Arial" w:cs="Arial" w:eastAsia="Arial" w:hAnsi="Arial"/>
                <w:b/>
                <w:bCs/>
                <w:color w:val="0F172A"/>
                <w:sz w:val="20"/>
                <w:szCs w:val="20"/>
              </w:rPr>
              <w:t xml:space="preserve">Judgment Layer Passes — Semantic Document Intent Understood</w:t>
            </w:r>
          </w:p>
        </w:tc>
      </w:tr>
      <w:tr>
        <w:tc>
          <w:tcPr>
            <w:tcW w:type="dxa" w:w="9360"/>
            <w:tcBorders>
              <w:top w:val="none" w:color="FFFFFF" w:sz="0"/>
              <w:left w:val="single" w:color="166534" w:sz="6"/>
              <w:bottom w:val="single" w:color="CBD5E1" w:sz="1"/>
              <w:right w:val="single" w:color="CBD5E1" w:sz="1"/>
            </w:tcBorders>
            <w:tcMar>
              <w:top w:type="dxa" w:w="80"/>
              <w:left w:type="dxa" w:w="180"/>
              <w:bottom w:type="dxa" w:w="80"/>
              <w:right w:type="dxa" w:w="180"/>
            </w:tcMar>
          </w:tcPr>
          <w:p>
            <w:r>
              <w:rPr>
                <w:rFonts w:ascii="Arial" w:cs="Arial" w:eastAsia="Arial" w:hAnsi="Arial"/>
                <w:color w:val="0F172A"/>
                <w:sz w:val="19"/>
                <w:szCs w:val="19"/>
              </w:rPr>
              <w:t xml:space="preserve">Category matching is the strongest capability observed. Model correctly accepts D03 (pay stub) as earned income proof 5/5, correctly rejects D01 (government notice requesting income proof) as not being proof of income 5/5 — with the articulate reasoning 'the document is a request for documentation, not the documentation itself.' This semantic distinction is the core capability the product depends on, and it is working reliably.</w:t>
            </w:r>
          </w:p>
        </w:tc>
      </w:tr>
      <w:tr>
        <w:tc>
          <w:tcPr>
            <w:tcW w:type="dxa" w:w="9360"/>
            <w:tcBorders>
              <w:top w:val="none" w:color="FFFFFF" w:sz="0"/>
              <w:left w:val="single" w:color="166534" w:sz="6"/>
              <w:bottom w:val="single" w:color="166534" w:sz="4"/>
              <w:right w:val="single" w:color="CBD5E1" w:sz="1"/>
            </w:tcBorders>
            <w:shd w:fill="F8FAFC" w:val="clear"/>
            <w:tcMar>
              <w:top w:type="dxa" w:w="80"/>
              <w:left w:type="dxa" w:w="180"/>
              <w:bottom w:type="dxa" w:w="120"/>
              <w:right w:type="dxa" w:w="180"/>
            </w:tcMar>
          </w:tcPr>
          <w:p>
            <w:r>
              <w:rPr>
                <w:rFonts w:ascii="Arial" w:cs="Arial" w:eastAsia="Arial" w:hAnsi="Arial"/>
                <w:b/>
                <w:bCs/>
                <w:color w:val="64748B"/>
                <w:sz w:val="17"/>
                <w:szCs w:val="17"/>
              </w:rPr>
              <w:t xml:space="preserve">IMPLICATION →  </w:t>
            </w:r>
            <w:r>
              <w:rPr>
                <w:rFonts w:ascii="Arial" w:cs="Arial" w:eastAsia="Arial" w:hAnsi="Arial"/>
                <w:color w:val="0F172A"/>
                <w:sz w:val="18"/>
                <w:szCs w:val="18"/>
              </w:rPr>
              <w:t xml:space="preserve">Proceed to formal spike with confidence in the matching layer as a viable foundation. The judgment layer result justifies the full build.</w:t>
            </w:r>
          </w:p>
        </w:tc>
      </w:tr>
    </w:tbl>
    <w:p>
      <w:pPr>
        <w:spacing w:after="0" w:before="320"/>
      </w:pPr>
      <w:r>
        <w:t xml:space="preserve"/>
      </w:r>
    </w:p>
    <w:p>
      <w:pPr>
        <w:pStyle w:val="Heading1"/>
      </w:pPr>
      <w:r>
        <w:rPr>
          <w:rFonts w:ascii="Arial" w:cs="Arial" w:eastAsia="Arial" w:hAnsi="Arial"/>
          <w:b/>
          <w:bCs/>
          <w:color w:val="1A3A5C"/>
          <w:sz w:val="32"/>
          <w:szCs w:val="32"/>
        </w:rPr>
        <w:t xml:space="preserve">Actions Before Formal Spike Day 1</w:t>
      </w:r>
    </w:p>
    <w:p>
      <w:pPr>
        <w:spacing w:after="60" w:before="60"/>
      </w:pPr>
      <w:r>
        <w:rPr>
          <w:rFonts w:ascii="Arial" w:cs="Arial" w:eastAsia="Arial" w:hAnsi="Arial"/>
          <w:color w:val="0F172A"/>
          <w:sz w:val="20"/>
          <w:szCs w:val="20"/>
        </w:rPr>
        <w:t xml:space="preserve">Complete these before running Day 1 formal experiments. Each is small in scope but directly addresses a confirmed warm-up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800"/>
        <w:gridCol w:w="1600"/>
      </w:tblGrid>
      <w:tr>
        <w:trPr>
          <w:tblHeader/>
        </w:trPr>
        <w:tc>
          <w:tcPr>
            <w:tcW w:type="dxa" w:w="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5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Addresses</w:t>
            </w:r>
          </w:p>
        </w:tc>
        <w:tc>
          <w:tcPr>
            <w:tcW w:type="dxa" w:w="16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1</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to all extraction prompts: 'Read each field directly from its labeled location. Do not calculate or infer any value by arithmetic.'</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64748B"/>
                <w:sz w:val="17"/>
                <w:szCs w:val="17"/>
              </w:rPr>
              <w:t xml:space="preserve">F2 — arithmetic inference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64748B"/>
                <w:sz w:val="17"/>
                <w:szCs w:val="17"/>
              </w:rPr>
              <w:t xml:space="preserve">5 min</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2</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to income extraction prompts: 'For gross_income, extract ONLY the Current column value from the Gross Pay row. Expected range: $500–$5,000 per period.'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64748B"/>
                <w:sz w:val="17"/>
                <w:szCs w:val="17"/>
              </w:rPr>
              <w:t xml:space="preserve">F1 — YTD column confusion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64748B"/>
                <w:sz w:val="17"/>
                <w:szCs w:val="17"/>
              </w:rPr>
              <w:t xml:space="preserve">10 min</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3</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to all name field prompts: 'Copy the name character-by-character exactly as it appears. If any characters are unclear, return UNCERTAIN.'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64748B"/>
                <w:sz w:val="17"/>
                <w:szCs w:val="17"/>
              </w:rPr>
              <w:t xml:space="preserve">F7 — name confabulation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64748B"/>
                <w:sz w:val="17"/>
                <w:szCs w:val="17"/>
              </w:rPr>
              <w:t xml:space="preserve">5 min</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4</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Use semantically precise field names in all prompts (e.g., notice_date / response_deadline not key_date).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64748B"/>
                <w:sz w:val="17"/>
                <w:szCs w:val="17"/>
              </w:rPr>
              <w:t xml:space="preserve">F6 — date disambiguation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64748B"/>
                <w:sz w:val="17"/>
                <w:szCs w:val="17"/>
              </w:rPr>
              <w:t xml:space="preserve">10 min</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5</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Add range validation to eval scorer: flag any income value &gt; $8,000/period as likely YTD misattribution.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64748B"/>
                <w:sz w:val="17"/>
                <w:szCs w:val="17"/>
              </w:rPr>
              <w:t xml:space="preserve">F1 + F3 — spike scoring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64748B"/>
                <w:sz w:val="17"/>
                <w:szCs w:val="17"/>
              </w:rPr>
              <w:t xml:space="preserve">20 min</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jc w:val="center"/>
            </w:pPr>
            <w:r>
              <w:rPr>
                <w:rFonts w:ascii="Arial" w:cs="Arial" w:eastAsia="Arial" w:hAnsi="Arial"/>
                <w:b/>
                <w:bCs/>
                <w:color w:val="1A3A5C"/>
                <w:sz w:val="18"/>
                <w:szCs w:val="18"/>
              </w:rPr>
              <w:t xml:space="preserve">6</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18"/>
                <w:szCs w:val="18"/>
              </w:rPr>
              <w:t xml:space="preserve">Write all 16 gold answer rows in gold_answers.csv before Day 1. Do not update after seeing model output.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i/>
                <w:iCs/>
                <w:color w:val="64748B"/>
                <w:sz w:val="17"/>
                <w:szCs w:val="17"/>
              </w:rPr>
              <w:t xml:space="preserve">Spike integrity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center"/>
            </w:pPr>
            <w:r>
              <w:rPr>
                <w:rFonts w:ascii="Arial" w:cs="Arial" w:eastAsia="Arial" w:hAnsi="Arial"/>
                <w:color w:val="64748B"/>
                <w:sz w:val="17"/>
                <w:szCs w:val="17"/>
              </w:rPr>
              <w:t xml:space="preserve">1 hour</w:t>
            </w:r>
          </w:p>
        </w:tc>
      </w:tr>
    </w:tbl>
    <w:p>
      <w:pPr>
        <w:spacing w:after="0" w:before="320"/>
      </w:pPr>
      <w:r>
        <w:t xml:space="preserve"/>
      </w:r>
    </w:p>
    <w:p>
      <w:pPr>
        <w:pStyle w:val="Heading1"/>
      </w:pPr>
      <w:r>
        <w:rPr>
          <w:rFonts w:ascii="Arial" w:cs="Arial" w:eastAsia="Arial" w:hAnsi="Arial"/>
          <w:b/>
          <w:bCs/>
          <w:color w:val="1A3A5C"/>
          <w:sz w:val="32"/>
          <w:szCs w:val="32"/>
        </w:rPr>
        <w:t xml:space="preserve">Proceed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8"/>
              <w:left w:val="single" w:color="166534" w:sz="8"/>
              <w:bottom w:val="single" w:color="166534" w:sz="8"/>
              <w:right w:val="single" w:color="166534" w:sz="8"/>
            </w:tcBorders>
            <w:shd w:fill="F0FDF4" w:val="clear"/>
            <w:tcMar>
              <w:top w:type="dxa" w:w="160"/>
              <w:left w:type="dxa" w:w="240"/>
              <w:bottom w:type="dxa" w:w="160"/>
              <w:right w:type="dxa" w:w="240"/>
            </w:tcMar>
          </w:tcPr>
          <w:p>
            <w:pPr>
              <w:spacing w:after="120"/>
            </w:pPr>
            <w:r>
              <w:rPr>
                <w:rFonts w:ascii="Arial" w:cs="Arial" w:eastAsia="Arial" w:hAnsi="Arial"/>
                <w:b/>
                <w:bCs/>
                <w:color w:val="166534"/>
                <w:sz w:val="28"/>
                <w:szCs w:val="28"/>
              </w:rPr>
              <w:t xml:space="preserve">✓  PROCEED TO FORMAL SPIKE</w:t>
            </w:r>
          </w:p>
          <w:p>
            <w:r>
              <w:rPr>
                <w:rFonts w:ascii="Arial" w:cs="Arial" w:eastAsia="Arial" w:hAnsi="Arial"/>
                <w:color w:val="0F172A"/>
                <w:sz w:val="20"/>
                <w:szCs w:val="20"/>
              </w:rPr>
              <w:t xml:space="preserve">No fundamental capability gaps were found. The model reads documents, classifies them correctly, and makes sound matching judgments. All observed failures are addressable through prompt engineering, architectural choices, or UX design. The warm-up did not reveal anything that would require stopping before the formal spike.</w:t>
            </w:r>
          </w:p>
        </w:tc>
      </w:tr>
    </w:tbl>
    <w:p>
      <w:pPr>
        <w:spacing w:after="0" w:before="200"/>
      </w:pPr>
      <w:r>
        <w:t xml:space="preserve"/>
      </w:r>
    </w:p>
    <w:p>
      <w:pPr>
        <w:spacing w:after="60" w:before="60"/>
      </w:pPr>
      <w:r>
        <w:rPr>
          <w:rFonts w:ascii="Arial" w:cs="Arial" w:eastAsia="Arial" w:hAnsi="Arial"/>
          <w:color w:val="64748B"/>
          <w:sz w:val="20"/>
          <w:szCs w:val="20"/>
        </w:rPr>
        <w:t xml:space="preserve">Complete the 6 pre-spike actions above, generate the remaining 14 synthetic artifacts, and write all gold answers before Day 1. The warm-up foundation is solid.</w:t>
      </w:r>
    </w:p>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right"/>
    </w:pPr>
    <w:r>
      <w:rPr>
        <w:rFonts w:ascii="Arial" w:cs="Arial" w:eastAsia="Arial" w:hAnsi="Arial"/>
        <w:color w:val="64748B"/>
        <w:sz w:val="16"/>
        <w:szCs w:val="16"/>
      </w:rPr>
      <w:t xml:space="preserve">Warm-Up Readout  |  April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0"/>
    </w:pPr>
    <w:r>
      <w:rPr>
        <w:rFonts w:ascii="Arial" w:cs="Arial" w:eastAsia="Arial" w:hAnsi="Arial"/>
        <w:color w:val="64748B"/>
        <w:sz w:val="16"/>
        <w:szCs w:val="16"/>
      </w:rPr>
      <w:t xml:space="preserve">Civic Document Intelligence  |  Gemma 4 Good Hackathon</w:t>
    </w:r>
    <w:r>
      <w:rPr>
        <w:rFonts w:ascii="Arial" w:cs="Arial" w:eastAsia="Arial" w:hAnsi="Arial"/>
        <w:b/>
        <w:bCs/>
        <w:color w:val="64748B"/>
        <w:sz w:val="16"/>
        <w:szCs w:val="16"/>
      </w:rPr>
      <w:t xml:space="preserve">  —  CONFIDENTIAL SPIKE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2026-04-04T18:40:30.869Z</dcterms:created>
  <dcterms:modified xsi:type="dcterms:W3CDTF">2026-04-04T18:40:30.870Z</dcterms:modified>
</cp:coreProperties>
</file>

<file path=docProps/custom.xml><?xml version="1.0" encoding="utf-8"?>
<Properties xmlns="http://schemas.openxmlformats.org/officeDocument/2006/custom-properties" xmlns:vt="http://schemas.openxmlformats.org/officeDocument/2006/docPropsVTypes"/>
</file>