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D5C8A"/>
          <w:sz w:val="48"/>
          <w:szCs w:val="48"/>
        </w:rPr>
        <w:t xml:space="preserve">Project Plan</w:t>
      </w:r>
    </w:p>
    <w:p>
      <w:pPr>
        <w:spacing w:after="60" w:before="0"/>
      </w:pPr>
      <w:r>
        <w:rPr>
          <w:rFonts w:ascii="Arial" w:cs="Arial" w:eastAsia="Arial" w:hAnsi="Arial"/>
          <w:color w:val="5F5E5A"/>
          <w:sz w:val="28"/>
          <w:szCs w:val="28"/>
        </w:rPr>
        <w:t xml:space="preserve">Civic Document Intelligence  |  Gemma 4 Good Hackathon</w:t>
      </w:r>
    </w:p>
    <w:p>
      <w:pPr>
        <w:spacing w:after="40" w:before="0"/>
      </w:pPr>
      <w:r>
        <w:rPr>
          <w:rFonts w:ascii="Arial" w:cs="Arial" w:eastAsia="Arial" w:hAnsi="Arial"/>
          <w:i/>
          <w:iCs/>
          <w:color w:val="888780"/>
          <w:sz w:val="20"/>
          <w:szCs w:val="20"/>
        </w:rPr>
        <w:t xml:space="preserve">Status: Dual-track spike  |  Solo  |  Massachusetts  |  April 2026</w:t>
      </w:r>
    </w:p>
    <w:p>
      <w:pPr>
        <w:pBdr>
          <w:bottom w:val="single" w:color="DDDDDD" w:sz="4" w:space="1"/>
        </w:pBdr>
        <w:spacing w:after="120" w:before="120"/>
      </w:pPr>
      <w:r>
        <w:t xml:space="preserve"/>
      </w:r>
    </w:p>
    <w:p>
      <w:pPr>
        <w:pStyle w:val="Heading1"/>
        <w:spacing w:after="120" w:before="360"/>
      </w:pPr>
      <w:r>
        <w:rPr>
          <w:rFonts w:ascii="Arial" w:cs="Arial" w:eastAsia="Arial" w:hAnsi="Arial"/>
          <w:b/>
          <w:bCs/>
          <w:color w:val="1D5C8A"/>
          <w:sz w:val="32"/>
          <w:szCs w:val="32"/>
        </w:rPr>
        <w:t xml:space="preserve">1. Project Summary</w:t>
      </w:r>
    </w:p>
    <w:p>
      <w:pPr>
        <w:spacing w:after="60" w:before="60"/>
      </w:pPr>
      <w:r>
        <w:rPr>
          <w:rFonts w:ascii="Arial" w:cs="Arial" w:eastAsia="Arial" w:hAnsi="Arial"/>
          <w:color w:val="2C2C2A"/>
          <w:sz w:val="22"/>
          <w:szCs w:val="22"/>
        </w:rPr>
        <w:t xml:space="preserve">Build a multimodal, on-device document-understanding tool that helps Massachusetts residents navigate the last-mile gap between receiving a government notice or checklist and arriving prepared to act on it. The system uses Gemma 4's vision capability to read photographed notices and documents, maps them against published program requirements, and returns a plain-language readiness summary — not an eligibility determination, but a grounded, evidence-linked guide to what the resident has, what they still need, and what deadline or action the document states.</w:t>
      </w:r>
    </w:p>
    <w:p>
      <w:pPr>
        <w:spacing w:after="60" w:before="0"/>
      </w:pPr>
      <w:r>
        <w:t xml:space="preserve"/>
      </w:r>
    </w:p>
    <w:p>
      <w:pPr>
        <w:spacing w:after="60" w:before="60"/>
      </w:pPr>
      <w:r>
        <w:rPr>
          <w:rFonts w:ascii="Arial" w:cs="Arial" w:eastAsia="Arial" w:hAnsi="Arial"/>
          <w:color w:val="2C2C2A"/>
          <w:sz w:val="22"/>
          <w:szCs w:val="22"/>
        </w:rPr>
        <w:t xml:space="preserve">Two candidate wedges are being developed and evaluated in parallel. Track A addresses SNAP recertification and verification: a resident photographs a DTA notice and their available documents, and the system returns a proof-pack map showing likely matches, missing items, and deadline language. Track B addresses Boston Public Schools registration: a family photographs the BPS checklist and their document bundle, and the system returns a packet-readiness summary showing which requirements are satisfied, which are missing, and whether the two-category residency rule is met. Both wedges share the same document-understanding core.</w:t>
      </w:r>
    </w:p>
    <w:p>
      <w:pPr>
        <w:spacing w:after="60" w:before="0"/>
      </w:pPr>
      <w:r>
        <w:t xml:space="preserve"/>
      </w:r>
    </w:p>
    <w:p>
      <w:pPr>
        <w:spacing w:after="60" w:before="60"/>
      </w:pPr>
      <w:r>
        <w:rPr>
          <w:rFonts w:ascii="Arial" w:cs="Arial" w:eastAsia="Arial" w:hAnsi="Arial"/>
          <w:color w:val="2C2C2A"/>
          <w:sz w:val="22"/>
          <w:szCs w:val="22"/>
        </w:rPr>
        <w:t xml:space="preserve">The author has direct experience as a data scientist in Massachusetts state government and has working contacts in both state and city government. This is a critical asset: the dual-track approach is designed to run a feasibility spike on both wedges, then bring concrete demo outputs to both contacts and let their feedback — not an internal judgment call — determine which wedge receives the full project build. Stakeholder endorsement from either DTA or BPS would substantially strengthen the hackathon submission.</w:t>
      </w:r>
    </w:p>
    <w:p>
      <w:pPr>
        <w:spacing w:after="60" w:before="0"/>
      </w:pPr>
      <w:r>
        <w:t xml:space="preserve"/>
      </w:r>
    </w:p>
    <w:p>
      <w:pPr>
        <w:spacing w:after="60" w:before="60"/>
      </w:pPr>
      <w:r>
        <w:rPr>
          <w:rFonts w:ascii="Arial" w:cs="Arial" w:eastAsia="Arial" w:hAnsi="Arial"/>
          <w:color w:val="2C2C2A"/>
          <w:sz w:val="22"/>
          <w:szCs w:val="22"/>
        </w:rPr>
        <w:t xml:space="preserve">Honest scope: this project produces a research demonstration with a working eval benchmark, not a production deployment. The output language is explicitly probabilistic and non-determinative. A further 6-12 months of work with agency partners would be needed to deploy this responsibly at scale. What the project delivers is: a validated proof-of-concept, a replicable evaluation framework, and a grounded conversation starter with government partners.</w:t>
      </w:r>
    </w:p>
    <w:p>
      <w:pPr>
        <w:spacing w:after="80" w:before="0"/>
      </w:pPr>
      <w:r>
        <w:t xml:space="preserve"/>
      </w:r>
    </w:p>
    <w:p>
      <w:pPr>
        <w:pStyle w:val="Heading1"/>
        <w:spacing w:after="120" w:before="360"/>
      </w:pPr>
      <w:r>
        <w:rPr>
          <w:rFonts w:ascii="Arial" w:cs="Arial" w:eastAsia="Arial" w:hAnsi="Arial"/>
          <w:b/>
          <w:bCs/>
          <w:color w:val="1D5C8A"/>
          <w:sz w:val="32"/>
          <w:szCs w:val="32"/>
        </w:rPr>
        <w:t xml:space="preserve">2. Problem Motivation</w:t>
      </w:r>
    </w:p>
    <w:p>
      <w:pPr>
        <w:pStyle w:val="Heading2"/>
        <w:spacing w:after="80" w:before="240"/>
      </w:pPr>
      <w:r>
        <w:rPr>
          <w:rFonts w:ascii="Arial" w:cs="Arial" w:eastAsia="Arial" w:hAnsi="Arial"/>
          <w:b/>
          <w:bCs/>
          <w:color w:val="2C2C2A"/>
          <w:sz w:val="26"/>
          <w:szCs w:val="26"/>
        </w:rPr>
        <w:t xml:space="preserve">2.1 The last-mile gap</w:t>
      </w:r>
    </w:p>
    <w:p>
      <w:pPr>
        <w:spacing w:after="60" w:before="60"/>
      </w:pPr>
      <w:r>
        <w:rPr>
          <w:rFonts w:ascii="Arial" w:cs="Arial" w:eastAsia="Arial" w:hAnsi="Arial"/>
          <w:color w:val="2C2C2A"/>
          <w:sz w:val="22"/>
          <w:szCs w:val="22"/>
        </w:rPr>
        <w:t xml:space="preserve">Massachusetts has invested significantly in digital transaction infrastructure. DTA Connect supports online case access, document upload, and recertification submission. Boston Public Schools offers Great Starts, multilingual materials, and Welcome Centers with dedicated staff. The gap being targeted is not the absence of a digital system — it is the gap between the official system and resident readiness to use it correctly.</w:t>
      </w:r>
    </w:p>
    <w:p>
      <w:pPr>
        <w:spacing w:after="40" w:before="0"/>
      </w:pPr>
      <w:r>
        <w:t xml:space="preserve"/>
      </w:r>
    </w:p>
    <w:p>
      <w:pPr>
        <w:spacing w:after="60" w:before="60"/>
      </w:pPr>
      <w:r>
        <w:rPr>
          <w:rFonts w:ascii="Arial" w:cs="Arial" w:eastAsia="Arial" w:hAnsi="Arial"/>
          <w:color w:val="2C2C2A"/>
          <w:sz w:val="22"/>
          <w:szCs w:val="22"/>
        </w:rPr>
        <w:t xml:space="preserve">A household may be fully eligible for SNAP, possess most of the required documents, and still lose benefits because they misread a verification notice, submitted a document from the wrong category, or missed a deadline buried in bureaucratic language. A family may genuinely have everything needed for BPS registration but still be turned away at the Welcome Center because two of their residency documents come from the same category and therefore only count once. These are last-mile comprehension failures, not system failures — and they fall disproportionately on residents with limited English proficiency, limited digital literacy, or limited time.</w:t>
      </w:r>
    </w:p>
    <w:p>
      <w:pPr>
        <w:spacing w:after="40" w:before="0"/>
      </w:pPr>
      <w:r>
        <w:t xml:space="preserve"/>
      </w:r>
    </w:p>
    <w:p>
      <w:pPr>
        <w:spacing w:after="60" w:before="60"/>
      </w:pPr>
      <w:r>
        <w:rPr>
          <w:rFonts w:ascii="Arial" w:cs="Arial" w:eastAsia="Arial" w:hAnsi="Arial"/>
          <w:color w:val="2C2C2A"/>
          <w:sz w:val="22"/>
          <w:szCs w:val="22"/>
        </w:rPr>
        <w:t xml:space="preserve">Generic document chat tools (ChatGPT, various 'chat with PDF' products) exist but do not solve this problem, for a specific reason: they can read a document but cannot reliably map it against the rules of a specific program. A cell-phone bill may or may not count as a valid residency proof under Massachusetts DTA policy depending on the specific verification request — a generic LLM does not know that rule. This system would have that domain grounding baked in.</w:t>
      </w:r>
    </w:p>
    <w:p>
      <w:pPr>
        <w:spacing w:after="80" w:before="0"/>
      </w:pPr>
      <w:r>
        <w:t xml:space="preserve"/>
      </w:r>
    </w:p>
    <w:p>
      <w:pPr>
        <w:pStyle w:val="Heading2"/>
        <w:spacing w:after="80" w:before="240"/>
      </w:pPr>
      <w:r>
        <w:rPr>
          <w:rFonts w:ascii="Arial" w:cs="Arial" w:eastAsia="Arial" w:hAnsi="Arial"/>
          <w:b/>
          <w:bCs/>
          <w:color w:val="2C2C2A"/>
          <w:sz w:val="26"/>
          <w:szCs w:val="26"/>
        </w:rPr>
        <w:t xml:space="preserve">2.2 Why Gemma 4 and why on-device</w:t>
      </w:r>
    </w:p>
    <w:p>
      <w:pPr>
        <w:spacing w:after="60" w:before="60"/>
      </w:pPr>
      <w:r>
        <w:rPr>
          <w:rFonts w:ascii="Arial" w:cs="Arial" w:eastAsia="Arial" w:hAnsi="Arial"/>
          <w:color w:val="2C2C2A"/>
          <w:sz w:val="22"/>
          <w:szCs w:val="22"/>
        </w:rPr>
        <w:t xml:space="preserve">Running inference on-device is a core design requirement, not an incidental technical choice. SNAP documents — pay stubs, bank statements, award letters, lease agreements — are among the most sensitive documents a household possesses. Routing them through a cloud API raises real privacy concerns that would immediately surface in any government partnership conversation. On-device inference means no document ever leaves the resident's phone.</w:t>
      </w:r>
    </w:p>
    <w:p>
      <w:pPr>
        <w:spacing w:after="40" w:before="0"/>
      </w:pPr>
      <w:r>
        <w:t xml:space="preserve"/>
      </w:r>
    </w:p>
    <w:p>
      <w:pPr>
        <w:spacing w:after="60" w:before="60"/>
      </w:pPr>
      <w:r>
        <w:rPr>
          <w:rFonts w:ascii="Arial" w:cs="Arial" w:eastAsia="Arial" w:hAnsi="Arial"/>
          <w:color w:val="2C2C2A"/>
          <w:sz w:val="22"/>
          <w:szCs w:val="22"/>
        </w:rPr>
        <w:t xml:space="preserve">Gemma 4 E4B supports native image input (OCR-level visual understanding), runs on mid-range 2022+ Android and iOS devices, requires approximately 4GB RAM, and is released under Apache 2.0 with no usage restrictions. It supports 140+ languages natively, which matters for a multilingual population. The E2B variant is a viable starting point for the spike and uses less memory; escalate to E4B only if E2B output quality is clearly insufficient for the document understanding task.</w:t>
      </w:r>
    </w:p>
    <w:p>
      <w:pPr>
        <w:spacing w:after="80" w:before="0"/>
      </w:pPr>
      <w:r>
        <w:t xml:space="preserve"/>
      </w:r>
    </w:p>
    <w:p>
      <w:pPr>
        <w:pStyle w:val="Heading1"/>
        <w:spacing w:after="120" w:before="360"/>
      </w:pPr>
      <w:r>
        <w:rPr>
          <w:rFonts w:ascii="Arial" w:cs="Arial" w:eastAsia="Arial" w:hAnsi="Arial"/>
          <w:b/>
          <w:bCs/>
          <w:color w:val="1D5C8A"/>
          <w:sz w:val="32"/>
          <w:szCs w:val="32"/>
        </w:rPr>
        <w:t xml:space="preserve">3. Dual-Track Overview</w:t>
      </w:r>
    </w:p>
    <w:p>
      <w:pPr>
        <w:spacing w:after="60" w:before="60"/>
      </w:pPr>
      <w:r>
        <w:rPr>
          <w:rFonts w:ascii="Arial" w:cs="Arial" w:eastAsia="Arial" w:hAnsi="Arial"/>
          <w:color w:val="2C2C2A"/>
          <w:sz w:val="22"/>
          <w:szCs w:val="22"/>
        </w:rPr>
        <w:t xml:space="preserve">The two tracks share a common document-understanding core but differ in their specific matching logic, stakeholder contacts, guardrail language, and demo flow. The decision rule is: run both spikes in parallel, produce a scored evaluation for each, bring concrete demo outputs to both government contacts, and force a single-track selection based on stakeholder feedback. Do not let both tracks survive into the full build unless external feedback is overwhelmingly positive on both and schedule permits.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Category</w:t>
            </w:r>
          </w:p>
        </w:tc>
        <w:tc>
          <w:tcPr>
            <w:tcW w:type="dxa" w:w="36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Track A — SNAP Proof-Pack Builder</w:t>
            </w:r>
          </w:p>
        </w:tc>
        <w:tc>
          <w:tcPr>
            <w:tcW w:type="dxa" w:w="396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Track B — BPS Packet Checker</w:t>
            </w:r>
          </w:p>
        </w:tc>
      </w:tr>
      <w:tr>
        <w:tc>
          <w:tcPr>
            <w:tcW w:type="dxa" w:w="1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bCs/>
                <w:color w:val="2C2C2A"/>
                <w:sz w:val="18"/>
                <w:szCs w:val="18"/>
              </w:rPr>
              <w:t xml:space="preserve">User moment</w:t>
            </w:r>
          </w:p>
        </w:tc>
        <w:tc>
          <w:tcPr>
            <w:tcW w:type="dxa" w:w="36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Resident receives a DTA recertification or verification notice and is unsure which documents satisfy each requested proof category.</w:t>
            </w:r>
          </w:p>
        </w:tc>
        <w:tc>
          <w:tcPr>
            <w:tcW w:type="dxa" w:w="39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Family wants to register a child for BPS and is unsure whether their document bundle is complete before visiting the Welcome Center.</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18"/>
                <w:szCs w:val="18"/>
              </w:rPr>
              <w:t xml:space="preserve">Primary input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Notice or proof request + photos/PDFs of candidate documents (pay stubs, lease, ID, utility bills, award letters).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BPS checklist + family document bundle (ID, lease, utility bill, affidavit, immunization record, etc.).</w:t>
            </w:r>
          </w:p>
        </w:tc>
      </w:tr>
      <w:tr>
        <w:tc>
          <w:tcPr>
            <w:tcW w:type="dxa" w:w="1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bCs/>
                <w:color w:val="2C2C2A"/>
                <w:sz w:val="18"/>
                <w:szCs w:val="18"/>
              </w:rPr>
              <w:t xml:space="preserve">Output</w:t>
            </w:r>
          </w:p>
        </w:tc>
        <w:tc>
          <w:tcPr>
            <w:tcW w:type="dxa" w:w="36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Proof-pack grid: requested category, likely matching document, confidence, notes. Plus deadline/action summary.</w:t>
            </w:r>
          </w:p>
        </w:tc>
        <w:tc>
          <w:tcPr>
            <w:tcW w:type="dxa" w:w="39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Packet-readiness board: each requirement marked satisfied/questionable/missing. Duplicate-category flag. Family-facing action summary.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18"/>
                <w:szCs w:val="18"/>
              </w:rPr>
              <w:t xml:space="preserve">Core guardrail</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Never imply eligibility or guaranteed acceptance. Use 'appears to satisfy' and 'likely matches'. Always show uncertainty.</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Never imply guaranteed registration or document acceptance. Focus on checklist completeness only, not enrollment outcome.</w:t>
            </w:r>
          </w:p>
        </w:tc>
      </w:tr>
      <w:tr>
        <w:tc>
          <w:tcPr>
            <w:tcW w:type="dxa" w:w="1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bCs/>
                <w:color w:val="2C2C2A"/>
                <w:sz w:val="18"/>
                <w:szCs w:val="18"/>
              </w:rPr>
              <w:t xml:space="preserve">Stakeholder contact</w:t>
            </w:r>
          </w:p>
        </w:tc>
        <w:tc>
          <w:tcPr>
            <w:tcW w:type="dxa" w:w="36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Massachusetts DTA / state government contact. Higher institutional risk-aversion; may be harder to get public endorsement.</w:t>
            </w:r>
          </w:p>
        </w:tc>
        <w:tc>
          <w:tcPr>
            <w:tcW w:type="dxa" w:w="39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Boston Public Schools / city government contact. Lower institutional stakes; community-facing mission may make endorsement easier.</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18"/>
                <w:szCs w:val="18"/>
              </w:rPr>
              <w:t xml:space="preserve">Problem severity</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High. Missing SNAP benefits due to documentation failure has immediate material consequences for food security.</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Moderate. Arriving at Welcome Center with incomplete packet causes delay and frustration but not benefit loss.</w:t>
            </w:r>
          </w:p>
        </w:tc>
      </w:tr>
      <w:tr>
        <w:tc>
          <w:tcPr>
            <w:tcW w:type="dxa" w:w="1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bCs/>
                <w:color w:val="2C2C2A"/>
                <w:sz w:val="18"/>
                <w:szCs w:val="18"/>
              </w:rPr>
              <w:t xml:space="preserve">Demo clarity</w:t>
            </w:r>
          </w:p>
        </w:tc>
        <w:tc>
          <w:tcPr>
            <w:tcW w:type="dxa" w:w="36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Strong. Proof-pack grid with confidence scores and evidence spans is immediately legible to a judge.</w:t>
            </w:r>
          </w:p>
        </w:tc>
        <w:tc>
          <w:tcPr>
            <w:tcW w:type="dxa" w:w="39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Strong. Packet-readiness board with satisfied/missing/questionable is visually clear and easy to demo.</w:t>
            </w:r>
          </w:p>
        </w:tc>
      </w:tr>
    </w:tbl>
    <w:p>
      <w:pPr>
        <w:spacing w:after="80" w:before="0"/>
      </w:pPr>
      <w:r>
        <w:t xml:space="preserve"/>
      </w:r>
    </w:p>
    <w:p>
      <w:pPr>
        <w:pStyle w:val="Heading1"/>
        <w:spacing w:after="120" w:before="360"/>
      </w:pPr>
      <w:r>
        <w:rPr>
          <w:rFonts w:ascii="Arial" w:cs="Arial" w:eastAsia="Arial" w:hAnsi="Arial"/>
          <w:b/>
          <w:bCs/>
          <w:color w:val="1D5C8A"/>
          <w:sz w:val="32"/>
          <w:szCs w:val="32"/>
        </w:rPr>
        <w:t xml:space="preserve">4. Shared Technical Architecture</w:t>
      </w:r>
    </w:p>
    <w:p>
      <w:pPr>
        <w:spacing w:after="60" w:before="60"/>
      </w:pPr>
      <w:r>
        <w:rPr>
          <w:rFonts w:ascii="Arial" w:cs="Arial" w:eastAsia="Arial" w:hAnsi="Arial"/>
          <w:color w:val="2C2C2A"/>
          <w:sz w:val="22"/>
          <w:szCs w:val="22"/>
        </w:rPr>
        <w:t xml:space="preserve">Both tracks share the same four-layer document-understanding pipeline. Track-specific logic lives only in the matching layer. This means the core spike is built once and tested against both wedges simultaneously.</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160"/>
        <w:gridCol w:w="3600"/>
      </w:tblGrid>
      <w:tr>
        <w:tc>
          <w:tcPr>
            <w:tcW w:type="dxa" w:w="16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Layer</w:t>
            </w:r>
          </w:p>
        </w:tc>
        <w:tc>
          <w:tcPr>
            <w:tcW w:type="dxa" w:w="416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Function</w:t>
            </w:r>
          </w:p>
        </w:tc>
        <w:tc>
          <w:tcPr>
            <w:tcW w:type="dxa" w:w="36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Implementation notes</w:t>
            </w:r>
          </w:p>
        </w:tc>
      </w:tr>
      <w:tr>
        <w:tc>
          <w:tcPr>
            <w:tcW w:type="dxa" w:w="16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bCs/>
                <w:color w:val="2C2C2A"/>
                <w:sz w:val="18"/>
                <w:szCs w:val="18"/>
              </w:rPr>
              <w:t xml:space="preserve">Input</w:t>
            </w:r>
          </w:p>
        </w:tc>
        <w:tc>
          <w:tcPr>
            <w:tcW w:type="dxa" w:w="41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Photo or PDF ingestion. Native Gemma 4 visual understanding used first. OCR fallback (pytesseract or Gemma 4 E4B text extraction) only if native visual understanding is insufficient for the document type.</w:t>
            </w:r>
          </w:p>
        </w:tc>
        <w:tc>
          <w:tcPr>
            <w:tcW w:type="dxa" w:w="36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Test both camera photos and PDF uploads in the spike. Blurry or partial images are a documented failure mode.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18"/>
                <w:szCs w:val="18"/>
              </w:rPr>
              <w:t xml:space="preserve">Extraction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Structured extraction prompt that returns: document type, key fields (dates, names, amounts, addresses), evidence spans (quote + location), and an uncertainty flag when the document is ambiguous or unreadable.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Output as JSON with required fields: doc_type, fields[], evidence_spans[], uncertainty_flag, raw_text_if_needed.</w:t>
            </w:r>
          </w:p>
        </w:tc>
      </w:tr>
      <w:tr>
        <w:tc>
          <w:tcPr>
            <w:tcW w:type="dxa" w:w="16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bCs/>
                <w:color w:val="2C2C2A"/>
                <w:sz w:val="18"/>
                <w:szCs w:val="18"/>
              </w:rPr>
              <w:t xml:space="preserve">Matching</w:t>
            </w:r>
          </w:p>
        </w:tc>
        <w:tc>
          <w:tcPr>
            <w:tcW w:type="dxa" w:w="41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Track-specific. Track A: map extracted document fields against DTA proof categories (income, residency, identity, expenses). Track B: map against BPS checklist requirements (residency proof x2 from different categories, ID, immunization, grade indicator).</w:t>
            </w:r>
          </w:p>
        </w:tc>
        <w:tc>
          <w:tcPr>
            <w:tcW w:type="dxa" w:w="36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Matching rules are hard-coded from published agency guidance, not inferred by the model. This is the key safety property.</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18"/>
                <w:szCs w:val="18"/>
              </w:rPr>
              <w:t xml:space="preserve">Output</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Resident-facing plain-language summary + machine-readable JSON for evaluation. The JSON includes: requirements[], status (satisfied/questionable/missing), matched_document, confidence (low/medium/high), evidence_span, and notes.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The JSON output is what the eval benchmark scores. The plain-language summary is what the demo shows. Keep them in sync.</w:t>
            </w:r>
          </w:p>
        </w:tc>
      </w:tr>
      <w:tr>
        <w:tc>
          <w:tcPr>
            <w:tcW w:type="dxa" w:w="16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bCs/>
                <w:color w:val="2C2C2A"/>
                <w:sz w:val="18"/>
                <w:szCs w:val="18"/>
              </w:rPr>
              <w:t xml:space="preserve">Guardrails</w:t>
            </w:r>
          </w:p>
        </w:tc>
        <w:tc>
          <w:tcPr>
            <w:tcW w:type="dxa" w:w="41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Default language uses 'appears to satisfy', 'likely matches', 'may not be sufficient'. Never use 'approved', 'accepted', 'eligible'. When uncertainty_flag is true, surface it prominently. Separate model inferences from observed document facts in the UI.</w:t>
            </w:r>
          </w:p>
        </w:tc>
        <w:tc>
          <w:tcPr>
            <w:tcW w:type="dxa" w:w="36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Guardrail language should be reviewed by both government contacts before any public-facing deployment.</w:t>
            </w:r>
          </w:p>
        </w:tc>
      </w:tr>
    </w:tbl>
    <w:p>
      <w:pPr>
        <w:spacing w:after="80" w:before="0"/>
      </w:pPr>
      <w:r>
        <w:t xml:space="preserve"/>
      </w:r>
    </w:p>
    <w:p>
      <w:pPr>
        <w:pStyle w:val="Heading1"/>
        <w:spacing w:after="120" w:before="360"/>
      </w:pPr>
      <w:r>
        <w:rPr>
          <w:rFonts w:ascii="Arial" w:cs="Arial" w:eastAsia="Arial" w:hAnsi="Arial"/>
          <w:b/>
          <w:bCs/>
          <w:color w:val="1D5C8A"/>
          <w:sz w:val="32"/>
          <w:szCs w:val="32"/>
        </w:rPr>
        <w:t xml:space="preserve">5. Evaluation Framework</w:t>
      </w:r>
    </w:p>
    <w:p>
      <w:pPr>
        <w:spacing w:after="60" w:before="60"/>
      </w:pPr>
      <w:r>
        <w:rPr>
          <w:rFonts w:ascii="Arial" w:cs="Arial" w:eastAsia="Arial" w:hAnsi="Arial"/>
          <w:color w:val="2C2C2A"/>
          <w:sz w:val="22"/>
          <w:szCs w:val="22"/>
        </w:rPr>
        <w:t xml:space="preserve">Rigorous evaluation is load-bearing for this project in a way that is different from most hackathon submissions. Demonstrating that the system has been benchmarked — and that it knows when to abstain — is essential for getting buy-in from government contacts. An agency official who asks 'how do you know it works?' needs a quantitative answer, not an anecdote. The benchmark must be built before any model testing, scored on gold answers written without model input, and reported honestly including failure modes.</w:t>
      </w:r>
    </w:p>
    <w:p>
      <w:pPr>
        <w:spacing w:after="60" w:before="0"/>
      </w:pPr>
      <w:r>
        <w:t xml:space="preserve"/>
      </w:r>
    </w:p>
    <w:p>
      <w:pPr>
        <w:pStyle w:val="Heading2"/>
        <w:spacing w:after="80" w:before="240"/>
      </w:pPr>
      <w:r>
        <w:rPr>
          <w:rFonts w:ascii="Arial" w:cs="Arial" w:eastAsia="Arial" w:hAnsi="Arial"/>
          <w:b/>
          <w:bCs/>
          <w:color w:val="2C2C2A"/>
          <w:sz w:val="26"/>
          <w:szCs w:val="26"/>
        </w:rPr>
        <w:t xml:space="preserve">5.1 Benchmark design principles</w:t>
      </w:r>
    </w:p>
    <w:p>
      <w:pPr>
        <w:pStyle w:val="ListParagraph"/>
        <w:numPr>
          <w:ilvl w:val="0"/>
          <w:numId w:val="2"/>
        </w:numPr>
        <w:spacing w:after="40" w:before="40"/>
      </w:pPr>
      <w:r>
        <w:rPr>
          <w:rFonts w:ascii="Arial" w:cs="Arial" w:eastAsia="Arial" w:hAnsi="Arial"/>
          <w:color w:val="2C2C2A"/>
          <w:sz w:val="22"/>
          <w:szCs w:val="22"/>
        </w:rPr>
        <w:t xml:space="preserve">Gold answers written before any model testing — never reverse-engineer gold from model output</w:t>
      </w:r>
    </w:p>
    <w:p>
      <w:pPr>
        <w:pStyle w:val="ListParagraph"/>
        <w:numPr>
          <w:ilvl w:val="0"/>
          <w:numId w:val="2"/>
        </w:numPr>
        <w:spacing w:after="40" w:before="40"/>
      </w:pPr>
      <w:r>
        <w:rPr>
          <w:rFonts w:ascii="Arial" w:cs="Arial" w:eastAsia="Arial" w:hAnsi="Arial"/>
          <w:color w:val="2C2C2A"/>
          <w:sz w:val="22"/>
          <w:szCs w:val="22"/>
        </w:rPr>
        <w:t xml:space="preserve">All scenarios de-identified — no real resident data, no real document content</w:t>
      </w:r>
    </w:p>
    <w:p>
      <w:pPr>
        <w:pStyle w:val="ListParagraph"/>
        <w:numPr>
          <w:ilvl w:val="0"/>
          <w:numId w:val="2"/>
        </w:numPr>
        <w:spacing w:after="40" w:before="40"/>
      </w:pPr>
      <w:r>
        <w:rPr>
          <w:rFonts w:ascii="Arial" w:cs="Arial" w:eastAsia="Arial" w:hAnsi="Arial"/>
          <w:color w:val="2C2C2A"/>
          <w:sz w:val="22"/>
          <w:szCs w:val="22"/>
        </w:rPr>
        <w:t xml:space="preserve">Abstention is a first-class output — a correct 'I cannot determine this' is a pass, not a failure</w:t>
      </w:r>
    </w:p>
    <w:p>
      <w:pPr>
        <w:pStyle w:val="ListParagraph"/>
        <w:numPr>
          <w:ilvl w:val="0"/>
          <w:numId w:val="2"/>
        </w:numPr>
        <w:spacing w:after="40" w:before="40"/>
      </w:pPr>
      <w:r>
        <w:rPr>
          <w:rFonts w:ascii="Arial" w:cs="Arial" w:eastAsia="Arial" w:hAnsi="Arial"/>
          <w:color w:val="2C2C2A"/>
          <w:sz w:val="22"/>
          <w:szCs w:val="22"/>
        </w:rPr>
        <w:t xml:space="preserve">Failure modes documented and shown to government contacts, not hidden — this builds trust</w:t>
      </w:r>
    </w:p>
    <w:p>
      <w:pPr>
        <w:pStyle w:val="ListParagraph"/>
        <w:numPr>
          <w:ilvl w:val="0"/>
          <w:numId w:val="2"/>
        </w:numPr>
        <w:spacing w:after="40" w:before="40"/>
      </w:pPr>
      <w:r>
        <w:rPr>
          <w:rFonts w:ascii="Arial" w:cs="Arial" w:eastAsia="Arial" w:hAnsi="Arial"/>
          <w:color w:val="2C2C2A"/>
          <w:sz w:val="22"/>
          <w:szCs w:val="22"/>
        </w:rPr>
        <w:t xml:space="preserve">Both tracks scored on the same five dimensions so comparison is apples-to-apples</w:t>
      </w:r>
    </w:p>
    <w:p>
      <w:pPr>
        <w:spacing w:after="60" w:before="0"/>
      </w:pPr>
      <w:r>
        <w:t xml:space="preserve"/>
      </w:r>
    </w:p>
    <w:p>
      <w:pPr>
        <w:pStyle w:val="Heading2"/>
        <w:spacing w:after="80" w:before="240"/>
      </w:pPr>
      <w:r>
        <w:rPr>
          <w:rFonts w:ascii="Arial" w:cs="Arial" w:eastAsia="Arial" w:hAnsi="Arial"/>
          <w:b/>
          <w:bCs/>
          <w:color w:val="2C2C2A"/>
          <w:sz w:val="26"/>
          <w:szCs w:val="26"/>
        </w:rPr>
        <w:t xml:space="preserve">5.2 Shared evaluation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1680"/>
        <w:gridCol w:w="1680"/>
      </w:tblGrid>
      <w:tr>
        <w:tc>
          <w:tcPr>
            <w:tcW w:type="dxa" w:w="20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Dimension</w:t>
            </w:r>
          </w:p>
        </w:tc>
        <w:tc>
          <w:tcPr>
            <w:tcW w:type="dxa" w:w="40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What it measures</w:t>
            </w:r>
          </w:p>
        </w:tc>
        <w:tc>
          <w:tcPr>
            <w:tcW w:type="dxa" w:w="168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Scoring</w:t>
            </w:r>
          </w:p>
        </w:tc>
        <w:tc>
          <w:tcPr>
            <w:tcW w:type="dxa" w:w="168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Weight</w:t>
            </w:r>
          </w:p>
        </w:tc>
      </w:tr>
      <w:tr>
        <w:tc>
          <w:tcPr>
            <w:tcW w:type="dxa" w:w="20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bCs/>
                <w:color w:val="2C2C2A"/>
                <w:sz w:val="18"/>
                <w:szCs w:val="18"/>
              </w:rPr>
              <w:t xml:space="preserve">Requirement mapping</w:t>
            </w:r>
          </w:p>
        </w:tc>
        <w:tc>
          <w:tcPr>
            <w:tcW w:type="dxa" w:w="40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Did the system correctly identify which requested proof category or checklist item each document most likely satisfies (or fails to satisfy)?</w:t>
            </w:r>
          </w:p>
        </w:tc>
        <w:tc>
          <w:tcPr>
            <w:tcW w:type="dxa" w:w="168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Precision + Recall vs. gold answers</w:t>
            </w:r>
          </w:p>
        </w:tc>
        <w:tc>
          <w:tcPr>
            <w:tcW w:type="dxa" w:w="168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High</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18"/>
                <w:szCs w:val="18"/>
              </w:rPr>
              <w:t xml:space="preserve">Missing-item accuracy</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Did the system correctly identify what is absent from the bundle? A false negative (failing to flag a missing item) is a more serious error than a false positive.</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F1 with penalty for false negatives</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High</w:t>
            </w:r>
          </w:p>
        </w:tc>
      </w:tr>
      <w:tr>
        <w:tc>
          <w:tcPr>
            <w:tcW w:type="dxa" w:w="20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bCs/>
                <w:color w:val="2C2C2A"/>
                <w:sz w:val="18"/>
                <w:szCs w:val="18"/>
              </w:rPr>
              <w:t xml:space="preserve">Grounding quality</w:t>
            </w:r>
          </w:p>
        </w:tc>
        <w:tc>
          <w:tcPr>
            <w:tcW w:type="dxa" w:w="40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Can every major output claim be traced back to a specific span of text or region of the input document? Ungrounded assertions are a red flag for hallucination.</w:t>
            </w:r>
          </w:p>
        </w:tc>
        <w:tc>
          <w:tcPr>
            <w:tcW w:type="dxa" w:w="168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of claims with valid evidence span</w:t>
            </w:r>
          </w:p>
        </w:tc>
        <w:tc>
          <w:tcPr>
            <w:tcW w:type="dxa" w:w="168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High</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18"/>
                <w:szCs w:val="18"/>
              </w:rPr>
              <w:t xml:space="preserve">Abstention quality</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When the document is blurry, ambiguous, or outside scope, does the system say so rather than guessing? Correct abstentions are scored as passes. False confidence is the most dangerous failure mode.</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Abstention rate on ambiguous scenarios vs. gold</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High</w:t>
            </w:r>
          </w:p>
        </w:tc>
      </w:tr>
      <w:tr>
        <w:tc>
          <w:tcPr>
            <w:tcW w:type="dxa" w:w="20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bCs/>
                <w:color w:val="2C2C2A"/>
                <w:sz w:val="18"/>
                <w:szCs w:val="18"/>
              </w:rPr>
              <w:t xml:space="preserve">Action extraction</w:t>
            </w:r>
          </w:p>
        </w:tc>
        <w:tc>
          <w:tcPr>
            <w:tcW w:type="dxa" w:w="40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Did the system correctly extract the deadline, required next step, and consequence of non-response from notice language? (Track A only; partial credit for Track B date-validity checking.)</w:t>
            </w:r>
          </w:p>
        </w:tc>
        <w:tc>
          <w:tcPr>
            <w:tcW w:type="dxa" w:w="168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Exact match + partial credit</w:t>
            </w:r>
          </w:p>
        </w:tc>
        <w:tc>
          <w:tcPr>
            <w:tcW w:type="dxa" w:w="168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Medium</w:t>
            </w:r>
          </w:p>
        </w:tc>
      </w:tr>
    </w:tbl>
    <w:p>
      <w:pPr>
        <w:spacing w:after="60" w:before="0"/>
      </w:pPr>
      <w:r>
        <w:t xml:space="preserve"/>
      </w:r>
    </w:p>
    <w:p>
      <w:pPr>
        <w:spacing w:after="60" w:before="60"/>
      </w:pPr>
      <w:r>
        <w:rPr>
          <w:rFonts w:ascii="Arial" w:cs="Arial" w:eastAsia="Arial" w:hAnsi="Arial"/>
          <w:color w:val="2C2C2A"/>
          <w:sz w:val="22"/>
          <w:szCs w:val="22"/>
        </w:rPr>
        <w:t xml:space="preserve">Reporting standard: report all five dimensions for each track in a results table. Include the number of test scenarios, the number of abstentions, and at least two documented failure modes per track. This level of transparency is what distinguishes a credible evaluation from a cherry-picked demo — and it is what government contacts will respond to positively.</w:t>
      </w:r>
    </w:p>
    <w:p>
      <w:pPr>
        <w:spacing w:after="80" w:before="0"/>
      </w:pPr>
      <w:r>
        <w:t xml:space="preserve"/>
      </w:r>
    </w:p>
    <w:p>
      <w:pPr>
        <w:pStyle w:val="Heading2"/>
        <w:spacing w:after="80" w:before="240"/>
      </w:pPr>
      <w:r>
        <w:rPr>
          <w:rFonts w:ascii="Arial" w:cs="Arial" w:eastAsia="Arial" w:hAnsi="Arial"/>
          <w:b/>
          <w:bCs/>
          <w:color w:val="2C2C2A"/>
          <w:sz w:val="26"/>
          <w:szCs w:val="26"/>
        </w:rPr>
        <w:t xml:space="preserve">5.3 Track A eval scenarios (8 scenarios)</w:t>
      </w:r>
    </w:p>
    <w:p>
      <w:pPr>
        <w:spacing w:after="60" w:before="60"/>
      </w:pPr>
      <w:r>
        <w:rPr>
          <w:rFonts w:ascii="Arial" w:cs="Arial" w:eastAsia="Arial" w:hAnsi="Arial"/>
          <w:color w:val="2C2C2A"/>
          <w:sz w:val="22"/>
          <w:szCs w:val="22"/>
        </w:rPr>
        <w:t xml:space="preserve">All scenarios use synthetic or publicly available document templates. Gold answers written before model testing.</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800"/>
        <w:gridCol w:w="3960"/>
      </w:tblGrid>
      <w:tr>
        <w:tc>
          <w:tcPr>
            <w:tcW w:type="dxa" w:w="6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ID</w:t>
            </w:r>
          </w:p>
        </w:tc>
        <w:tc>
          <w:tcPr>
            <w:tcW w:type="dxa" w:w="20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Scenario</w:t>
            </w:r>
          </w:p>
        </w:tc>
        <w:tc>
          <w:tcPr>
            <w:tcW w:type="dxa" w:w="28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Input bundle</w:t>
            </w:r>
          </w:p>
        </w:tc>
        <w:tc>
          <w:tcPr>
            <w:tcW w:type="dxa" w:w="396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Pass condition (gold answer)</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A1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Income verification — clean match</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Notice requests proof of earned income. Bundle: one recent pay stub, one bank statement, one utility bill.</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Correctly maps pay stub to income category. Rates bank statement as low-confidence match. Ignores utility bill. Notes time window.</w:t>
            </w:r>
          </w:p>
        </w:tc>
      </w:tr>
      <w:tr>
        <w:tc>
          <w:tcPr>
            <w:tcW w:type="dxa" w:w="6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bCs/>
                <w:color w:val="2C2C2A"/>
                <w:sz w:val="18"/>
                <w:szCs w:val="18"/>
              </w:rPr>
              <w:t xml:space="preserve">A2</w:t>
            </w:r>
          </w:p>
        </w:tc>
        <w:tc>
          <w:tcPr>
            <w:tcW w:type="dxa" w:w="20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color w:val="2C2C2A"/>
                <w:sz w:val="18"/>
                <w:szCs w:val="18"/>
              </w:rPr>
              <w:t xml:space="preserve">Residency proof — weak evidence present</w:t>
            </w:r>
          </w:p>
        </w:tc>
        <w:tc>
          <w:tcPr>
            <w:tcW w:type="dxa" w:w="2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color w:val="2C2C2A"/>
                <w:sz w:val="18"/>
                <w:szCs w:val="18"/>
              </w:rPr>
              <w:t xml:space="preserve">Notice requests proof of address. Bundle: lease agreement, cell-phone bill, handwritten letter.</w:t>
            </w:r>
          </w:p>
        </w:tc>
        <w:tc>
          <w:tcPr>
            <w:tcW w:type="dxa" w:w="39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color w:val="2C2C2A"/>
                <w:sz w:val="18"/>
                <w:szCs w:val="18"/>
              </w:rPr>
              <w:t xml:space="preserve">Prefers lease as strong match. Rates cell-phone bill as moderate (policy-dependent). Flags handwritten letter as insufficient. Explains why.</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A3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Multi-item notice — mixed valid and invalid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Notice requests income + identity. Bundle includes pay stub, state ID, and an unrelated medical bill.</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Maps pay stub to income, ID to identity. Correctly ignores medical bill. Does not conflate categories.</w:t>
            </w:r>
          </w:p>
        </w:tc>
      </w:tr>
      <w:tr>
        <w:tc>
          <w:tcPr>
            <w:tcW w:type="dxa" w:w="6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bCs/>
                <w:color w:val="2C2C2A"/>
                <w:sz w:val="18"/>
                <w:szCs w:val="18"/>
              </w:rPr>
              <w:t xml:space="preserve">A4</w:t>
            </w:r>
          </w:p>
        </w:tc>
        <w:tc>
          <w:tcPr>
            <w:tcW w:type="dxa" w:w="20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color w:val="2C2C2A"/>
                <w:sz w:val="18"/>
                <w:szCs w:val="18"/>
              </w:rPr>
              <w:t xml:space="preserve">Deadline extraction</w:t>
            </w:r>
          </w:p>
        </w:tc>
        <w:tc>
          <w:tcPr>
            <w:tcW w:type="dxa" w:w="2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color w:val="2C2C2A"/>
                <w:sz w:val="18"/>
                <w:szCs w:val="18"/>
              </w:rPr>
              <w:t xml:space="preserve">Recertification notice with a specific response deadline, interview requirement, and consequence language.</w:t>
            </w:r>
          </w:p>
        </w:tc>
        <w:tc>
          <w:tcPr>
            <w:tcW w:type="dxa" w:w="39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color w:val="2C2C2A"/>
                <w:sz w:val="18"/>
                <w:szCs w:val="18"/>
              </w:rPr>
              <w:t xml:space="preserve">Extracts correct date, action type (respond/schedule interview), and consequence of non-response. Grounded in notice text.</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A5</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Missing document — no valid match</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Notice requests proof of expenses (rent, childcare, utilities). Bundle contains only a pay stub.</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Returns clear missing-items list for all three expense categories. Does not map pay stub to expense category.</w:t>
            </w:r>
          </w:p>
        </w:tc>
      </w:tr>
      <w:tr>
        <w:tc>
          <w:tcPr>
            <w:tcW w:type="dxa" w:w="6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bCs/>
                <w:color w:val="2C2C2A"/>
                <w:sz w:val="18"/>
                <w:szCs w:val="18"/>
              </w:rPr>
              <w:t xml:space="preserve">A6</w:t>
            </w:r>
          </w:p>
        </w:tc>
        <w:tc>
          <w:tcPr>
            <w:tcW w:type="dxa" w:w="20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color w:val="2C2C2A"/>
                <w:sz w:val="18"/>
                <w:szCs w:val="18"/>
              </w:rPr>
              <w:t xml:space="preserve">Blurry or partial image</w:t>
            </w:r>
          </w:p>
        </w:tc>
        <w:tc>
          <w:tcPr>
            <w:tcW w:type="dxa" w:w="2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color w:val="2C2C2A"/>
                <w:sz w:val="18"/>
                <w:szCs w:val="18"/>
              </w:rPr>
              <w:t xml:space="preserve">One required document is a photographed pay stub that is partially out of frame and blurry.</w:t>
            </w:r>
          </w:p>
        </w:tc>
        <w:tc>
          <w:tcPr>
            <w:tcW w:type="dxa" w:w="39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color w:val="2C2C2A"/>
                <w:sz w:val="18"/>
                <w:szCs w:val="18"/>
              </w:rPr>
              <w:t xml:space="preserve">Abstains on that document with a specific request for a clearer photo. Does not guess or hallucinate field values.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A7</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Duplicate evidence category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Notice requests income + residency. Bundle contains two pay stubs and no address document.</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Flags that income may be covered but residency is missing. Notes the duplicate without conflating them.</w:t>
            </w:r>
          </w:p>
        </w:tc>
      </w:tr>
      <w:tr>
        <w:tc>
          <w:tcPr>
            <w:tcW w:type="dxa" w:w="6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bCs/>
                <w:color w:val="2C2C2A"/>
                <w:sz w:val="18"/>
                <w:szCs w:val="18"/>
              </w:rPr>
              <w:t xml:space="preserve">A8</w:t>
            </w:r>
          </w:p>
        </w:tc>
        <w:tc>
          <w:tcPr>
            <w:tcW w:type="dxa" w:w="20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color w:val="2C2C2A"/>
                <w:sz w:val="18"/>
                <w:szCs w:val="18"/>
              </w:rPr>
              <w:t xml:space="preserve">Award letter as income proof</w:t>
            </w:r>
          </w:p>
        </w:tc>
        <w:tc>
          <w:tcPr>
            <w:tcW w:type="dxa" w:w="2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color w:val="2C2C2A"/>
                <w:sz w:val="18"/>
                <w:szCs w:val="18"/>
              </w:rPr>
              <w:t xml:space="preserve">User submits a DTA award letter as income proof for a separate income-verification request.</w:t>
            </w:r>
          </w:p>
        </w:tc>
        <w:tc>
          <w:tcPr>
            <w:tcW w:type="dxa" w:w="39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color w:val="2C2C2A"/>
                <w:sz w:val="18"/>
                <w:szCs w:val="18"/>
              </w:rPr>
              <w:t xml:space="preserve">Classifies award letter appropriately (government benefits, not earned income). Resident-friendly explanation of why it may not satisfy the request.</w:t>
            </w:r>
          </w:p>
        </w:tc>
      </w:tr>
    </w:tbl>
    <w:p>
      <w:pPr>
        <w:spacing w:after="60" w:before="0"/>
      </w:pPr>
      <w:r>
        <w:t xml:space="preserve"/>
      </w:r>
    </w:p>
    <w:p>
      <w:pPr>
        <w:pStyle w:val="Heading2"/>
        <w:spacing w:after="80" w:before="240"/>
      </w:pPr>
      <w:r>
        <w:rPr>
          <w:rFonts w:ascii="Arial" w:cs="Arial" w:eastAsia="Arial" w:hAnsi="Arial"/>
          <w:b/>
          <w:bCs/>
          <w:color w:val="2C2C2A"/>
          <w:sz w:val="26"/>
          <w:szCs w:val="26"/>
        </w:rPr>
        <w:t xml:space="preserve">5.4 Track B eval scenarios (8 scenarios)</w:t>
      </w:r>
    </w:p>
    <w:p>
      <w:pPr>
        <w:spacing w:after="60" w:before="60"/>
      </w:pPr>
      <w:r>
        <w:rPr>
          <w:rFonts w:ascii="Arial" w:cs="Arial" w:eastAsia="Arial" w:hAnsi="Arial"/>
          <w:color w:val="2C2C2A"/>
          <w:sz w:val="22"/>
          <w:szCs w:val="22"/>
        </w:rPr>
        <w:t xml:space="preserve">All scenarios use the published BPS registration checklist and synthetic document bundles.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800"/>
        <w:gridCol w:w="3960"/>
      </w:tblGrid>
      <w:tr>
        <w:tc>
          <w:tcPr>
            <w:tcW w:type="dxa" w:w="6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ID</w:t>
            </w:r>
          </w:p>
        </w:tc>
        <w:tc>
          <w:tcPr>
            <w:tcW w:type="dxa" w:w="20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Scenario</w:t>
            </w:r>
          </w:p>
        </w:tc>
        <w:tc>
          <w:tcPr>
            <w:tcW w:type="dxa" w:w="28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Input bundle</w:t>
            </w:r>
          </w:p>
        </w:tc>
        <w:tc>
          <w:tcPr>
            <w:tcW w:type="dxa" w:w="396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Pass condition (gold answer)</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B1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Complete packet — all requirements met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Full bundle: birth certificate, two residency proofs from different categories, immunization record, grade indicator.</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Returns 'ready' with all items marked satisfied. Notes which residency categories were used.</w:t>
            </w:r>
          </w:p>
        </w:tc>
      </w:tr>
      <w:tr>
        <w:tc>
          <w:tcPr>
            <w:tcW w:type="dxa" w:w="6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bCs/>
                <w:color w:val="2C2C2A"/>
                <w:sz w:val="18"/>
                <w:szCs w:val="18"/>
              </w:rPr>
              <w:t xml:space="preserve">B2</w:t>
            </w:r>
          </w:p>
        </w:tc>
        <w:tc>
          <w:tcPr>
            <w:tcW w:type="dxa" w:w="20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color w:val="2C2C2A"/>
                <w:sz w:val="18"/>
                <w:szCs w:val="18"/>
              </w:rPr>
              <w:t xml:space="preserve">Duplicate residency category</w:t>
            </w:r>
          </w:p>
        </w:tc>
        <w:tc>
          <w:tcPr>
            <w:tcW w:type="dxa" w:w="2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color w:val="2C2C2A"/>
                <w:sz w:val="18"/>
                <w:szCs w:val="18"/>
              </w:rPr>
              <w:t xml:space="preserve">Bundle contains lease and a second lease from a different address — both are rental agreements.</w:t>
            </w:r>
          </w:p>
        </w:tc>
        <w:tc>
          <w:tcPr>
            <w:tcW w:type="dxa" w:w="39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color w:val="2C2C2A"/>
                <w:sz w:val="18"/>
                <w:szCs w:val="18"/>
              </w:rPr>
              <w:t xml:space="preserve">Flags that two residency proofs come from the same category (rental). Returns 'incomplete — one residency proof must be from a different category.'</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B3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Missing immunization record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Otherwise complete packet but immunization record absent.</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Marks immunization as missing. Correctly marks all other items as satisfied. Returns tight missing-items list.</w:t>
            </w:r>
          </w:p>
        </w:tc>
      </w:tr>
      <w:tr>
        <w:tc>
          <w:tcPr>
            <w:tcW w:type="dxa" w:w="6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bCs/>
                <w:color w:val="2C2C2A"/>
                <w:sz w:val="18"/>
                <w:szCs w:val="18"/>
              </w:rPr>
              <w:t xml:space="preserve">B4</w:t>
            </w:r>
          </w:p>
        </w:tc>
        <w:tc>
          <w:tcPr>
            <w:tcW w:type="dxa" w:w="20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color w:val="2C2C2A"/>
                <w:sz w:val="18"/>
                <w:szCs w:val="18"/>
              </w:rPr>
              <w:t xml:space="preserve">Stale document</w:t>
            </w:r>
          </w:p>
        </w:tc>
        <w:tc>
          <w:tcPr>
            <w:tcW w:type="dxa" w:w="2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color w:val="2C2C2A"/>
                <w:sz w:val="18"/>
                <w:szCs w:val="18"/>
              </w:rPr>
              <w:t xml:space="preserve">Utility bill dated 14 months ago is presented as a residency proof (policy requires documents within 12 months).</w:t>
            </w:r>
          </w:p>
        </w:tc>
        <w:tc>
          <w:tcPr>
            <w:tcW w:type="dxa" w:w="39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color w:val="2C2C2A"/>
                <w:sz w:val="18"/>
                <w:szCs w:val="18"/>
              </w:rPr>
              <w:t xml:space="preserve">Flags date-validity issue. Explains the policy. Does not mark as fully satisfied.</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B5</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Multilingual document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One residency proof is a lease written in Spanish.</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Processes correctly. Language of document does not affect category classification.</w:t>
            </w:r>
          </w:p>
        </w:tc>
      </w:tr>
      <w:tr>
        <w:tc>
          <w:tcPr>
            <w:tcW w:type="dxa" w:w="6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bCs/>
                <w:color w:val="2C2C2A"/>
                <w:sz w:val="18"/>
                <w:szCs w:val="18"/>
              </w:rPr>
              <w:t xml:space="preserve">B6</w:t>
            </w:r>
          </w:p>
        </w:tc>
        <w:tc>
          <w:tcPr>
            <w:tcW w:type="dxa" w:w="20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color w:val="2C2C2A"/>
                <w:sz w:val="18"/>
                <w:szCs w:val="18"/>
              </w:rPr>
              <w:t xml:space="preserve">Affidavit in lieu of lease</w:t>
            </w:r>
          </w:p>
        </w:tc>
        <w:tc>
          <w:tcPr>
            <w:tcW w:type="dxa" w:w="2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color w:val="2C2C2A"/>
                <w:sz w:val="18"/>
                <w:szCs w:val="18"/>
              </w:rPr>
              <w:t xml:space="preserve">Resident uses a notarized affidavit from a host rather than a lease.</w:t>
            </w:r>
          </w:p>
        </w:tc>
        <w:tc>
          <w:tcPr>
            <w:tcW w:type="dxa" w:w="39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color w:val="2C2C2A"/>
                <w:sz w:val="18"/>
                <w:szCs w:val="18"/>
              </w:rPr>
              <w:t xml:space="preserve">Classifies as a valid residency proof under BPS affidavit policy. Notes it satisfies one of the two required proofs.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B7</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Blurry phone photo</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One required document is photographed in poor light and is largely unreadable.</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18"/>
                <w:szCs w:val="18"/>
              </w:rPr>
              <w:t xml:space="preserve">Abstains on that document with a specific request for a clearer photo. Does not guess the document type.</w:t>
            </w:r>
          </w:p>
        </w:tc>
      </w:tr>
      <w:tr>
        <w:tc>
          <w:tcPr>
            <w:tcW w:type="dxa" w:w="6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bCs/>
                <w:color w:val="2C2C2A"/>
                <w:sz w:val="18"/>
                <w:szCs w:val="18"/>
              </w:rPr>
              <w:t xml:space="preserve">B8</w:t>
            </w:r>
          </w:p>
        </w:tc>
        <w:tc>
          <w:tcPr>
            <w:tcW w:type="dxa" w:w="20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color w:val="2C2C2A"/>
                <w:sz w:val="18"/>
                <w:szCs w:val="18"/>
              </w:rPr>
              <w:t xml:space="preserve">Near-complete packet — one missing item</w:t>
            </w:r>
          </w:p>
        </w:tc>
        <w:tc>
          <w:tcPr>
            <w:tcW w:type="dxa" w:w="2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color w:val="2C2C2A"/>
                <w:sz w:val="18"/>
                <w:szCs w:val="18"/>
              </w:rPr>
              <w:t xml:space="preserve">Everything present except immunization record. All other items are clearly satisfied.</w:t>
            </w:r>
          </w:p>
        </w:tc>
        <w:tc>
          <w:tcPr>
            <w:tcW w:type="dxa" w:w="39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color w:val="2C2C2A"/>
                <w:sz w:val="18"/>
                <w:szCs w:val="18"/>
              </w:rPr>
              <w:t xml:space="preserve">Returns tight 'one item missing' summary. Does not overgeneralize. Correctly marks all other items.</w:t>
            </w:r>
          </w:p>
        </w:tc>
      </w:tr>
    </w:tbl>
    <w:p>
      <w:pPr>
        <w:spacing w:after="80" w:before="0"/>
      </w:pPr>
      <w:r>
        <w:t xml:space="preserve"/>
      </w:r>
    </w:p>
    <w:p>
      <w:pPr>
        <w:pStyle w:val="Heading2"/>
        <w:spacing w:after="80" w:before="240"/>
      </w:pPr>
      <w:r>
        <w:rPr>
          <w:rFonts w:ascii="Arial" w:cs="Arial" w:eastAsia="Arial" w:hAnsi="Arial"/>
          <w:b/>
          <w:bCs/>
          <w:color w:val="2C2C2A"/>
          <w:sz w:val="26"/>
          <w:szCs w:val="26"/>
        </w:rPr>
        <w:t xml:space="preserve">5.5 Scoring template and reporting standard</w:t>
      </w:r>
    </w:p>
    <w:p>
      <w:pPr>
        <w:spacing w:after="60" w:before="60"/>
      </w:pPr>
      <w:r>
        <w:rPr>
          <w:rFonts w:ascii="Arial" w:cs="Arial" w:eastAsia="Arial" w:hAnsi="Arial"/>
          <w:color w:val="2C2C2A"/>
          <w:sz w:val="22"/>
          <w:szCs w:val="22"/>
        </w:rPr>
        <w:t xml:space="preserve">Complete this table for each track after the spike. Report to government contacts alongside the demo.</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400"/>
        <w:gridCol w:w="1560"/>
        <w:gridCol w:w="1800"/>
      </w:tblGrid>
      <w:tr>
        <w:tc>
          <w:tcPr>
            <w:tcW w:type="dxa" w:w="22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Scenario</w:t>
            </w:r>
          </w:p>
        </w:tc>
        <w:tc>
          <w:tcPr>
            <w:tcW w:type="dxa" w:w="14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Req. mapping</w:t>
            </w:r>
          </w:p>
        </w:tc>
        <w:tc>
          <w:tcPr>
            <w:tcW w:type="dxa" w:w="14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Missing-item</w:t>
            </w:r>
          </w:p>
        </w:tc>
        <w:tc>
          <w:tcPr>
            <w:tcW w:type="dxa" w:w="14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Grounding</w:t>
            </w:r>
          </w:p>
        </w:tc>
        <w:tc>
          <w:tcPr>
            <w:tcW w:type="dxa" w:w="14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Abstention</w:t>
            </w:r>
          </w:p>
        </w:tc>
        <w:tc>
          <w:tcPr>
            <w:tcW w:type="dxa" w:w="156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Action extract.</w:t>
            </w:r>
          </w:p>
        </w:tc>
        <w:tc>
          <w:tcPr>
            <w:tcW w:type="dxa" w:w="18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Notes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A1 / B1</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r>
      <w:tr>
        <w:tc>
          <w:tcPr>
            <w:tcW w:type="dxa" w:w="2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A2 / B2</w:t>
            </w:r>
          </w:p>
        </w:tc>
        <w:tc>
          <w:tcPr>
            <w:tcW w:type="dxa" w:w="14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4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4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4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5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A3 / B3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r>
      <w:tr>
        <w:tc>
          <w:tcPr>
            <w:tcW w:type="dxa" w:w="2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A4 / B4</w:t>
            </w:r>
          </w:p>
        </w:tc>
        <w:tc>
          <w:tcPr>
            <w:tcW w:type="dxa" w:w="14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4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4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4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5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A5 / B5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r>
      <w:tr>
        <w:tc>
          <w:tcPr>
            <w:tcW w:type="dxa" w:w="2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A6 / B6</w:t>
            </w:r>
          </w:p>
        </w:tc>
        <w:tc>
          <w:tcPr>
            <w:tcW w:type="dxa" w:w="14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4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4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4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5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A7 / B7</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r>
      <w:tr>
        <w:tc>
          <w:tcPr>
            <w:tcW w:type="dxa" w:w="2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A8 / B8</w:t>
            </w:r>
          </w:p>
        </w:tc>
        <w:tc>
          <w:tcPr>
            <w:tcW w:type="dxa" w:w="14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4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4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4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5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r>
      <w:tr>
        <w:tc>
          <w:tcPr>
            <w:tcW w:type="dxa" w:w="22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left"/>
            </w:pPr>
            <w:r>
              <w:rPr>
                <w:rFonts w:ascii="Arial" w:cs="Arial" w:eastAsia="Arial" w:hAnsi="Arial"/>
                <w:b/>
                <w:bCs/>
                <w:color w:val="2C2C2A"/>
                <w:sz w:val="18"/>
                <w:szCs w:val="18"/>
              </w:rPr>
              <w:t xml:space="preserve">Overall</w:t>
            </w:r>
          </w:p>
        </w:tc>
        <w:tc>
          <w:tcPr>
            <w:tcW w:type="dxa" w:w="14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4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4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4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56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8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r>
    </w:tbl>
    <w:p>
      <w:pPr>
        <w:spacing w:after="80" w:before="0"/>
      </w:pPr>
      <w:r>
        <w:t xml:space="preserve"/>
      </w:r>
    </w:p>
    <w:p>
      <w:pPr>
        <w:pStyle w:val="Heading1"/>
        <w:spacing w:after="120" w:before="360"/>
      </w:pPr>
      <w:r>
        <w:rPr>
          <w:rFonts w:ascii="Arial" w:cs="Arial" w:eastAsia="Arial" w:hAnsi="Arial"/>
          <w:b/>
          <w:bCs/>
          <w:color w:val="1D5C8A"/>
          <w:sz w:val="32"/>
          <w:szCs w:val="32"/>
        </w:rPr>
        <w:t xml:space="preserve">6. Phased Plan</w:t>
      </w:r>
    </w:p>
    <w:p>
      <w:pPr>
        <w:spacing w:after="60" w:before="60"/>
      </w:pPr>
      <w:r>
        <w:rPr>
          <w:rFonts w:ascii="Arial" w:cs="Arial" w:eastAsia="Arial" w:hAnsi="Arial"/>
          <w:color w:val="2C2C2A"/>
          <w:sz w:val="22"/>
          <w:szCs w:val="22"/>
        </w:rPr>
        <w:t xml:space="preserve">The spike is a five-day sprint followed by a government contact feedback round, then a forced single-track selection before any full build begins.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4760"/>
        <w:gridCol w:w="2100"/>
      </w:tblGrid>
      <w:tr>
        <w:tc>
          <w:tcPr>
            <w:tcW w:type="dxa" w:w="900"/>
            <w:tcBorders>
              <w:top w:val="single" w:color="DDDDDD" w:sz="1"/>
              <w:left w:val="single" w:color="DDDDDD" w:sz="1"/>
              <w:bottom w:val="single" w:color="DDDDDD" w:sz="1"/>
              <w:right w:val="single" w:color="DDDDDD"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Day / Week</w:t>
            </w:r>
          </w:p>
        </w:tc>
        <w:tc>
          <w:tcPr>
            <w:tcW w:type="dxa" w:w="1600"/>
            <w:tcBorders>
              <w:top w:val="single" w:color="DDDDDD" w:sz="1"/>
              <w:left w:val="single" w:color="DDDDDD" w:sz="1"/>
              <w:bottom w:val="single" w:color="DDDDDD" w:sz="1"/>
              <w:right w:val="single" w:color="DDDDDD"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760"/>
            <w:tcBorders>
              <w:top w:val="single" w:color="DDDDDD" w:sz="1"/>
              <w:left w:val="single" w:color="DDDDDD" w:sz="1"/>
              <w:bottom w:val="single" w:color="DDDDDD" w:sz="1"/>
              <w:right w:val="single" w:color="DDDDDD"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Key tasks</w:t>
            </w:r>
          </w:p>
        </w:tc>
        <w:tc>
          <w:tcPr>
            <w:tcW w:type="dxa" w:w="2100"/>
            <w:tcBorders>
              <w:top w:val="single" w:color="DDDDDD" w:sz="1"/>
              <w:left w:val="single" w:color="DDDDDD" w:sz="1"/>
              <w:bottom w:val="single" w:color="DDDDDD" w:sz="1"/>
              <w:right w:val="single" w:color="DDDDDD"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9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b/>
                <w:bCs/>
                <w:color w:val="2C2C2A"/>
                <w:sz w:val="20"/>
                <w:szCs w:val="20"/>
              </w:rPr>
              <w:t xml:space="preserve">Day 1</w:t>
            </w:r>
          </w:p>
        </w:tc>
        <w:tc>
          <w:tcPr>
            <w:tcW w:type="dxa" w:w="16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b/>
                <w:bCs/>
                <w:color w:val="2C2C2A"/>
                <w:sz w:val="20"/>
                <w:szCs w:val="20"/>
              </w:rPr>
              <w:t xml:space="preserve">Artifact collection</w:t>
            </w:r>
          </w:p>
        </w:tc>
        <w:tc>
          <w:tcPr>
            <w:tcW w:type="dxa" w:w="47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2C2C2A"/>
                <w:sz w:val="19"/>
                <w:szCs w:val="19"/>
              </w:rPr>
              <w:t xml:space="preserve">Gather 8–10 realistic synthetic scenarios per track — use publicly available DTA notice templates and BPS checklist</w:t>
            </w:r>
          </w:p>
          <w:p>
            <w:pPr>
              <w:pStyle w:val="ListParagraph"/>
              <w:numPr>
                <w:ilvl w:val="0"/>
                <w:numId w:val="2"/>
              </w:numPr>
              <w:spacing w:after="20" w:before="20"/>
            </w:pPr>
            <w:r>
              <w:rPr>
                <w:rFonts w:ascii="Arial" w:cs="Arial" w:eastAsia="Arial" w:hAnsi="Arial"/>
                <w:color w:val="2C2C2A"/>
                <w:sz w:val="19"/>
                <w:szCs w:val="19"/>
              </w:rPr>
              <w:t xml:space="preserve">De-identify all documents: replace names, addresses, amounts with realistic synthetic values</w:t>
            </w:r>
          </w:p>
          <w:p>
            <w:pPr>
              <w:pStyle w:val="ListParagraph"/>
              <w:numPr>
                <w:ilvl w:val="0"/>
                <w:numId w:val="2"/>
              </w:numPr>
              <w:spacing w:after="20" w:before="20"/>
            </w:pPr>
            <w:r>
              <w:rPr>
                <w:rFonts w:ascii="Arial" w:cs="Arial" w:eastAsia="Arial" w:hAnsi="Arial"/>
                <w:color w:val="2C2C2A"/>
                <w:sz w:val="19"/>
                <w:szCs w:val="19"/>
              </w:rPr>
              <w:t xml:space="preserve">Write gold answer sheets for every scenario before any model testing — this is non-negotiable</w:t>
            </w:r>
          </w:p>
          <w:p>
            <w:pPr>
              <w:pStyle w:val="ListParagraph"/>
              <w:numPr>
                <w:ilvl w:val="0"/>
                <w:numId w:val="2"/>
              </w:numPr>
              <w:spacing w:after="20" w:before="20"/>
            </w:pPr>
            <w:r>
              <w:rPr>
                <w:rFonts w:ascii="Arial" w:cs="Arial" w:eastAsia="Arial" w:hAnsi="Arial"/>
                <w:color w:val="2C2C2A"/>
                <w:sz w:val="19"/>
                <w:szCs w:val="19"/>
              </w:rPr>
              <w:t xml:space="preserve">Install Ollama on Mac Air, pull gemma4:e2b, confirm image input works: ollama run gemma4:e2b with a test photo</w:t>
            </w:r>
          </w:p>
        </w:tc>
        <w:tc>
          <w:tcPr>
            <w:tcW w:type="dxa" w:w="21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i/>
                <w:iCs/>
                <w:color w:val="444441"/>
                <w:sz w:val="19"/>
                <w:szCs w:val="19"/>
              </w:rPr>
              <w:t xml:space="preserve">Gold answer sheets + test artifacts</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Day 2</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Shared extraction core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2C2C2A"/>
                <w:sz w:val="19"/>
                <w:szCs w:val="19"/>
              </w:rPr>
              <w:t xml:space="preserve">Design structured extraction prompt: returns doc_type, key_fields[], evidence_spans[], uncertainty_flag</w:t>
            </w:r>
          </w:p>
          <w:p>
            <w:pPr>
              <w:pStyle w:val="ListParagraph"/>
              <w:numPr>
                <w:ilvl w:val="0"/>
                <w:numId w:val="2"/>
              </w:numPr>
              <w:spacing w:after="20" w:before="20"/>
            </w:pPr>
            <w:r>
              <w:rPr>
                <w:rFonts w:ascii="Arial" w:cs="Arial" w:eastAsia="Arial" w:hAnsi="Arial"/>
                <w:color w:val="2C2C2A"/>
                <w:sz w:val="19"/>
                <w:szCs w:val="19"/>
              </w:rPr>
              <w:t xml:space="preserve">Test extraction on 3 document types per track (pay stub, lease, utility bill / birth cert, lease, immunization)</w:t>
            </w:r>
          </w:p>
          <w:p>
            <w:pPr>
              <w:pStyle w:val="ListParagraph"/>
              <w:numPr>
                <w:ilvl w:val="0"/>
                <w:numId w:val="2"/>
              </w:numPr>
              <w:spacing w:after="20" w:before="20"/>
            </w:pPr>
            <w:r>
              <w:rPr>
                <w:rFonts w:ascii="Arial" w:cs="Arial" w:eastAsia="Arial" w:hAnsi="Arial"/>
                <w:color w:val="2C2C2A"/>
                <w:sz w:val="19"/>
                <w:szCs w:val="19"/>
              </w:rPr>
              <w:t xml:space="preserve">Confirm JSON output schema is consistent and parseable</w:t>
            </w:r>
          </w:p>
          <w:p>
            <w:pPr>
              <w:pStyle w:val="ListParagraph"/>
              <w:numPr>
                <w:ilvl w:val="0"/>
                <w:numId w:val="2"/>
              </w:numPr>
              <w:spacing w:after="20" w:before="20"/>
            </w:pPr>
            <w:r>
              <w:rPr>
                <w:rFonts w:ascii="Arial" w:cs="Arial" w:eastAsia="Arial" w:hAnsi="Arial"/>
                <w:color w:val="2C2C2A"/>
                <w:sz w:val="19"/>
                <w:szCs w:val="19"/>
              </w:rPr>
              <w:t xml:space="preserve">Document failure modes: what document types does the model struggle with?</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444441"/>
                <w:sz w:val="19"/>
                <w:szCs w:val="19"/>
              </w:rPr>
              <w:t xml:space="preserve">Extraction core working + failure mode log</w:t>
            </w:r>
          </w:p>
        </w:tc>
      </w:tr>
      <w:tr>
        <w:tc>
          <w:tcPr>
            <w:tcW w:type="dxa" w:w="9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b/>
                <w:bCs/>
                <w:color w:val="2C2C2A"/>
                <w:sz w:val="20"/>
                <w:szCs w:val="20"/>
              </w:rPr>
              <w:t xml:space="preserve">Day 3</w:t>
            </w:r>
          </w:p>
        </w:tc>
        <w:tc>
          <w:tcPr>
            <w:tcW w:type="dxa" w:w="16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b/>
                <w:bCs/>
                <w:color w:val="2C2C2A"/>
                <w:sz w:val="20"/>
                <w:szCs w:val="20"/>
              </w:rPr>
              <w:t xml:space="preserve">Track-specific matching</w:t>
            </w:r>
          </w:p>
        </w:tc>
        <w:tc>
          <w:tcPr>
            <w:tcW w:type="dxa" w:w="47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2C2C2A"/>
                <w:sz w:val="19"/>
                <w:szCs w:val="19"/>
              </w:rPr>
              <w:t xml:space="preserve">Track A: implement proof-category matching logic from published DTA verification guidance</w:t>
            </w:r>
          </w:p>
          <w:p>
            <w:pPr>
              <w:pStyle w:val="ListParagraph"/>
              <w:numPr>
                <w:ilvl w:val="0"/>
                <w:numId w:val="2"/>
              </w:numPr>
              <w:spacing w:after="20" w:before="20"/>
            </w:pPr>
            <w:r>
              <w:rPr>
                <w:rFonts w:ascii="Arial" w:cs="Arial" w:eastAsia="Arial" w:hAnsi="Arial"/>
                <w:color w:val="2C2C2A"/>
                <w:sz w:val="19"/>
                <w:szCs w:val="19"/>
              </w:rPr>
              <w:t xml:space="preserve">Track B: implement BPS checklist-completion logic including two-category residency rule</w:t>
            </w:r>
          </w:p>
          <w:p>
            <w:pPr>
              <w:pStyle w:val="ListParagraph"/>
              <w:numPr>
                <w:ilvl w:val="0"/>
                <w:numId w:val="2"/>
              </w:numPr>
              <w:spacing w:after="20" w:before="20"/>
            </w:pPr>
            <w:r>
              <w:rPr>
                <w:rFonts w:ascii="Arial" w:cs="Arial" w:eastAsia="Arial" w:hAnsi="Arial"/>
                <w:color w:val="2C2C2A"/>
                <w:sz w:val="19"/>
                <w:szCs w:val="19"/>
              </w:rPr>
              <w:t xml:space="preserve">Run both against all 8 scenarios per track, score against gold answers</w:t>
            </w:r>
          </w:p>
          <w:p>
            <w:pPr>
              <w:pStyle w:val="ListParagraph"/>
              <w:numPr>
                <w:ilvl w:val="0"/>
                <w:numId w:val="2"/>
              </w:numPr>
              <w:spacing w:after="20" w:before="20"/>
            </w:pPr>
            <w:r>
              <w:rPr>
                <w:rFonts w:ascii="Arial" w:cs="Arial" w:eastAsia="Arial" w:hAnsi="Arial"/>
                <w:color w:val="2C2C2A"/>
                <w:sz w:val="19"/>
                <w:szCs w:val="19"/>
              </w:rPr>
              <w:t xml:space="preserve">Produce first draft of scoring table (Section 5.5)</w:t>
            </w:r>
          </w:p>
        </w:tc>
        <w:tc>
          <w:tcPr>
            <w:tcW w:type="dxa" w:w="21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i/>
                <w:iCs/>
                <w:color w:val="444441"/>
                <w:sz w:val="19"/>
                <w:szCs w:val="19"/>
              </w:rPr>
              <w:t xml:space="preserve">Both tracks scored — draft eval results</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Day 4</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Resident-facing demo</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2C2C2A"/>
                <w:sz w:val="19"/>
                <w:szCs w:val="19"/>
              </w:rPr>
              <w:t xml:space="preserve">Build simple Gradio interface: document upload + structured output display + plain-language summary</w:t>
            </w:r>
          </w:p>
          <w:p>
            <w:pPr>
              <w:pStyle w:val="ListParagraph"/>
              <w:numPr>
                <w:ilvl w:val="0"/>
                <w:numId w:val="2"/>
              </w:numPr>
              <w:spacing w:after="20" w:before="20"/>
            </w:pPr>
            <w:r>
              <w:rPr>
                <w:rFonts w:ascii="Arial" w:cs="Arial" w:eastAsia="Arial" w:hAnsi="Arial"/>
                <w:color w:val="2C2C2A"/>
                <w:sz w:val="19"/>
                <w:szCs w:val="19"/>
              </w:rPr>
              <w:t xml:space="preserve">One polished demo scenario per track showing the full flow end to end</w:t>
            </w:r>
          </w:p>
          <w:p>
            <w:pPr>
              <w:pStyle w:val="ListParagraph"/>
              <w:numPr>
                <w:ilvl w:val="0"/>
                <w:numId w:val="2"/>
              </w:numPr>
              <w:spacing w:after="20" w:before="20"/>
            </w:pPr>
            <w:r>
              <w:rPr>
                <w:rFonts w:ascii="Arial" w:cs="Arial" w:eastAsia="Arial" w:hAnsi="Arial"/>
                <w:color w:val="2C2C2A"/>
                <w:sz w:val="19"/>
                <w:szCs w:val="19"/>
              </w:rPr>
              <w:t xml:space="preserve">Deploy to Hugging Face Spaces (free tier) — get a stable URL before stakeholder meetings</w:t>
            </w:r>
          </w:p>
          <w:p>
            <w:pPr>
              <w:pStyle w:val="ListParagraph"/>
              <w:numPr>
                <w:ilvl w:val="0"/>
                <w:numId w:val="2"/>
              </w:numPr>
              <w:spacing w:after="20" w:before="20"/>
            </w:pPr>
            <w:r>
              <w:rPr>
                <w:rFonts w:ascii="Arial" w:cs="Arial" w:eastAsia="Arial" w:hAnsi="Arial"/>
                <w:color w:val="2C2C2A"/>
                <w:sz w:val="19"/>
                <w:szCs w:val="19"/>
              </w:rPr>
              <w:t xml:space="preserve">Record a 90-second demo video per track</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444441"/>
                <w:sz w:val="19"/>
                <w:szCs w:val="19"/>
              </w:rPr>
              <w:t xml:space="preserve">Two live demos + two demo videos</w:t>
            </w:r>
          </w:p>
        </w:tc>
      </w:tr>
      <w:tr>
        <w:tc>
          <w:tcPr>
            <w:tcW w:type="dxa" w:w="9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b/>
                <w:bCs/>
                <w:color w:val="2C2C2A"/>
                <w:sz w:val="20"/>
                <w:szCs w:val="20"/>
              </w:rPr>
              <w:t xml:space="preserve">Day 5</w:t>
            </w:r>
          </w:p>
        </w:tc>
        <w:tc>
          <w:tcPr>
            <w:tcW w:type="dxa" w:w="16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b/>
                <w:bCs/>
                <w:color w:val="2C2C2A"/>
                <w:sz w:val="20"/>
                <w:szCs w:val="20"/>
              </w:rPr>
              <w:t xml:space="preserve">Eval + decision memo</w:t>
            </w:r>
          </w:p>
        </w:tc>
        <w:tc>
          <w:tcPr>
            <w:tcW w:type="dxa" w:w="47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2C2C2A"/>
                <w:sz w:val="19"/>
                <w:szCs w:val="19"/>
              </w:rPr>
              <w:t xml:space="preserve">Finalize scoring table for both tracks — honest including failures</w:t>
            </w:r>
          </w:p>
          <w:p>
            <w:pPr>
              <w:pStyle w:val="ListParagraph"/>
              <w:numPr>
                <w:ilvl w:val="0"/>
                <w:numId w:val="2"/>
              </w:numPr>
              <w:spacing w:after="20" w:before="20"/>
            </w:pPr>
            <w:r>
              <w:rPr>
                <w:rFonts w:ascii="Arial" w:cs="Arial" w:eastAsia="Arial" w:hAnsi="Arial"/>
                <w:color w:val="2C2C2A"/>
                <w:sz w:val="19"/>
                <w:szCs w:val="19"/>
              </w:rPr>
              <w:t xml:space="preserve">Write one-page comparison memo: pain severity, demo clarity, Gemma fit, safety, stakeholder pull</w:t>
            </w:r>
          </w:p>
          <w:p>
            <w:pPr>
              <w:pStyle w:val="ListParagraph"/>
              <w:numPr>
                <w:ilvl w:val="0"/>
                <w:numId w:val="2"/>
              </w:numPr>
              <w:spacing w:after="20" w:before="20"/>
            </w:pPr>
            <w:r>
              <w:rPr>
                <w:rFonts w:ascii="Arial" w:cs="Arial" w:eastAsia="Arial" w:hAnsi="Arial"/>
                <w:color w:val="2C2C2A"/>
                <w:sz w:val="19"/>
                <w:szCs w:val="19"/>
              </w:rPr>
              <w:t xml:space="preserve">Prepare one question set for state contact and one for city contact</w:t>
            </w:r>
          </w:p>
          <w:p>
            <w:pPr>
              <w:pStyle w:val="ListParagraph"/>
              <w:numPr>
                <w:ilvl w:val="0"/>
                <w:numId w:val="2"/>
              </w:numPr>
              <w:spacing w:after="20" w:before="20"/>
            </w:pPr>
            <w:r>
              <w:rPr>
                <w:rFonts w:ascii="Arial" w:cs="Arial" w:eastAsia="Arial" w:hAnsi="Arial"/>
                <w:color w:val="2C2C2A"/>
                <w:sz w:val="19"/>
                <w:szCs w:val="19"/>
              </w:rPr>
              <w:t xml:space="preserve">Commit to stakeholder meeting dates before end of day</w:t>
            </w:r>
          </w:p>
        </w:tc>
        <w:tc>
          <w:tcPr>
            <w:tcW w:type="dxa" w:w="21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i/>
                <w:iCs/>
                <w:color w:val="444441"/>
                <w:sz w:val="19"/>
                <w:szCs w:val="19"/>
              </w:rPr>
              <w:t xml:space="preserve">Decision memo + stakeholder questions ready</w:t>
            </w:r>
          </w:p>
        </w:tc>
      </w:tr>
      <w:tr>
        <w:tc>
          <w:tcPr>
            <w:tcW w:type="dxa" w:w="9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r>
              <w:rPr>
                <w:rFonts w:ascii="Arial" w:cs="Arial" w:eastAsia="Arial" w:hAnsi="Arial"/>
                <w:b/>
                <w:bCs/>
                <w:color w:val="2C2C2A"/>
                <w:sz w:val="20"/>
                <w:szCs w:val="20"/>
              </w:rPr>
              <w:t xml:space="preserve">Week 2</w:t>
            </w:r>
          </w:p>
        </w:tc>
        <w:tc>
          <w:tcPr>
            <w:tcW w:type="dxa" w:w="16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r>
              <w:rPr>
                <w:rFonts w:ascii="Arial" w:cs="Arial" w:eastAsia="Arial" w:hAnsi="Arial"/>
                <w:b/>
                <w:bCs/>
                <w:color w:val="2C2C2A"/>
                <w:sz w:val="20"/>
                <w:szCs w:val="20"/>
              </w:rPr>
              <w:t xml:space="preserve">Stakeholder feedback round</w:t>
            </w:r>
          </w:p>
        </w:tc>
        <w:tc>
          <w:tcPr>
            <w:tcW w:type="dxa" w:w="476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2C2C2A"/>
                <w:sz w:val="19"/>
                <w:szCs w:val="19"/>
              </w:rPr>
              <w:t xml:space="preserve">State contact meeting: show Track A demo, share eval results, ask the six decision-gate questions</w:t>
            </w:r>
          </w:p>
          <w:p>
            <w:pPr>
              <w:pStyle w:val="ListParagraph"/>
              <w:numPr>
                <w:ilvl w:val="0"/>
                <w:numId w:val="2"/>
              </w:numPr>
              <w:spacing w:after="20" w:before="20"/>
            </w:pPr>
            <w:r>
              <w:rPr>
                <w:rFonts w:ascii="Arial" w:cs="Arial" w:eastAsia="Arial" w:hAnsi="Arial"/>
                <w:color w:val="2C2C2A"/>
                <w:sz w:val="19"/>
                <w:szCs w:val="19"/>
              </w:rPr>
              <w:t xml:space="preserve">City contact meeting: show Track B demo, share eval results, ask the six decision-gate questions</w:t>
            </w:r>
          </w:p>
          <w:p>
            <w:pPr>
              <w:pStyle w:val="ListParagraph"/>
              <w:numPr>
                <w:ilvl w:val="0"/>
                <w:numId w:val="2"/>
              </w:numPr>
              <w:spacing w:after="20" w:before="20"/>
            </w:pPr>
            <w:r>
              <w:rPr>
                <w:rFonts w:ascii="Arial" w:cs="Arial" w:eastAsia="Arial" w:hAnsi="Arial"/>
                <w:color w:val="2C2C2A"/>
                <w:sz w:val="19"/>
                <w:szCs w:val="19"/>
              </w:rPr>
              <w:t xml:space="preserve">Document reactions, quotes, and any corrections to proof-category or checklist logic</w:t>
            </w:r>
          </w:p>
          <w:p>
            <w:pPr>
              <w:pStyle w:val="ListParagraph"/>
              <w:numPr>
                <w:ilvl w:val="0"/>
                <w:numId w:val="2"/>
              </w:numPr>
              <w:spacing w:after="20" w:before="20"/>
            </w:pPr>
            <w:r>
              <w:rPr>
                <w:rFonts w:ascii="Arial" w:cs="Arial" w:eastAsia="Arial" w:hAnsi="Arial"/>
                <w:color w:val="2C2C2A"/>
                <w:sz w:val="19"/>
                <w:szCs w:val="19"/>
              </w:rPr>
              <w:t xml:space="preserve">Score both tracks on the decision-gate criteria (Section 7.2) and force a single-track selection</w:t>
            </w:r>
          </w:p>
        </w:tc>
        <w:tc>
          <w:tcPr>
            <w:tcW w:type="dxa" w:w="21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r>
              <w:rPr>
                <w:rFonts w:ascii="Arial" w:cs="Arial" w:eastAsia="Arial" w:hAnsi="Arial"/>
                <w:i/>
                <w:iCs/>
                <w:color w:val="444441"/>
                <w:sz w:val="19"/>
                <w:szCs w:val="19"/>
              </w:rPr>
              <w:t xml:space="preserve">Single track selected</w:t>
            </w:r>
          </w:p>
        </w:tc>
      </w:tr>
      <w:tr>
        <w:tc>
          <w:tcPr>
            <w:tcW w:type="dxa" w:w="9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2C2C2A"/>
                <w:sz w:val="20"/>
                <w:szCs w:val="20"/>
              </w:rPr>
              <w:t xml:space="preserve">Week 3–4</w:t>
            </w:r>
          </w:p>
        </w:tc>
        <w:tc>
          <w:tcPr>
            <w:tcW w:type="dxa" w:w="16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2C2C2A"/>
                <w:sz w:val="20"/>
                <w:szCs w:val="20"/>
              </w:rPr>
              <w:t xml:space="preserve">Full build — winning track</w:t>
            </w:r>
          </w:p>
        </w:tc>
        <w:tc>
          <w:tcPr>
            <w:tcW w:type="dxa" w:w="47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2C2C2A"/>
                <w:sz w:val="19"/>
                <w:szCs w:val="19"/>
              </w:rPr>
              <w:t xml:space="preserve">Deepen eval benchmark: expand to 20+ scenarios, add edge cases surfaced by stakeholder feedback</w:t>
            </w:r>
          </w:p>
          <w:p>
            <w:pPr>
              <w:pStyle w:val="ListParagraph"/>
              <w:numPr>
                <w:ilvl w:val="0"/>
                <w:numId w:val="2"/>
              </w:numPr>
              <w:spacing w:after="20" w:before="20"/>
            </w:pPr>
            <w:r>
              <w:rPr>
                <w:rFonts w:ascii="Arial" w:cs="Arial" w:eastAsia="Arial" w:hAnsi="Arial"/>
                <w:color w:val="2C2C2A"/>
                <w:sz w:val="19"/>
                <w:szCs w:val="19"/>
              </w:rPr>
              <w:t xml:space="preserve">Refine matching logic based on agency corrections</w:t>
            </w:r>
          </w:p>
          <w:p>
            <w:pPr>
              <w:pStyle w:val="ListParagraph"/>
              <w:numPr>
                <w:ilvl w:val="0"/>
                <w:numId w:val="2"/>
              </w:numPr>
              <w:spacing w:after="20" w:before="20"/>
            </w:pPr>
            <w:r>
              <w:rPr>
                <w:rFonts w:ascii="Arial" w:cs="Arial" w:eastAsia="Arial" w:hAnsi="Arial"/>
                <w:color w:val="2C2C2A"/>
                <w:sz w:val="19"/>
                <w:szCs w:val="19"/>
              </w:rPr>
              <w:t xml:space="preserve">Build full Gradio demo with all polished scenarios</w:t>
            </w:r>
          </w:p>
          <w:p>
            <w:pPr>
              <w:pStyle w:val="ListParagraph"/>
              <w:numPr>
                <w:ilvl w:val="0"/>
                <w:numId w:val="2"/>
              </w:numPr>
              <w:spacing w:after="20" w:before="20"/>
            </w:pPr>
            <w:r>
              <w:rPr>
                <w:rFonts w:ascii="Arial" w:cs="Arial" w:eastAsia="Arial" w:hAnsi="Arial"/>
                <w:color w:val="2C2C2A"/>
                <w:sz w:val="19"/>
                <w:szCs w:val="19"/>
              </w:rPr>
              <w:t xml:space="preserve">Prepare technical writeup and submission materials</w:t>
            </w:r>
          </w:p>
        </w:tc>
        <w:tc>
          <w:tcPr>
            <w:tcW w:type="dxa" w:w="21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i/>
                <w:iCs/>
                <w:color w:val="444441"/>
                <w:sz w:val="19"/>
                <w:szCs w:val="19"/>
              </w:rPr>
              <w:t xml:space="preserve">Hackathon submission ready</w:t>
            </w:r>
          </w:p>
        </w:tc>
      </w:tr>
    </w:tbl>
    <w:p>
      <w:pPr>
        <w:spacing w:after="80" w:before="0"/>
      </w:pPr>
      <w:r>
        <w:t xml:space="preserve"/>
      </w:r>
    </w:p>
    <w:p>
      <w:pPr>
        <w:pStyle w:val="Heading1"/>
        <w:spacing w:after="120" w:before="360"/>
      </w:pPr>
      <w:r>
        <w:rPr>
          <w:rFonts w:ascii="Arial" w:cs="Arial" w:eastAsia="Arial" w:hAnsi="Arial"/>
          <w:b/>
          <w:bCs/>
          <w:color w:val="1D5C8A"/>
          <w:sz w:val="32"/>
          <w:szCs w:val="32"/>
        </w:rPr>
        <w:t xml:space="preserve">7. Stakeholder Strategy</w:t>
      </w:r>
    </w:p>
    <w:p>
      <w:pPr>
        <w:pStyle w:val="Heading2"/>
        <w:spacing w:after="80" w:before="240"/>
      </w:pPr>
      <w:r>
        <w:rPr>
          <w:rFonts w:ascii="Arial" w:cs="Arial" w:eastAsia="Arial" w:hAnsi="Arial"/>
          <w:b/>
          <w:bCs/>
          <w:color w:val="2C2C2A"/>
          <w:sz w:val="26"/>
          <w:szCs w:val="26"/>
        </w:rPr>
        <w:t xml:space="preserve">7.1 Why your government background is load-bearing</w:t>
      </w:r>
    </w:p>
    <w:p>
      <w:pPr>
        <w:spacing w:after="60" w:before="60"/>
      </w:pPr>
      <w:r>
        <w:rPr>
          <w:rFonts w:ascii="Arial" w:cs="Arial" w:eastAsia="Arial" w:hAnsi="Arial"/>
          <w:color w:val="2C2C2A"/>
          <w:sz w:val="22"/>
          <w:szCs w:val="22"/>
        </w:rPr>
        <w:t xml:space="preserve">The author's direct experience as a data scientist in Massachusetts state government and working contacts at both state and city level is the most significant competitive advantage this project has. Most hackathon teams building civic tech tools are building from the outside in — they have no way to validate whether the proof-category logic matches how DTA actually operates, whether the guardrail language is appropriate for an agency context, or whether the output format would be useful to an outreach worker. You can answer all three questions with one conversation.</w:t>
      </w:r>
    </w:p>
    <w:p>
      <w:pPr>
        <w:spacing w:after="40" w:before="0"/>
      </w:pPr>
      <w:r>
        <w:t xml:space="preserve"/>
      </w:r>
    </w:p>
    <w:p>
      <w:pPr>
        <w:spacing w:after="60" w:before="60"/>
      </w:pPr>
      <w:r>
        <w:rPr>
          <w:rFonts w:ascii="Arial" w:cs="Arial" w:eastAsia="Arial" w:hAnsi="Arial"/>
          <w:color w:val="2C2C2A"/>
          <w:sz w:val="22"/>
          <w:szCs w:val="22"/>
        </w:rPr>
        <w:t xml:space="preserve">This should be made explicit in the submission writeup. 'Validated with contacts at [DTA/BPS]' is worth more to a judge evaluating a 'for good' hackathon submission than almost any technical sophistication. It means the problem is real, the solution is grounded, and there is a path to real-world impact beyond the demo.</w:t>
      </w:r>
    </w:p>
    <w:p>
      <w:pPr>
        <w:spacing w:after="60" w:before="0"/>
      </w:pPr>
      <w:r>
        <w:t xml:space="preserve"/>
      </w:r>
    </w:p>
    <w:p>
      <w:pPr>
        <w:pStyle w:val="Heading2"/>
        <w:spacing w:after="80" w:before="240"/>
      </w:pPr>
      <w:r>
        <w:rPr>
          <w:rFonts w:ascii="Arial" w:cs="Arial" w:eastAsia="Arial" w:hAnsi="Arial"/>
          <w:b/>
          <w:bCs/>
          <w:color w:val="2C2C2A"/>
          <w:sz w:val="26"/>
          <w:szCs w:val="26"/>
        </w:rPr>
        <w:t xml:space="preserve">7.2 Decision-gate scoring after stakeholder meetings</w:t>
      </w:r>
    </w:p>
    <w:p>
      <w:pPr>
        <w:spacing w:after="60" w:before="60"/>
      </w:pPr>
      <w:r>
        <w:rPr>
          <w:rFonts w:ascii="Arial" w:cs="Arial" w:eastAsia="Arial" w:hAnsi="Arial"/>
          <w:color w:val="2C2C2A"/>
          <w:sz w:val="22"/>
          <w:szCs w:val="22"/>
        </w:rPr>
        <w:t xml:space="preserve">Use forced-ranking to select one track after both meetings. Fill in scores 1–5 immediately after each conversation while the reaction is fresh.</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200"/>
        <w:gridCol w:w="1200"/>
        <w:gridCol w:w="3160"/>
      </w:tblGrid>
      <w:tr>
        <w:tc>
          <w:tcPr>
            <w:tcW w:type="dxa" w:w="28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Criterion</w:t>
            </w:r>
          </w:p>
        </w:tc>
        <w:tc>
          <w:tcPr>
            <w:tcW w:type="dxa" w:w="10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Weight</w:t>
            </w:r>
          </w:p>
        </w:tc>
        <w:tc>
          <w:tcPr>
            <w:tcW w:type="dxa" w:w="12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Track A score</w:t>
            </w:r>
          </w:p>
        </w:tc>
        <w:tc>
          <w:tcPr>
            <w:tcW w:type="dxa" w:w="12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Track B score</w:t>
            </w:r>
          </w:p>
        </w:tc>
        <w:tc>
          <w:tcPr>
            <w:tcW w:type="dxa" w:w="316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Notes to capture in meeting</w:t>
            </w:r>
          </w:p>
        </w:tc>
      </w:tr>
      <w:tr>
        <w:tc>
          <w:tcPr>
            <w:tcW w:type="dxa" w:w="2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bCs/>
                <w:color w:val="2C2C2A"/>
                <w:sz w:val="18"/>
                <w:szCs w:val="18"/>
              </w:rPr>
              <w:t xml:space="preserve">Pain severity and frequency</w:t>
            </w:r>
          </w:p>
        </w:tc>
        <w:tc>
          <w:tcPr>
            <w:tcW w:type="dxa" w:w="10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3×</w:t>
            </w:r>
          </w:p>
        </w:tc>
        <w:tc>
          <w:tcPr>
            <w:tcW w:type="dxa" w:w="1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31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How often does this failure mode occur? What does the contact see in practice?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18"/>
                <w:szCs w:val="18"/>
              </w:rPr>
              <w:t xml:space="preserve">Stakeholder pull / endorsement likelihood</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3×</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Would this contact be willing to be quoted or named in the submission? Would they share it with colleagues?</w:t>
            </w:r>
          </w:p>
        </w:tc>
      </w:tr>
      <w:tr>
        <w:tc>
          <w:tcPr>
            <w:tcW w:type="dxa" w:w="2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bCs/>
                <w:color w:val="2C2C2A"/>
                <w:sz w:val="18"/>
                <w:szCs w:val="18"/>
              </w:rPr>
              <w:t xml:space="preserve">Demo clarity</w:t>
            </w:r>
          </w:p>
        </w:tc>
        <w:tc>
          <w:tcPr>
            <w:tcW w:type="dxa" w:w="10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2×</w:t>
            </w:r>
          </w:p>
        </w:tc>
        <w:tc>
          <w:tcPr>
            <w:tcW w:type="dxa" w:w="1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31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Did the contact immediately understand the value? How long did it take to explain?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18"/>
                <w:szCs w:val="18"/>
              </w:rPr>
              <w:t xml:space="preserve">Gemma fit — is on-device essential?</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2×</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Did the contact respond positively to the privacy argument? Does on-device inference matter to them?</w:t>
            </w:r>
          </w:p>
        </w:tc>
      </w:tr>
      <w:tr>
        <w:tc>
          <w:tcPr>
            <w:tcW w:type="dxa" w:w="2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bCs/>
                <w:color w:val="2C2C2A"/>
                <w:sz w:val="18"/>
                <w:szCs w:val="18"/>
              </w:rPr>
              <w:t xml:space="preserve">Safety / guardrails</w:t>
            </w:r>
          </w:p>
        </w:tc>
        <w:tc>
          <w:tcPr>
            <w:tcW w:type="dxa" w:w="10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2×</w:t>
            </w:r>
          </w:p>
        </w:tc>
        <w:tc>
          <w:tcPr>
            <w:tcW w:type="dxa" w:w="1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31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Did the contact flag any concerns about the output language? Any corrections to proof-category or checklist logic?</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18"/>
                <w:szCs w:val="18"/>
              </w:rPr>
              <w:t xml:space="preserve">Implementation risk</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2×</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Which wedge can plausibly ship in hackathon scope? Any technical concerns from the contact?</w:t>
            </w:r>
          </w:p>
        </w:tc>
      </w:tr>
      <w:tr>
        <w:tc>
          <w:tcPr>
            <w:tcW w:type="dxa" w:w="28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left"/>
            </w:pPr>
            <w:r>
              <w:rPr>
                <w:rFonts w:ascii="Arial" w:cs="Arial" w:eastAsia="Arial" w:hAnsi="Arial"/>
                <w:b/>
                <w:bCs/>
                <w:color w:val="2C2C2A"/>
                <w:sz w:val="18"/>
                <w:szCs w:val="18"/>
              </w:rPr>
              <w:t xml:space="preserve">Weighted total</w:t>
            </w:r>
          </w:p>
        </w:tc>
        <w:tc>
          <w:tcPr>
            <w:tcW w:type="dxa" w:w="10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left"/>
            </w:pPr>
            <w:r>
              <w:rPr>
                <w:rFonts w:ascii="Arial" w:cs="Arial" w:eastAsia="Arial" w:hAnsi="Arial"/>
                <w:b/>
                <w:bCs/>
                <w:color w:val="2C2C2A"/>
                <w:sz w:val="18"/>
                <w:szCs w:val="18"/>
              </w:rPr>
              <w:t xml:space="preserve">14×</w:t>
            </w:r>
          </w:p>
        </w:tc>
        <w:tc>
          <w:tcPr>
            <w:tcW w:type="dxa" w:w="12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12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w:r>
          </w:p>
        </w:tc>
        <w:tc>
          <w:tcPr>
            <w:tcW w:type="dxa" w:w="316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Winning track proceeds to full build. Losing track archived.</w:t>
            </w:r>
          </w:p>
        </w:tc>
      </w:tr>
    </w:tbl>
    <w:p>
      <w:pPr>
        <w:spacing w:after="60" w:before="0"/>
      </w:pPr>
      <w:r>
        <w:t xml:space="preserve"/>
      </w:r>
    </w:p>
    <w:p>
      <w:pPr>
        <w:spacing w:after="60" w:before="60"/>
      </w:pPr>
      <w:r>
        <w:rPr>
          <w:rFonts w:ascii="Arial" w:cs="Arial" w:eastAsia="Arial" w:hAnsi="Arial"/>
          <w:color w:val="2C2C2A"/>
          <w:sz w:val="22"/>
          <w:szCs w:val="22"/>
        </w:rPr>
        <w:t xml:space="preserve">Decision rule: the track with the higher weighted score proceeds. If scores are within 2 points of each other, default to Track A (SNAP) on the grounds of higher problem severity. Do not let both tracks survive into the full build.</w:t>
      </w:r>
    </w:p>
    <w:p>
      <w:pPr>
        <w:spacing w:after="80" w:before="0"/>
      </w:pPr>
      <w:r>
        <w:t xml:space="preserve"/>
      </w:r>
    </w:p>
    <w:p>
      <w:pPr>
        <w:pStyle w:val="Heading2"/>
        <w:spacing w:after="80" w:before="240"/>
      </w:pPr>
      <w:r>
        <w:rPr>
          <w:rFonts w:ascii="Arial" w:cs="Arial" w:eastAsia="Arial" w:hAnsi="Arial"/>
          <w:b/>
          <w:bCs/>
          <w:color w:val="2C2C2A"/>
          <w:sz w:val="26"/>
          <w:szCs w:val="26"/>
        </w:rPr>
        <w:t xml:space="preserve">7.3 Questions to ask each contact</w:t>
      </w:r>
    </w:p>
    <w:p>
      <w:pPr>
        <w:pStyle w:val="Heading1"/>
        <w:spacing w:after="120" w:before="360"/>
      </w:pPr>
      <w:r>
        <w:rPr>
          <w:rFonts w:ascii="Arial" w:cs="Arial" w:eastAsia="Arial" w:hAnsi="Arial"/>
          <w:b/>
          <w:bCs/>
          <w:color w:val="1D5C8A"/>
          <w:sz w:val="32"/>
          <w:szCs w:val="32"/>
        </w:rPr>
        <w:t xml:space="preserve"/>
      </w:r>
    </w:p>
    <w:p>
      <w:pPr>
        <w:spacing w:after="60" w:before="60"/>
      </w:pPr>
      <w:r>
        <w:rPr>
          <w:rFonts w:ascii="Arial" w:cs="Arial" w:eastAsia="Arial" w:hAnsi="Arial"/>
          <w:b/>
          <w:bCs/>
          <w:color w:val="2C2C2A"/>
          <w:sz w:val="22"/>
          <w:szCs w:val="22"/>
        </w:rPr>
        <w:t xml:space="preserve">State contact (DTA / SNAP) — Track A</w:t>
      </w:r>
    </w:p>
    <w:p>
      <w:pPr>
        <w:spacing w:after="20" w:before="0"/>
      </w:pPr>
      <w:r>
        <w:t xml:space="preserve"/>
      </w:r>
    </w:p>
    <w:p>
      <w:pPr>
        <w:pStyle w:val="ListParagraph"/>
        <w:numPr>
          <w:ilvl w:val="0"/>
          <w:numId w:val="2"/>
        </w:numPr>
        <w:spacing w:after="40" w:before="40"/>
      </w:pPr>
      <w:r>
        <w:rPr>
          <w:rFonts w:ascii="Arial" w:cs="Arial" w:eastAsia="Arial" w:hAnsi="Arial"/>
          <w:color w:val="2C2C2A"/>
          <w:sz w:val="22"/>
          <w:szCs w:val="22"/>
        </w:rPr>
        <w:t xml:space="preserve">How often do you see clients miss deadlines or arrive with wrong documents for recertification? Is this a significant volume problem?</w:t>
      </w:r>
    </w:p>
    <w:p>
      <w:pPr>
        <w:pStyle w:val="ListParagraph"/>
        <w:numPr>
          <w:ilvl w:val="0"/>
          <w:numId w:val="2"/>
        </w:numPr>
        <w:spacing w:after="40" w:before="40"/>
      </w:pPr>
      <w:r>
        <w:rPr>
          <w:rFonts w:ascii="Arial" w:cs="Arial" w:eastAsia="Arial" w:hAnsi="Arial"/>
          <w:color w:val="2C2C2A"/>
          <w:sz w:val="22"/>
          <w:szCs w:val="22"/>
        </w:rPr>
        <w:t xml:space="preserve">Does the proof-category logic in the demo match how DTA verification requests actually work in practice, or are there important nuances we are missing?</w:t>
      </w:r>
    </w:p>
    <w:p>
      <w:pPr>
        <w:pStyle w:val="ListParagraph"/>
        <w:numPr>
          <w:ilvl w:val="0"/>
          <w:numId w:val="2"/>
        </w:numPr>
        <w:spacing w:after="40" w:before="40"/>
      </w:pPr>
      <w:r>
        <w:rPr>
          <w:rFonts w:ascii="Arial" w:cs="Arial" w:eastAsia="Arial" w:hAnsi="Arial"/>
          <w:color w:val="2C2C2A"/>
          <w:sz w:val="22"/>
          <w:szCs w:val="22"/>
        </w:rPr>
        <w:t xml:space="preserve">What is your reaction to the output language — 'appears to satisfy', 'likely matches'? Is it appropriately cautious or does it still feel risky?</w:t>
      </w:r>
    </w:p>
    <w:p>
      <w:pPr>
        <w:pStyle w:val="ListParagraph"/>
        <w:numPr>
          <w:ilvl w:val="0"/>
          <w:numId w:val="2"/>
        </w:numPr>
        <w:spacing w:after="40" w:before="40"/>
      </w:pPr>
      <w:r>
        <w:rPr>
          <w:rFonts w:ascii="Arial" w:cs="Arial" w:eastAsia="Arial" w:hAnsi="Arial"/>
          <w:color w:val="2C2C2A"/>
          <w:sz w:val="22"/>
          <w:szCs w:val="22"/>
        </w:rPr>
        <w:t xml:space="preserve">Are there specific document types or scenarios that would be higher priority than the ones we tested?</w:t>
      </w:r>
    </w:p>
    <w:p>
      <w:pPr>
        <w:pStyle w:val="ListParagraph"/>
        <w:numPr>
          <w:ilvl w:val="0"/>
          <w:numId w:val="2"/>
        </w:numPr>
        <w:spacing w:after="40" w:before="40"/>
      </w:pPr>
      <w:r>
        <w:rPr>
          <w:rFonts w:ascii="Arial" w:cs="Arial" w:eastAsia="Arial" w:hAnsi="Arial"/>
          <w:color w:val="2C2C2A"/>
          <w:sz w:val="22"/>
          <w:szCs w:val="22"/>
        </w:rPr>
        <w:t xml:space="preserve">Would you be comfortable being quoted or acknowledged in a submission? Is there a path to a pilot or follow-on conversation after the hackathon?</w:t>
      </w:r>
    </w:p>
    <w:p>
      <w:pPr>
        <w:spacing w:after="60" w:before="0"/>
      </w:pPr>
      <w:r>
        <w:t xml:space="preserve"/>
      </w:r>
    </w:p>
    <w:p>
      <w:pPr>
        <w:spacing w:after="60" w:before="60"/>
      </w:pPr>
      <w:r>
        <w:rPr>
          <w:rFonts w:ascii="Arial" w:cs="Arial" w:eastAsia="Arial" w:hAnsi="Arial"/>
          <w:b/>
          <w:bCs/>
          <w:color w:val="2C2C2A"/>
          <w:sz w:val="22"/>
          <w:szCs w:val="22"/>
        </w:rPr>
        <w:t xml:space="preserve">City contact (BPS) — Track B</w:t>
      </w:r>
    </w:p>
    <w:p>
      <w:pPr>
        <w:spacing w:after="20" w:before="0"/>
      </w:pPr>
      <w:r>
        <w:t xml:space="preserve"/>
      </w:r>
    </w:p>
    <w:p>
      <w:pPr>
        <w:pStyle w:val="ListParagraph"/>
        <w:numPr>
          <w:ilvl w:val="0"/>
          <w:numId w:val="2"/>
        </w:numPr>
        <w:spacing w:after="40" w:before="40"/>
      </w:pPr>
      <w:r>
        <w:rPr>
          <w:rFonts w:ascii="Arial" w:cs="Arial" w:eastAsia="Arial" w:hAnsi="Arial"/>
          <w:color w:val="2C2C2A"/>
          <w:sz w:val="22"/>
          <w:szCs w:val="22"/>
        </w:rPr>
        <w:t xml:space="preserve">What are the most common reasons families are turned away or delayed at Welcome Centers? Is document incompleteness a top issue?</w:t>
      </w:r>
    </w:p>
    <w:p>
      <w:pPr>
        <w:pStyle w:val="ListParagraph"/>
        <w:numPr>
          <w:ilvl w:val="0"/>
          <w:numId w:val="2"/>
        </w:numPr>
        <w:spacing w:after="40" w:before="40"/>
      </w:pPr>
      <w:r>
        <w:rPr>
          <w:rFonts w:ascii="Arial" w:cs="Arial" w:eastAsia="Arial" w:hAnsi="Arial"/>
          <w:color w:val="2C2C2A"/>
          <w:sz w:val="22"/>
          <w:szCs w:val="22"/>
        </w:rPr>
        <w:t xml:space="preserve">Does the checklist logic in the demo match the current BPS registration requirements, or has anything changed recently?</w:t>
      </w:r>
    </w:p>
    <w:p>
      <w:pPr>
        <w:pStyle w:val="ListParagraph"/>
        <w:numPr>
          <w:ilvl w:val="0"/>
          <w:numId w:val="2"/>
        </w:numPr>
        <w:spacing w:after="40" w:before="40"/>
      </w:pPr>
      <w:r>
        <w:rPr>
          <w:rFonts w:ascii="Arial" w:cs="Arial" w:eastAsia="Arial" w:hAnsi="Arial"/>
          <w:color w:val="2C2C2A"/>
          <w:sz w:val="22"/>
          <w:szCs w:val="22"/>
        </w:rPr>
        <w:t xml:space="preserve">Would Welcome Center staff find this useful to share with families in advance of a visit? How would they distribute it?</w:t>
      </w:r>
    </w:p>
    <w:p>
      <w:pPr>
        <w:pStyle w:val="ListParagraph"/>
        <w:numPr>
          <w:ilvl w:val="0"/>
          <w:numId w:val="2"/>
        </w:numPr>
        <w:spacing w:after="40" w:before="40"/>
      </w:pPr>
      <w:r>
        <w:rPr>
          <w:rFonts w:ascii="Arial" w:cs="Arial" w:eastAsia="Arial" w:hAnsi="Arial"/>
          <w:color w:val="2C2C2A"/>
          <w:sz w:val="22"/>
          <w:szCs w:val="22"/>
        </w:rPr>
        <w:t xml:space="preserve">Is the duplicate-residency-category flag realistic — does this actually happen frequently?</w:t>
      </w:r>
    </w:p>
    <w:p>
      <w:pPr>
        <w:pStyle w:val="ListParagraph"/>
        <w:numPr>
          <w:ilvl w:val="0"/>
          <w:numId w:val="2"/>
        </w:numPr>
        <w:spacing w:after="40" w:before="40"/>
      </w:pPr>
      <w:r>
        <w:rPr>
          <w:rFonts w:ascii="Arial" w:cs="Arial" w:eastAsia="Arial" w:hAnsi="Arial"/>
          <w:color w:val="2C2C2A"/>
          <w:sz w:val="22"/>
          <w:szCs w:val="22"/>
        </w:rPr>
        <w:t xml:space="preserve">Would you be comfortable being quoted or acknowledged in a submission? Is there an outreach team or community partner who might want to see this?</w:t>
      </w:r>
    </w:p>
    <w:p>
      <w:pPr>
        <w:spacing w:after="80" w:before="0"/>
      </w:pPr>
      <w:r>
        <w:t xml:space="preserve"/>
      </w:r>
    </w:p>
    <w:p>
      <w:pPr>
        <w:pStyle w:val="Heading1"/>
        <w:spacing w:after="120" w:before="360"/>
      </w:pPr>
      <w:r>
        <w:rPr>
          <w:rFonts w:ascii="Arial" w:cs="Arial" w:eastAsia="Arial" w:hAnsi="Arial"/>
          <w:b/>
          <w:bCs/>
          <w:color w:val="1D5C8A"/>
          <w:sz w:val="32"/>
          <w:szCs w:val="32"/>
        </w:rPr>
        <w:t xml:space="preserve">8. Infrastructure &amp;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360"/>
        <w:gridCol w:w="1600"/>
      </w:tblGrid>
      <w:tr>
        <w:tc>
          <w:tcPr>
            <w:tcW w:type="dxa" w:w="24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Task</w:t>
            </w:r>
          </w:p>
        </w:tc>
        <w:tc>
          <w:tcPr>
            <w:tcW w:type="dxa" w:w="536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Recommended option</w:t>
            </w:r>
          </w:p>
        </w:tc>
        <w:tc>
          <w:tcPr>
            <w:tcW w:type="dxa" w:w="16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Cost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C2C2A"/>
                <w:sz w:val="20"/>
                <w:szCs w:val="20"/>
              </w:rPr>
              <w:t xml:space="preserve">Local dev / testing</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2C2A"/>
                <w:sz w:val="20"/>
                <w:szCs w:val="20"/>
              </w:rPr>
              <w:t xml:space="preserve">Mac Air with Ollama + gemma4:e2b. Pull the model (~2GB), test image input with a real document photo. Fast iteration, no cost, fully offline.</w:t>
            </w:r>
          </w:p>
        </w:tc>
        <w:tc>
          <w:tcPr>
            <w:tcW w:type="dxa" w:w="16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85041"/>
                <w:sz w:val="18"/>
                <w:szCs w:val="18"/>
              </w:rPr>
              <w:t xml:space="preserve">Free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C2C2A"/>
                <w:sz w:val="20"/>
                <w:szCs w:val="20"/>
              </w:rPr>
              <w:t xml:space="preserve">Spike inference (E2B)</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2C2A"/>
                <w:sz w:val="20"/>
                <w:szCs w:val="20"/>
              </w:rPr>
              <w:t xml:space="preserve">Ollama on Mac Air — sufficient for the 5-day spike. E2B requires ~3GB RAM. Switch to E4B only if output quality is clearly insufficient.</w:t>
            </w:r>
          </w:p>
        </w:tc>
        <w:tc>
          <w:tcPr>
            <w:tcW w:type="dxa" w:w="16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85041"/>
                <w:sz w:val="18"/>
                <w:szCs w:val="18"/>
              </w:rPr>
              <w:t xml:space="preserve">Free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C2C2A"/>
                <w:sz w:val="20"/>
                <w:szCs w:val="20"/>
              </w:rPr>
              <w:t xml:space="preserve">Spike inference (E4B fallback)</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2C2A"/>
                <w:sz w:val="20"/>
                <w:szCs w:val="20"/>
              </w:rPr>
              <w:t xml:space="preserve">Gemma 4 E4B via Ollama or Google AI Edge Gallery (browser-based). E4B needs ~4GB RAM and is more capable on dense document layouts.</w:t>
            </w:r>
          </w:p>
        </w:tc>
        <w:tc>
          <w:tcPr>
            <w:tcW w:type="dxa" w:w="16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85041"/>
                <w:sz w:val="18"/>
                <w:szCs w:val="18"/>
              </w:rPr>
              <w:t xml:space="preserve">Free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C2C2A"/>
                <w:sz w:val="20"/>
                <w:szCs w:val="20"/>
              </w:rPr>
              <w:t xml:space="preserve">Gold answer sheet &amp; eval</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2C2A"/>
                <w:sz w:val="20"/>
                <w:szCs w:val="20"/>
              </w:rPr>
              <w:t xml:space="preserve">Write gold answers in a simple spreadsheet. Score manually or with an LLM-as-judge prompt (Claude or GPT-4o free tier). No compute cost.</w:t>
            </w:r>
          </w:p>
        </w:tc>
        <w:tc>
          <w:tcPr>
            <w:tcW w:type="dxa" w:w="16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85041"/>
                <w:sz w:val="18"/>
                <w:szCs w:val="18"/>
              </w:rPr>
              <w:t xml:space="preserve">Free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C2C2A"/>
                <w:sz w:val="20"/>
                <w:szCs w:val="20"/>
              </w:rPr>
              <w:t xml:space="preserve">Artifact synthesis</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2C2A"/>
                <w:sz w:val="20"/>
                <w:szCs w:val="20"/>
              </w:rPr>
              <w:t xml:space="preserve">Use Claude or GPT-4o free tier to generate synthetic document content (fake names, addresses, amounts). Never use real resident data.</w:t>
            </w:r>
          </w:p>
        </w:tc>
        <w:tc>
          <w:tcPr>
            <w:tcW w:type="dxa" w:w="16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85041"/>
                <w:sz w:val="18"/>
                <w:szCs w:val="18"/>
              </w:rPr>
              <w:t xml:space="preserve">Free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C2C2A"/>
                <w:sz w:val="20"/>
                <w:szCs w:val="20"/>
              </w:rPr>
              <w:t xml:space="preserve">Demo hosting</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2C2A"/>
                <w:sz w:val="20"/>
                <w:szCs w:val="20"/>
              </w:rPr>
              <w:t xml:space="preserve">Hugging Face Spaces (free Gradio hosting). Deploy early — Day 4 — so the URL is stable for stakeholder meetings.</w:t>
            </w:r>
          </w:p>
        </w:tc>
        <w:tc>
          <w:tcPr>
            <w:tcW w:type="dxa" w:w="16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85041"/>
                <w:sz w:val="18"/>
                <w:szCs w:val="18"/>
              </w:rPr>
              <w:t xml:space="preserve">Free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C2C2A"/>
                <w:sz w:val="20"/>
                <w:szCs w:val="20"/>
              </w:rPr>
              <w:t xml:space="preserve">Full build inference (if needed)</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2C2A"/>
                <w:sz w:val="20"/>
                <w:szCs w:val="20"/>
              </w:rPr>
              <w:t xml:space="preserve">Kaggle Notebooks (free T4 GPU) for any fine-tuning experiments. Unlikely to be needed — this project is primarily prompting + matching, not fine-tuning.</w:t>
            </w:r>
          </w:p>
        </w:tc>
        <w:tc>
          <w:tcPr>
            <w:tcW w:type="dxa" w:w="16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85041"/>
                <w:sz w:val="18"/>
                <w:szCs w:val="18"/>
              </w:rPr>
              <w:t xml:space="preserve">Free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C2C2A"/>
                <w:sz w:val="20"/>
                <w:szCs w:val="20"/>
              </w:rPr>
              <w:t xml:space="preserve">Employer GPU request</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2C2A"/>
                <w:sz w:val="20"/>
                <w:szCs w:val="20"/>
              </w:rPr>
              <w:t xml:space="preserve">Not needed. This project is inference-only with a small model. No training runs required.</w:t>
            </w:r>
          </w:p>
        </w:tc>
        <w:tc>
          <w:tcPr>
            <w:tcW w:type="dxa" w:w="1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center"/>
            </w:pPr>
            <w:r>
              <w:rPr>
                <w:rFonts w:ascii="Arial" w:cs="Arial" w:eastAsia="Arial" w:hAnsi="Arial"/>
                <w:b/>
                <w:bCs/>
                <w:color w:val="444441"/>
                <w:sz w:val="18"/>
                <w:szCs w:val="18"/>
              </w:rPr>
              <w:t xml:space="preserve">None</w:t>
            </w:r>
          </w:p>
        </w:tc>
      </w:tr>
    </w:tbl>
    <w:p>
      <w:pPr>
        <w:spacing w:after="60" w:before="0"/>
      </w:pPr>
      <w:r>
        <w:t xml:space="preserve"/>
      </w:r>
    </w:p>
    <w:p>
      <w:pPr>
        <w:spacing w:after="60" w:before="60"/>
      </w:pPr>
      <w:r>
        <w:rPr>
          <w:rFonts w:ascii="Arial" w:cs="Arial" w:eastAsia="Arial" w:hAnsi="Arial"/>
          <w:i/>
          <w:iCs/>
          <w:color w:val="5F5E5A"/>
          <w:sz w:val="22"/>
          <w:szCs w:val="22"/>
        </w:rPr>
        <w:t xml:space="preserve">Bottom line: the entire project — spike through submission — is achievable at near-zero cost. The Mac Air is sufficient. No employer resource request needed.</w:t>
      </w:r>
    </w:p>
    <w:p>
      <w:pPr>
        <w:spacing w:after="80" w:before="0"/>
      </w:pPr>
      <w:r>
        <w:t xml:space="preserve"/>
      </w:r>
    </w:p>
    <w:p>
      <w:pPr>
        <w:pStyle w:val="Heading1"/>
        <w:spacing w:after="120" w:before="360"/>
      </w:pPr>
      <w:r>
        <w:rPr>
          <w:rFonts w:ascii="Arial" w:cs="Arial" w:eastAsia="Arial" w:hAnsi="Arial"/>
          <w:b/>
          <w:bCs/>
          <w:color w:val="1D5C8A"/>
          <w:sz w:val="32"/>
          <w:szCs w:val="32"/>
        </w:rPr>
        <w:t xml:space="preserve">9. Open Questions &amp; Risks</w:t>
      </w:r>
    </w:p>
    <w:p>
      <w:pPr>
        <w:pStyle w:val="Heading2"/>
        <w:spacing w:after="80" w:before="240"/>
      </w:pPr>
      <w:r>
        <w:rPr>
          <w:rFonts w:ascii="Arial" w:cs="Arial" w:eastAsia="Arial" w:hAnsi="Arial"/>
          <w:b/>
          <w:bCs/>
          <w:color w:val="2C2C2A"/>
          <w:sz w:val="26"/>
          <w:szCs w:val="26"/>
        </w:rPr>
        <w:t xml:space="preserve">9.1 Technical risks</w:t>
      </w:r>
    </w:p>
    <w:p>
      <w:pPr>
        <w:pStyle w:val="ListParagraph"/>
        <w:numPr>
          <w:ilvl w:val="0"/>
          <w:numId w:val="2"/>
        </w:numPr>
        <w:spacing w:after="40" w:before="40"/>
      </w:pPr>
      <w:r>
        <w:rPr>
          <w:rFonts w:ascii="Arial" w:cs="Arial" w:eastAsia="Arial" w:hAnsi="Arial"/>
          <w:color w:val="2C2C2A"/>
          <w:sz w:val="22"/>
          <w:szCs w:val="22"/>
        </w:rPr>
        <w:t xml:space="preserve">Document quality: photographed government notices and documents vary enormously in quality. The spike must test the realistic floor — blurry phone photos, partially cropped documents, non-standard layouts — not just clean PDFs.</w:t>
      </w:r>
    </w:p>
    <w:p>
      <w:pPr>
        <w:pStyle w:val="ListParagraph"/>
        <w:numPr>
          <w:ilvl w:val="0"/>
          <w:numId w:val="2"/>
        </w:numPr>
        <w:spacing w:after="40" w:before="40"/>
      </w:pPr>
      <w:r>
        <w:rPr>
          <w:rFonts w:ascii="Arial" w:cs="Arial" w:eastAsia="Arial" w:hAnsi="Arial"/>
          <w:color w:val="2C2C2A"/>
          <w:sz w:val="22"/>
          <w:szCs w:val="22"/>
        </w:rPr>
        <w:t xml:space="preserve">Proof-category grounding: the matching logic is hard-coded from published guidance. But DTA caseworkers have some discretion in what they accept, and the published guidance may not cover every document type a resident might present. The state contact review is specifically intended to catch these gaps.</w:t>
      </w:r>
    </w:p>
    <w:p>
      <w:pPr>
        <w:pStyle w:val="ListParagraph"/>
        <w:numPr>
          <w:ilvl w:val="0"/>
          <w:numId w:val="2"/>
        </w:numPr>
        <w:spacing w:after="40" w:before="40"/>
      </w:pPr>
      <w:r>
        <w:rPr>
          <w:rFonts w:ascii="Arial" w:cs="Arial" w:eastAsia="Arial" w:hAnsi="Arial"/>
          <w:color w:val="2C2C2A"/>
          <w:sz w:val="22"/>
          <w:szCs w:val="22"/>
        </w:rPr>
        <w:t xml:space="preserve">Guardrail robustness: probabilistic language ('appears to satisfy') may not be salient enough under stress. A resident in a stressful situation reads 'appears to satisfy' as 'good enough.' The UI design must make uncertainty prominent and actionable, not just present.</w:t>
      </w:r>
    </w:p>
    <w:p>
      <w:pPr>
        <w:pStyle w:val="ListParagraph"/>
        <w:numPr>
          <w:ilvl w:val="0"/>
          <w:numId w:val="2"/>
        </w:numPr>
        <w:spacing w:after="40" w:before="40"/>
      </w:pPr>
      <w:r>
        <w:rPr>
          <w:rFonts w:ascii="Arial" w:cs="Arial" w:eastAsia="Arial" w:hAnsi="Arial"/>
          <w:color w:val="2C2C2A"/>
          <w:sz w:val="22"/>
          <w:szCs w:val="22"/>
        </w:rPr>
        <w:t xml:space="preserve">Model hallucination on document fields: Gemma 4 may confidently extract incorrect field values (wrong dates, wrong amounts) from low-quality images. Every extracted field must carry a grounding span so a user can verify it against the source document.</w:t>
      </w:r>
    </w:p>
    <w:p>
      <w:pPr>
        <w:spacing w:after="40" w:before="0"/>
      </w:pPr>
      <w:r>
        <w:t xml:space="preserve"/>
      </w:r>
    </w:p>
    <w:p>
      <w:pPr>
        <w:pStyle w:val="Heading2"/>
        <w:spacing w:after="80" w:before="240"/>
      </w:pPr>
      <w:r>
        <w:rPr>
          <w:rFonts w:ascii="Arial" w:cs="Arial" w:eastAsia="Arial" w:hAnsi="Arial"/>
          <w:b/>
          <w:bCs/>
          <w:color w:val="2C2C2A"/>
          <w:sz w:val="26"/>
          <w:szCs w:val="26"/>
        </w:rPr>
        <w:t xml:space="preserve">9.2 Stakeholder and ethical risks</w:t>
      </w:r>
    </w:p>
    <w:p>
      <w:pPr>
        <w:pStyle w:val="ListParagraph"/>
        <w:numPr>
          <w:ilvl w:val="0"/>
          <w:numId w:val="2"/>
        </w:numPr>
        <w:spacing w:after="40" w:before="40"/>
      </w:pPr>
      <w:r>
        <w:rPr>
          <w:rFonts w:ascii="Arial" w:cs="Arial" w:eastAsia="Arial" w:hAnsi="Arial"/>
          <w:color w:val="2C2C2A"/>
          <w:sz w:val="22"/>
          <w:szCs w:val="22"/>
        </w:rPr>
        <w:t xml:space="preserve">Agency risk-aversion: DTA is a state agency that touches benefit eligibility. Even with careful guardrail language, a DTA contact may be institutionally reluctant to endorse any tool that touches SNAP determinations. If this is the feedback, it is a legitimate reason to prefer Track B.</w:t>
      </w:r>
    </w:p>
    <w:p>
      <w:pPr>
        <w:pStyle w:val="ListParagraph"/>
        <w:numPr>
          <w:ilvl w:val="0"/>
          <w:numId w:val="2"/>
        </w:numPr>
        <w:spacing w:after="40" w:before="40"/>
      </w:pPr>
      <w:r>
        <w:rPr>
          <w:rFonts w:ascii="Arial" w:cs="Arial" w:eastAsia="Arial" w:hAnsi="Arial"/>
          <w:color w:val="2C2C2A"/>
          <w:sz w:val="22"/>
          <w:szCs w:val="22"/>
        </w:rPr>
        <w:t xml:space="preserve">Privacy in demo context: demo documents must be fully synthetic — no real resident names, real document numbers, or real addresses. The submission should explicitly state that the production system would run entirely on-device with no data leaving the device.</w:t>
      </w:r>
    </w:p>
    <w:p>
      <w:pPr>
        <w:pStyle w:val="ListParagraph"/>
        <w:numPr>
          <w:ilvl w:val="0"/>
          <w:numId w:val="2"/>
        </w:numPr>
        <w:spacing w:after="40" w:before="40"/>
      </w:pPr>
      <w:r>
        <w:rPr>
          <w:rFonts w:ascii="Arial" w:cs="Arial" w:eastAsia="Arial" w:hAnsi="Arial"/>
          <w:color w:val="2C2C2A"/>
          <w:sz w:val="22"/>
          <w:szCs w:val="22"/>
        </w:rPr>
        <w:t xml:space="preserve">Scope creep into eligibility advice: the system must never drift from 'your document appears to satisfy this category' toward 'you are eligible for benefits.' This is a failure mode that can emerge subtly through output language. Every output must be reviewed for eligibility language before the stakeholder meetings.</w:t>
      </w:r>
    </w:p>
    <w:p>
      <w:pPr>
        <w:pStyle w:val="ListParagraph"/>
        <w:numPr>
          <w:ilvl w:val="0"/>
          <w:numId w:val="2"/>
        </w:numPr>
        <w:spacing w:after="40" w:before="40"/>
      </w:pPr>
      <w:r>
        <w:rPr>
          <w:rFonts w:ascii="Arial" w:cs="Arial" w:eastAsia="Arial" w:hAnsi="Arial"/>
          <w:color w:val="2C2C2A"/>
          <w:sz w:val="22"/>
          <w:szCs w:val="22"/>
        </w:rPr>
        <w:t xml:space="preserve">Misuse by adversarial actors: a document-understanding tool could in principle be used to understand what a fraudulent document needs to contain. This is a real concern for any deployment beyond a hackathon demo and should be acknowledged honestly to government contacts.</w:t>
      </w:r>
    </w:p>
    <w:p>
      <w:pPr>
        <w:spacing w:after="80" w:before="0"/>
      </w:pPr>
      <w:r>
        <w:t xml:space="preserve"/>
      </w:r>
    </w:p>
    <w:p>
      <w:pPr>
        <w:pStyle w:val="Heading1"/>
        <w:spacing w:after="120" w:before="360"/>
      </w:pPr>
      <w:r>
        <w:rPr>
          <w:rFonts w:ascii="Arial" w:cs="Arial" w:eastAsia="Arial" w:hAnsi="Arial"/>
          <w:b/>
          <w:bCs/>
          <w:color w:val="1D5C8A"/>
          <w:sz w:val="32"/>
          <w:szCs w:val="32"/>
        </w:rPr>
        <w:t xml:space="preserve">10. Submission Requirements &amp; Demo Narrative</w:t>
      </w:r>
    </w:p>
    <w:p>
      <w:pPr>
        <w:pStyle w:val="Heading2"/>
        <w:spacing w:after="80" w:before="240"/>
      </w:pPr>
      <w:r>
        <w:rPr>
          <w:rFonts w:ascii="Arial" w:cs="Arial" w:eastAsia="Arial" w:hAnsi="Arial"/>
          <w:b/>
          <w:bCs/>
          <w:color w:val="2C2C2A"/>
          <w:sz w:val="26"/>
          <w:szCs w:val="26"/>
        </w:rPr>
        <w:t xml:space="preserve">10.1 Submission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760"/>
        <w:gridCol w:w="2800"/>
      </w:tblGrid>
      <w:tr>
        <w:tc>
          <w:tcPr>
            <w:tcW w:type="dxa" w:w="18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Component</w:t>
            </w:r>
          </w:p>
        </w:tc>
        <w:tc>
          <w:tcPr>
            <w:tcW w:type="dxa" w:w="476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Must include</w:t>
            </w:r>
          </w:p>
        </w:tc>
        <w:tc>
          <w:tcPr>
            <w:tcW w:type="dxa" w:w="28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Notes</w:t>
            </w:r>
          </w:p>
        </w:tc>
      </w:tr>
      <w:tr>
        <w:tc>
          <w:tcPr>
            <w:tcW w:type="dxa" w:w="1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bCs/>
                <w:color w:val="2C2C2A"/>
                <w:sz w:val="18"/>
                <w:szCs w:val="18"/>
              </w:rPr>
              <w:t xml:space="preserve">Video demo</w:t>
            </w:r>
          </w:p>
        </w:tc>
        <w:tc>
          <w:tcPr>
            <w:tcW w:type="dxa" w:w="47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2–3 minutes. Problem hook (30s), proof-pack or packet demo (60s), eval results summary (30s), stakeholder quote or reaction (20s), closing impact statement (20s).</w:t>
            </w:r>
          </w:p>
        </w:tc>
        <w:tc>
          <w:tcPr>
            <w:tcW w:type="dxa" w:w="2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Record with captions. Show the eval scorecard briefly — it signals rigor. Stakeholder quote is the most powerful 20 seconds.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18"/>
                <w:szCs w:val="18"/>
              </w:rPr>
              <w:t xml:space="preserve">Technical writeup</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Problem motivation, prior work (existing civic tech tools and their gaps), technical approach, architecture, eval framework, scored results table with failure modes documented, stakeholder feedback summary, limitations, future directions.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The eval section is the DS differentiator. Include the full scoring table, not just the headline number.</w:t>
            </w:r>
          </w:p>
        </w:tc>
      </w:tr>
      <w:tr>
        <w:tc>
          <w:tcPr>
            <w:tcW w:type="dxa" w:w="1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bCs/>
                <w:color w:val="2C2C2A"/>
                <w:sz w:val="18"/>
                <w:szCs w:val="18"/>
              </w:rPr>
              <w:t xml:space="preserve">GitHub repo</w:t>
            </w:r>
          </w:p>
        </w:tc>
        <w:tc>
          <w:tcPr>
            <w:tcW w:type="dxa" w:w="47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README with setup instructions, extraction prompt, matching logic, eval script with gold answers, Gradio demo code, artifact synthesis script, requirements.txt. Apache 2.0 license.</w:t>
            </w:r>
          </w:p>
        </w:tc>
        <w:tc>
          <w:tcPr>
            <w:tcW w:type="dxa" w:w="2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Must be public at submission time. Include a one-click Colab or Kaggle notebook link.</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18"/>
                <w:szCs w:val="18"/>
              </w:rPr>
              <w:t xml:space="preserve">Live demo</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Gradio app on Hugging Face Spaces. Document upload, structured output display (proof-pack grid or packet-readiness board), plain-language summary, uncertainty flags prominently shown.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Deploy on Day 4 of the spike. Stable URL needed for stakeholder meetings.</w:t>
            </w:r>
          </w:p>
        </w:tc>
      </w:tr>
      <w:tr>
        <w:tc>
          <w:tcPr>
            <w:tcW w:type="dxa" w:w="1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bCs/>
                <w:color w:val="2C2C2A"/>
                <w:sz w:val="18"/>
                <w:szCs w:val="18"/>
              </w:rPr>
              <w:t xml:space="preserve">Eval scorecard</w:t>
            </w:r>
          </w:p>
        </w:tc>
        <w:tc>
          <w:tcPr>
            <w:tcW w:type="dxa" w:w="47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Completed scoring table (Section 5.5) for the winning track. Include number of scenarios, pass rates per dimension, abstention rate, and at least two documented failure modes.</w:t>
            </w:r>
          </w:p>
        </w:tc>
        <w:tc>
          <w:tcPr>
            <w:tcW w:type="dxa" w:w="2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This is the most differentiating submission element for a 'for good' hackathon. No other team will have done this level of benchmarking.</w:t>
            </w:r>
          </w:p>
        </w:tc>
      </w:tr>
    </w:tbl>
    <w:p>
      <w:pPr>
        <w:spacing w:after="60" w:before="0"/>
      </w:pPr>
      <w:r>
        <w:t xml:space="preserve"/>
      </w:r>
    </w:p>
    <w:p>
      <w:pPr>
        <w:pStyle w:val="Heading2"/>
        <w:spacing w:after="80" w:before="240"/>
      </w:pPr>
      <w:r>
        <w:rPr>
          <w:rFonts w:ascii="Arial" w:cs="Arial" w:eastAsia="Arial" w:hAnsi="Arial"/>
          <w:b/>
          <w:bCs/>
          <w:color w:val="2C2C2A"/>
          <w:sz w:val="26"/>
          <w:szCs w:val="26"/>
        </w:rPr>
        <w:t xml:space="preserve">10.2 Demo video narrative</w:t>
      </w:r>
    </w:p>
    <w:p>
      <w:pPr>
        <w:pStyle w:val="ListParagraph"/>
        <w:numPr>
          <w:ilvl w:val="0"/>
          <w:numId w:val="2"/>
        </w:numPr>
        <w:spacing w:after="40" w:before="40"/>
      </w:pPr>
      <w:r>
        <w:rPr>
          <w:rFonts w:ascii="Arial" w:cs="Arial" w:eastAsia="Arial" w:hAnsi="Arial"/>
          <w:color w:val="2C2C2A"/>
          <w:sz w:val="22"/>
          <w:szCs w:val="22"/>
        </w:rPr>
        <w:t xml:space="preserve">0:00–0:30 — Problem hook: show a real DTA notice (synthetic) with complex language. Voiceover: 'This notice was sent to a Massachusetts resident needing to recertify their SNAP benefits. They have two weeks to respond. They have documents at home. They have no idea if those documents will work.' Cut to: the resident photographing the notice with their phone.</w:t>
      </w:r>
    </w:p>
    <w:p>
      <w:pPr>
        <w:pStyle w:val="ListParagraph"/>
        <w:numPr>
          <w:ilvl w:val="0"/>
          <w:numId w:val="2"/>
        </w:numPr>
        <w:spacing w:after="40" w:before="40"/>
      </w:pPr>
      <w:r>
        <w:rPr>
          <w:rFonts w:ascii="Arial" w:cs="Arial" w:eastAsia="Arial" w:hAnsi="Arial"/>
          <w:color w:val="2C2C2A"/>
          <w:sz w:val="22"/>
          <w:szCs w:val="22"/>
        </w:rPr>
        <w:t xml:space="preserve">0:30–1:30 — Demo the system: photograph the notice, photograph three documents (one strong match, one weak, one irrelevant). System returns the proof-pack grid in plain language. Highlight: the model identifies the deadline, maps the pay stub to income verification, flags the handwritten letter as insufficient, and returns a clear 'what to send' summary. Show the evidence spans grounding each claim.</w:t>
      </w:r>
    </w:p>
    <w:p>
      <w:pPr>
        <w:pStyle w:val="ListParagraph"/>
        <w:numPr>
          <w:ilvl w:val="0"/>
          <w:numId w:val="2"/>
        </w:numPr>
        <w:spacing w:after="40" w:before="40"/>
      </w:pPr>
      <w:r>
        <w:rPr>
          <w:rFonts w:ascii="Arial" w:cs="Arial" w:eastAsia="Arial" w:hAnsi="Arial"/>
          <w:color w:val="2C2C2A"/>
          <w:sz w:val="22"/>
          <w:szCs w:val="22"/>
        </w:rPr>
        <w:t xml:space="preserve">1:30–2:00 — Show the eval scorecard briefly: 8 scenarios, pass rates, abstention examples. Voiceover: 'We built and scored a benchmark before testing. This is what the system gets right, and this is where it still struggles.' Then: quote or reaction from government contact. Closing: 'Privacy-preserving, on-device, free. A tool that meets residents where they are.'</w:t>
      </w:r>
    </w:p>
    <w:p>
      <w:pPr>
        <w:spacing w:after="40" w:before="0"/>
      </w:pPr>
      <w:r>
        <w:t xml:space="preserve"/>
      </w:r>
    </w:p>
    <w:p>
      <w:pPr>
        <w:spacing w:after="60" w:before="60"/>
      </w:pPr>
      <w:r>
        <w:rPr>
          <w:rFonts w:ascii="Arial" w:cs="Arial" w:eastAsia="Arial" w:hAnsi="Arial"/>
          <w:color w:val="2C2C2A"/>
          <w:sz w:val="22"/>
          <w:szCs w:val="22"/>
        </w:rPr>
        <w:t xml:space="preserve">Note: the most important 30 seconds is the proof-pack grid reveal at 1:00–1:30. The before/after — confusing notice — to — clear action list — is the core emotional beat. Spend disproportionate time making that transition visually clean. The eval scorecard cameo at 1:30 is the second most important moment: it signals that you took the safety question seriously, which is what government contacts and 'for good' judges respond to.</w:t>
      </w:r>
    </w:p>
    <w:p>
      <w:pPr>
        <w:spacing w:after="80" w:before="0"/>
      </w:pPr>
      <w:r>
        <w:t xml:space="preserve"/>
      </w:r>
    </w:p>
    <w:p>
      <w:pPr>
        <w:pStyle w:val="Heading1"/>
        <w:spacing w:after="120" w:before="360"/>
      </w:pPr>
      <w:r>
        <w:rPr>
          <w:rFonts w:ascii="Arial" w:cs="Arial" w:eastAsia="Arial" w:hAnsi="Arial"/>
          <w:b/>
          <w:bCs/>
          <w:color w:val="1D5C8A"/>
          <w:sz w:val="32"/>
          <w:szCs w:val="32"/>
        </w:rPr>
        <w:t xml:space="preserve">11. Next Immediate Steps</w:t>
      </w:r>
    </w:p>
    <w:p>
      <w:pPr>
        <w:pStyle w:val="ListParagraph"/>
        <w:numPr>
          <w:ilvl w:val="0"/>
          <w:numId w:val="3"/>
        </w:numPr>
        <w:spacing w:after="60" w:before="60"/>
      </w:pPr>
      <w:r>
        <w:rPr>
          <w:rFonts w:ascii="Arial" w:cs="Arial" w:eastAsia="Arial" w:hAnsi="Arial"/>
          <w:b/>
          <w:bCs/>
          <w:color w:val="2C2C2A"/>
          <w:sz w:val="22"/>
          <w:szCs w:val="22"/>
        </w:rPr>
        <w:t xml:space="preserve">Collect 8–10 realistic synthetic artifacts per track — use publicly available DTA notice templates from mass.gov and the BPS registration checklist from bostonpublicschools.org. Synthesize realistic but entirely fictitious names, addresses, and amounts.</w:t>
      </w:r>
    </w:p>
    <w:p>
      <w:pPr>
        <w:pStyle w:val="ListParagraph"/>
        <w:numPr>
          <w:ilvl w:val="0"/>
          <w:numId w:val="3"/>
        </w:numPr>
        <w:spacing w:after="60" w:before="60"/>
      </w:pPr>
      <w:r>
        <w:rPr>
          <w:rFonts w:ascii="Arial" w:cs="Arial" w:eastAsia="Arial" w:hAnsi="Arial"/>
          <w:b/>
          <w:bCs/>
          <w:color w:val="2C2C2A"/>
          <w:sz w:val="22"/>
          <w:szCs w:val="22"/>
        </w:rPr>
        <w:t xml:space="preserve">Write gold answer sheets for every scenario before any model testing. Store in a spreadsheet with columns: scenario_id, expected_doc_type, expected_category_mapping, expected_missing_items, expected_deadline_extraction, expected_abstention (true/false).</w:t>
      </w:r>
    </w:p>
    <w:p>
      <w:pPr>
        <w:pStyle w:val="ListParagraph"/>
        <w:numPr>
          <w:ilvl w:val="0"/>
          <w:numId w:val="3"/>
        </w:numPr>
        <w:spacing w:after="60" w:before="60"/>
      </w:pPr>
      <w:r>
        <w:rPr>
          <w:rFonts w:ascii="Arial" w:cs="Arial" w:eastAsia="Arial" w:hAnsi="Arial"/>
          <w:b/>
          <w:bCs/>
          <w:color w:val="2C2C2A"/>
          <w:sz w:val="22"/>
          <w:szCs w:val="22"/>
        </w:rPr>
        <w:t xml:space="preserve">Install Ollama on Mac Air and pull gemma4:e2b. Run a quick sanity check: photograph a test document and confirm the model can extract text and key fields from a phone-quality image.</w:t>
      </w:r>
    </w:p>
    <w:p>
      <w:pPr>
        <w:pStyle w:val="ListParagraph"/>
        <w:numPr>
          <w:ilvl w:val="0"/>
          <w:numId w:val="3"/>
        </w:numPr>
        <w:spacing w:after="60" w:before="60"/>
      </w:pPr>
      <w:r>
        <w:rPr>
          <w:rFonts w:ascii="Arial" w:cs="Arial" w:eastAsia="Arial" w:hAnsi="Arial"/>
          <w:b/>
          <w:bCs/>
          <w:color w:val="2C2C2A"/>
          <w:sz w:val="22"/>
          <w:szCs w:val="22"/>
        </w:rPr>
        <w:t xml:space="preserve">Reach out to both government contacts now — before the spike — to schedule meetings for Week 2. Frame as: 'I’m building a tool to help residents with [SNAP/BPS] document preparation and want to show you what I have and get your feedback before submitting.'</w:t>
      </w:r>
    </w:p>
    <w:p>
      <w:pPr>
        <w:pStyle w:val="ListParagraph"/>
        <w:numPr>
          <w:ilvl w:val="0"/>
          <w:numId w:val="3"/>
        </w:numPr>
        <w:spacing w:after="60" w:before="60"/>
      </w:pPr>
      <w:r>
        <w:rPr>
          <w:rFonts w:ascii="Arial" w:cs="Arial" w:eastAsia="Arial" w:hAnsi="Arial"/>
          <w:b/>
          <w:bCs/>
          <w:color w:val="2C2C2A"/>
          <w:sz w:val="22"/>
          <w:szCs w:val="22"/>
        </w:rPr>
        <w:t xml:space="preserve">Confirm hackathon submission deadline and required components from the Kaggle competition page.</w:t>
      </w:r>
    </w:p>
    <w:p>
      <w:pPr>
        <w:spacing w:after="40" w:before="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888780"/>
        <w:sz w:val="18"/>
        <w:szCs w:val="18"/>
      </w:rPr>
      <w:t xml:space="preserve">Civic Document Intelligence  |  Gemma 4 Good Hackathon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84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2026-04-03T14:42:37.908Z</dcterms:created>
  <dcterms:modified xsi:type="dcterms:W3CDTF">2026-04-03T14:42:37.909Z</dcterms:modified>
</cp:coreProperties>
</file>

<file path=docProps/custom.xml><?xml version="1.0" encoding="utf-8"?>
<Properties xmlns="http://schemas.openxmlformats.org/officeDocument/2006/custom-properties" xmlns:vt="http://schemas.openxmlformats.org/officeDocument/2006/docPropsVTypes"/>
</file>