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/>
        <w:t xml:space="preserve">RELATÓRIO TÉCNICO — Data Warehouse Organizacional e DataMarts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Campo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Instituição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Instituto Federal de Goiás (IFG) — Campus Goiânia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Disciplina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Tópicos Avançados em Inteligência Artificial I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Professor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Sirlon Diniz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Autor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Daniel Flávio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Data de entrega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30/09/2026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1. Objetivo</w:t>
      </w:r>
    </w:p>
    <w:p>
      <w:pPr>
        <w:pStyle w:val="Normal"/>
      </w:pPr>
      <w:r>
        <w:rPr/>
        <w:t xml:space="preserve">Construir um </w:t>
      </w:r>
      <w:r>
        <w:rPr>
          <w:b/>
        </w:rPr>
        <w:t xml:space="preserve">Data Warehouse (DW) Organizacional</w:t>
      </w:r>
      <w:r>
        <w:rPr/>
        <w:t xml:space="preserve"> integrando duas bases de dados distintas — </w:t>
      </w:r>
      <w:r>
        <w:rPr>
          <w:b/>
        </w:rPr>
        <w:t xml:space="preserve">Northwind</w:t>
      </w:r>
      <w:r>
        <w:rPr/>
        <w:t xml:space="preserve"> e </w:t>
      </w:r>
      <w:r>
        <w:rPr>
          <w:b/>
        </w:rPr>
        <w:t xml:space="preserve">Mercearia</w:t>
      </w:r>
      <w:r>
        <w:rPr/>
        <w:t xml:space="preserve"> — e, a partir dele, derivar </w:t>
      </w:r>
      <w:r>
        <w:rPr>
          <w:b/>
        </w:rPr>
        <w:t xml:space="preserve">três DataMarts</w:t>
      </w:r>
      <w:r>
        <w:rPr/>
        <w:t xml:space="preserve"> de assuntos de negócio distintos, aplicando ferramentas de análise de dados sobre o DW e sobre os DataMarts.</w:t>
      </w:r>
    </w:p>
    <w:p>
      <w:pPr>
        <w:pStyle w:val="Normal"/>
      </w:pPr>
      <w:r>
        <w:rPr/>
        <w:t xml:space="preserve">O trabalho observa os conceitos exigidos: </w:t>
      </w:r>
      <w:r>
        <w:rPr>
          <w:b/>
        </w:rPr>
        <w:t xml:space="preserve">granularidade</w:t>
      </w:r>
      <w:r>
        <w:rPr/>
        <w:t xml:space="preserve">, </w:t>
      </w:r>
      <w:r>
        <w:rPr>
          <w:b/>
        </w:rPr>
        <w:t xml:space="preserve">integração</w:t>
      </w:r>
      <w:r>
        <w:rPr/>
        <w:t xml:space="preserve">, </w:t>
      </w:r>
      <w:r>
        <w:rPr>
          <w:b/>
        </w:rPr>
        <w:t xml:space="preserve">historicidade</w:t>
      </w:r>
      <w:r>
        <w:rPr/>
        <w:t xml:space="preserve">, </w:t>
      </w:r>
      <w:r>
        <w:rPr>
          <w:b/>
        </w:rPr>
        <w:t xml:space="preserve">dimensão tempo</w:t>
      </w:r>
      <w:r>
        <w:rPr/>
        <w:t xml:space="preserve"> e </w:t>
      </w:r>
      <w:r>
        <w:rPr>
          <w:b/>
        </w:rPr>
        <w:t xml:space="preserve">dados externos</w:t>
      </w:r>
      <w:r>
        <w:rPr/>
        <w:t xml:space="preserve">, além da </w:t>
      </w:r>
      <w:r>
        <w:rPr>
          <w:b/>
        </w:rPr>
        <w:t xml:space="preserve">LGPD</w:t>
      </w:r>
      <w:r>
        <w:rPr/>
        <w:t xml:space="preserve"> nos atributos sensíveis.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2. Descrição das fontes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Natureza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Conteúdo verificado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Northwind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sql/northwind.sql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Dump PostgreSQL </w:t>
            </w:r>
            <w:r>
              <w:rPr>
                <w:b/>
              </w:rPr>
              <w:t xml:space="preserve">com dados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14 tabelas · 830 pedidos · 2.155 itens · 91 clientes · 77 produtos · 29 fornecedores · 9 funcionários · 6 transportadoras · pedidos para </w:t>
            </w:r>
            <w:r>
              <w:rPr>
                <w:b/>
              </w:rPr>
              <w:t xml:space="preserve">21 países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Mercearia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sql/SQL criação DB Mercearia.sql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Somente DDL</w:t>
            </w:r>
            <w:r>
              <w:rPr/>
              <w:t xml:space="preserve"> (sem nenhum </w:t>
            </w:r>
            <w:r>
              <w:rPr>
                <w:rFonts w:ascii="Consolas" w:hAnsi="Consolas"/>
              </w:rPr>
              <w:t xml:space="preserve">INSERT</w:t>
            </w:r>
            <w:r>
              <w:rPr/>
              <w:t xml:space="preserve">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14 tabelas · 0 registros · endereços brasileiros em 5 níveis (UF → Cidade → Bairro → Logradouro → Endereço)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2.1 Declaração de integridade sobre a Mercearia (importante)</w:t>
      </w:r>
    </w:p>
    <w:p>
      <w:pPr>
        <w:pStyle w:val="Normal"/>
      </w:pPr>
      <w:r>
        <w:rPr/>
        <w:t xml:space="preserve">O material de origem da Mercearia </w:t>
      </w:r>
      <w:r>
        <w:rPr>
          <w:b/>
        </w:rPr>
        <w:t xml:space="preserve">não acompanha dados</w:t>
      </w:r>
      <w:r>
        <w:rPr/>
        <w:t xml:space="preserve"> — é apenas a definição das tabelas. Para que a integração das duas fontes fosse </w:t>
      </w:r>
      <w:r>
        <w:rPr>
          <w:b/>
        </w:rPr>
        <w:t xml:space="preserve">demonstrável</w:t>
      </w:r>
      <w:r>
        <w:rPr/>
        <w:t xml:space="preserve"> (e não apenas desenhada), foi criada uma massa de dados </w:t>
      </w:r>
      <w:r>
        <w:rPr>
          <w:b/>
        </w:rPr>
        <w:t xml:space="preserve">sintética, declarada e reprodutível</w:t>
      </w:r>
      <w:r>
        <w:rPr/>
        <w:t xml:space="preserve"> em </w:t>
      </w:r>
      <w:r>
        <w:rPr>
          <w:rFonts w:ascii="Consolas" w:hAnsi="Consolas"/>
        </w:rPr>
        <w:t xml:space="preserve">sql/seed_mercearia.sql</w:t>
      </w:r>
      <w:r>
        <w:rPr/>
        <w:t xml:space="preserve">:</w:t>
      </w:r>
    </w:p>
    <w:p>
      <w:pPr>
        <w:pStyle w:val="PargrafodaLista"/>
        <w:numPr>
          <w:ilvl w:val="0"/>
          <w:numId w:val="1"/>
        </w:numPr>
      </w:pPr>
      <w:r>
        <w:rPr/>
        <w:t xml:space="preserve">nomes de pessoas e empresas </w:t>
      </w:r>
      <w:r>
        <w:rPr>
          <w:b/>
        </w:rPr>
        <w:t xml:space="preserve">fictícios</w:t>
      </w:r>
      <w:r>
        <w:rPr/>
        <w:t xml:space="preserve">;</w:t>
      </w:r>
    </w:p>
    <w:p>
      <w:pPr>
        <w:pStyle w:val="PargrafodaLista"/>
        <w:numPr>
          <w:ilvl w:val="0"/>
          <w:numId w:val="1"/>
        </w:numPr>
      </w:pPr>
      <w:r>
        <w:rPr/>
        <w:t xml:space="preserve">CPF/CNPJ </w:t>
      </w:r>
      <w:r>
        <w:rPr>
          <w:b/>
        </w:rPr>
        <w:t xml:space="preserve">inválidos por construção</w:t>
      </w:r>
      <w:r>
        <w:rPr/>
        <w:t xml:space="preserve"> (dígitos verificadores não calculados), existindo apenas para</w:t>
      </w:r>
    </w:p>
    <w:p>
      <w:pPr>
        <w:pStyle w:val="Normal"/>
      </w:pPr>
      <w:r>
        <w:rPr/>
        <w:t xml:space="preserve">exercitar o mascaramento exigido pela LGPD;</w:t>
      </w:r>
    </w:p>
    <w:p>
      <w:pPr>
        <w:pStyle w:val="PargrafodaLista"/>
        <w:numPr>
          <w:ilvl w:val="0"/>
          <w:numId w:val="1"/>
        </w:numPr>
      </w:pPr>
      <w:r>
        <w:rPr/>
        <w:t xml:space="preserve">UFs com </w:t>
      </w:r>
      <w:r>
        <w:rPr>
          <w:b/>
        </w:rPr>
        <w:t xml:space="preserve">códigos reais do IBGE</w:t>
      </w:r>
      <w:r>
        <w:rPr/>
        <w:t xml:space="preserve"> (dado público);</w:t>
      </w:r>
    </w:p>
    <w:p>
      <w:pPr>
        <w:pStyle w:val="PargrafodaLista"/>
        <w:numPr>
          <w:ilvl w:val="0"/>
          <w:numId w:val="1"/>
        </w:numPr>
      </w:pPr>
      <w:r>
        <w:rPr/>
        <w:t xml:space="preserve">3.171 vendas e 150 compras ao longo de 24 meses (10/2024 a 09/2026), com sazonalidade simulada.</w:t>
      </w:r>
    </w:p>
    <w:p>
      <w:pPr>
        <w:pStyle w:val="Normal"/>
      </w:pPr>
      <w:r>
        <w:rPr>
          <w:b/>
        </w:rPr>
        <w:t xml:space="preserve">Nenhum dado real de pessoa foi utilizado.</w:t>
      </w:r>
      <w:r>
        <w:rPr/>
        <w:t xml:space="preserve"> O arquivo original da Mercearia permanece intacto no repositório. Esta decisão está registrada no cabeçalho do próprio script.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3. Arquitetura da solução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┌──────────────────────── PostgreSQL 16 (Docker) ────────────────────────┐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Northwind ───► │  schema public        staging: as duas fontes convivem no mesmo schema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Mercearia ───► │  (staging)            (não há colisão de nomes entre elas)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IBGE      ───► │  schema ext           DADOS EXTERNOS: código do município, população,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BCB/PTAX  ───► │  (externos)           câmbio USD→BRL, feriados, de-para de país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 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schema dw            DW ORGANIZACIONAL: 7 dimensões + 3 fatos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│                                                      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├──► schema dm_vendas       DataMart 1 (item de pedido)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├──► schema dm_suprimentos  DataMart 2 (item de compra)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│        └──► schema dm_logistica    DataMart 3 (pedido/entrega)         │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                 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</w:pPr>
      <w:r>
        <w:rPr>
          <w:b/>
        </w:rPr>
        <w:t xml:space="preserve">Stack:</w:t>
      </w:r>
      <w:r>
        <w:rPr/>
        <w:t xml:space="preserve"> PostgreSQL 16 (container </w:t>
      </w:r>
      <w:r>
        <w:rPr>
          <w:rFonts w:ascii="Consolas" w:hAnsi="Consolas"/>
        </w:rPr>
        <w:t xml:space="preserve">postgres:16-alpine</w:t>
      </w:r>
      <w:r>
        <w:rPr/>
        <w:t xml:space="preserve">) · ETL em </w:t>
      </w:r>
      <w:r>
        <w:rPr>
          <w:b/>
        </w:rPr>
        <w:t xml:space="preserve">SQL puro</w:t>
      </w:r>
      <w:r>
        <w:rPr/>
        <w:t xml:space="preserve"> · carga com um único comando · análise em </w:t>
      </w:r>
      <w:r>
        <w:rPr>
          <w:b/>
        </w:rPr>
        <w:t xml:space="preserve">Python 3.13</w:t>
      </w:r>
      <w:r>
        <w:rPr/>
        <w:t xml:space="preserve"> (pandas, matplotlib, scikit-learn, psycopg2).</w:t>
      </w:r>
    </w:p>
    <w:p>
      <w:pPr>
        <w:pStyle w:val="CitaoIntensa"/>
      </w:pPr>
      <w:r>
        <w:rPr>
          <w:b/>
        </w:rPr>
        <w:t xml:space="preserve">Sobre a ETL:</w:t>
      </w:r>
      <w:r>
        <w:rPr/>
        <w:t xml:space="preserve"> o enunciado </w:t>
      </w:r>
      <w:r>
        <w:rPr>
          <w:i/>
        </w:rPr>
        <w:t xml:space="preserve">permite</w:t>
      </w:r>
      <w:r>
        <w:rPr/>
        <w:t xml:space="preserve"> ferramentas de integração; optou-se por </w:t>
      </w:r>
      <w:r>
        <w:rPr>
          <w:b/>
        </w:rPr>
        <w:t xml:space="preserve">SQL puro</w:t>
      </w:r>
      <w:r>
        <w:rPr/>
        <w:t xml:space="preserve"> por</w:t>
      </w:r>
    </w:p>
    <w:p>
      <w:pPr>
        <w:pStyle w:val="CitaoIntensa"/>
      </w:pPr>
      <w:r>
        <w:rPr/>
        <w:t xml:space="preserve">transparência e reprodutibilidade — todo o processo é auditável linha a linha nos scripts </w:t>
      </w:r>
      <w:r>
        <w:rPr>
          <w:rFonts w:ascii="Consolas" w:hAnsi="Consolas"/>
        </w:rPr>
        <w:t xml:space="preserve">etl/*.sql</w:t>
      </w:r>
      <w:r>
        <w:rPr/>
        <w:t xml:space="preserve">,</w:t>
      </w:r>
    </w:p>
    <w:p>
      <w:pPr>
        <w:pStyle w:val="CitaoIntensa"/>
      </w:pPr>
      <w:r>
        <w:rPr/>
        <w:t xml:space="preserve">sem dependência de licença ou de instalação de ferramenta adicional.</w:t>
      </w:r>
    </w:p>
    <w:p>
      <w:pPr>
        <w:pStyle w:val="Normal"/>
      </w:pPr>
      <w:r>
        <w:rPr/>
        <w:t xml:space="preserve">A </w:t>
      </w:r>
      <w:r>
        <w:rPr>
          <w:b/>
        </w:rPr>
        <w:t xml:space="preserve">carga completa em um comando</w:t>
      </w:r>
      <w:r>
        <w:rPr/>
        <w:t xml:space="preserve"> garante a reprodutibilidade exigida em trabalho de engenharia de dados: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docker compose up -d</w:t>
      </w:r>
    </w:p>
    <w:p>
      <w:pPr>
        <w:pStyle w:val="Normal"/>
        <w:shd w:val="clear" w:fill="F2F2F2"/>
      </w:pPr>
      <w:r>
        <w:rPr>
          <w:rFonts w:ascii="Consolas" w:hAnsi="Consolas"/>
          <w:sz w:val="16"/>
          <w:szCs w:val="16"/>
        </w:rPr>
        <w:t xml:space="preserve">docker compose exec -T db sh /etl/00_carga_inicial.sh</w:t>
      </w:r>
    </w:p>
    <w:p>
      <w:pPr>
        <w:pStyle w:val="Normal"/>
      </w:pPr>
      <w:r>
        <w:rPr/>
        <w:t xml:space="preserve">Os diagramas (modelo galáxia do DW e os três DataMarts) estão em </w:t>
      </w:r>
      <w:r>
        <w:rPr>
          <w:rFonts w:ascii="Consolas" w:hAnsi="Consolas"/>
        </w:rPr>
        <w:t xml:space="preserve">diagramas.md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4. Decisões de modelagem</w:t>
      </w:r>
    </w:p>
    <w:p>
      <w:pPr>
        <w:pStyle w:val="Normal"/>
      </w:pPr>
      <w:r>
        <w:rPr/>
        <w:t xml:space="preserve">Abordagem adotada: </w:t>
      </w:r>
      <w:r>
        <w:rPr>
          <w:b/>
        </w:rPr>
        <w:t xml:space="preserve">Kimball</w:t>
      </w:r>
      <w:r>
        <w:rPr/>
        <w:t xml:space="preserve"> — esquema estrela com </w:t>
      </w:r>
      <w:r>
        <w:rPr>
          <w:b/>
        </w:rPr>
        <w:t xml:space="preserve">barramento de dimensões conformadas</w:t>
      </w:r>
      <w:r>
        <w:rPr/>
        <w:t xml:space="preserve">.</w:t>
      </w:r>
    </w:p>
    <w:p>
      <w:pPr>
        <w:pStyle w:val="Ttulo2"/>
      </w:pPr>
      <w:r>
        <w:rPr/>
        <w:t xml:space="preserve">4.1 Granularidade (o que cada linha representa)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Grão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Justificativa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item</w:t>
            </w:r>
            <w:r>
              <w:rPr/>
              <w:t xml:space="preserve"> de pedido/venda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menor nível de detalhe disponível; permite qualquer agregação posterior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item</w:t>
            </w:r>
            <w:r>
              <w:rPr/>
              <w:t xml:space="preserve"> de compra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idem, para o processo de suprimentos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1 linha por pedido</w:t>
            </w:r>
            <w:r>
              <w:rPr/>
              <w:t xml:space="preserve">/entrega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ver abaixo — o frete é do pedido, não do item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Por que o terceiro fato tem outro grão?</w:t>
      </w:r>
      <w:r>
        <w:rPr/>
        <w:t xml:space="preserve"> No Northwind, </w:t>
      </w:r>
      <w:r>
        <w:rPr>
          <w:rFonts w:ascii="Consolas" w:hAnsi="Consolas"/>
        </w:rPr>
        <w:t xml:space="preserve">orders.freight</w:t>
      </w:r>
      <w:r>
        <w:rPr/>
        <w:t xml:space="preserve"> é medido </w:t>
      </w:r>
      <w:r>
        <w:rPr>
          <w:b/>
        </w:rPr>
        <w:t xml:space="preserve">no pedido</w:t>
      </w:r>
      <w:r>
        <w:rPr/>
        <w:t xml:space="preserve">. Se o frete fosse colocado em </w:t>
      </w:r>
      <w:r>
        <w:rPr>
          <w:rFonts w:ascii="Consolas" w:hAnsi="Consolas"/>
        </w:rPr>
        <w:t xml:space="preserve">fato_vendas</w:t>
      </w:r>
      <w:r>
        <w:rPr/>
        <w:t xml:space="preserve"> (grão de item), o mesmo valor apareceria </w:t>
      </w:r>
      <w:r>
        <w:rPr>
          <w:b/>
        </w:rPr>
        <w:t xml:space="preserve">repetido em cada item</w:t>
      </w:r>
      <w:r>
        <w:rPr/>
        <w:t xml:space="preserve"> do pedido — dupla contagem —, ou teria de ser </w:t>
      </w:r>
      <w:r>
        <w:rPr>
          <w:b/>
        </w:rPr>
        <w:t xml:space="preserve">rateado</w:t>
      </w:r>
      <w:r>
        <w:rPr/>
        <w:t xml:space="preserve">, gerando um número que não existe na origem. A solução dimensional correta é </w:t>
      </w:r>
      <w:r>
        <w:rPr>
          <w:b/>
        </w:rPr>
        <w:t xml:space="preserve">um fato por grão</w:t>
      </w:r>
      <w:r>
        <w:rPr/>
        <w:t xml:space="preserve">, com </w:t>
      </w:r>
      <w:r>
        <w:rPr>
          <w:b/>
        </w:rPr>
        <w:t xml:space="preserve">dimensões conformadas</w:t>
      </w:r>
      <w:r>
        <w:rPr/>
        <w:t xml:space="preserve"> compartilhadas. Ou seja: a granularidade não é um detalhe técnico, é uma decisão que </w:t>
      </w:r>
      <w:r>
        <w:rPr>
          <w:b/>
        </w:rPr>
        <w:t xml:space="preserve">muda o número</w:t>
      </w:r>
      <w:r>
        <w:rPr/>
        <w:t xml:space="preserve">.</w:t>
      </w:r>
    </w:p>
    <w:p>
      <w:pPr>
        <w:pStyle w:val="Ttulo2"/>
      </w:pPr>
      <w:r>
        <w:rPr/>
        <w:t xml:space="preserve">4.2 Integração das duas fontes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Mecanismo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Como foi aplicado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Chaves naturais por origem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origem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MERCEARIA</w:t>
            </w:r>
            <w:r>
              <w:rPr/>
              <w:t xml:space="preserve"> / </w:t>
            </w:r>
            <w:r>
              <w:rPr>
                <w:rFonts w:ascii="Consolas" w:hAnsi="Consolas"/>
              </w:rPr>
              <w:t xml:space="preserve">NORTHWIND</w:t>
            </w:r>
            <w:r>
              <w:rPr/>
              <w:t xml:space="preserve">) + chave natural da fonte, com índice único por origem + versão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Dimensões conformadas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produto, cliente, fornecedor, localidade e tempo servem aos três fatos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Padronização de rótulo de país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Brazil</w:t>
            </w:r>
            <w:r>
              <w:rPr/>
              <w:t xml:space="preserve"> (Northwind) e </w:t>
            </w:r>
            <w:r>
              <w:rPr>
                <w:rFonts w:ascii="Consolas" w:hAnsi="Consolas"/>
              </w:rPr>
              <w:t xml:space="preserve">Brasil</w:t>
            </w:r>
            <w:r>
              <w:rPr/>
              <w:t xml:space="preserve"> (Mercearia) viram </w:t>
            </w:r>
            <w:r>
              <w:rPr>
                <w:b/>
              </w:rPr>
              <w:t xml:space="preserve">o mesmo país</w:t>
            </w:r>
            <w:r>
              <w:rPr/>
              <w:t xml:space="preserve"> via tabela de-para </w:t>
            </w:r>
            <w:r>
              <w:rPr>
                <w:rFonts w:ascii="Consolas" w:hAnsi="Consolas"/>
              </w:rPr>
              <w:t xml:space="preserve">ext.pais_nome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Normalização de acento/caixa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Sao Paulo</w:t>
            </w:r>
            <w:r>
              <w:rPr/>
              <w:t xml:space="preserve"> (Northwind) e </w:t>
            </w:r>
            <w:r>
              <w:rPr>
                <w:rFonts w:ascii="Consolas" w:hAnsi="Consolas"/>
              </w:rPr>
              <w:t xml:space="preserve">São Paulo</w:t>
            </w:r>
            <w:r>
              <w:rPr/>
              <w:t xml:space="preserve"> (Mercearia) reconhecidos como a </w:t>
            </w:r>
            <w:r>
              <w:rPr>
                <w:b/>
              </w:rPr>
              <w:t xml:space="preserve">mesma cidade</w:t>
            </w:r>
            <w:r>
              <w:rPr/>
              <w:t xml:space="preserve"> com </w:t>
            </w:r>
            <w:r>
              <w:rPr>
                <w:rFonts w:ascii="Consolas" w:hAnsi="Consolas"/>
              </w:rPr>
              <w:t xml:space="preserve">unaccent()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 oficial externa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codigo_ibge</w:t>
            </w:r>
            <w:r>
              <w:rPr/>
              <w:t xml:space="preserve"> no município (IBGE) como chave estável de integração com sistemas oficiais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Homogeneidade de medida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tudo em </w:t>
            </w:r>
            <w:r>
              <w:rPr>
                <w:b/>
              </w:rPr>
              <w:t xml:space="preserve">BRL</w:t>
            </w:r>
            <w:r>
              <w:rPr/>
              <w:t xml:space="preserve"> (ver 4.4)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4.3 Historicidade — SCD Tipo 2</w:t>
      </w:r>
    </w:p>
    <w:p>
      <w:pPr>
        <w:pStyle w:val="Normal"/>
      </w:pPr>
      <w:r>
        <w:rPr/>
        <w:t xml:space="preserve">Aplicado em </w:t>
      </w:r>
      <w:r>
        <w:rPr>
          <w:b/>
        </w:rPr>
        <w:t xml:space="preserve">`dim_produto`</w:t>
      </w:r>
      <w:r>
        <w:rPr/>
        <w:t xml:space="preserve"> (atributo versionado: preço) e </w:t>
      </w:r>
      <w:r>
        <w:rPr>
          <w:b/>
        </w:rPr>
        <w:t xml:space="preserve">`dim_cliente`</w:t>
      </w:r>
      <w:r>
        <w:rPr/>
        <w:t xml:space="preserve"> (faixa de renda). A dimensão guarda </w:t>
      </w:r>
      <w:r>
        <w:rPr>
          <w:rFonts w:ascii="Consolas" w:hAnsi="Consolas"/>
        </w:rPr>
        <w:t xml:space="preserve">versao</w:t>
      </w:r>
      <w:r>
        <w:rPr/>
        <w:t xml:space="preserve">, </w:t>
      </w:r>
      <w:r>
        <w:rPr>
          <w:rFonts w:ascii="Consolas" w:hAnsi="Consolas"/>
        </w:rPr>
        <w:t xml:space="preserve">data_inicio</w:t>
      </w:r>
      <w:r>
        <w:rPr/>
        <w:t xml:space="preserve">, </w:t>
      </w:r>
      <w:r>
        <w:rPr>
          <w:rFonts w:ascii="Consolas" w:hAnsi="Consolas"/>
        </w:rPr>
        <w:t xml:space="preserve">data_fim</w:t>
      </w:r>
      <w:r>
        <w:rPr/>
        <w:t xml:space="preserve"> e </w:t>
      </w:r>
      <w:r>
        <w:rPr>
          <w:rFonts w:ascii="Consolas" w:hAnsi="Consolas"/>
        </w:rPr>
        <w:t xml:space="preserve">flag_atual</w:t>
      </w:r>
      <w:r>
        <w:rPr/>
        <w:t xml:space="preserve">, com duas garantias no banco: índice único por </w:t>
      </w:r>
      <w:r>
        <w:rPr>
          <w:rFonts w:ascii="Consolas" w:hAnsi="Consolas"/>
        </w:rPr>
        <w:t xml:space="preserve">(origem, chave natural, versão)</w:t>
      </w:r>
      <w:r>
        <w:rPr/>
        <w:t xml:space="preserve"> e </w:t>
      </w:r>
      <w:r>
        <w:rPr>
          <w:b/>
        </w:rPr>
        <w:t xml:space="preserve">uma única versão vigente</w:t>
      </w:r>
      <w:r>
        <w:rPr/>
        <w:t xml:space="preserve"> por chave (índice parcial </w:t>
      </w:r>
      <w:r>
        <w:rPr>
          <w:rFonts w:ascii="Consolas" w:hAnsi="Consolas"/>
        </w:rPr>
        <w:t xml:space="preserve">WHERE flag_atual</w:t>
      </w:r>
      <w:r>
        <w:rPr/>
        <w:t xml:space="preserve">).</w:t>
      </w:r>
    </w:p>
    <w:p>
      <w:pPr>
        <w:pStyle w:val="Normal"/>
      </w:pPr>
      <w:r>
        <w:rPr/>
        <w:t xml:space="preserve">Declarar "SCD2" no DDL </w:t>
      </w:r>
      <w:r>
        <w:rPr>
          <w:b/>
        </w:rPr>
        <w:t xml:space="preserve">não prova nada</w:t>
      </w:r>
      <w:r>
        <w:rPr/>
        <w:t xml:space="preserve"> — por isso o comportamento é </w:t>
      </w:r>
      <w:r>
        <w:rPr>
          <w:b/>
        </w:rPr>
        <w:t xml:space="preserve">demonstrado</w:t>
      </w:r>
      <w:r>
        <w:rPr/>
        <w:t xml:space="preserve"> por </w:t>
      </w:r>
      <w:r>
        <w:rPr>
          <w:rFonts w:ascii="Consolas" w:hAnsi="Consolas"/>
        </w:rPr>
        <w:t xml:space="preserve">etl/90_teste_scd2.sql</w:t>
      </w:r>
      <w:r>
        <w:rPr/>
        <w:t xml:space="preserve">, que:</w:t>
      </w:r>
    </w:p>
    <w:p>
      <w:pPr>
        <w:pStyle w:val="PargrafodaLista"/>
      </w:pPr>
      <w:r>
        <w:rPr/>
        <w:t xml:space="preserve">simula mudança na fonte (preço de 3 produtos, renda de 2 clientes);</w:t>
      </w:r>
    </w:p>
    <w:p>
      <w:pPr>
        <w:pStyle w:val="PargrafodaLista"/>
      </w:pPr>
      <w:r>
        <w:rPr/>
        <w:t xml:space="preserve">roda a atualização incremental;</w:t>
      </w:r>
    </w:p>
    <w:p>
      <w:pPr>
        <w:pStyle w:val="PargrafodaLista"/>
      </w:pPr>
      <w:r>
        <w:rPr/>
        <w:t xml:space="preserve">verifica o fechamento da versão antiga e a abertura da nova;</w:t>
      </w:r>
    </w:p>
    <w:p>
      <w:pPr>
        <w:pStyle w:val="PargrafodaLista"/>
      </w:pPr>
      <w:r>
        <w:rPr>
          <w:b/>
        </w:rPr>
        <w:t xml:space="preserve">verifica que as vendas antigas permanecem ligadas à versão antiga</w:t>
      </w:r>
      <w:r>
        <w:rPr/>
        <w:t xml:space="preserve"> — o ponto central da historicidade.</w:t>
      </w:r>
    </w:p>
    <w:p>
      <w:pPr>
        <w:pStyle w:val="Normal"/>
      </w:pPr>
      <w:r>
        <w:rPr>
          <w:b/>
        </w:rPr>
        <w:t xml:space="preserve">Evidência de execução:</w:t>
      </w:r>
    </w:p>
    <w:tbl>
      <w:tblPr>
        <w:tblStyle w:val="Tabelacomgrade"/>
        <w:tblW w:w="10546" w:type="dxa"/>
        <w:tblLook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Produto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Versão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Preço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Vigente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 início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 fim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Vendas ligadas</w:t>
            </w:r>
          </w:p>
        </w:tc>
        <w:tc>
          <w:tcPr>
            <w:tcW w:w="1318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Total vendido</w:t>
            </w:r>
          </w:p>
        </w:tc>
      </w:tr>
      <w:tr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 — Arroz Tipo 1 5kg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24,90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não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1900-01-01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2026-09-28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324 linhas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R$ 50.845,80</w:t>
            </w:r>
          </w:p>
        </w:tc>
      </w:tr>
      <w:tr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1 — Arroz Tipo 1 5kg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27,39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>
                <w:b/>
              </w:rPr>
              <w:t xml:space="preserve">sim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2026-09-29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  <w:tc>
          <w:tcPr>
            <w:tcW w:w="1318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t xml:space="preserve">O passado </w:t>
      </w:r>
      <w:r>
        <w:rPr>
          <w:b/>
        </w:rPr>
        <w:t xml:space="preserve">não foi reescrito</w:t>
      </w:r>
      <w:r>
        <w:rPr/>
        <w:t xml:space="preserve">. Sem SCD2, as 324 vendas passariam a mostrar o preço novo e a receita histórica seria distorcida.</w:t>
      </w:r>
    </w:p>
    <w:p>
      <w:pPr>
        <w:pStyle w:val="Ttulo2"/>
      </w:pPr>
      <w:r>
        <w:rPr/>
        <w:t xml:space="preserve">4.4 Dados externos e conversão de moeda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Dado externo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 entra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Por quê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Código do município (7 dígitos)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IBGE</w:t>
            </w:r>
            <w:r>
              <w:rPr/>
              <w:t xml:space="preserve"> — Localidades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dim_localidade.codigo_ibge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chave estável de integração com sistemas oficiais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População residente estimada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IBGE</w:t>
            </w:r>
            <w:r>
              <w:rPr/>
              <w:t xml:space="preserve"> — Agregados (6579/9324)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dim_localidade.populacao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permite venda per capita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Cotação USD→BRL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BCB</w:t>
            </w:r>
            <w:r>
              <w:rPr/>
              <w:t xml:space="preserve"> — PTAX/OLINDA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fato_vendas.taxa_cambio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o Northwind está em </w:t>
            </w:r>
            <w:r>
              <w:rPr>
                <w:b/>
              </w:rPr>
              <w:t xml:space="preserve">USD</w:t>
            </w:r>
            <w:r>
              <w:rPr/>
              <w:t xml:space="preserve"> e a Mercearia em </w:t>
            </w:r>
            <w:r>
              <w:rPr>
                <w:b/>
              </w:rPr>
              <w:t xml:space="preserve">BRL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Feriados e pontos facultativos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calculados</w:t>
            </w:r>
            <w:r>
              <w:rPr/>
              <w:t xml:space="preserve"> (Páscoa por Meeus/Jones/Butcher)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dim_tempo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sazonalidade depende de calendário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t xml:space="preserve">Extração documentada e reprodutível em </w:t>
      </w:r>
      <w:r>
        <w:rPr>
          <w:rFonts w:ascii="Consolas" w:hAnsi="Consolas"/>
        </w:rPr>
        <w:t xml:space="preserve">etl/05_extrair_dados_externos.ps1</w:t>
      </w:r>
      <w:r>
        <w:rPr/>
        <w:t xml:space="preserve">: </w:t>
      </w:r>
      <w:r>
        <w:rPr>
          <w:b/>
        </w:rPr>
        <w:t xml:space="preserve">39 municípios</w:t>
      </w:r>
      <w:r>
        <w:rPr/>
        <w:t xml:space="preserve"> e </w:t>
      </w:r>
      <w:r>
        <w:rPr>
          <w:b/>
        </w:rPr>
        <w:t xml:space="preserve">750 cotações</w:t>
      </w:r>
      <w:r>
        <w:rPr/>
        <w:t xml:space="preserve"> PTAX (02/01/1996 a 31/12/1998), com data de acesso registrada em </w:t>
      </w:r>
      <w:r>
        <w:rPr>
          <w:rFonts w:ascii="Consolas" w:hAnsi="Consolas"/>
        </w:rPr>
        <w:t xml:space="preserve">dados_externos/README.md</w:t>
      </w:r>
      <w:r>
        <w:rPr/>
        <w:t xml:space="preserve">.</w:t>
      </w:r>
    </w:p>
    <w:p>
      <w:pPr>
        <w:pStyle w:val="Normal"/>
      </w:pPr>
      <w:r>
        <w:rPr>
          <w:b/>
        </w:rPr>
        <w:t xml:space="preserve">Regra do câmbio (decisão registrada):</w:t>
      </w:r>
    </w:p>
    <w:p>
      <w:pPr>
        <w:pStyle w:val="PargrafodaLista"/>
      </w:pPr>
      <w:r>
        <w:rPr/>
        <w:t xml:space="preserve">converte-se USD → BRL pela </w:t>
      </w:r>
      <w:r>
        <w:rPr>
          <w:b/>
        </w:rPr>
        <w:t xml:space="preserve">cotação de compra</w:t>
      </w:r>
      <w:r>
        <w:rPr/>
        <w:t xml:space="preserve"> do dia da venda;</w:t>
      </w:r>
    </w:p>
    <w:p>
      <w:pPr>
        <w:pStyle w:val="PargrafodaLista"/>
      </w:pPr>
      <w:r>
        <w:rPr/>
        <w:t xml:space="preserve">sem boletim no dia (fim de semana/feriado), usa-se a </w:t>
      </w:r>
      <w:r>
        <w:rPr>
          <w:b/>
        </w:rPr>
        <w:t xml:space="preserve">última cotação disponível</w:t>
      </w:r>
      <w:r>
        <w:rPr/>
        <w:t xml:space="preserve"> (</w:t>
      </w:r>
      <w:r>
        <w:rPr>
          <w:i/>
        </w:rPr>
        <w:t xml:space="preserve">carry forward</w:t>
      </w:r>
      <w:r>
        <w:rPr/>
        <w:t xml:space="preserve">),</w:t>
      </w:r>
    </w:p>
    <w:p>
      <w:pPr>
        <w:pStyle w:val="Normal"/>
      </w:pPr>
      <w:r>
        <w:rPr/>
        <w:t xml:space="preserve">materializada em </w:t>
      </w:r>
      <w:r>
        <w:rPr>
          <w:rFonts w:ascii="Consolas" w:hAnsi="Consolas"/>
        </w:rPr>
        <w:t xml:space="preserve">ext.cotacao_dolar_dia</w:t>
      </w:r>
      <w:r>
        <w:rPr/>
        <w:t xml:space="preserve"> (1.095 dias);</w:t>
      </w:r>
    </w:p>
    <w:p>
      <w:pPr>
        <w:pStyle w:val="PargrafodaLista"/>
      </w:pPr>
      <w:r>
        <w:rPr/>
        <w:t xml:space="preserve">a taxa efetivamente aplicada é </w:t>
      </w:r>
      <w:r>
        <w:rPr>
          <w:b/>
        </w:rPr>
        <w:t xml:space="preserve">gravada na linha do fato</w:t>
      </w:r>
      <w:r>
        <w:rPr/>
        <w:t xml:space="preserve"> (</w:t>
      </w:r>
      <w:r>
        <w:rPr>
          <w:rFonts w:ascii="Consolas" w:hAnsi="Consolas"/>
        </w:rPr>
        <w:t xml:space="preserve">taxa_cambio</w:t>
      </w:r>
      <w:r>
        <w:rPr/>
        <w:t xml:space="preserve">), junto com </w:t>
      </w:r>
      <w:r>
        <w:rPr>
          <w:rFonts w:ascii="Consolas" w:hAnsi="Consolas"/>
        </w:rPr>
        <w:t xml:space="preserve">moeda_origem</w:t>
      </w:r>
      <w:r>
        <w:rPr/>
        <w:t xml:space="preserve">.</w:t>
      </w:r>
    </w:p>
    <w:p>
      <w:pPr>
        <w:pStyle w:val="Normal"/>
      </w:pPr>
      <w:r>
        <w:rPr/>
        <w:t xml:space="preserve">Taxas efetivamente aplicadas: de </w:t>
      </w:r>
      <w:r>
        <w:rPr>
          <w:b/>
        </w:rPr>
        <w:t xml:space="preserve">1,0040</w:t>
      </w:r>
      <w:r>
        <w:rPr/>
        <w:t xml:space="preserve"> a </w:t>
      </w:r>
      <w:r>
        <w:rPr>
          <w:b/>
        </w:rPr>
        <w:t xml:space="preserve">1,1445</w:t>
      </w:r>
      <w:r>
        <w:rPr/>
        <w:t xml:space="preserve"> BRL por USD. Motivo de fundo: somar USD com BRL produz um número sem significado — violação do princípio de </w:t>
      </w:r>
      <w:r>
        <w:rPr>
          <w:b/>
        </w:rPr>
        <w:t xml:space="preserve">homogeneidade das medidas</w:t>
      </w:r>
      <w:r>
        <w:rPr/>
        <w:t xml:space="preserve">.</w:t>
      </w:r>
    </w:p>
    <w:p>
      <w:pPr>
        <w:pStyle w:val="Ttulo2"/>
      </w:pPr>
      <w:r>
        <w:rPr/>
        <w:t xml:space="preserve">4.5 Dimensão tempo</w:t>
      </w:r>
    </w:p>
    <w:p>
      <w:pPr>
        <w:pStyle w:val="Normal"/>
      </w:pPr>
      <w:r>
        <w:rPr>
          <w:rFonts w:ascii="Consolas" w:hAnsi="Consolas"/>
        </w:rPr>
        <w:t xml:space="preserve">dim_tempo</w:t>
      </w:r>
      <w:r>
        <w:rPr/>
        <w:t xml:space="preserve"> no grão de </w:t>
      </w:r>
      <w:r>
        <w:rPr>
          <w:b/>
        </w:rPr>
        <w:t xml:space="preserve">dia</w:t>
      </w:r>
      <w:r>
        <w:rPr/>
        <w:t xml:space="preserve">, cobrindo </w:t>
      </w:r>
      <w:r>
        <w:rPr>
          <w:b/>
        </w:rPr>
        <w:t xml:space="preserve">01/01/1996 a 31/12/2026</w:t>
      </w:r>
      <w:r>
        <w:rPr/>
        <w:t xml:space="preserve"> = </w:t>
      </w:r>
      <w:r>
        <w:rPr>
          <w:b/>
        </w:rPr>
        <w:t xml:space="preserve">11.323 dias</w:t>
      </w:r>
      <w:r>
        <w:rPr/>
        <w:t xml:space="preserve">.</w:t>
      </w:r>
    </w:p>
    <w:p>
      <w:pPr>
        <w:pStyle w:val="Normal"/>
      </w:pPr>
      <w:r>
        <w:rPr/>
        <w:t xml:space="preserve">O período é a </w:t>
      </w:r>
      <w:r>
        <w:rPr>
          <w:b/>
        </w:rPr>
        <w:t xml:space="preserve">união</w:t>
      </w:r>
      <w:r>
        <w:rPr/>
        <w:t xml:space="preserve"> dos períodos dos fatos (Northwind 1996–1998 + Mercearia 2024–2026). Gerar apenas o período recente deixaria as 2.155 linhas de venda do Northwind </w:t>
      </w:r>
      <w:r>
        <w:rPr>
          <w:b/>
        </w:rPr>
        <w:t xml:space="preserve">órfãs</w:t>
      </w:r>
      <w:r>
        <w:rPr/>
        <w:t xml:space="preserve"> (sem linha na dimensão).</w:t>
      </w:r>
    </w:p>
    <w:p>
      <w:pPr>
        <w:pStyle w:val="Normal"/>
      </w:pPr>
      <w:r>
        <w:rPr/>
        <w:t xml:space="preserve">Conteúdo: ano, semestre, trimestre, mês, nome do mês, dia, dia da semana, indicador de fim de semana, </w:t>
      </w:r>
      <w:r>
        <w:rPr>
          <w:b/>
        </w:rPr>
        <w:t xml:space="preserve">281 feriados legais</w:t>
      </w:r>
      <w:r>
        <w:rPr/>
        <w:t xml:space="preserve"> e </w:t>
      </w:r>
      <w:r>
        <w:rPr>
          <w:b/>
        </w:rPr>
        <w:t xml:space="preserve">62 pontos facultativos</w:t>
      </w:r>
      <w:r>
        <w:rPr/>
        <w:t xml:space="preserve">. </w:t>
      </w:r>
      <w:r>
        <w:rPr>
          <w:rFonts w:ascii="Consolas" w:hAnsi="Consolas"/>
        </w:rPr>
        <w:t xml:space="preserve">dim_tempo</w:t>
      </w:r>
      <w:r>
        <w:rPr/>
        <w:t xml:space="preserve"> é usada em </w:t>
      </w:r>
      <w:r>
        <w:rPr>
          <w:b/>
        </w:rPr>
        <w:t xml:space="preserve">papel duplo</w:t>
      </w:r>
      <w:r>
        <w:rPr/>
        <w:t xml:space="preserve"> em todos os fatos (ex.: data da venda e data do faturamento).</w:t>
      </w:r>
    </w:p>
    <w:p>
      <w:pPr>
        <w:pStyle w:val="CitaoIntensa"/>
      </w:pPr>
      <w:r>
        <w:rPr>
          <w:b/>
        </w:rPr>
        <w:t xml:space="preserve">Rigor conceitual:</w:t>
      </w:r>
      <w:r>
        <w:rPr/>
        <w:t xml:space="preserve"> </w:t>
      </w:r>
      <w:r>
        <w:rPr>
          <w:b/>
        </w:rPr>
        <w:t xml:space="preserve">Carnaval</w:t>
      </w:r>
      <w:r>
        <w:rPr/>
        <w:t xml:space="preserve"> e </w:t>
      </w:r>
      <w:r>
        <w:rPr>
          <w:b/>
        </w:rPr>
        <w:t xml:space="preserve">Corpus Christi</w:t>
      </w:r>
      <w:r>
        <w:rPr/>
        <w:t xml:space="preserve"> foram marcados como </w:t>
      </w:r>
      <w:r>
        <w:rPr>
          <w:i/>
        </w:rPr>
        <w:t xml:space="preserve">ponto facultativo</w:t>
      </w:r>
      <w:r>
        <w:rPr/>
        <w:t xml:space="preserve">, e</w:t>
      </w:r>
    </w:p>
    <w:p>
      <w:pPr>
        <w:pStyle w:val="CitaoIntensa"/>
      </w:pPr>
      <w:r>
        <w:rPr>
          <w:b/>
        </w:rPr>
        <w:t xml:space="preserve">não</w:t>
      </w:r>
      <w:r>
        <w:rPr/>
        <w:t xml:space="preserve"> como feriado — não são feriados legais. Já o </w:t>
      </w:r>
      <w:r>
        <w:rPr>
          <w:b/>
        </w:rPr>
        <w:t xml:space="preserve">20/11 (Consciência Negra)</w:t>
      </w:r>
      <w:r>
        <w:rPr/>
        <w:t xml:space="preserve"> só é marcado como</w:t>
      </w:r>
    </w:p>
    <w:p>
      <w:pPr>
        <w:pStyle w:val="CitaoIntensa"/>
      </w:pPr>
      <w:r>
        <w:rPr/>
        <w:t xml:space="preserve">feriado </w:t>
      </w:r>
      <w:r>
        <w:rPr>
          <w:b/>
        </w:rPr>
        <w:t xml:space="preserve">a partir de 2024</w:t>
      </w:r>
      <w:r>
        <w:rPr/>
        <w:t xml:space="preserve">, respeitando a Lei 14.759/2023. Essa distinção produziu um achado de</w:t>
      </w:r>
    </w:p>
    <w:p>
      <w:pPr>
        <w:pStyle w:val="CitaoIntensa"/>
      </w:pPr>
      <w:r>
        <w:rPr/>
        <w:t xml:space="preserve">negócio (item 7.4).</w:t>
      </w:r>
    </w:p>
    <w:p>
      <w:pPr>
        <w:pStyle w:val="Ttulo2"/>
      </w:pPr>
      <w:r>
        <w:rPr/>
        <w:t xml:space="preserve">4.6 Modelo final do DW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Tipo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Objetos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Dimensões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dim_tempo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dim_localidade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dim_produto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dim_cliente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dim_vendedor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dim_fornecedor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dim_transportadora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(item), </w:t>
            </w:r>
            <w:r>
              <w:rPr>
                <w:rFonts w:ascii="Consolas" w:hAnsi="Consolas"/>
              </w:rPr>
              <w:t xml:space="preserve">fato_compras</w:t>
            </w:r>
            <w:r>
              <w:rPr/>
              <w:t xml:space="preserve"> (item), </w:t>
            </w:r>
            <w:r>
              <w:rPr>
                <w:rFonts w:ascii="Consolas" w:hAnsi="Consolas"/>
              </w:rPr>
              <w:t xml:space="preserve">fato_entregas</w:t>
            </w:r>
            <w:r>
              <w:rPr/>
              <w:t xml:space="preserve"> (pedido)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t xml:space="preserve">Ponto de atenção modelado e documentado: </w:t>
      </w:r>
      <w:r>
        <w:rPr>
          <w:rFonts w:ascii="Consolas" w:hAnsi="Consolas"/>
        </w:rPr>
        <w:t xml:space="preserve">dim_localidade</w:t>
      </w:r>
      <w:r>
        <w:rPr/>
        <w:t xml:space="preserve"> tem </w:t>
      </w:r>
      <w:r>
        <w:rPr>
          <w:b/>
        </w:rPr>
        <w:t xml:space="preserve">profundidade variável</w:t>
      </w:r>
      <w:r>
        <w:rPr/>
        <w:t xml:space="preserve"> — no Brasil chega ao </w:t>
      </w:r>
      <w:r>
        <w:rPr>
          <w:b/>
        </w:rPr>
        <w:t xml:space="preserve">bairro</w:t>
      </w:r>
      <w:r>
        <w:rPr/>
        <w:t xml:space="preserve"> (121 membros, com CEP representativo e código IBGE) e no exterior fica no nível </w:t>
      </w:r>
      <w:r>
        <w:rPr>
          <w:b/>
        </w:rPr>
        <w:t xml:space="preserve">cidade/região</w:t>
      </w:r>
      <w:r>
        <w:rPr/>
        <w:t xml:space="preserve"> (66 membros, 21 países). O Northwind envia para 21 países, e não apenas para os EUA — fato apurado nos dados, não presumido. Agregações por cidade/país funcionam porque </w:t>
      </w:r>
      <w:r>
        <w:rPr>
          <w:rFonts w:ascii="Consolas" w:hAnsi="Consolas"/>
        </w:rPr>
        <w:t xml:space="preserve">nm_cidade</w:t>
      </w:r>
      <w:r>
        <w:rPr/>
        <w:t xml:space="preserve"> e </w:t>
      </w:r>
      <w:r>
        <w:rPr>
          <w:rFonts w:ascii="Consolas" w:hAnsi="Consolas"/>
        </w:rPr>
        <w:t xml:space="preserve">pais</w:t>
      </w:r>
      <w:r>
        <w:rPr/>
        <w:t xml:space="preserve"> são consistentes entre os dois níveis.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5. DataMarts</w:t>
      </w:r>
    </w:p>
    <w:p>
      <w:pPr>
        <w:pStyle w:val="Normal"/>
      </w:pPr>
      <w:r>
        <w:rPr/>
        <w:t xml:space="preserve">Cada DataMart é um </w:t>
      </w:r>
      <w:r>
        <w:rPr>
          <w:b/>
        </w:rPr>
        <w:t xml:space="preserve">esquema estrela próprio</w:t>
      </w:r>
      <w:r>
        <w:rPr/>
        <w:t xml:space="preserve">, materializado como </w:t>
      </w:r>
      <w:r>
        <w:rPr>
          <w:b/>
        </w:rPr>
        <w:t xml:space="preserve">tabelas físicas</w:t>
      </w:r>
      <w:r>
        <w:rPr/>
        <w:t xml:space="preserve"> no PostgreSQL e carregado </w:t>
      </w:r>
      <w:r>
        <w:rPr>
          <w:b/>
        </w:rPr>
        <w:t xml:space="preserve">a partir do DW</w:t>
      </w:r>
      <w:r>
        <w:rPr/>
        <w:t xml:space="preserve"> (o entregável pede a DDL dos DataMarts). As dimensões mantêm a </w:t>
      </w:r>
      <w:r>
        <w:rPr>
          <w:b/>
        </w:rPr>
        <w:t xml:space="preserve">mesma chave surrogate</w:t>
      </w:r>
      <w:r>
        <w:rPr/>
        <w:t xml:space="preserve"> do DW, garantindo a conformidade — verificado por teste automatizado.</w:t>
      </w:r>
    </w:p>
    <w:tbl>
      <w:tblPr>
        <w:tblStyle w:val="Tabelacomgrade"/>
        <w:tblW w:w="10546" w:type="dxa"/>
        <w:tblLook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#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DataMart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Assunto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 (grão)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Dimensões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Linhas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dm_vendas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desempenho comercial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cliente, localidade, vendedor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11.651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dm_suprimentos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abastecimento e custo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fornecedor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302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distribuição e frete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  <w:r>
              <w:rPr/>
              <w:t xml:space="preserve"> (pedido)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cliente, localidade, transportadora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830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5.1 Justificativa de uso de cada DataMart</w:t>
      </w:r>
    </w:p>
    <w:p>
      <w:pPr>
        <w:pStyle w:val="Normal"/>
      </w:pPr>
      <w:r>
        <w:rPr>
          <w:b/>
        </w:rPr>
        <w:t xml:space="preserve">1 — Vendas.</w:t>
      </w:r>
      <w:r>
        <w:rPr/>
        <w:t xml:space="preserve"> Maior alcance: apoia decisões de </w:t>
      </w:r>
      <w:r>
        <w:rPr>
          <w:b/>
        </w:rPr>
        <w:t xml:space="preserve">preço, mix de produtos, desconto, campanha e alocação de vendedor</w:t>
      </w:r>
      <w:r>
        <w:rPr/>
        <w:t xml:space="preserve">. Responde: o que vende, para quem, onde, por quem e quando; qual o custo do desconto; como a venda reage a fim de semana e feriado.</w:t>
      </w:r>
    </w:p>
    <w:p>
      <w:pPr>
        <w:pStyle w:val="Normal"/>
      </w:pPr>
      <w:r>
        <w:rPr>
          <w:b/>
        </w:rPr>
        <w:t xml:space="preserve">2 — Suprimentos.</w:t>
      </w:r>
      <w:r>
        <w:rPr/>
        <w:t xml:space="preserve"> Apoia a decisão de </w:t>
      </w:r>
      <w:r>
        <w:rPr>
          <w:b/>
        </w:rPr>
        <w:t xml:space="preserve">compra</w:t>
      </w:r>
      <w:r>
        <w:rPr/>
        <w:t xml:space="preserve">: de quem comprar, a que custo, com que prazo. O Northwind não possui compras, então este DataMart é da operação da Mercearia — </w:t>
      </w:r>
      <w:r>
        <w:rPr>
          <w:b/>
        </w:rPr>
        <w:t xml:space="preserve">mas compartilha a mesma `dim_produto`</w:t>
      </w:r>
      <w:r>
        <w:rPr/>
        <w:t xml:space="preserve"> do DataMart de Vendas, o que permite o cruzamento mais valioso do trabalho: </w:t>
      </w:r>
      <w:r>
        <w:rPr>
          <w:b/>
        </w:rPr>
        <w:t xml:space="preserve">custo de aquisição × preço de venda → margem por produto</w:t>
      </w:r>
      <w:r>
        <w:rPr/>
        <w:t xml:space="preserve">.</w:t>
      </w:r>
    </w:p>
    <w:p>
      <w:pPr>
        <w:pStyle w:val="Normal"/>
      </w:pPr>
      <w:r>
        <w:rPr>
          <w:b/>
        </w:rPr>
        <w:t xml:space="preserve">3 — Logística.</w:t>
      </w:r>
      <w:r>
        <w:rPr/>
        <w:t xml:space="preserve"> Existe por razão técnica demonstrada (item 4.1): o frete é do </w:t>
      </w:r>
      <w:r>
        <w:rPr>
          <w:b/>
        </w:rPr>
        <w:t xml:space="preserve">pedido</w:t>
      </w:r>
      <w:r>
        <w:rPr/>
        <w:t xml:space="preserve">. Apoia a operação na escolha e cobrança de transportadora: prazo médio, frete médio, destinos problemáticos e efeito de feriado no prazo.</w:t>
      </w:r>
    </w:p>
    <w:p>
      <w:pPr>
        <w:pStyle w:val="Ttulo2"/>
      </w:pPr>
      <w:r>
        <w:rPr/>
        <w:t xml:space="preserve">5.2 Recorte aplicado nos DataMarts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Em linhas:</w:t>
      </w:r>
      <w:r>
        <w:rPr/>
        <w:t xml:space="preserve"> cada DataMart carrega apenas os membros de dimensão </w:t>
      </w:r>
      <w:r>
        <w:rPr>
          <w:b/>
        </w:rPr>
        <w:t xml:space="preserve">usados pelos seus fatos</w:t>
      </w:r>
      <w:r>
        <w:rPr/>
        <w:t xml:space="preserve"> (recorte</w:t>
      </w:r>
    </w:p>
    <w:p>
      <w:pPr>
        <w:pStyle w:val="Normal"/>
      </w:pPr>
      <w:r>
        <w:rPr/>
        <w:t xml:space="preserve">que também reduz volume: </w:t>
      </w:r>
      <w:r>
        <w:rPr>
          <w:rFonts w:ascii="Consolas" w:hAnsi="Consolas"/>
        </w:rPr>
        <w:t xml:space="preserve">dm_logistica</w:t>
      </w:r>
      <w:r>
        <w:rPr/>
        <w:t xml:space="preserve"> usa 4 dimensões, não 7).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Em colunas (LGPD):</w:t>
      </w:r>
      <w:r>
        <w:rPr/>
        <w:t xml:space="preserve"> em </w:t>
      </w:r>
      <w:r>
        <w:rPr>
          <w:rFonts w:ascii="Consolas" w:hAnsi="Consolas"/>
        </w:rPr>
        <w:t xml:space="preserve">dm_logistica.dim_cliente</w:t>
      </w:r>
      <w:r>
        <w:rPr/>
        <w:t xml:space="preserve"> foram </w:t>
      </w:r>
      <w:r>
        <w:rPr>
          <w:b/>
        </w:rPr>
        <w:t xml:space="preserve">omitidos</w:t>
      </w:r>
      <w:r>
        <w:rPr/>
        <w:t xml:space="preserve"> CPF mascarado, faixa de renda e</w:t>
      </w:r>
    </w:p>
    <w:p>
      <w:pPr>
        <w:pStyle w:val="Normal"/>
      </w:pPr>
      <w:r>
        <w:rPr/>
        <w:t xml:space="preserve">data de nascimento — o assunto é entrega, não perfil de consumo (princípio de </w:t>
      </w:r>
      <w:r>
        <w:rPr>
          <w:b/>
        </w:rPr>
        <w:t xml:space="preserve">minimização</w:t>
      </w:r>
      <w:r>
        <w:rPr/>
        <w:t xml:space="preserve">).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SCD2 preservado:</w:t>
      </w:r>
      <w:r>
        <w:rPr/>
        <w:t xml:space="preserve"> entram </w:t>
      </w:r>
      <w:r>
        <w:rPr>
          <w:b/>
        </w:rPr>
        <w:t xml:space="preserve">todas as versões</w:t>
      </w:r>
      <w:r>
        <w:rPr/>
        <w:t xml:space="preserve"> referenciadas pelos fatos. Carregar apenas a versão</w:t>
      </w:r>
    </w:p>
    <w:p>
      <w:pPr>
        <w:pStyle w:val="Normal"/>
      </w:pPr>
      <w:r>
        <w:rPr/>
        <w:t xml:space="preserve">vigente deixaria as vendas antigas </w:t>
      </w:r>
      <w:r>
        <w:rPr>
          <w:b/>
        </w:rPr>
        <w:t xml:space="preserve">órfãs dentro do DataMart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6. Processo de ETL</w:t>
      </w:r>
    </w:p>
    <w:p>
      <w:pPr>
        <w:pStyle w:val="Ttulo2"/>
      </w:pPr>
      <w:r>
        <w:rPr/>
        <w:t xml:space="preserve">6.1 Etapas (todas em </w:t>
      </w:r>
      <w:r>
        <w:rPr>
          <w:rFonts w:ascii="Consolas" w:hAnsi="Consolas"/>
        </w:rPr>
        <w:t xml:space="preserve">etl/</w:t>
      </w:r>
      <w:r>
        <w:rPr/>
        <w:t xml:space="preserve">, executadas em sequência por </w:t>
      </w:r>
      <w:r>
        <w:rPr>
          <w:rFonts w:ascii="Consolas" w:hAnsi="Consolas"/>
        </w:rPr>
        <w:t xml:space="preserve">00_carga_inicial.sh</w:t>
      </w:r>
      <w:r>
        <w:rPr/>
        <w:t xml:space="preserve">)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Etapa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Script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 que faz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sql/northwind.sql</w:t>
            </w:r>
            <w:r>
              <w:rPr/>
              <w:t xml:space="preserve"> + </w:t>
            </w:r>
            <w:r>
              <w:rPr>
                <w:rFonts w:ascii="Consolas" w:hAnsi="Consolas"/>
              </w:rPr>
              <w:t xml:space="preserve">SQL criação DB Mercearia.sql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Extract</w:t>
            </w:r>
            <w:r>
              <w:rPr/>
              <w:t xml:space="preserve">: carrega as duas fontes no schema </w:t>
            </w:r>
            <w:r>
              <w:rPr>
                <w:rFonts w:ascii="Consolas" w:hAnsi="Consolas"/>
              </w:rPr>
              <w:t xml:space="preserve">public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sql/seed_mercearia.sql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seed sintético declarado da Mercearia (idempotente)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sql/01_dw_organizacional.sql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DDL do DW</w:t>
            </w:r>
            <w:r>
              <w:rPr/>
              <w:t xml:space="preserve"> (idempotente: recria o schema </w:t>
            </w:r>
            <w:r>
              <w:rPr>
                <w:rFonts w:ascii="Consolas" w:hAnsi="Consolas"/>
              </w:rPr>
              <w:t xml:space="preserve">dw</w:t>
            </w:r>
            <w:r>
              <w:rPr/>
              <w:t xml:space="preserve">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4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sql/03_dados_externos.sql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dados externos</w:t>
            </w:r>
            <w:r>
              <w:rPr/>
              <w:t xml:space="preserve">: IBGE + PTAX + calendário de câmbio + de-para de país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5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sql/02_dim_tempo.sql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da dimensão tempo + feriados (Páscoa calculada)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6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etl/10_carga_dimensoes.sql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Transform + Load</w:t>
            </w:r>
            <w:r>
              <w:rPr/>
              <w:t xml:space="preserve"> das 7 dimensões (inclui mascaramento LGPD)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7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etl/20_carga_fatos.sql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dos 3 fatos (conversão de moeda e papel duplo de tempo)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8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etl/99_validacao.sql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testes de integridade do DW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9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sql/04_datamarts.sql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DDL dos 3 DataMarts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etl/30_carga_datamarts.sql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carga dos DataMarts a partir do DW (com recorte)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11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etl/40_validacao_datamarts.sql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testes de integridade e de </w:t>
            </w:r>
            <w:r>
              <w:rPr>
                <w:b/>
              </w:rPr>
              <w:t xml:space="preserve">conformidade</w:t>
            </w:r>
            <w:r>
              <w:rPr/>
              <w:t xml:space="preserve"> entre DataMarts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6.2 Principais transformações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Padronização de moeda:</w:t>
      </w:r>
      <w:r>
        <w:rPr/>
        <w:t xml:space="preserve"> USD → BRL pela PTAX do dia, com a taxa gravada no fato (auditoria).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Padronização de rótulo:</w:t>
      </w:r>
      <w:r>
        <w:rPr/>
        <w:t xml:space="preserve"> país (de-para) e cidade (</w:t>
      </w:r>
      <w:r>
        <w:rPr>
          <w:rFonts w:ascii="Consolas" w:hAnsi="Consolas"/>
        </w:rPr>
        <w:t xml:space="preserve">unaccent</w:t>
      </w:r>
      <w:r>
        <w:rPr/>
        <w:t xml:space="preserve">, case-insensitive).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Generalização (LGPD):</w:t>
      </w:r>
      <w:r>
        <w:rPr/>
        <w:t xml:space="preserve"> CPF/CNPJ → </w:t>
      </w:r>
      <w:r>
        <w:rPr>
          <w:rFonts w:ascii="Consolas" w:hAnsi="Consolas"/>
        </w:rPr>
        <w:t xml:space="preserve">'***.***.***-XX'</w:t>
      </w:r>
      <w:r>
        <w:rPr/>
        <w:t xml:space="preserve">; renda exata → </w:t>
      </w:r>
      <w:r>
        <w:rPr>
          <w:b/>
        </w:rPr>
        <w:t xml:space="preserve">faixa</w:t>
      </w:r>
      <w:r>
        <w:rPr/>
        <w:t xml:space="preserve"> de renda; telefones</w:t>
      </w:r>
    </w:p>
    <w:p>
      <w:pPr>
        <w:pStyle w:val="Normal"/>
      </w:pPr>
      <w:r>
        <w:rPr>
          <w:b/>
        </w:rPr>
        <w:t xml:space="preserve">não</w:t>
      </w:r>
      <w:r>
        <w:rPr/>
        <w:t xml:space="preserve"> carregados.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Tratamento de nulos:</w:t>
      </w:r>
      <w:r>
        <w:rPr/>
        <w:t xml:space="preserve"> 21 pedidos sem expedição (prazo/data nulos), 507 sem região, campos de</w:t>
      </w:r>
    </w:p>
    <w:p>
      <w:pPr>
        <w:pStyle w:val="Normal"/>
      </w:pPr>
      <w:r>
        <w:rPr/>
        <w:t xml:space="preserve">faturamento/entrada opcionais — todos preservados como </w:t>
      </w:r>
      <w:r>
        <w:rPr>
          <w:rFonts w:ascii="Consolas" w:hAnsi="Consolas"/>
        </w:rPr>
        <w:t xml:space="preserve">NULL</w:t>
      </w:r>
      <w:r>
        <w:rPr/>
        <w:t xml:space="preserve">, sem valor inventado.</w:t>
      </w:r>
    </w:p>
    <w:p>
      <w:pPr>
        <w:pStyle w:val="PargrafodaLista"/>
        <w:numPr>
          <w:ilvl w:val="0"/>
          <w:numId w:val="1"/>
        </w:numPr>
      </w:pPr>
      <w:r>
        <w:rPr>
          <w:b/>
        </w:rPr>
        <w:t xml:space="preserve">Derivação:</w:t>
      </w:r>
      <w:r>
        <w:rPr/>
        <w:t xml:space="preserve"> valor bruto, valor de desconto, valor líquido e prazo de entrega.</w:t>
      </w:r>
    </w:p>
    <w:p>
      <w:pPr>
        <w:pStyle w:val="Normal"/>
      </w:pPr>
      <w:r>
        <w:rPr/>
        <w:t xml:space="preserve">Regra de arredondamento que garante a identidade da linha: </w:t>
      </w:r>
      <w:r>
        <w:rPr>
          <w:rFonts w:ascii="Consolas" w:hAnsi="Consolas"/>
        </w:rPr>
        <w:t xml:space="preserve">vlr_bruto = round(quantidade × vlr_unitario, 2)</w:t>
      </w:r>
      <w:r>
        <w:rPr/>
        <w:t xml:space="preserve"> · </w:t>
      </w:r>
      <w:r>
        <w:rPr>
          <w:rFonts w:ascii="Consolas" w:hAnsi="Consolas"/>
        </w:rPr>
        <w:t xml:space="preserve">vlr_desconto = round(vlr_bruto × pct_desconto, 2)</w:t>
      </w:r>
      <w:r>
        <w:rPr/>
        <w:t xml:space="preserve"> · </w:t>
      </w:r>
      <w:r>
        <w:rPr>
          <w:rFonts w:ascii="Consolas" w:hAnsi="Consolas"/>
        </w:rPr>
        <w:t xml:space="preserve">vlr_liquido = vlr_bruto − vlr_desconto</w:t>
      </w:r>
      <w:r>
        <w:rPr/>
        <w:t xml:space="preserve">.</w:t>
      </w:r>
    </w:p>
    <w:p>
      <w:pPr>
        <w:pStyle w:val="Ttulo2"/>
      </w:pPr>
      <w:r>
        <w:rPr/>
        <w:t xml:space="preserve">6.3 Testes de integridade — resultados</w:t>
      </w:r>
    </w:p>
    <w:p>
      <w:pPr>
        <w:pStyle w:val="Normal"/>
      </w:pPr>
      <w:r>
        <w:rPr>
          <w:b/>
        </w:rPr>
        <w:t xml:space="preserve">DW</w:t>
      </w:r>
      <w:r>
        <w:rPr/>
        <w:t xml:space="preserve"> (</w:t>
      </w:r>
      <w:r>
        <w:rPr>
          <w:rFonts w:ascii="Consolas" w:hAnsi="Consolas"/>
        </w:rPr>
        <w:t xml:space="preserve">etl/99_validacao.sql</w:t>
      </w:r>
      <w:r>
        <w:rPr/>
        <w:t xml:space="preserve">):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Teste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Contagens origem × DW (13 comparações)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todas iguais</w:t>
            </w:r>
            <w:r>
              <w:rPr/>
              <w:t xml:space="preserve"> (ex.: </w:t>
            </w: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9.496 Mercearia + 2.155 Northwind)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Identidade contábil (</w:t>
            </w:r>
            <w:r>
              <w:rPr>
                <w:rFonts w:ascii="Consolas" w:hAnsi="Consolas"/>
              </w:rPr>
              <w:t xml:space="preserve">vlr_bruto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vlr_liquido</w:t>
            </w:r>
            <w:r>
              <w:rPr/>
              <w:t xml:space="preserve">) em 11.651 linhas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erros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Valores negativos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Vendas sem localidade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Registros órfãos (5 FKs testadas)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SCD2: uma única versão vigente por chave (107 chaves)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100%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Cobertura dos dados externos na dimensão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120 membros com código IBGE e população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DataMarts</w:t>
      </w:r>
      <w:r>
        <w:rPr/>
        <w:t xml:space="preserve"> (</w:t>
      </w:r>
      <w:r>
        <w:rPr>
          <w:rFonts w:ascii="Consolas" w:hAnsi="Consolas"/>
        </w:rPr>
        <w:t xml:space="preserve">etl/40_validacao_datamarts.sql</w:t>
      </w:r>
      <w:r>
        <w:rPr/>
        <w:t xml:space="preserve">):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Teste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Fatos do DataMart × DW (3 comparações)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iguais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Órfãos nos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Conformidade entre DataMarts</w:t>
            </w:r>
            <w:r>
              <w:rPr/>
              <w:t xml:space="preserve"> (mesmo membro → mesmos atributos)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divergências</w:t>
            </w:r>
            <w:r>
              <w:rPr/>
              <w:t xml:space="preserve"> (produto, localidade, cliente, tempo)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Membros carregados e não usados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  <w:r>
              <w:rPr/>
              <w:t xml:space="preserve"> (o recorte funcionou)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LGPD</w:t>
            </w:r>
            <w:r>
              <w:rPr/>
              <w:t xml:space="preserve">: colunas sensíveis em </w:t>
            </w:r>
            <w:r>
              <w:rPr>
                <w:rFonts w:ascii="Consolas" w:hAnsi="Consolas"/>
              </w:rPr>
              <w:t xml:space="preserve">dm_logistica.dim_cliente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  <w:r>
              <w:rPr/>
              <w:t xml:space="preserve"> (teste via catálogo </w:t>
            </w:r>
            <w:r>
              <w:rPr>
                <w:rFonts w:ascii="Consolas" w:hAnsi="Consolas"/>
              </w:rPr>
              <w:t xml:space="preserve">information_schema</w:t>
            </w:r>
            <w:r>
              <w:rPr/>
              <w:t xml:space="preserve">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Amostra analítica sobre o DataMart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top 5 produtos retornado corretamente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6.4 Defeitos encontrados durante a execução (e corrigidos)</w:t>
      </w:r>
    </w:p>
    <w:p>
      <w:pPr>
        <w:pStyle w:val="Normal"/>
      </w:pPr>
      <w:r>
        <w:rPr/>
        <w:t xml:space="preserve">Registro honesto do processo — todos foram detectados </w:t>
      </w:r>
      <w:r>
        <w:rPr>
          <w:b/>
        </w:rPr>
        <w:t xml:space="preserve">por teste</w:t>
      </w:r>
      <w:r>
        <w:rPr/>
        <w:t xml:space="preserve">, não por inspeção visual: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#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Defeito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Como foi detectado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Correção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Telefones</w:t>
            </w:r>
            <w:r>
              <w:rPr/>
              <w:t xml:space="preserve">: ordem de colunas invertida no </w:t>
            </w:r>
            <w:r>
              <w:rPr>
                <w:rFonts w:ascii="Consolas" w:hAnsi="Consolas"/>
              </w:rPr>
              <w:t xml:space="preserve">INSERT</w:t>
            </w:r>
            <w:r>
              <w:rPr/>
              <w:t xml:space="preserve"> (ID duplicado)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erro de chave primária na carga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reordenação da lista de colunas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203 linhas do Northwind </w:t>
            </w:r>
            <w:r>
              <w:rPr>
                <w:b/>
              </w:rPr>
              <w:t xml:space="preserve">sem localidade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teste de integridade do DW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o filtro de país excluía os destinos brasileiros; a junção passou a usar o país padronizado e o nível de cidade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Cidade </w:t>
            </w:r>
            <w:r>
              <w:rPr>
                <w:rFonts w:ascii="Consolas" w:hAnsi="Consolas"/>
              </w:rPr>
              <w:t xml:space="preserve">Sao Paulo</w:t>
            </w:r>
            <w:r>
              <w:rPr/>
              <w:t xml:space="preserve"> ≠ </w:t>
            </w:r>
            <w:r>
              <w:rPr>
                <w:rFonts w:ascii="Consolas" w:hAnsi="Consolas"/>
              </w:rPr>
              <w:t xml:space="preserve">São Paulo</w:t>
            </w:r>
            <w:r>
              <w:rPr/>
              <w:t xml:space="preserve"> (duas cidades na mesma dimensão)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análise de dados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normalização com </w:t>
            </w:r>
            <w:r>
              <w:rPr>
                <w:rFonts w:ascii="Consolas" w:hAnsi="Consolas"/>
              </w:rPr>
              <w:t xml:space="preserve">unaccent()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4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UF </w:t>
            </w:r>
            <w:r>
              <w:rPr>
                <w:rFonts w:ascii="Consolas" w:hAnsi="Consolas"/>
              </w:rPr>
              <w:t xml:space="preserve">SP</w:t>
            </w:r>
            <w:r>
              <w:rPr/>
              <w:t xml:space="preserve"> duplicada (uma sem nome de estado)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análise de dados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preenchimento de </w:t>
            </w:r>
            <w:r>
              <w:rPr>
                <w:rFonts w:ascii="Consolas" w:hAnsi="Consolas"/>
              </w:rPr>
              <w:t xml:space="preserve">nm_estado</w:t>
            </w:r>
            <w:r>
              <w:rPr/>
              <w:t xml:space="preserve"> a partir da tabela </w:t>
            </w:r>
            <w:r>
              <w:rPr>
                <w:rFonts w:ascii="Consolas" w:hAnsi="Consolas"/>
              </w:rPr>
              <w:t xml:space="preserve">Uf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5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curl</w:t>
            </w:r>
            <w:r>
              <w:rPr/>
              <w:t xml:space="preserve"> no Windows interpretando </w:t>
            </w:r>
            <w:r>
              <w:rPr>
                <w:rFonts w:ascii="Consolas" w:hAnsi="Consolas"/>
              </w:rPr>
              <w:t xml:space="preserve">[</w:t>
            </w:r>
            <w:r>
              <w:rPr/>
              <w:t xml:space="preserve"> </w:t>
            </w:r>
            <w:r>
              <w:rPr>
                <w:rFonts w:ascii="Consolas" w:hAnsi="Consolas"/>
              </w:rPr>
              <w:t xml:space="preserve">]</w:t>
            </w:r>
            <w:r>
              <w:rPr/>
              <w:t xml:space="preserve"> como curinga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falha de rede na extração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uso de </w:t>
            </w:r>
            <w:r>
              <w:rPr>
                <w:rFonts w:ascii="Consolas" w:hAnsi="Consolas"/>
              </w:rPr>
              <w:t xml:space="preserve">-g</w:t>
            </w:r>
            <w:r>
              <w:rPr/>
              <w:t xml:space="preserve"> e codificação </w:t>
            </w:r>
            <w:r>
              <w:rPr>
                <w:rFonts w:ascii="Consolas" w:hAnsi="Consolas"/>
              </w:rPr>
              <w:t xml:space="preserve">%5B/%5D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Lição de qualidade de dados:</w:t>
      </w:r>
      <w:r>
        <w:rPr/>
        <w:t xml:space="preserve"> os defeitos 3 e 4 </w:t>
      </w:r>
      <w:r>
        <w:rPr>
          <w:b/>
        </w:rPr>
        <w:t xml:space="preserve">passaram por todos os testes de contagem</w:t>
      </w:r>
      <w:r>
        <w:rPr/>
        <w:t xml:space="preserve"> e só apareceram </w:t>
      </w:r>
      <w:r>
        <w:rPr>
          <w:b/>
        </w:rPr>
        <w:t xml:space="preserve">no uso analítico</w:t>
      </w:r>
      <w:r>
        <w:rPr/>
        <w:t xml:space="preserve">. Teste de contagem não substitui </w:t>
      </w:r>
      <w:r>
        <w:rPr>
          <w:b/>
        </w:rPr>
        <w:t xml:space="preserve">teste de uso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7. Análise de dados</w:t>
      </w:r>
    </w:p>
    <w:p>
      <w:pPr>
        <w:pStyle w:val="Normal"/>
      </w:pPr>
      <w:r>
        <w:rPr>
          <w:b/>
        </w:rPr>
        <w:t xml:space="preserve">Ferramenta:</w:t>
      </w:r>
      <w:r>
        <w:rPr/>
        <w:t xml:space="preserve"> Python 3.13 (pandas, matplotlib, scikit-learn, psycopg2), conectado diretamente ao banco, aplicado </w:t>
      </w:r>
      <w:r>
        <w:rPr>
          <w:b/>
        </w:rPr>
        <w:t xml:space="preserve">ao DW e aos DataMarts</w:t>
      </w:r>
      <w:r>
        <w:rPr/>
        <w:t xml:space="preserve">. Script: </w:t>
      </w:r>
      <w:r>
        <w:rPr>
          <w:rFonts w:ascii="Consolas" w:hAnsi="Consolas"/>
        </w:rPr>
        <w:t xml:space="preserve">analise/analise_dw_datamarts.py</w:t>
      </w:r>
      <w:r>
        <w:rPr/>
        <w:t xml:space="preserve">. Detalhamento completo em </w:t>
      </w:r>
      <w:r>
        <w:rPr>
          <w:rFonts w:ascii="Consolas" w:hAnsi="Consolas"/>
        </w:rPr>
        <w:t xml:space="preserve">analises.md</w:t>
      </w:r>
      <w:r>
        <w:rPr/>
        <w:t xml:space="preserve">; saídas em </w:t>
      </w:r>
      <w:r>
        <w:rPr>
          <w:rFonts w:ascii="Consolas" w:hAnsi="Consolas"/>
        </w:rPr>
        <w:t xml:space="preserve">analise/figuras/</w:t>
      </w:r>
      <w:r>
        <w:rPr/>
        <w:t xml:space="preserve"> (8 gráficos) e </w:t>
      </w:r>
      <w:r>
        <w:rPr>
          <w:rFonts w:ascii="Consolas" w:hAnsi="Consolas"/>
        </w:rPr>
        <w:t xml:space="preserve">analise/resultados/</w:t>
      </w:r>
      <w:r>
        <w:rPr/>
        <w:t xml:space="preserve"> (11 tabelas).</w:t>
      </w:r>
    </w:p>
    <w:p>
      <w:pPr>
        <w:pStyle w:val="Ttulo2"/>
      </w:pPr>
      <w:r>
        <w:rPr/>
        <w:t xml:space="preserve">7.1 Panorama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Indicador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Linhas de venda (DW e DataMart)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11.651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Faturamento total (BRL)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1.991.124,46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Prazo médio de entrega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8,5 dias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Frete médio por pedido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R$ 85,20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Visão temporal (DW).</w:t>
      </w:r>
      <w:r>
        <w:rPr/>
        <w:t xml:space="preserve"> O gráfico abaixo mostra as duas fontes no tempo — Northwind 1996–1998 e Mercearia 2024–2026 — e evidencia que </w:t>
      </w:r>
      <w:r>
        <w:rPr>
          <w:b/>
        </w:rPr>
        <w:t xml:space="preserve">dezembro é pico nas duas bases</w:t>
      </w:r>
      <w:r>
        <w:rPr/>
        <w:t xml:space="preserve">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2742045"/>
            <wp:docPr id="101" name="Figur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_evolucao_mensal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7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1 — Evolução mensal do faturamento (BRL) por origem.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2" name="Figur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2_top_produtos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2 — Top 10 produtos por faturamento (BRL).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3" name="Figur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_faturamento_uf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3 — Faturamento por UF (Brasil).</w:t>
      </w:r>
    </w:p>
    <w:p>
      <w:pPr>
        <w:pStyle w:val="Ttulo2"/>
      </w:pPr>
      <w:r>
        <w:rPr/>
        <w:t xml:space="preserve">7.2 Sazonalidade (DW, usando </w:t>
      </w:r>
      <w:r>
        <w:rPr>
          <w:rFonts w:ascii="Consolas" w:hAnsi="Consolas"/>
        </w:rPr>
        <w:t xml:space="preserve">dim_tempo</w:t>
      </w:r>
      <w:r>
        <w:rPr/>
        <w:t xml:space="preserve">)</w:t>
      </w:r>
    </w:p>
    <w:p>
      <w:pPr>
        <w:pStyle w:val="Normal"/>
      </w:pPr>
      <w:r>
        <w:rPr/>
        <w:t xml:space="preserve">Fim de semana vende </w:t>
      </w:r>
      <w:r>
        <w:rPr>
          <w:b/>
        </w:rPr>
        <w:t xml:space="preserve">~1,5× mais</w:t>
      </w:r>
      <w:r>
        <w:rPr/>
        <w:t xml:space="preserve"> que dia útil (sábado R$ 1.143,19/dia × segunda R$ 749,24/dia). </w:t>
      </w:r>
      <w:r>
        <w:rPr>
          <w:b/>
        </w:rPr>
        <w:t xml:space="preserve">Feriado legal vende 21% MENOS</w:t>
      </w:r>
      <w:r>
        <w:rPr/>
        <w:t xml:space="preserve"> que um dia comum (R$ 670,76 contra R$ 846,29), enquanto </w:t>
      </w:r>
      <w:r>
        <w:rPr>
          <w:b/>
        </w:rPr>
        <w:t xml:space="preserve">ponto facultativo vende mais</w:t>
      </w:r>
      <w:r>
        <w:rPr/>
        <w:t xml:space="preserve"> (R$ 947,02). O comportamento diferente é o que </w:t>
      </w:r>
      <w:r>
        <w:rPr>
          <w:b/>
        </w:rPr>
        <w:t xml:space="preserve">justifica</w:t>
      </w:r>
      <w:r>
        <w:rPr/>
        <w:t xml:space="preserve"> a existência da flag separada </w:t>
      </w:r>
      <w:r>
        <w:rPr>
          <w:rFonts w:ascii="Consolas" w:hAnsi="Consolas"/>
        </w:rPr>
        <w:t xml:space="preserve">eh_ponto_facultativo</w:t>
      </w:r>
      <w:r>
        <w:rPr/>
        <w:t xml:space="preserve"> na dimensão tempo.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2262187"/>
            <wp:docPr id="104" name="Figura 1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4_sazonalidade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26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4 — Venda média por dia da semana e por tipo de dia (feriado × dia comum).</w:t>
      </w:r>
    </w:p>
    <w:p>
      <w:pPr>
        <w:pStyle w:val="Ttulo2"/>
      </w:pPr>
      <w:r>
        <w:rPr/>
        <w:t xml:space="preserve">7.3 Logística e conformidade (DataMart 3)</w:t>
      </w:r>
    </w:p>
    <w:tbl>
      <w:tblPr>
        <w:tblStyle w:val="Tabelacomgrade"/>
        <w:tblW w:w="10546" w:type="dxa"/>
        <w:tblLook w:val="04A0"/>
      </w:tblPr>
      <w:tblGrid>
        <w:gridCol w:w="2636"/>
        <w:gridCol w:w="2636"/>
        <w:gridCol w:w="2636"/>
        <w:gridCol w:w="2636"/>
      </w:tblGrid>
      <w:tr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Transportadora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Pedidos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Prazo médio</w:t>
            </w:r>
          </w:p>
        </w:tc>
        <w:tc>
          <w:tcPr>
            <w:tcW w:w="2636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Frete médio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Federal Shipping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255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7,5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R$ 87,00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Speedy Express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249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8,6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>
                <w:b/>
              </w:rPr>
              <w:t xml:space="preserve">R$ 70,79</w:t>
            </w:r>
          </w:p>
        </w:tc>
      </w:tr>
      <w:tr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United Package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326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9,2 dias</w:t>
            </w:r>
          </w:p>
        </w:tc>
        <w:tc>
          <w:tcPr>
            <w:tcW w:w="2636" w:type="dxa"/>
          </w:tcPr>
          <w:p>
            <w:pPr>
              <w:pStyle w:val="Normal"/>
            </w:pPr>
            <w:r>
              <w:rPr/>
              <w:t xml:space="preserve">R$ 94,80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United Package</w:t>
      </w:r>
      <w:r>
        <w:rPr/>
        <w:t xml:space="preserve"> concentra o maior volume, tem o </w:t>
      </w:r>
      <w:r>
        <w:rPr>
          <w:b/>
        </w:rPr>
        <w:t xml:space="preserve">pior prazo</w:t>
      </w:r>
      <w:r>
        <w:rPr/>
        <w:t xml:space="preserve"> e o </w:t>
      </w:r>
      <w:r>
        <w:rPr>
          <w:b/>
        </w:rPr>
        <w:t xml:space="preserve">maior frete</w:t>
      </w:r>
      <w:r>
        <w:rPr/>
        <w:t xml:space="preserve"> — prioridade de renegociação. Não há trade-off "rápido × barato" nos dados.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5" name="Figura 10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5_transportadoras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5 — Prazo médio de entrega por transportadora (dias).</w:t>
      </w:r>
    </w:p>
    <w:p>
      <w:pPr>
        <w:pStyle w:val="Ttulo2"/>
      </w:pPr>
      <w:r>
        <w:rPr/>
        <w:t xml:space="preserve">7.4 Análise cruzada de DataMarts (margem)</w:t>
      </w:r>
    </w:p>
    <w:p>
      <w:pPr>
        <w:pStyle w:val="Normal"/>
      </w:pPr>
      <w:r>
        <w:rPr/>
        <w:t xml:space="preserve">O cruzamento </w:t>
      </w:r>
      <w:r>
        <w:rPr>
          <w:rFonts w:ascii="Consolas" w:hAnsi="Consolas"/>
        </w:rPr>
        <w:t xml:space="preserve">dm_suprimentos</w:t>
      </w:r>
      <w:r>
        <w:rPr/>
        <w:t xml:space="preserve"> (custo) × </w:t>
      </w:r>
      <w:r>
        <w:rPr>
          <w:rFonts w:ascii="Consolas" w:hAnsi="Consolas"/>
        </w:rPr>
        <w:t xml:space="preserve">dm_vendas</w:t>
      </w:r>
      <w:r>
        <w:rPr/>
        <w:t xml:space="preserve"> (preço) só é possível porque as dimensões são </w:t>
      </w:r>
      <w:r>
        <w:rPr>
          <w:b/>
        </w:rPr>
        <w:t xml:space="preserve">conformadas</w:t>
      </w:r>
      <w:r>
        <w:rPr/>
        <w:t xml:space="preserve">. </w:t>
      </w:r>
      <w:r>
        <w:rPr>
          <w:b/>
        </w:rPr>
        <w:t xml:space="preserve">Limitação declarada:</w:t>
      </w:r>
      <w:r>
        <w:rPr/>
        <w:t xml:space="preserve"> a margem apurada ficou uniformemente em 35% por um </w:t>
      </w:r>
      <w:r>
        <w:rPr>
          <w:b/>
        </w:rPr>
        <w:t xml:space="preserve">artefato do seed sintético</w:t>
      </w:r>
      <w:r>
        <w:rPr/>
        <w:t xml:space="preserve"> (custo gerado como 65% do preço) — o </w:t>
      </w:r>
      <w:r>
        <w:rPr>
          <w:b/>
        </w:rPr>
        <w:t xml:space="preserve">método</w:t>
      </w:r>
      <w:r>
        <w:rPr/>
        <w:t xml:space="preserve"> está correto, o </w:t>
      </w:r>
      <w:r>
        <w:rPr>
          <w:b/>
        </w:rPr>
        <w:t xml:space="preserve">número</w:t>
      </w:r>
      <w:r>
        <w:rPr/>
        <w:t xml:space="preserve"> não é interpretável. Com dados reais, a margem variaria por produto.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6" name="Figura 10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_margem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6 — Margem unitária média por produto (BRL) — cruzamento entre os DataMarts de Suprimentos e Vendas.</w:t>
      </w:r>
    </w:p>
    <w:p>
      <w:pPr>
        <w:pStyle w:val="Ttulo2"/>
      </w:pPr>
      <w:r>
        <w:rPr/>
        <w:t xml:space="preserve">7.5 IA aplicada</w:t>
      </w:r>
    </w:p>
    <w:p>
      <w:pPr>
        <w:pStyle w:val="PargrafodaLista"/>
      </w:pPr>
      <w:r>
        <w:rPr>
          <w:b/>
        </w:rPr>
        <w:t xml:space="preserve">Segmentação de clientes (K-Means sobre RFM)</w:t>
      </w:r>
      <w:r>
        <w:rPr/>
        <w:t xml:space="preserve"> — 60 clientes em 3 grupos. Destaque: o segmento</w:t>
      </w:r>
    </w:p>
    <w:p>
      <w:pPr>
        <w:pStyle w:val="Normal"/>
      </w:pPr>
      <w:r>
        <w:rPr/>
        <w:t xml:space="preserve">intermediário (13 clientes) tem valor próximo ao topo, mas </w:t>
      </w:r>
      <w:r>
        <w:rPr>
          <w:b/>
        </w:rPr>
        <w:t xml:space="preserve">46 dias de recência</w:t>
      </w:r>
      <w:r>
        <w:rPr/>
        <w:t xml:space="preserve"> — alvo natural de campanha de reativação. </w:t>
      </w:r>
      <w:r>
        <w:rPr>
          <w:i/>
        </w:rPr>
        <w:t xml:space="preserve">Limitação:</w:t>
      </w:r>
      <w:r>
        <w:rPr/>
        <w:t xml:space="preserve"> no seed sintético todos compram com frequência parecida, então o agrupamento separou sobretudo por </w:t>
      </w:r>
      <w:r>
        <w:rPr>
          <w:b/>
        </w:rPr>
        <w:t xml:space="preserve">valor</w:t>
      </w:r>
      <w:r>
        <w:rPr/>
        <w:t xml:space="preserve">.</w:t>
      </w:r>
    </w:p>
    <w:p>
      <w:pPr>
        <w:pStyle w:val="PargrafodaLista"/>
      </w:pPr>
      <w:r>
        <w:rPr>
          <w:b/>
        </w:rPr>
        <w:t xml:space="preserve">Projeção de vendas (regressão linear)</w:t>
      </w:r>
      <w:r>
        <w:rPr/>
        <w:t xml:space="preserve"> — R² = </w:t>
      </w:r>
      <w:r>
        <w:rPr>
          <w:b/>
        </w:rPr>
        <w:t xml:space="preserve">0,866</w:t>
      </w:r>
      <w:r>
        <w:rPr/>
        <w:t xml:space="preserve">, tendência praticamente estável</w:t>
      </w:r>
    </w:p>
    <w:p>
      <w:pPr>
        <w:pStyle w:val="Normal"/>
      </w:pPr>
      <w:r>
        <w:rPr/>
        <w:t xml:space="preserve">(−R$ 31,76/mês) e </w:t>
      </w:r>
      <w:r>
        <w:rPr>
          <w:b/>
        </w:rPr>
        <w:t xml:space="preserve">efeito de dezembro de +R$ 21.686,08</w:t>
      </w:r>
      <w:r>
        <w:rPr/>
        <w:t xml:space="preserve">; projeção de dezembro: R$ 44.994,89. O R² alto decorre do </w:t>
      </w:r>
      <w:r>
        <w:rPr>
          <w:b/>
        </w:rPr>
        <w:t xml:space="preserve">efeito sazonal</w:t>
      </w:r>
      <w:r>
        <w:rPr/>
        <w:t xml:space="preserve">, não de crescimento.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686527"/>
            <wp:docPr id="107" name="Figura 10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7_clusters_clientes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68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7 — Segmentação de clientes por K-Means (k=3) sobre recência × valor.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016250"/>
            <wp:docPr id="108" name="Figura 10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08_previsao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i/>
        </w:rPr>
        <w:t xml:space="preserve">Figura 8 — Faturamento mensal e projeção por regressão linear (R² = 0,866).</w:t>
      </w:r>
    </w:p>
    <w:p>
      <w:pPr>
        <w:pStyle w:val="Ttulo2"/>
      </w:pPr>
      <w:r>
        <w:rPr/>
        <w:t xml:space="preserve">7.6 Achados de negócio</w:t>
      </w:r>
    </w:p>
    <w:p>
      <w:pPr>
        <w:pStyle w:val="PargrafodaLista"/>
      </w:pPr>
      <w:r>
        <w:rPr/>
        <w:t xml:space="preserve">Fim de semana vende ~1,5× mais; </w:t>
      </w:r>
      <w:r>
        <w:rPr>
          <w:b/>
        </w:rPr>
        <w:t xml:space="preserve">feriado legal vende 21% menos</w:t>
      </w:r>
      <w:r>
        <w:rPr/>
        <w:t xml:space="preserve">.</w:t>
      </w:r>
    </w:p>
    <w:p>
      <w:pPr>
        <w:pStyle w:val="PargrafodaLista"/>
      </w:pPr>
      <w:r>
        <w:rPr>
          <w:b/>
        </w:rPr>
        <w:t xml:space="preserve">Dezembro</w:t>
      </w:r>
      <w:r>
        <w:rPr/>
        <w:t xml:space="preserve"> é pico nas </w:t>
      </w:r>
      <w:r>
        <w:rPr>
          <w:b/>
        </w:rPr>
        <w:t xml:space="preserve">duas</w:t>
      </w:r>
      <w:r>
        <w:rPr/>
        <w:t xml:space="preserve"> bases — sazonalidade consistente entre fontes de épocas diferentes.</w:t>
      </w:r>
    </w:p>
    <w:p>
      <w:pPr>
        <w:pStyle w:val="PargrafodaLista"/>
      </w:pPr>
      <w:r>
        <w:rPr/>
        <w:t xml:space="preserve">A Mercearia fatura por </w:t>
      </w:r>
      <w:r>
        <w:rPr>
          <w:b/>
        </w:rPr>
        <w:t xml:space="preserve">volume</w:t>
      </w:r>
      <w:r>
        <w:rPr/>
        <w:t xml:space="preserve">; o Northwind, por </w:t>
      </w:r>
      <w:r>
        <w:rPr>
          <w:b/>
        </w:rPr>
        <w:t xml:space="preserve">valor unitário</w:t>
      </w:r>
      <w:r>
        <w:rPr/>
        <w:t xml:space="preserve">.</w:t>
      </w:r>
    </w:p>
    <w:p>
      <w:pPr>
        <w:pStyle w:val="PargrafodaLista"/>
      </w:pPr>
      <w:r>
        <w:rPr>
          <w:b/>
        </w:rPr>
        <w:t xml:space="preserve">United Package</w:t>
      </w:r>
      <w:r>
        <w:rPr/>
        <w:t xml:space="preserve">: maior volume, pior prazo, maior frete.</w:t>
      </w:r>
    </w:p>
    <w:p>
      <w:pPr>
        <w:pStyle w:val="PargrafodaLista"/>
      </w:pPr>
      <w:r>
        <w:rPr>
          <w:b/>
        </w:rPr>
        <w:t xml:space="preserve">13 clientes</w:t>
      </w:r>
      <w:r>
        <w:rPr/>
        <w:t xml:space="preserve"> com 46 dias de recência: melhor oportunidade de reativação.</w:t>
      </w:r>
    </w:p>
    <w:p>
      <w:pPr>
        <w:pStyle w:val="PargrafodaLista"/>
      </w:pPr>
      <w:r>
        <w:rPr>
          <w:b/>
        </w:rPr>
        <w:t xml:space="preserve">SP</w:t>
      </w:r>
      <w:r>
        <w:rPr/>
        <w:t xml:space="preserve"> lidera o faturamento, mas </w:t>
      </w:r>
      <w:r>
        <w:rPr>
          <w:b/>
        </w:rPr>
        <w:t xml:space="preserve">GO</w:t>
      </w:r>
      <w:r>
        <w:rPr/>
        <w:t xml:space="preserve"> é o 2º em número de pedidos (efeito da base local).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8. LGPD</w:t>
      </w:r>
    </w:p>
    <w:p>
      <w:pPr>
        <w:pStyle w:val="Normal"/>
      </w:pPr>
      <w:r>
        <w:rPr/>
        <w:t xml:space="preserve">Aplicada de forma </w:t>
      </w:r>
      <w:r>
        <w:rPr>
          <w:b/>
        </w:rPr>
        <w:t xml:space="preserve">preventiva</w:t>
      </w:r>
      <w:r>
        <w:rPr/>
        <w:t xml:space="preserve"> — ainda assim relevante, porque o DW modelado lidaria com dados pessoais se alimentado por uma base real (Lei 13.709/2018). Medidas implementadas: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Medida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</w:t>
            </w:r>
            <w:r>
              <w:rPr/>
              <w:t xml:space="preserve"> — apenas os atributos necessários entram no DW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telefones (</w:t>
            </w:r>
            <w:r>
              <w:rPr>
                <w:rFonts w:ascii="Consolas" w:hAnsi="Consolas"/>
              </w:rPr>
              <w:t xml:space="preserve">Telefones</w:t>
            </w:r>
            <w:r>
              <w:rPr/>
              <w:t xml:space="preserve">) </w:t>
            </w:r>
            <w:r>
              <w:rPr>
                <w:b/>
              </w:rPr>
              <w:t xml:space="preserve">não</w:t>
            </w:r>
            <w:r>
              <w:rPr/>
              <w:t xml:space="preserve"> são carregados; nenhum uso analítico existe para eles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Mascaramento</w:t>
            </w:r>
            <w:r>
              <w:rPr/>
              <w:t xml:space="preserve"> — CPF/CNPJ reduzido a </w:t>
            </w:r>
            <w:r>
              <w:rPr>
                <w:rFonts w:ascii="Consolas" w:hAnsi="Consolas"/>
              </w:rPr>
              <w:t xml:space="preserve">'***.***.***-XX'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dim_cliente.cpf_cnpj_masked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Generalização</w:t>
            </w:r>
            <w:r>
              <w:rPr/>
              <w:t xml:space="preserve"> — renda exata → </w:t>
            </w:r>
            <w:r>
              <w:rPr>
                <w:b/>
              </w:rPr>
              <w:t xml:space="preserve">faixa</w:t>
            </w:r>
            <w:r>
              <w:rPr/>
              <w:t xml:space="preserve"> de renda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dim_cliente.faixa_renda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 por assunto</w:t>
            </w:r>
            <w:r>
              <w:rPr/>
              <w:t xml:space="preserve"> — CPF, renda e data de nascimento </w:t>
            </w:r>
            <w:r>
              <w:rPr>
                <w:b/>
              </w:rPr>
              <w:t xml:space="preserve">omitidos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dm_logistica.dim_cliente</w:t>
            </w:r>
            <w:r>
              <w:rPr/>
              <w:t xml:space="preserve"> (teste D5 verifica via catálogo)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Dados sintéticos declarados</w:t>
            </w:r>
            <w:r>
              <w:rPr/>
              <w:t xml:space="preserve"> — nenhum dado real de pessoa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sql/seed_mercearia.sql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 público</w:t>
            </w:r>
            <w:r>
              <w:rPr/>
              <w:t xml:space="preserve"> — o </w:t>
            </w:r>
            <w:r>
              <w:rPr>
                <w:i/>
              </w:rPr>
              <w:t xml:space="preserve">sample</w:t>
            </w:r>
            <w:r>
              <w:rPr/>
              <w:t xml:space="preserve"> Northwind é fictício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sql/northwind.sql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9. Limitações e trabalhos futuros</w:t>
      </w:r>
    </w:p>
    <w:p>
      <w:pPr>
        <w:pStyle w:val="PargrafodaLista"/>
      </w:pPr>
      <w:r>
        <w:rPr>
          <w:b/>
        </w:rPr>
        <w:t xml:space="preserve">Massa sintética na Mercearia</w:t>
      </w:r>
      <w:r>
        <w:rPr/>
        <w:t xml:space="preserve"> — necessária porque a fonte não acompanha dados. Consequência:</w:t>
      </w:r>
    </w:p>
    <w:p>
      <w:pPr>
        <w:pStyle w:val="Normal"/>
      </w:pPr>
      <w:r>
        <w:rPr/>
        <w:t xml:space="preserve">margem uniforme e clientes homogêneos em frequência (itens 7.4 e 7.5). Com dados reais, os achados seriam mais ricos.</w:t>
      </w:r>
    </w:p>
    <w:p>
      <w:pPr>
        <w:pStyle w:val="PargrafodaLista"/>
      </w:pPr>
      <w:r>
        <w:rPr>
          <w:b/>
        </w:rPr>
        <w:t xml:space="preserve">Salto temporal entre as fontes</w:t>
      </w:r>
      <w:r>
        <w:rPr/>
        <w:t xml:space="preserve"> — Northwind 1996–1998 e Mercearia 2024–2026: os dados são</w:t>
      </w:r>
    </w:p>
    <w:p>
      <w:pPr>
        <w:pStyle w:val="Normal"/>
      </w:pPr>
      <w:r>
        <w:rPr/>
        <w:t xml:space="preserve">integrados por dimensões conformadas, mas </w:t>
      </w:r>
      <w:r>
        <w:rPr>
          <w:b/>
        </w:rPr>
        <w:t xml:space="preserve">não</w:t>
      </w:r>
      <w:r>
        <w:rPr/>
        <w:t xml:space="preserve"> devem ser lidos como uma série contínua de uma mesma economia (a conversão cambial garante homogeneidade de moeda, não comparabilidade de mercado).</w:t>
      </w:r>
    </w:p>
    <w:p>
      <w:pPr>
        <w:pStyle w:val="PargrafodaLista"/>
      </w:pPr>
      <w:r>
        <w:rPr>
          <w:b/>
        </w:rPr>
        <w:t xml:space="preserve">Dimensão localidade com profundidade variável</w:t>
      </w:r>
      <w:r>
        <w:rPr/>
        <w:t xml:space="preserve"> (bairro no Brasil, cidade no exterior) — alternativa</w:t>
      </w:r>
    </w:p>
    <w:p>
      <w:pPr>
        <w:pStyle w:val="Normal"/>
      </w:pPr>
      <w:r>
        <w:rPr/>
        <w:t xml:space="preserve">futura: desmembrar em </w:t>
      </w:r>
      <w:r>
        <w:rPr>
          <w:rFonts w:ascii="Consolas" w:hAnsi="Consolas"/>
        </w:rPr>
        <w:t xml:space="preserve">dim_cidade</w:t>
      </w:r>
      <w:r>
        <w:rPr/>
        <w:t xml:space="preserve"> + </w:t>
      </w:r>
      <w:r>
        <w:rPr>
          <w:rFonts w:ascii="Consolas" w:hAnsi="Consolas"/>
        </w:rPr>
        <w:t xml:space="preserve">dim_bairro</w:t>
      </w:r>
      <w:r>
        <w:rPr/>
        <w:t xml:space="preserve"> (floco de neve).</w:t>
      </w:r>
    </w:p>
    <w:p>
      <w:pPr>
        <w:pStyle w:val="PargrafodaLista"/>
      </w:pPr>
      <w:r>
        <w:rPr>
          <w:b/>
        </w:rPr>
        <w:t xml:space="preserve">Projeção linear</w:t>
      </w:r>
      <w:r>
        <w:rPr/>
        <w:t xml:space="preserve"> é didática (24 pontos, 2 variáveis); a evolução natural seria SARIMA/Prophet usando</w:t>
      </w:r>
    </w:p>
    <w:p>
      <w:pPr>
        <w:pStyle w:val="Normal"/>
      </w:pPr>
      <w:r>
        <w:rPr/>
        <w:t xml:space="preserve">os atributos de </w:t>
      </w:r>
      <w:r>
        <w:rPr>
          <w:rFonts w:ascii="Consolas" w:hAnsi="Consolas"/>
        </w:rPr>
        <w:t xml:space="preserve">dim_tempo</w:t>
      </w:r>
      <w:r>
        <w:rPr/>
        <w:t xml:space="preserve"> (feriados, dia da semana).</w:t>
      </w:r>
    </w:p>
    <w:p>
      <w:pPr>
        <w:pStyle w:val="PargrafodaLista"/>
      </w:pPr>
      <w:r>
        <w:rPr>
          <w:b/>
        </w:rPr>
        <w:t xml:space="preserve">Carga completa</w:t>
      </w:r>
      <w:r>
        <w:rPr/>
        <w:t xml:space="preserve"> (full load) em vez de incremental — adequado ao volume acadêmico; em produção,</w:t>
      </w:r>
    </w:p>
    <w:p>
      <w:pPr>
        <w:pStyle w:val="Normal"/>
      </w:pPr>
      <w:r>
        <w:rPr/>
        <w:t xml:space="preserve">haveria carga incremental com controle de watermark.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10. Conclusão</w:t>
      </w:r>
    </w:p>
    <w:p>
      <w:pPr>
        <w:pStyle w:val="Normal"/>
      </w:pPr>
      <w:r>
        <w:rPr/>
        <w:t xml:space="preserve">O trabalho entregou um DW Organizacional que </w:t>
      </w:r>
      <w:r>
        <w:rPr>
          <w:b/>
        </w:rPr>
        <w:t xml:space="preserve">integra de fato</w:t>
      </w:r>
      <w:r>
        <w:rPr/>
        <w:t xml:space="preserve"> duas fontes de estruturas e semânticas diferentes: 4 dimensões recebem registros das duas bases, os rótulos conflitantes foram padronizados (país e acento de cidade) e as medidas foram tornadas homogêneas pela conversão cambial auditável.</w:t>
      </w:r>
    </w:p>
    <w:p>
      <w:pPr>
        <w:pStyle w:val="Normal"/>
      </w:pPr>
      <w:r>
        <w:rPr/>
        <w:t xml:space="preserve">Os três requisitos foram atendidos: (1) DW integrando Northwind e Mercearia; (2) </w:t>
      </w:r>
      <w:r>
        <w:rPr>
          <w:b/>
        </w:rPr>
        <w:t xml:space="preserve">três DataMarts</w:t>
      </w:r>
      <w:r>
        <w:rPr/>
        <w:t xml:space="preserve"> modelados com assunto, fato, grão, dimensões e justificativa, materializados com DDL própria e validados por testes de conformidade; (3) </w:t>
      </w:r>
      <w:r>
        <w:rPr>
          <w:b/>
        </w:rPr>
        <w:t xml:space="preserve">análise de dados aplicada ao DW e aos DataMarts</w:t>
      </w:r>
      <w:r>
        <w:rPr/>
        <w:t xml:space="preserve">, incluindo dois modelos de aprendizado de máquina.</w:t>
      </w:r>
    </w:p>
    <w:p>
      <w:pPr>
        <w:pStyle w:val="Normal"/>
      </w:pPr>
      <w:r>
        <w:rPr/>
        <w:t xml:space="preserve">Os conceitos exigidos não ficaram no texto: </w:t>
      </w:r>
      <w:r>
        <w:rPr>
          <w:b/>
        </w:rPr>
        <w:t xml:space="preserve">granularidade</w:t>
      </w:r>
      <w:r>
        <w:rPr/>
        <w:t xml:space="preserve"> gerou um fato adicional (frete), </w:t>
      </w:r>
      <w:r>
        <w:rPr>
          <w:b/>
        </w:rPr>
        <w:t xml:space="preserve">integração</w:t>
      </w:r>
      <w:r>
        <w:rPr/>
        <w:t xml:space="preserve"> exigiu tabela de-para e normalização de texto, </w:t>
      </w:r>
      <w:r>
        <w:rPr>
          <w:b/>
        </w:rPr>
        <w:t xml:space="preserve">historicidade</w:t>
      </w:r>
      <w:r>
        <w:rPr/>
        <w:t xml:space="preserve"> foi demonstrada com vendas antigas preservadas na versão antiga do preço, a </w:t>
      </w:r>
      <w:r>
        <w:rPr>
          <w:b/>
        </w:rPr>
        <w:t xml:space="preserve">dimensão tempo</w:t>
      </w:r>
      <w:r>
        <w:rPr/>
        <w:t xml:space="preserve"> cobre a união dos períodos, os </w:t>
      </w:r>
      <w:r>
        <w:rPr>
          <w:b/>
        </w:rPr>
        <w:t xml:space="preserve">dados externos</w:t>
      </w:r>
      <w:r>
        <w:rPr/>
        <w:t xml:space="preserve"> enriquecem localidade e câmbio, e a </w:t>
      </w:r>
      <w:r>
        <w:rPr>
          <w:b/>
        </w:rPr>
        <w:t xml:space="preserve">LGPD</w:t>
      </w:r>
      <w:r>
        <w:rPr/>
        <w:t xml:space="preserve"> orientou quatro decisões de minimização e ofuscação. Por fim, a execução real revelou cinco defeitos que os testes capturaram — evidência de que o processo foi </w:t>
      </w:r>
      <w:r>
        <w:rPr>
          <w:b/>
        </w:rPr>
        <w:t xml:space="preserve">verificado</w:t>
      </w:r>
      <w:r>
        <w:rPr/>
        <w:t xml:space="preserve">, e não apenas escrito.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11. Referências</w:t>
      </w:r>
    </w:p>
    <w:p>
      <w:pPr>
        <w:pStyle w:val="PargrafodaLista"/>
        <w:numPr>
          <w:ilvl w:val="0"/>
          <w:numId w:val="1"/>
        </w:numPr>
      </w:pPr>
      <w:r>
        <w:rPr/>
        <w:t xml:space="preserve">KIMBALL, R.; ROSS, M. </w:t>
      </w:r>
      <w:r>
        <w:rPr>
          <w:i/>
        </w:rPr>
        <w:t xml:space="preserve">The Data Warehouse Toolkit: The Definitive Guide to Dimensional Modeling</w:t>
      </w:r>
      <w:r>
        <w:rPr/>
        <w:t xml:space="preserve">. 3. ed. Wiley, 2013.</w:t>
      </w:r>
    </w:p>
    <w:p>
      <w:pPr>
        <w:pStyle w:val="PargrafodaLista"/>
        <w:numPr>
          <w:ilvl w:val="0"/>
          <w:numId w:val="1"/>
        </w:numPr>
      </w:pPr>
      <w:r>
        <w:rPr/>
        <w:t xml:space="preserve">INSTITUTO BRASILEIRO DE GEOGRAFIA E ESTATÍSTICA (IBGE). </w:t>
      </w:r>
      <w:r>
        <w:rPr>
          <w:i/>
        </w:rPr>
        <w:t xml:space="preserve">API de Localidades</w:t>
      </w:r>
      <w:r>
        <w:rPr/>
        <w:t xml:space="preserve"> e </w:t>
      </w:r>
      <w:r>
        <w:rPr>
          <w:i/>
        </w:rPr>
        <w:t xml:space="preserve">Agregados (6579/9324 — população residente estimada)</w:t>
      </w:r>
      <w:r>
        <w:rPr/>
        <w:t xml:space="preserve">. Acesso em: 29 set. 2026.</w:t>
      </w:r>
    </w:p>
    <w:p>
      <w:pPr>
        <w:pStyle w:val="PargrafodaLista"/>
        <w:numPr>
          <w:ilvl w:val="0"/>
          <w:numId w:val="1"/>
        </w:numPr>
      </w:pPr>
      <w:r>
        <w:rPr/>
        <w:t xml:space="preserve">BANCO CENTRAL DO BRASIL. </w:t>
      </w:r>
      <w:r>
        <w:rPr>
          <w:i/>
        </w:rPr>
        <w:t xml:space="preserve">PTAX — Cotações e boletins</w:t>
      </w:r>
      <w:r>
        <w:rPr/>
        <w:t xml:space="preserve"> (OLINDA). Acesso em: 29 set. 2026.</w:t>
      </w:r>
    </w:p>
    <w:p>
      <w:pPr>
        <w:pStyle w:val="PargrafodaLista"/>
        <w:numPr>
          <w:ilvl w:val="0"/>
          <w:numId w:val="1"/>
        </w:numPr>
      </w:pPr>
      <w:r>
        <w:rPr/>
        <w:t xml:space="preserve">BRASIL. </w:t>
      </w:r>
      <w:r>
        <w:rPr>
          <w:i/>
        </w:rPr>
        <w:t xml:space="preserve">Lei nº 13.709, de 14 de agosto de 2018</w:t>
      </w:r>
      <w:r>
        <w:rPr/>
        <w:t xml:space="preserve"> (Lei Geral de Proteção de Dados Pessoais).</w:t>
      </w:r>
    </w:p>
    <w:p>
      <w:pPr>
        <w:pStyle w:val="PargrafodaLista"/>
        <w:numPr>
          <w:ilvl w:val="0"/>
          <w:numId w:val="1"/>
        </w:numPr>
      </w:pPr>
      <w:r>
        <w:rPr/>
        <w:t xml:space="preserve">BRASIL. </w:t>
      </w:r>
      <w:r>
        <w:rPr>
          <w:i/>
        </w:rPr>
        <w:t xml:space="preserve">Lei nº 14.759, de 21 de dezembro de 2023</w:t>
      </w:r>
      <w:r>
        <w:rPr/>
        <w:t xml:space="preserve"> (feriado nacional de 20 de novembro).</w:t>
      </w:r>
    </w:p>
    <w:p>
      <w:pPr>
        <w:pStyle w:val="PargrafodaLista"/>
        <w:numPr>
          <w:ilvl w:val="0"/>
          <w:numId w:val="1"/>
        </w:numPr>
      </w:pPr>
      <w:r>
        <w:rPr/>
        <w:t xml:space="preserve">NORTHWIND. </w:t>
      </w:r>
      <w:r>
        <w:rPr>
          <w:i/>
        </w:rPr>
        <w:t xml:space="preserve">Sample database</w:t>
      </w:r>
      <w:r>
        <w:rPr/>
        <w:t xml:space="preserve"> (distribuído publicamente para fins didáticos).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Anexos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Anexo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Arquivo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do DW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sql/01_dw_organizacional.sql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da dimensão tempo e carga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sql/02_dim_tempo.sql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dos 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sql/03_dados_externos.sql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DDL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sql/04_datamarts.sql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Carga completa (um comando)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etl/00_carga_inicial.sh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Extração de 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etl/05_extrair_dados_externos.ps1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ETL das dimensões e dos fatos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etl/10_carga_dimensoes.sql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etl/20_carga_fatos.sql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Teste de historicidade (SCD2)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etl/90_teste_scd2.sql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Testes de integridade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etl/99_validacao.sql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etl/40_validacao_datamarts.sql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Diagramas (DW e DataMarts)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docs/diagramas.md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Modelagem e justificativa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docs/datamarts.md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Análise de dados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docs/analises.md</w:t>
            </w:r>
            <w:r>
              <w:rPr/>
              <w:t xml:space="preserve"> + </w:t>
            </w:r>
            <w:r>
              <w:rPr>
                <w:rFonts w:ascii="Consolas" w:hAnsi="Consolas"/>
              </w:rPr>
              <w:t xml:space="preserve">analise/analise_dw_datamarts.py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Dados externos (CSV + fontes)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dados_externos/</w:t>
            </w:r>
          </w:p>
        </w:tc>
      </w:tr>
    </w:tbl>
    <w:p>
      <w:pPr>
        <w:pStyle w:val="Normal"/>
      </w:pPr>
      <w:r>
        <w:t xml:space="preserve"/>
      </w:r>
    </w:p>
    <w:sectPr w:rsidR="003A44DC" w:rsidRPr="003A44DC" w:rsidSect="00DC4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680" w:bottom="567" w:left="680" w:header="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B242B" w14:textId="77777777" w:rsidR="00B91D61" w:rsidRDefault="00B91D61" w:rsidP="00223A89">
      <w:pPr>
        <w:spacing w:after="0" w:line="240" w:lineRule="auto"/>
      </w:pPr>
      <w:r>
        <w:separator/>
      </w:r>
    </w:p>
  </w:endnote>
  <w:endnote w:type="continuationSeparator" w:id="0">
    <w:p w14:paraId="541B9DEC" w14:textId="77777777" w:rsidR="00B91D61" w:rsidRDefault="00B91D61" w:rsidP="0022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57571" w14:textId="77777777" w:rsidR="004A68FE" w:rsidRDefault="004A68F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371FB" w14:textId="77777777" w:rsidR="004A68FE" w:rsidRDefault="004A68F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A062A" w14:textId="77777777" w:rsidR="004A68FE" w:rsidRDefault="004A68F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83474" w14:textId="77777777" w:rsidR="00B91D61" w:rsidRDefault="00B91D61" w:rsidP="00223A89">
      <w:pPr>
        <w:spacing w:after="0" w:line="240" w:lineRule="auto"/>
      </w:pPr>
      <w:r>
        <w:separator/>
      </w:r>
    </w:p>
  </w:footnote>
  <w:footnote w:type="continuationSeparator" w:id="0">
    <w:p w14:paraId="57A692D1" w14:textId="77777777" w:rsidR="00B91D61" w:rsidRDefault="00B91D61" w:rsidP="0022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E8E8C" w14:textId="77777777" w:rsidR="004A68FE" w:rsidRDefault="004A68F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689C" w14:textId="1FD645F0" w:rsidR="00223A89" w:rsidRDefault="00223A89">
    <w:pPr>
      <w:pStyle w:val="Cabealho"/>
    </w:pPr>
  </w:p>
  <w:tbl>
    <w:tblPr>
      <w:tblStyle w:val="Tabelacomgrade"/>
      <w:tblpPr w:leftFromText="141" w:rightFromText="141" w:vertAnchor="page" w:horzAnchor="margin" w:tblpXSpec="center" w:tblpY="571"/>
      <w:tblW w:w="10031" w:type="dxa"/>
      <w:tblLook w:val="04A0" w:firstRow="1" w:lastRow="0" w:firstColumn="1" w:lastColumn="0" w:noHBand="0" w:noVBand="1"/>
    </w:tblPr>
    <w:tblGrid>
      <w:gridCol w:w="2256"/>
      <w:gridCol w:w="7775"/>
    </w:tblGrid>
    <w:tr w:rsidR="00223A89" w:rsidRPr="00CA0D8D" w14:paraId="7A0FD193" w14:textId="77777777" w:rsidTr="00223A89">
      <w:tc>
        <w:tcPr>
          <w:tcW w:w="2256" w:type="dxa"/>
          <w:vMerge w:val="restart"/>
        </w:tcPr>
        <w:p w14:paraId="28F9030A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noProof/>
              <w:lang w:eastAsia="pt-BR"/>
            </w:rPr>
            <w:drawing>
              <wp:inline distT="0" distB="0" distL="0" distR="0" wp14:anchorId="4E23A06C" wp14:editId="47CE32D0">
                <wp:extent cx="1123950" cy="695325"/>
                <wp:effectExtent l="0" t="0" r="0" b="9525"/>
                <wp:docPr id="1210098227" name="Imagem 1210098227" descr="C:\Users\Graci\Documents\IFG\Logo-Anapoli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C:\Users\Graci\Documents\IFG\Logo-Anapoli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75" w:type="dxa"/>
        </w:tcPr>
        <w:p w14:paraId="73F64C5B" w14:textId="1887AAAA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Estudante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: </w:t>
          </w:r>
          <w:r w:rsidR="00BC4483">
            <w:rPr>
              <w:rFonts w:ascii="Segoe UI" w:hAnsi="Segoe UI" w:cs="Segoe UI"/>
              <w:sz w:val="24"/>
              <w:szCs w:val="24"/>
            </w:rPr>
            <w:t>Daniel Flávio de Oliveira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</w:t>
          </w:r>
        </w:p>
        <w:p w14:paraId="4ADC21F7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                                      </w:t>
          </w:r>
        </w:p>
      </w:tc>
    </w:tr>
    <w:tr w:rsidR="00223A89" w:rsidRPr="00CA0D8D" w14:paraId="0DD4B7DD" w14:textId="77777777" w:rsidTr="00223A89">
      <w:tc>
        <w:tcPr>
          <w:tcW w:w="2256" w:type="dxa"/>
          <w:vMerge/>
        </w:tcPr>
        <w:p w14:paraId="4BE7F43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1C9150C8" w14:textId="4ED38D92" w:rsidR="00223A89" w:rsidRPr="00CA0D8D" w:rsidRDefault="004A68FE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 xml:space="preserve">Tópicos Avançados de IA 1 </w:t>
          </w:r>
          <w:r w:rsidR="00223A89" w:rsidRPr="00CA0D8D">
            <w:rPr>
              <w:rFonts w:ascii="Segoe UI" w:hAnsi="Segoe UI" w:cs="Segoe UI"/>
              <w:sz w:val="24"/>
              <w:szCs w:val="24"/>
            </w:rPr>
            <w:t xml:space="preserve"> </w:t>
          </w:r>
          <w:r w:rsidR="00223A89">
            <w:rPr>
              <w:rFonts w:ascii="Segoe UI" w:hAnsi="Segoe UI" w:cs="Segoe UI"/>
              <w:sz w:val="24"/>
              <w:szCs w:val="24"/>
            </w:rPr>
            <w:t xml:space="preserve">                     </w:t>
          </w:r>
          <w:r w:rsidR="00247F39">
            <w:rPr>
              <w:rFonts w:ascii="Segoe UI" w:hAnsi="Segoe UI" w:cs="Segoe UI"/>
              <w:sz w:val="24"/>
              <w:szCs w:val="24"/>
            </w:rPr>
            <w:t>Especialização em IA Aplicada</w:t>
          </w:r>
        </w:p>
      </w:tc>
    </w:tr>
    <w:tr w:rsidR="00223A89" w:rsidRPr="00CA0D8D" w14:paraId="3A579CB5" w14:textId="77777777" w:rsidTr="00223A89">
      <w:tc>
        <w:tcPr>
          <w:tcW w:w="2256" w:type="dxa"/>
          <w:vMerge/>
        </w:tcPr>
        <w:p w14:paraId="349E5D65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3A71C9CD" w14:textId="34BB9B78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Professor: </w:t>
          </w:r>
          <w:proofErr w:type="spellStart"/>
          <w:r w:rsidR="004A68FE">
            <w:rPr>
              <w:rFonts w:ascii="Segoe UI" w:hAnsi="Segoe UI" w:cs="Segoe UI"/>
              <w:sz w:val="24"/>
              <w:szCs w:val="24"/>
            </w:rPr>
            <w:t>Sirlon</w:t>
          </w:r>
          <w:proofErr w:type="spellEnd"/>
          <w:r w:rsidR="004A68FE">
            <w:rPr>
              <w:rFonts w:ascii="Segoe UI" w:hAnsi="Segoe UI" w:cs="Segoe UI"/>
              <w:sz w:val="24"/>
              <w:szCs w:val="24"/>
            </w:rPr>
            <w:t xml:space="preserve"> Diniz                               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</w:t>
          </w:r>
          <w:r>
            <w:rPr>
              <w:rFonts w:ascii="Segoe UI" w:hAnsi="Segoe UI" w:cs="Segoe UI"/>
              <w:sz w:val="24"/>
              <w:szCs w:val="24"/>
            </w:rPr>
            <w:t xml:space="preserve">         Data: </w:t>
          </w:r>
          <w:r w:rsidR="004A68FE">
            <w:rPr>
              <w:rFonts w:ascii="Segoe UI" w:hAnsi="Segoe UI" w:cs="Segoe UI"/>
              <w:sz w:val="24"/>
              <w:szCs w:val="24"/>
            </w:rPr>
            <w:t>29/09/2026</w:t>
          </w:r>
        </w:p>
      </w:tc>
    </w:tr>
  </w:tbl>
  <w:p w14:paraId="5E89BDF0" w14:textId="13FB1A01" w:rsidR="00223A89" w:rsidRDefault="004408B0" w:rsidP="004408B0">
    <w:pPr>
      <w:pStyle w:val="Cabealho"/>
      <w:tabs>
        <w:tab w:val="clear" w:pos="4252"/>
        <w:tab w:val="clear" w:pos="8504"/>
        <w:tab w:val="left" w:pos="777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7C64" w14:textId="77777777" w:rsidR="004A68FE" w:rsidRDefault="004A68F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6C4"/>
    <w:multiLevelType w:val="hybridMultilevel"/>
    <w:tmpl w:val="4D1A4AB0"/>
    <w:lvl w:ilvl="0" w:tplc="A1607B4A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C5B16"/>
    <w:multiLevelType w:val="hybridMultilevel"/>
    <w:tmpl w:val="78BAD290"/>
    <w:lvl w:ilvl="0" w:tplc="F09ACE0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Segoe U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1D580F"/>
    <w:multiLevelType w:val="hybridMultilevel"/>
    <w:tmpl w:val="2D101BA6"/>
    <w:lvl w:ilvl="0" w:tplc="AEB83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D78B5"/>
    <w:multiLevelType w:val="hybridMultilevel"/>
    <w:tmpl w:val="519AE68A"/>
    <w:lvl w:ilvl="0" w:tplc="4706466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F1A77"/>
    <w:multiLevelType w:val="hybridMultilevel"/>
    <w:tmpl w:val="519AE68A"/>
    <w:lvl w:ilvl="0" w:tplc="FFFFFFFF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5306B"/>
    <w:multiLevelType w:val="hybridMultilevel"/>
    <w:tmpl w:val="8A80EC0A"/>
    <w:lvl w:ilvl="0" w:tplc="35B0FB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CD596C"/>
    <w:multiLevelType w:val="hybridMultilevel"/>
    <w:tmpl w:val="5F0E34DA"/>
    <w:lvl w:ilvl="0" w:tplc="B0089E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901342">
    <w:abstractNumId w:val="0"/>
  </w:num>
  <w:num w:numId="2" w16cid:durableId="714156355">
    <w:abstractNumId w:val="3"/>
  </w:num>
  <w:num w:numId="3" w16cid:durableId="1803695770">
    <w:abstractNumId w:val="1"/>
  </w:num>
  <w:num w:numId="4" w16cid:durableId="1894265735">
    <w:abstractNumId w:val="4"/>
  </w:num>
  <w:num w:numId="5" w16cid:durableId="1125806676">
    <w:abstractNumId w:val="6"/>
  </w:num>
  <w:num w:numId="6" w16cid:durableId="659578536">
    <w:abstractNumId w:val="5"/>
  </w:num>
  <w:num w:numId="7" w16cid:durableId="844397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89"/>
    <w:rsid w:val="00092F0B"/>
    <w:rsid w:val="001A19CE"/>
    <w:rsid w:val="001F4C85"/>
    <w:rsid w:val="00223A89"/>
    <w:rsid w:val="00247F39"/>
    <w:rsid w:val="003513E0"/>
    <w:rsid w:val="00395273"/>
    <w:rsid w:val="003A44DC"/>
    <w:rsid w:val="003C44BE"/>
    <w:rsid w:val="004408B0"/>
    <w:rsid w:val="004A68FE"/>
    <w:rsid w:val="004D4002"/>
    <w:rsid w:val="005003C4"/>
    <w:rsid w:val="006012AE"/>
    <w:rsid w:val="007A088D"/>
    <w:rsid w:val="008829A9"/>
    <w:rsid w:val="00920F14"/>
    <w:rsid w:val="00974A96"/>
    <w:rsid w:val="00981794"/>
    <w:rsid w:val="00990E1B"/>
    <w:rsid w:val="00A24AFE"/>
    <w:rsid w:val="00B6479F"/>
    <w:rsid w:val="00B82ABC"/>
    <w:rsid w:val="00B91D61"/>
    <w:rsid w:val="00BA7233"/>
    <w:rsid w:val="00BB0EDE"/>
    <w:rsid w:val="00BC4483"/>
    <w:rsid w:val="00BC6D45"/>
    <w:rsid w:val="00C86D77"/>
    <w:rsid w:val="00CB00D8"/>
    <w:rsid w:val="00CB05BD"/>
    <w:rsid w:val="00CE018A"/>
    <w:rsid w:val="00D9772F"/>
    <w:rsid w:val="00DC4CA4"/>
    <w:rsid w:val="00E87380"/>
    <w:rsid w:val="00F10793"/>
    <w:rsid w:val="00F131AA"/>
    <w:rsid w:val="00F40321"/>
    <w:rsid w:val="00F86A30"/>
    <w:rsid w:val="00F8761C"/>
    <w:rsid w:val="00FA2F63"/>
    <w:rsid w:val="00FA61A6"/>
    <w:rsid w:val="00FC656E"/>
    <w:rsid w:val="00FE6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1B121"/>
  <w15:chartTrackingRefBased/>
  <w15:docId w15:val="{BE49E37B-6E78-4331-BA6B-D6546317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D77"/>
  </w:style>
  <w:style w:type="paragraph" w:styleId="Ttulo1">
    <w:name w:val="heading 1"/>
    <w:basedOn w:val="Normal"/>
    <w:next w:val="Normal"/>
    <w:link w:val="Ttulo1Char"/>
    <w:uiPriority w:val="9"/>
    <w:qFormat/>
    <w:rsid w:val="0022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3A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3A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3A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3A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3A8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3A89"/>
  </w:style>
  <w:style w:type="paragraph" w:styleId="Rodap">
    <w:name w:val="footer"/>
    <w:basedOn w:val="Normal"/>
    <w:link w:val="Rodap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3A89"/>
  </w:style>
  <w:style w:type="table" w:styleId="Tabelacomgrade">
    <w:name w:val="Table Grid"/>
    <w:basedOn w:val="Tabelanormal"/>
    <w:uiPriority w:val="39"/>
    <w:rsid w:val="00223A8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0974E-B9C4-47D5-B1E0-7A25FBF3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Éder Brito</dc:creator>
  <cp:keywords/>
  <dc:description/>
  <cp:lastModifiedBy>Daniel Flávio</cp:lastModifiedBy>
  <cp:revision>2</cp:revision>
  <dcterms:created xsi:type="dcterms:W3CDTF">2026-09-30T00:17:00Z</dcterms:created>
  <dcterms:modified xsi:type="dcterms:W3CDTF">2026-09-30T00:17:00Z</dcterms:modified>
</cp:coreProperties>
</file>