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tulo"/>
        <w:spacing w:before="240" w:after="240"/>
        <w:jc w:val="center"/>
      </w:pPr>
      <w:r>
        <w:rPr>
          <w:caps/>
          <w:sz w:val="32"/>
          <w:szCs w:val="32"/>
        </w:rPr>
        <w:t xml:space="preserve">RELATÓRIO TÉCNICO — Data Warehouse Organizacional e DataMarts</w:t>
      </w:r>
    </w:p>
    <w:tbl>
      <w:tblPr>
        <w:tblStyle w:val="Tabelacomgrade"/>
        <w:tblW w:w="10546" w:type="dxa"/>
        <w:tblLook w:val="04A0"/>
      </w:tblPr>
      <w:tblGrid>
        <w:gridCol w:w="5273"/>
        <w:gridCol w:w="5273"/>
      </w:tblGrid>
      <w:tr>
        <w:tc>
          <w:tcPr>
            <w:tcW w:w="5273" w:type="dxa"/>
            <w:shd w:val="clear" w:color="auto" w:fill="DCE6F1"/>
            <w:tblHeader/>
          </w:tcPr>
          <w:p>
            <w:pPr>
              <w:pStyle w:val="Normal"/>
            </w:pPr>
            <w:r>
              <w:rPr>
                <w:b/>
              </w:rPr>
              <w:t xml:space="preserve">Campo</w:t>
            </w:r>
          </w:p>
        </w:tc>
        <w:tc>
          <w:tcPr>
            <w:tcW w:w="5273" w:type="dxa"/>
            <w:shd w:val="clear" w:color="auto" w:fill="DCE6F1"/>
            <w:tblHeader/>
          </w:tcPr>
          <w:p>
            <w:pPr>
              <w:pStyle w:val="Normal"/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W w:w="5273" w:type="dxa"/>
          </w:tcPr>
          <w:p>
            <w:pPr>
              <w:pStyle w:val="Normal"/>
            </w:pPr>
            <w:r>
              <w:rPr>
                <w:b/>
              </w:rPr>
              <w:t xml:space="preserve">Instituição</w:t>
            </w:r>
          </w:p>
        </w:tc>
        <w:tc>
          <w:tcPr>
            <w:tcW w:w="5273" w:type="dxa"/>
          </w:tcPr>
          <w:p>
            <w:pPr>
              <w:pStyle w:val="Normal"/>
            </w:pPr>
            <w:r>
              <w:rPr/>
              <w:t xml:space="preserve">Instituto Federal de Goiás (IFG) — Campus Goiânia</w:t>
            </w:r>
          </w:p>
        </w:tc>
      </w:tr>
      <w:tr>
        <w:tc>
          <w:tcPr>
            <w:tcW w:w="5273" w:type="dxa"/>
          </w:tcPr>
          <w:p>
            <w:pPr>
              <w:pStyle w:val="Normal"/>
            </w:pPr>
            <w:r>
              <w:rPr>
                <w:b/>
              </w:rPr>
              <w:t xml:space="preserve">Disciplina</w:t>
            </w:r>
          </w:p>
        </w:tc>
        <w:tc>
          <w:tcPr>
            <w:tcW w:w="5273" w:type="dxa"/>
          </w:tcPr>
          <w:p>
            <w:pPr>
              <w:pStyle w:val="Normal"/>
            </w:pPr>
            <w:r>
              <w:rPr/>
              <w:t xml:space="preserve">Tópicos Avançados em Inteligência Artificial I</w:t>
            </w:r>
          </w:p>
        </w:tc>
      </w:tr>
      <w:tr>
        <w:tc>
          <w:tcPr>
            <w:tcW w:w="5273" w:type="dxa"/>
          </w:tcPr>
          <w:p>
            <w:pPr>
              <w:pStyle w:val="Normal"/>
            </w:pPr>
            <w:r>
              <w:rPr>
                <w:b/>
              </w:rPr>
              <w:t xml:space="preserve">Professor</w:t>
            </w:r>
          </w:p>
        </w:tc>
        <w:tc>
          <w:tcPr>
            <w:tcW w:w="5273" w:type="dxa"/>
          </w:tcPr>
          <w:p>
            <w:pPr>
              <w:pStyle w:val="Normal"/>
            </w:pPr>
            <w:r>
              <w:rPr/>
              <w:t xml:space="preserve">Sirlon Diniz</w:t>
            </w:r>
          </w:p>
        </w:tc>
      </w:tr>
      <w:tr>
        <w:tc>
          <w:tcPr>
            <w:tcW w:w="5273" w:type="dxa"/>
          </w:tcPr>
          <w:p>
            <w:pPr>
              <w:pStyle w:val="Normal"/>
            </w:pPr>
            <w:r>
              <w:rPr>
                <w:b/>
              </w:rPr>
              <w:t xml:space="preserve">Autor</w:t>
            </w:r>
          </w:p>
        </w:tc>
        <w:tc>
          <w:tcPr>
            <w:tcW w:w="5273" w:type="dxa"/>
          </w:tcPr>
          <w:p>
            <w:pPr>
              <w:pStyle w:val="Normal"/>
            </w:pPr>
            <w:r>
              <w:rPr/>
              <w:t xml:space="preserve">Daniel Flávio</w:t>
            </w:r>
          </w:p>
        </w:tc>
      </w:tr>
      <w:tr>
        <w:tc>
          <w:tcPr>
            <w:tcW w:w="5273" w:type="dxa"/>
          </w:tcPr>
          <w:p>
            <w:pPr>
              <w:pStyle w:val="Normal"/>
            </w:pPr>
            <w:r>
              <w:rPr>
                <w:b/>
              </w:rPr>
              <w:t xml:space="preserve">Data de entrega</w:t>
            </w:r>
          </w:p>
        </w:tc>
        <w:tc>
          <w:tcPr>
            <w:tcW w:w="5273" w:type="dxa"/>
          </w:tcPr>
          <w:p>
            <w:pPr>
              <w:pStyle w:val="Normal"/>
            </w:pPr>
            <w:r>
              <w:rPr/>
              <w:t xml:space="preserve">30/09/2026</w:t>
            </w:r>
          </w:p>
        </w:tc>
      </w:tr>
      <w:tr>
        <w:tc>
          <w:tcPr>
            <w:tcW w:w="5273" w:type="dxa"/>
          </w:tcPr>
          <w:p>
            <w:pPr>
              <w:pStyle w:val="Normal"/>
            </w:pPr>
            <w:r>
              <w:rPr>
                <w:b/>
              </w:rPr>
              <w:t xml:space="preserve">Repositório</w:t>
            </w:r>
          </w:p>
        </w:tc>
        <w:tc>
          <w:tcPr>
            <w:tcW w:w="5273" w:type="dxa"/>
          </w:tcPr>
          <w:p>
            <w:pPr>
              <w:pStyle w:val="Normal"/>
            </w:pPr>
            <w:r>
              <w:rPr/>
              <w:t xml:space="preserve">https://github.com/danflavio/ifg-atividade-dw-datamart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Ttulo1"/>
      </w:pPr>
      <w:r>
        <w:rPr/>
        <w:t xml:space="preserve">1. Objetivo</w:t>
      </w:r>
    </w:p>
    <w:p>
      <w:pPr>
        <w:pStyle w:val="Normal"/>
        <w:spacing w:after="120"/>
        <w:jc w:val="both"/>
      </w:pPr>
      <w:r>
        <w:rPr/>
        <w:t xml:space="preserve">Construir um </w:t>
      </w:r>
      <w:r>
        <w:rPr>
          <w:b/>
        </w:rPr>
        <w:t xml:space="preserve">Data Warehouse (DW) Organizacional</w:t>
      </w:r>
      <w:r>
        <w:rPr/>
        <w:t xml:space="preserve"> que integra duas bases diferentes — </w:t>
      </w:r>
      <w:r>
        <w:rPr>
          <w:b/>
        </w:rPr>
        <w:t xml:space="preserve">Northwind</w:t>
      </w:r>
      <w:r>
        <w:rPr/>
        <w:t xml:space="preserve"> e </w:t>
      </w:r>
      <w:r>
        <w:rPr>
          <w:b/>
        </w:rPr>
        <w:t xml:space="preserve">Mercearia</w:t>
      </w:r>
      <w:r>
        <w:rPr/>
        <w:t xml:space="preserve"> — e, a partir dele, criar </w:t>
      </w:r>
      <w:r>
        <w:rPr>
          <w:b/>
        </w:rPr>
        <w:t xml:space="preserve">três DataMarts</w:t>
      </w:r>
      <w:r>
        <w:rPr/>
        <w:t xml:space="preserve"> de assuntos distintos, aplicando ferramentas de análise de dados sobre o DW e sobre os DataMarts.</w:t>
      </w:r>
    </w:p>
    <w:p>
      <w:pPr>
        <w:pStyle w:val="Normal"/>
        <w:spacing w:after="120"/>
        <w:jc w:val="both"/>
      </w:pPr>
      <w:r>
        <w:rPr/>
        <w:t xml:space="preserve">O trabalho atende aos conceitos pedidos: </w:t>
      </w:r>
      <w:r>
        <w:rPr>
          <w:b/>
        </w:rPr>
        <w:t xml:space="preserve">granularidade</w:t>
      </w:r>
      <w:r>
        <w:rPr/>
        <w:t xml:space="preserve">, </w:t>
      </w:r>
      <w:r>
        <w:rPr>
          <w:b/>
        </w:rPr>
        <w:t xml:space="preserve">integração</w:t>
      </w:r>
      <w:r>
        <w:rPr/>
        <w:t xml:space="preserve">, </w:t>
      </w:r>
      <w:r>
        <w:rPr>
          <w:b/>
        </w:rPr>
        <w:t xml:space="preserve">historicidade</w:t>
      </w:r>
      <w:r>
        <w:rPr/>
        <w:t xml:space="preserve">, </w:t>
      </w:r>
      <w:r>
        <w:rPr>
          <w:b/>
        </w:rPr>
        <w:t xml:space="preserve">dimensão tempo</w:t>
      </w:r>
      <w:r>
        <w:rPr/>
        <w:t xml:space="preserve">, </w:t>
      </w:r>
      <w:r>
        <w:rPr>
          <w:b/>
        </w:rPr>
        <w:t xml:space="preserve">dados externos</w:t>
      </w:r>
      <w:r>
        <w:rPr/>
        <w:t xml:space="preserve"> e </w:t>
      </w:r>
      <w:r>
        <w:rPr>
          <w:b/>
        </w:rPr>
        <w:t xml:space="preserve">LGPD</w:t>
      </w:r>
      <w:r>
        <w:rPr/>
        <w:t xml:space="preserve">.</w:t>
      </w:r>
    </w:p>
    <w:p>
      <w:pPr>
        <w:pStyle w:val="Normal"/>
      </w:pPr>
      <w:r>
        <w:t xml:space="preserve"/>
      </w:r>
    </w:p>
    <w:p>
      <w:pPr>
        <w:pStyle w:val="Ttulo1"/>
      </w:pPr>
      <w:r>
        <w:rPr/>
        <w:t xml:space="preserve">2. Fontes de dados</w:t>
      </w:r>
    </w:p>
    <w:tbl>
      <w:tblPr>
        <w:tblStyle w:val="Tabelacomgrade"/>
        <w:tblW w:w="10546" w:type="dxa"/>
        <w:tblLook w:val="04A0"/>
      </w:tblPr>
      <w:tblGrid>
        <w:gridCol w:w="5273"/>
        <w:gridCol w:w="5273"/>
      </w:tblGrid>
      <w:tr>
        <w:tc>
          <w:tcPr>
            <w:tcW w:w="5273" w:type="dxa"/>
            <w:shd w:val="clear" w:color="auto" w:fill="DCE6F1"/>
            <w:tblHeader/>
          </w:tcPr>
          <w:p>
            <w:pPr>
              <w:pStyle w:val="Normal"/>
            </w:pPr>
            <w:r>
              <w:rPr>
                <w:b/>
              </w:rPr>
              <w:t xml:space="preserve">Fonte</w:t>
            </w:r>
          </w:p>
        </w:tc>
        <w:tc>
          <w:tcPr>
            <w:tcW w:w="5273" w:type="dxa"/>
            <w:shd w:val="clear" w:color="auto" w:fill="DCE6F1"/>
            <w:tblHeader/>
          </w:tcPr>
          <w:p>
            <w:pPr>
              <w:pStyle w:val="Normal"/>
            </w:pPr>
            <w:r>
              <w:rPr>
                <w:b/>
              </w:rPr>
              <w:t xml:space="preserve">O que contém</w:t>
            </w:r>
          </w:p>
        </w:tc>
      </w:tr>
      <w:tr>
        <w:tc>
          <w:tcPr>
            <w:tcW w:w="5273" w:type="dxa"/>
          </w:tcPr>
          <w:p>
            <w:pPr>
              <w:pStyle w:val="Normal"/>
            </w:pPr>
            <w:r>
              <w:rPr>
                <w:b/>
              </w:rPr>
              <w:t xml:space="preserve">Northwind</w:t>
            </w:r>
          </w:p>
        </w:tc>
        <w:tc>
          <w:tcPr>
            <w:tcW w:w="5273" w:type="dxa"/>
          </w:tcPr>
          <w:p>
            <w:pPr>
              <w:pStyle w:val="Normal"/>
            </w:pPr>
            <w:r>
              <w:rPr/>
              <w:t xml:space="preserve">Dump PostgreSQL </w:t>
            </w:r>
            <w:r>
              <w:rPr>
                <w:b/>
              </w:rPr>
              <w:t xml:space="preserve">com dados</w:t>
            </w:r>
            <w:r>
              <w:rPr/>
              <w:t xml:space="preserve">: 830 pedidos, 2.155 itens, 91 clientes, 77 produtos, 29 fornecedores, 9 funcionários, 6 transportadoras e entregas em </w:t>
            </w:r>
            <w:r>
              <w:rPr>
                <w:b/>
              </w:rPr>
              <w:t xml:space="preserve">21 países</w:t>
            </w:r>
          </w:p>
        </w:tc>
      </w:tr>
      <w:tr>
        <w:tc>
          <w:tcPr>
            <w:tcW w:w="5273" w:type="dxa"/>
          </w:tcPr>
          <w:p>
            <w:pPr>
              <w:pStyle w:val="Normal"/>
            </w:pPr>
            <w:r>
              <w:rPr>
                <w:b/>
              </w:rPr>
              <w:t xml:space="preserve">Mercearia</w:t>
            </w:r>
          </w:p>
        </w:tc>
        <w:tc>
          <w:tcPr>
            <w:tcW w:w="5273" w:type="dxa"/>
          </w:tcPr>
          <w:p>
            <w:pPr>
              <w:pStyle w:val="Normal"/>
            </w:pPr>
            <w:r>
              <w:rPr>
                <w:b/>
              </w:rPr>
              <w:t xml:space="preserve">Somente DDL</w:t>
            </w:r>
            <w:r>
              <w:rPr/>
              <w:t xml:space="preserve">, sem nenhum registro: 14 tabelas, com endereços brasileiros em 5 níveis (UF → Cidade → Bairro → Logradouro → Endereço)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tulo2"/>
      </w:pPr>
      <w:r>
        <w:rPr/>
        <w:t xml:space="preserve">Declaração sobre a Mercearia</w:t>
      </w:r>
    </w:p>
    <w:p>
      <w:pPr>
        <w:pStyle w:val="Normal"/>
        <w:spacing w:after="120"/>
        <w:jc w:val="both"/>
      </w:pPr>
      <w:r>
        <w:rPr/>
        <w:t xml:space="preserve">O material de origem da Mercearia </w:t>
      </w:r>
      <w:r>
        <w:rPr>
          <w:b/>
        </w:rPr>
        <w:t xml:space="preserve">não acompanha dados</w:t>
      </w:r>
      <w:r>
        <w:rPr/>
        <w:t xml:space="preserve">. Para que a integração das duas fontes fosse demonstrável, foi criada uma massa </w:t>
      </w:r>
      <w:r>
        <w:rPr>
          <w:b/>
        </w:rPr>
        <w:t xml:space="preserve">sintética e declarada</w:t>
      </w:r>
      <w:r>
        <w:rPr/>
        <w:t xml:space="preserve"> (</w:t>
      </w:r>
      <w:r>
        <w:rPr>
          <w:rFonts w:ascii="Consolas" w:hAnsi="Consolas"/>
        </w:rPr>
        <w:t xml:space="preserve">sql/seed_mercearia.sql</w:t>
      </w:r>
      <w:r>
        <w:rPr/>
        <w:t xml:space="preserve">): nomes e empresas fictícios, </w:t>
      </w:r>
      <w:r>
        <w:rPr>
          <w:b/>
        </w:rPr>
        <w:t xml:space="preserve">CPF/CNPJ inválidos por construção</w:t>
      </w:r>
      <w:r>
        <w:rPr/>
        <w:t xml:space="preserve"> (só para exercitar o mascaramento) e 3.171 vendas ao longo de 24 meses. </w:t>
      </w:r>
      <w:r>
        <w:rPr>
          <w:b/>
        </w:rPr>
        <w:t xml:space="preserve">Nenhum dado real de pessoa foi usado</w:t>
      </w:r>
      <w:r>
        <w:rPr/>
        <w:t xml:space="preserve">, e o arquivo original permanece intacto.</w:t>
      </w:r>
    </w:p>
    <w:p>
      <w:pPr>
        <w:pStyle w:val="Normal"/>
      </w:pPr>
      <w:r>
        <w:t xml:space="preserve"/>
      </w:r>
    </w:p>
    <w:p>
      <w:pPr>
        <w:pStyle w:val="Ttulo1"/>
      </w:pPr>
      <w:r>
        <w:rPr/>
        <w:t xml:space="preserve">3. Arquitetura da solução</w:t>
      </w:r>
    </w:p>
    <w:p>
      <w:pPr>
        <w:pStyle w:val="Normal"/>
        <w:shd w:val="clear" w:fill="F2F2F2"/>
        <w:spacing w:after="0"/>
      </w:pPr>
      <w:r>
        <w:rPr>
          <w:rFonts w:ascii="Consolas" w:hAnsi="Consolas"/>
          <w:sz w:val="16"/>
          <w:szCs w:val="16"/>
        </w:rPr>
        <w:t xml:space="preserve">  Northwind ---\</w:t>
      </w:r>
    </w:p>
    <w:p>
      <w:pPr>
        <w:pStyle w:val="Normal"/>
        <w:shd w:val="clear" w:fill="F2F2F2"/>
        <w:spacing w:after="0"/>
      </w:pPr>
      <w:r>
        <w:rPr>
          <w:rFonts w:ascii="Consolas" w:hAnsi="Consolas"/>
          <w:sz w:val="16"/>
          <w:szCs w:val="16"/>
        </w:rPr>
        <w:t xml:space="preserve">                &gt;--- public (staging) ---&gt; dw (DW: 7 dimensões + 3 fatos)</w:t>
      </w:r>
    </w:p>
    <w:p>
      <w:pPr>
        <w:pStyle w:val="Normal"/>
        <w:shd w:val="clear" w:fill="F2F2F2"/>
        <w:spacing w:after="0"/>
      </w:pPr>
      <w:r>
        <w:rPr>
          <w:rFonts w:ascii="Consolas" w:hAnsi="Consolas"/>
          <w:sz w:val="16"/>
          <w:szCs w:val="16"/>
        </w:rPr>
        <w:t xml:space="preserve">  Mercearia ---/                              |</w:t>
      </w:r>
    </w:p>
    <w:p>
      <w:pPr>
        <w:pStyle w:val="Normal"/>
        <w:shd w:val="clear" w:fill="F2F2F2"/>
        <w:spacing w:after="0"/>
      </w:pPr>
      <w:r>
        <w:rPr>
          <w:rFonts w:ascii="Consolas" w:hAnsi="Consolas"/>
          <w:sz w:val="16"/>
          <w:szCs w:val="16"/>
        </w:rPr>
        <w:t xml:space="preserve">  IBGE -------\                               +---&gt; dm_vendas       (assunto: comercial)</w:t>
      </w:r>
    </w:p>
    <w:p>
      <w:pPr>
        <w:pStyle w:val="Normal"/>
        <w:shd w:val="clear" w:fill="F2F2F2"/>
        <w:spacing w:after="0"/>
      </w:pPr>
      <w:r>
        <w:rPr>
          <w:rFonts w:ascii="Consolas" w:hAnsi="Consolas"/>
          <w:sz w:val="16"/>
          <w:szCs w:val="16"/>
        </w:rPr>
        <w:t xml:space="preserve">  BCB/PTAX ---/--&gt; ext (dados externos)       +---&gt; dm_suprimentos  (assunto: compras)</w:t>
      </w:r>
    </w:p>
    <w:p>
      <w:pPr>
        <w:pStyle w:val="Normal"/>
        <w:shd w:val="clear" w:fill="F2F2F2"/>
        <w:spacing w:after="0"/>
      </w:pPr>
      <w:r>
        <w:rPr>
          <w:rFonts w:ascii="Consolas" w:hAnsi="Consolas"/>
          <w:sz w:val="16"/>
          <w:szCs w:val="16"/>
        </w:rPr>
        <w:t xml:space="preserve">                                              +---&gt; dm_logistica    (assunto: entregas)</w:t>
      </w:r>
    </w:p>
    <w:p>
      <w:pPr>
        <w:pStyle w:val="PargrafodaLista"/>
        <w:numPr>
          <w:ilvl w:val="0"/>
          <w:numId w:val="1"/>
        </w:numPr>
        <w:spacing w:after="80"/>
        <w:jc w:val="both"/>
      </w:pPr>
      <w:r>
        <w:rPr>
          <w:b/>
        </w:rPr>
        <w:t xml:space="preserve">SGBD:</w:t>
      </w:r>
      <w:r>
        <w:rPr/>
        <w:t xml:space="preserve"> PostgreSQL 16 em Docker. Tudo sobe e carrega com </w:t>
      </w:r>
      <w:r>
        <w:rPr>
          <w:b/>
        </w:rPr>
        <w:t xml:space="preserve">um comando</w:t>
      </w:r>
      <w:r>
        <w:rPr/>
        <w:t xml:space="preserve">:</w:t>
      </w:r>
    </w:p>
    <w:p>
      <w:pPr>
        <w:pStyle w:val="Normal"/>
        <w:spacing w:after="120"/>
        <w:jc w:val="both"/>
      </w:pPr>
      <w:r>
        <w:rPr>
          <w:rFonts w:ascii="Consolas" w:hAnsi="Consolas"/>
        </w:rPr>
        <w:t xml:space="preserve">docker compose exec -T db sh /etl/00_carga_inicial.sh</w:t>
      </w:r>
    </w:p>
    <w:p>
      <w:pPr>
        <w:pStyle w:val="PargrafodaLista"/>
        <w:numPr>
          <w:ilvl w:val="0"/>
          <w:numId w:val="1"/>
        </w:numPr>
        <w:spacing w:after="80"/>
        <w:jc w:val="both"/>
      </w:pPr>
      <w:r>
        <w:rPr>
          <w:b/>
        </w:rPr>
        <w:t xml:space="preserve">ETL:</w:t>
      </w:r>
      <w:r>
        <w:rPr/>
        <w:t xml:space="preserve"> em </w:t>
      </w:r>
      <w:r>
        <w:rPr>
          <w:b/>
        </w:rPr>
        <w:t xml:space="preserve">SQL puro</w:t>
      </w:r>
      <w:r>
        <w:rPr/>
        <w:t xml:space="preserve"> (o enunciado permite ferramenta; optou-se por SQL por ser auditável e</w:t>
      </w:r>
    </w:p>
    <w:p>
      <w:pPr>
        <w:pStyle w:val="Normal"/>
        <w:spacing w:after="120"/>
        <w:jc w:val="both"/>
      </w:pPr>
      <w:r>
        <w:rPr/>
        <w:t xml:space="preserve">reproduzível sem instalar nada além do banco).</w:t>
      </w:r>
    </w:p>
    <w:p>
      <w:pPr>
        <w:pStyle w:val="Normal"/>
      </w:pPr>
      <w:r>
        <w:t xml:space="preserve"/>
      </w:r>
    </w:p>
    <w:p>
      <w:pPr>
        <w:pStyle w:val="Ttulo1"/>
      </w:pPr>
      <w:r>
        <w:rPr/>
        <w:t xml:space="preserve">4. Decisões de modelagem</w:t>
      </w:r>
    </w:p>
    <w:p>
      <w:pPr>
        <w:pStyle w:val="Ttulo2"/>
      </w:pPr>
      <w:r>
        <w:rPr/>
        <w:t xml:space="preserve">4.1 Granularidade: o que cada linha representa</w:t>
      </w:r>
    </w:p>
    <w:tbl>
      <w:tblPr>
        <w:tblStyle w:val="Tabelacomgrade"/>
        <w:tblW w:w="10546" w:type="dxa"/>
        <w:tblLook w:val="04A0"/>
      </w:tblPr>
      <w:tblGrid>
        <w:gridCol w:w="3515"/>
        <w:gridCol w:w="3515"/>
        <w:gridCol w:w="3515"/>
      </w:tblGrid>
      <w:tr>
        <w:tc>
          <w:tcPr>
            <w:tcW w:w="3515" w:type="dxa"/>
            <w:shd w:val="clear" w:color="auto" w:fill="DCE6F1"/>
            <w:tblHeader/>
          </w:tcPr>
          <w:p>
            <w:pPr>
              <w:pStyle w:val="Normal"/>
            </w:pPr>
            <w:r>
              <w:rPr>
                <w:b/>
              </w:rPr>
              <w:t xml:space="preserve">Fato</w:t>
            </w:r>
          </w:p>
        </w:tc>
        <w:tc>
          <w:tcPr>
            <w:tcW w:w="3515" w:type="dxa"/>
            <w:shd w:val="clear" w:color="auto" w:fill="DCE6F1"/>
            <w:tblHeader/>
          </w:tcPr>
          <w:p>
            <w:pPr>
              <w:pStyle w:val="Normal"/>
            </w:pPr>
            <w:r>
              <w:rPr>
                <w:b/>
              </w:rPr>
              <w:t xml:space="preserve">Grão</w:t>
            </w:r>
          </w:p>
        </w:tc>
        <w:tc>
          <w:tcPr>
            <w:tcW w:w="3515" w:type="dxa"/>
            <w:shd w:val="clear" w:color="auto" w:fill="DCE6F1"/>
            <w:tblHeader/>
          </w:tcPr>
          <w:p>
            <w:pPr>
              <w:pStyle w:val="Normal"/>
            </w:pPr>
            <w:r>
              <w:rPr>
                <w:b/>
              </w:rPr>
              <w:t xml:space="preserve">Por quê</w:t>
            </w:r>
          </w:p>
        </w:tc>
      </w:tr>
      <w:tr>
        <w:tc>
          <w:tcPr>
            <w:tcW w:w="3515" w:type="dxa"/>
          </w:tcPr>
          <w:p>
            <w:pPr>
              <w:pStyle w:val="Normal"/>
            </w:pPr>
            <w:r>
              <w:rPr>
                <w:rFonts w:ascii="Consolas" w:hAnsi="Consolas"/>
              </w:rPr>
              <w:t xml:space="preserve">fato_vendas</w:t>
            </w:r>
          </w:p>
        </w:tc>
        <w:tc>
          <w:tcPr>
            <w:tcW w:w="3515" w:type="dxa"/>
          </w:tcPr>
          <w:p>
            <w:pPr>
              <w:pStyle w:val="Normal"/>
            </w:pPr>
            <w:r>
              <w:rPr/>
              <w:t xml:space="preserve">1 linha por </w:t>
            </w:r>
            <w:r>
              <w:rPr>
                <w:b/>
              </w:rPr>
              <w:t xml:space="preserve">item</w:t>
            </w:r>
            <w:r>
              <w:rPr/>
              <w:t xml:space="preserve"> de pedido</w:t>
            </w:r>
          </w:p>
        </w:tc>
        <w:tc>
          <w:tcPr>
            <w:tcW w:w="3515" w:type="dxa"/>
          </w:tcPr>
          <w:p>
            <w:pPr>
              <w:pStyle w:val="Normal"/>
            </w:pPr>
            <w:r>
              <w:rPr/>
              <w:t xml:space="preserve">menor detalhe disponível; permite somar depois</w:t>
            </w:r>
          </w:p>
        </w:tc>
      </w:tr>
      <w:tr>
        <w:tc>
          <w:tcPr>
            <w:tcW w:w="3515" w:type="dxa"/>
          </w:tcPr>
          <w:p>
            <w:pPr>
              <w:pStyle w:val="Normal"/>
            </w:pPr>
            <w:r>
              <w:rPr>
                <w:rFonts w:ascii="Consolas" w:hAnsi="Consolas"/>
              </w:rPr>
              <w:t xml:space="preserve">fato_compras</w:t>
            </w:r>
          </w:p>
        </w:tc>
        <w:tc>
          <w:tcPr>
            <w:tcW w:w="3515" w:type="dxa"/>
          </w:tcPr>
          <w:p>
            <w:pPr>
              <w:pStyle w:val="Normal"/>
            </w:pPr>
            <w:r>
              <w:rPr/>
              <w:t xml:space="preserve">1 linha por </w:t>
            </w:r>
            <w:r>
              <w:rPr>
                <w:b/>
              </w:rPr>
              <w:t xml:space="preserve">item</w:t>
            </w:r>
            <w:r>
              <w:rPr/>
              <w:t xml:space="preserve"> de compra</w:t>
            </w:r>
          </w:p>
        </w:tc>
        <w:tc>
          <w:tcPr>
            <w:tcW w:w="3515" w:type="dxa"/>
          </w:tcPr>
          <w:p>
            <w:pPr>
              <w:pStyle w:val="Normal"/>
            </w:pPr>
            <w:r>
              <w:rPr/>
              <w:t xml:space="preserve">mesma razão, para o processo de compras</w:t>
            </w:r>
          </w:p>
        </w:tc>
      </w:tr>
      <w:tr>
        <w:tc>
          <w:tcPr>
            <w:tcW w:w="3515" w:type="dxa"/>
          </w:tcPr>
          <w:p>
            <w:pPr>
              <w:pStyle w:val="Normal"/>
            </w:pPr>
            <w:r>
              <w:rPr>
                <w:rFonts w:ascii="Consolas" w:hAnsi="Consolas"/>
              </w:rPr>
              <w:t xml:space="preserve">fato_entregas</w:t>
            </w:r>
          </w:p>
        </w:tc>
        <w:tc>
          <w:tcPr>
            <w:tcW w:w="3515" w:type="dxa"/>
          </w:tcPr>
          <w:p>
            <w:pPr>
              <w:pStyle w:val="Normal"/>
            </w:pPr>
            <w:r>
              <w:rPr/>
              <w:t xml:space="preserve">1 linha por </w:t>
            </w:r>
            <w:r>
              <w:rPr>
                <w:b/>
              </w:rPr>
              <w:t xml:space="preserve">pedido</w:t>
            </w:r>
          </w:p>
        </w:tc>
        <w:tc>
          <w:tcPr>
            <w:tcW w:w="3515" w:type="dxa"/>
          </w:tcPr>
          <w:p>
            <w:pPr>
              <w:pStyle w:val="Normal"/>
            </w:pPr>
            <w:r>
              <w:rPr/>
              <w:t xml:space="preserve">o frete é medido no pedido, não no item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  <w:spacing w:after="120"/>
        <w:jc w:val="both"/>
      </w:pPr>
      <w:r>
        <w:rPr>
          <w:b/>
        </w:rPr>
        <w:t xml:space="preserve">Por que o terceiro fato tem outro grão?</w:t>
      </w:r>
      <w:r>
        <w:rPr/>
        <w:t xml:space="preserve"> No Northwind, o frete (</w:t>
      </w:r>
      <w:r>
        <w:rPr>
          <w:rFonts w:ascii="Consolas" w:hAnsi="Consolas"/>
        </w:rPr>
        <w:t xml:space="preserve">orders.freight</w:t>
      </w:r>
      <w:r>
        <w:rPr/>
        <w:t xml:space="preserve">) é um valor </w:t>
      </w:r>
      <w:r>
        <w:rPr>
          <w:b/>
        </w:rPr>
        <w:t xml:space="preserve">do pedido</w:t>
      </w:r>
      <w:r>
        <w:rPr/>
        <w:t xml:space="preserve">. Se fosse colocado no fato de item, o mesmo frete apareceria </w:t>
      </w:r>
      <w:r>
        <w:rPr>
          <w:b/>
        </w:rPr>
        <w:t xml:space="preserve">repetido em cada item</w:t>
      </w:r>
      <w:r>
        <w:rPr/>
        <w:t xml:space="preserve"> do pedido (dupla contagem) ou teria que ser rateado — um número que não existe na origem. A solução correta é </w:t>
      </w:r>
      <w:r>
        <w:rPr>
          <w:b/>
        </w:rPr>
        <w:t xml:space="preserve">um fato por grão</w:t>
      </w:r>
      <w:r>
        <w:rPr/>
        <w:t xml:space="preserve">, com </w:t>
      </w:r>
      <w:r>
        <w:rPr>
          <w:b/>
        </w:rPr>
        <w:t xml:space="preserve">dimensões conformadas</w:t>
      </w:r>
      <w:r>
        <w:rPr/>
        <w:t xml:space="preserve"> compartilhadas. Ou seja: a granularidade não é detalhe técnico, ela </w:t>
      </w:r>
      <w:r>
        <w:rPr>
          <w:b/>
        </w:rPr>
        <w:t xml:space="preserve">muda o resultado do número</w:t>
      </w:r>
      <w:r>
        <w:rPr/>
        <w:t xml:space="preserve">.</w:t>
      </w:r>
    </w:p>
    <w:p>
      <w:pPr>
        <w:pStyle w:val="Ttulo2"/>
      </w:pPr>
      <w:r>
        <w:rPr/>
        <w:t xml:space="preserve">4.2 Integração das duas fontes</w:t>
      </w:r>
    </w:p>
    <w:tbl>
      <w:tblPr>
        <w:tblStyle w:val="Tabelacomgrade"/>
        <w:tblW w:w="10546" w:type="dxa"/>
        <w:tblLook w:val="04A0"/>
      </w:tblPr>
      <w:tblGrid>
        <w:gridCol w:w="5273"/>
        <w:gridCol w:w="5273"/>
      </w:tblGrid>
      <w:tr>
        <w:tc>
          <w:tcPr>
            <w:tcW w:w="5273" w:type="dxa"/>
            <w:shd w:val="clear" w:color="auto" w:fill="DCE6F1"/>
            <w:tblHeader/>
          </w:tcPr>
          <w:p>
            <w:pPr>
              <w:pStyle w:val="Normal"/>
            </w:pPr>
            <w:r>
              <w:rPr>
                <w:b/>
              </w:rPr>
              <w:t xml:space="preserve">Mecanismo</w:t>
            </w:r>
          </w:p>
        </w:tc>
        <w:tc>
          <w:tcPr>
            <w:tcW w:w="5273" w:type="dxa"/>
            <w:shd w:val="clear" w:color="auto" w:fill="DCE6F1"/>
            <w:tblHeader/>
          </w:tcPr>
          <w:p>
            <w:pPr>
              <w:pStyle w:val="Normal"/>
            </w:pPr>
            <w:r>
              <w:rPr>
                <w:b/>
              </w:rPr>
              <w:t xml:space="preserve">Aplicação</w:t>
            </w:r>
          </w:p>
        </w:tc>
      </w:tr>
      <w:tr>
        <w:tc>
          <w:tcPr>
            <w:tcW w:w="5273" w:type="dxa"/>
          </w:tcPr>
          <w:p>
            <w:pPr>
              <w:pStyle w:val="Normal"/>
            </w:pPr>
            <w:r>
              <w:rPr>
                <w:b/>
              </w:rPr>
              <w:t xml:space="preserve">Chave natural por origem</w:t>
            </w:r>
          </w:p>
        </w:tc>
        <w:tc>
          <w:tcPr>
            <w:tcW w:w="5273" w:type="dxa"/>
          </w:tcPr>
          <w:p>
            <w:pPr>
              <w:pStyle w:val="Normal"/>
            </w:pPr>
            <w:r>
              <w:rPr/>
              <w:t xml:space="preserve">coluna </w:t>
            </w:r>
            <w:r>
              <w:rPr>
                <w:rFonts w:ascii="Consolas" w:hAnsi="Consolas"/>
              </w:rPr>
              <w:t xml:space="preserve">origem</w:t>
            </w:r>
            <w:r>
              <w:rPr/>
              <w:t xml:space="preserve"> (</w:t>
            </w:r>
            <w:r>
              <w:rPr>
                <w:rFonts w:ascii="Consolas" w:hAnsi="Consolas"/>
              </w:rPr>
              <w:t xml:space="preserve">MERCEARIA</w:t>
            </w:r>
            <w:r>
              <w:rPr/>
              <w:t xml:space="preserve"> / </w:t>
            </w:r>
            <w:r>
              <w:rPr>
                <w:rFonts w:ascii="Consolas" w:hAnsi="Consolas"/>
              </w:rPr>
              <w:t xml:space="preserve">NORTHWIND</w:t>
            </w:r>
            <w:r>
              <w:rPr/>
              <w:t xml:space="preserve">) + chave da fonte</w:t>
            </w:r>
          </w:p>
        </w:tc>
      </w:tr>
      <w:tr>
        <w:tc>
          <w:tcPr>
            <w:tcW w:w="5273" w:type="dxa"/>
          </w:tcPr>
          <w:p>
            <w:pPr>
              <w:pStyle w:val="Normal"/>
            </w:pPr>
            <w:r>
              <w:rPr>
                <w:b/>
              </w:rPr>
              <w:t xml:space="preserve">Dimensões conformadas</w:t>
            </w:r>
          </w:p>
        </w:tc>
        <w:tc>
          <w:tcPr>
            <w:tcW w:w="5273" w:type="dxa"/>
          </w:tcPr>
          <w:p>
            <w:pPr>
              <w:pStyle w:val="Normal"/>
            </w:pPr>
            <w:r>
              <w:rPr/>
              <w:t xml:space="preserve">produto, cliente, fornecedor, localidade e tempo servem aos três fatos</w:t>
            </w:r>
          </w:p>
        </w:tc>
      </w:tr>
      <w:tr>
        <w:tc>
          <w:tcPr>
            <w:tcW w:w="5273" w:type="dxa"/>
          </w:tcPr>
          <w:p>
            <w:pPr>
              <w:pStyle w:val="Normal"/>
            </w:pPr>
            <w:r>
              <w:rPr>
                <w:b/>
              </w:rPr>
              <w:t xml:space="preserve">Padronização de país</w:t>
            </w:r>
          </w:p>
        </w:tc>
        <w:tc>
          <w:tcPr>
            <w:tcW w:w="5273" w:type="dxa"/>
          </w:tcPr>
          <w:p>
            <w:pPr>
              <w:pStyle w:val="Normal"/>
            </w:pPr>
            <w:r>
              <w:rPr>
                <w:rFonts w:ascii="Consolas" w:hAnsi="Consolas"/>
              </w:rPr>
              <w:t xml:space="preserve">Brazil</w:t>
            </w:r>
            <w:r>
              <w:rPr/>
              <w:t xml:space="preserve"> (Northwind) e </w:t>
            </w:r>
            <w:r>
              <w:rPr>
                <w:rFonts w:ascii="Consolas" w:hAnsi="Consolas"/>
              </w:rPr>
              <w:t xml:space="preserve">Brasil</w:t>
            </w:r>
            <w:r>
              <w:rPr/>
              <w:t xml:space="preserve"> (Mercearia) viram </w:t>
            </w:r>
            <w:r>
              <w:rPr>
                <w:b/>
              </w:rPr>
              <w:t xml:space="preserve">o mesmo país</w:t>
            </w:r>
          </w:p>
        </w:tc>
      </w:tr>
      <w:tr>
        <w:tc>
          <w:tcPr>
            <w:tcW w:w="5273" w:type="dxa"/>
          </w:tcPr>
          <w:p>
            <w:pPr>
              <w:pStyle w:val="Normal"/>
            </w:pPr>
            <w:r>
              <w:rPr>
                <w:b/>
              </w:rPr>
              <w:t xml:space="preserve">Normalização de texto</w:t>
            </w:r>
          </w:p>
        </w:tc>
        <w:tc>
          <w:tcPr>
            <w:tcW w:w="5273" w:type="dxa"/>
          </w:tcPr>
          <w:p>
            <w:pPr>
              <w:pStyle w:val="Normal"/>
            </w:pPr>
            <w:r>
              <w:rPr>
                <w:rFonts w:ascii="Consolas" w:hAnsi="Consolas"/>
              </w:rPr>
              <w:t xml:space="preserve">Sao Paulo</w:t>
            </w:r>
            <w:r>
              <w:rPr/>
              <w:t xml:space="preserve"> e </w:t>
            </w:r>
            <w:r>
              <w:rPr>
                <w:rFonts w:ascii="Consolas" w:hAnsi="Consolas"/>
              </w:rPr>
              <w:t xml:space="preserve">São Paulo</w:t>
            </w:r>
            <w:r>
              <w:rPr/>
              <w:t xml:space="preserve"> reconhecidos como a </w:t>
            </w:r>
            <w:r>
              <w:rPr>
                <w:b/>
              </w:rPr>
              <w:t xml:space="preserve">mesma cidade</w:t>
            </w:r>
          </w:p>
        </w:tc>
      </w:tr>
      <w:tr>
        <w:tc>
          <w:tcPr>
            <w:tcW w:w="5273" w:type="dxa"/>
          </w:tcPr>
          <w:p>
            <w:pPr>
              <w:pStyle w:val="Normal"/>
            </w:pPr>
            <w:r>
              <w:rPr>
                <w:b/>
              </w:rPr>
              <w:t xml:space="preserve">Chave oficial externa</w:t>
            </w:r>
          </w:p>
        </w:tc>
        <w:tc>
          <w:tcPr>
            <w:tcW w:w="5273" w:type="dxa"/>
          </w:tcPr>
          <w:p>
            <w:pPr>
              <w:pStyle w:val="Normal"/>
            </w:pPr>
            <w:r>
              <w:rPr>
                <w:rFonts w:ascii="Consolas" w:hAnsi="Consolas"/>
              </w:rPr>
              <w:t xml:space="preserve">codigo_ibge</w:t>
            </w:r>
            <w:r>
              <w:rPr/>
              <w:t xml:space="preserve"> no município, para casar com sistemas oficiais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tulo2"/>
      </w:pPr>
      <w:r>
        <w:rPr/>
        <w:t xml:space="preserve">4.3 Historicidade — SCD Tipo 2</w:t>
      </w:r>
    </w:p>
    <w:p>
      <w:pPr>
        <w:pStyle w:val="Normal"/>
        <w:spacing w:after="120"/>
        <w:jc w:val="both"/>
      </w:pPr>
      <w:r>
        <w:rPr/>
        <w:t xml:space="preserve">Aplicado em </w:t>
      </w:r>
      <w:r>
        <w:rPr>
          <w:b/>
        </w:rPr>
        <w:t xml:space="preserve">`dim_produto`</w:t>
      </w:r>
      <w:r>
        <w:rPr/>
        <w:t xml:space="preserve"> (preço) e </w:t>
      </w:r>
      <w:r>
        <w:rPr>
          <w:b/>
        </w:rPr>
        <w:t xml:space="preserve">`dim_cliente`</w:t>
      </w:r>
      <w:r>
        <w:rPr/>
        <w:t xml:space="preserve"> (faixa de renda). A dimensão guarda </w:t>
      </w:r>
      <w:r>
        <w:rPr>
          <w:rFonts w:ascii="Consolas" w:hAnsi="Consolas"/>
        </w:rPr>
        <w:t xml:space="preserve">versao</w:t>
      </w:r>
      <w:r>
        <w:rPr/>
        <w:t xml:space="preserve">, </w:t>
      </w:r>
      <w:r>
        <w:rPr>
          <w:rFonts w:ascii="Consolas" w:hAnsi="Consolas"/>
        </w:rPr>
        <w:t xml:space="preserve">data_inicio</w:t>
      </w:r>
      <w:r>
        <w:rPr/>
        <w:t xml:space="preserve">, </w:t>
      </w:r>
      <w:r>
        <w:rPr>
          <w:rFonts w:ascii="Consolas" w:hAnsi="Consolas"/>
        </w:rPr>
        <w:t xml:space="preserve">data_fim</w:t>
      </w:r>
      <w:r>
        <w:rPr/>
        <w:t xml:space="preserve"> e </w:t>
      </w:r>
      <w:r>
        <w:rPr>
          <w:rFonts w:ascii="Consolas" w:hAnsi="Consolas"/>
        </w:rPr>
        <w:t xml:space="preserve">flag_atual</w:t>
      </w:r>
      <w:r>
        <w:rPr/>
        <w:t xml:space="preserve">.</w:t>
      </w:r>
    </w:p>
    <w:p>
      <w:pPr>
        <w:pStyle w:val="Normal"/>
        <w:spacing w:after="120"/>
        <w:jc w:val="both"/>
      </w:pPr>
      <w:r>
        <w:rPr>
          <w:b/>
        </w:rPr>
        <w:t xml:space="preserve">Não basta declarar no DDL — foi testado.</w:t>
      </w:r>
      <w:r>
        <w:rPr/>
        <w:t xml:space="preserve"> O teste (</w:t>
      </w:r>
      <w:r>
        <w:rPr>
          <w:rFonts w:ascii="Consolas" w:hAnsi="Consolas"/>
        </w:rPr>
        <w:t xml:space="preserve">etl/90_teste_scd2.sql</w:t>
      </w:r>
      <w:r>
        <w:rPr/>
        <w:t xml:space="preserve">) altera o preço do arroz na origem e recarrega a dimensão:</w:t>
      </w:r>
    </w:p>
    <w:tbl>
      <w:tblPr>
        <w:tblStyle w:val="Tabelacomgrade"/>
        <w:tblW w:w="10546" w:type="dxa"/>
        <w:tblLook w:val="04A0"/>
      </w:tblPr>
      <w:tblGrid>
        <w:gridCol w:w="2109"/>
        <w:gridCol w:w="2109"/>
        <w:gridCol w:w="2109"/>
        <w:gridCol w:w="2109"/>
        <w:gridCol w:w="2109"/>
      </w:tblGrid>
      <w:tr>
        <w:tc>
          <w:tcPr>
            <w:tcW w:w="2109" w:type="dxa"/>
            <w:shd w:val="clear" w:color="auto" w:fill="DCE6F1"/>
            <w:tblHeader/>
          </w:tcPr>
          <w:p>
            <w:pPr>
              <w:pStyle w:val="Normal"/>
            </w:pPr>
            <w:r>
              <w:rPr>
                <w:b/>
              </w:rPr>
              <w:t xml:space="preserve">Versão</w:t>
            </w:r>
          </w:p>
        </w:tc>
        <w:tc>
          <w:tcPr>
            <w:tcW w:w="2109" w:type="dxa"/>
            <w:shd w:val="clear" w:color="auto" w:fill="DCE6F1"/>
            <w:tblHeader/>
          </w:tcPr>
          <w:p>
            <w:pPr>
              <w:pStyle w:val="Normal"/>
            </w:pPr>
            <w:r>
              <w:rPr>
                <w:b/>
              </w:rPr>
              <w:t xml:space="preserve">Preço</w:t>
            </w:r>
          </w:p>
        </w:tc>
        <w:tc>
          <w:tcPr>
            <w:tcW w:w="2109" w:type="dxa"/>
            <w:shd w:val="clear" w:color="auto" w:fill="DCE6F1"/>
            <w:tblHeader/>
          </w:tcPr>
          <w:p>
            <w:pPr>
              <w:pStyle w:val="Normal"/>
            </w:pPr>
            <w:r>
              <w:rPr>
                <w:b/>
              </w:rPr>
              <w:t xml:space="preserve">Vigente</w:t>
            </w:r>
          </w:p>
        </w:tc>
        <w:tc>
          <w:tcPr>
            <w:tcW w:w="2109" w:type="dxa"/>
            <w:shd w:val="clear" w:color="auto" w:fill="DCE6F1"/>
            <w:tblHeader/>
          </w:tcPr>
          <w:p>
            <w:pPr>
              <w:pStyle w:val="Normal"/>
            </w:pPr>
            <w:r>
              <w:rPr>
                <w:b/>
              </w:rPr>
              <w:t xml:space="preserve">Data fim</w:t>
            </w:r>
          </w:p>
        </w:tc>
        <w:tc>
          <w:tcPr>
            <w:tcW w:w="2109" w:type="dxa"/>
            <w:shd w:val="clear" w:color="auto" w:fill="DCE6F1"/>
            <w:tblHeader/>
          </w:tcPr>
          <w:p>
            <w:pPr>
              <w:pStyle w:val="Normal"/>
            </w:pPr>
            <w:r>
              <w:rPr>
                <w:b/>
              </w:rPr>
              <w:t xml:space="preserve">Vendas ligadas</w:t>
            </w:r>
          </w:p>
        </w:tc>
      </w:tr>
      <w:tr>
        <w:tc>
          <w:tcPr>
            <w:tcW w:w="2109" w:type="dxa"/>
          </w:tcPr>
          <w:p>
            <w:pPr>
              <w:pStyle w:val="Normal"/>
            </w:pPr>
            <w:r>
              <w:rPr/>
              <w:t xml:space="preserve">1</w:t>
            </w:r>
          </w:p>
        </w:tc>
        <w:tc>
          <w:tcPr>
            <w:tcW w:w="2109" w:type="dxa"/>
          </w:tcPr>
          <w:p>
            <w:pPr>
              <w:pStyle w:val="Normal"/>
            </w:pPr>
            <w:r>
              <w:rPr/>
              <w:t xml:space="preserve">24,90</w:t>
            </w:r>
          </w:p>
        </w:tc>
        <w:tc>
          <w:tcPr>
            <w:tcW w:w="2109" w:type="dxa"/>
          </w:tcPr>
          <w:p>
            <w:pPr>
              <w:pStyle w:val="Normal"/>
            </w:pPr>
            <w:r>
              <w:rPr/>
              <w:t xml:space="preserve">não</w:t>
            </w:r>
          </w:p>
        </w:tc>
        <w:tc>
          <w:tcPr>
            <w:tcW w:w="2109" w:type="dxa"/>
          </w:tcPr>
          <w:p>
            <w:pPr>
              <w:pStyle w:val="Normal"/>
            </w:pPr>
            <w:r>
              <w:rPr/>
              <w:t xml:space="preserve">28/09/2026</w:t>
            </w:r>
          </w:p>
        </w:tc>
        <w:tc>
          <w:tcPr>
            <w:tcW w:w="2109" w:type="dxa"/>
          </w:tcPr>
          <w:p>
            <w:pPr>
              <w:pStyle w:val="Normal"/>
            </w:pPr>
            <w:r>
              <w:rPr>
                <w:b/>
              </w:rPr>
              <w:t xml:space="preserve">324 linhas (R$ 50.845,80)</w:t>
            </w:r>
          </w:p>
        </w:tc>
      </w:tr>
      <w:tr>
        <w:tc>
          <w:tcPr>
            <w:tcW w:w="2109" w:type="dxa"/>
          </w:tcPr>
          <w:p>
            <w:pPr>
              <w:pStyle w:val="Normal"/>
            </w:pPr>
            <w:r>
              <w:rPr/>
              <w:t xml:space="preserve">2</w:t>
            </w:r>
          </w:p>
        </w:tc>
        <w:tc>
          <w:tcPr>
            <w:tcW w:w="2109" w:type="dxa"/>
          </w:tcPr>
          <w:p>
            <w:pPr>
              <w:pStyle w:val="Normal"/>
            </w:pPr>
            <w:r>
              <w:rPr/>
              <w:t xml:space="preserve">27,39</w:t>
            </w:r>
          </w:p>
        </w:tc>
        <w:tc>
          <w:tcPr>
            <w:tcW w:w="2109" w:type="dxa"/>
          </w:tcPr>
          <w:p>
            <w:pPr>
              <w:pStyle w:val="Normal"/>
            </w:pPr>
            <w:r>
              <w:rPr>
                <w:b/>
              </w:rPr>
              <w:t xml:space="preserve">sim</w:t>
            </w:r>
          </w:p>
        </w:tc>
        <w:tc>
          <w:tcPr>
            <w:tcW w:w="2109" w:type="dxa"/>
          </w:tcPr>
          <w:p>
            <w:pPr>
              <w:pStyle w:val="Normal"/>
            </w:pPr>
            <w:r>
              <w:rPr/>
              <w:t xml:space="preserve">—</w:t>
            </w:r>
          </w:p>
        </w:tc>
        <w:tc>
          <w:tcPr>
            <w:tcW w:w="2109" w:type="dxa"/>
          </w:tcPr>
          <w:p>
            <w:pPr>
              <w:pStyle w:val="Normal"/>
            </w:pPr>
            <w:r>
              <w:rPr/>
              <w:t xml:space="preserve">—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  <w:spacing w:after="120"/>
        <w:jc w:val="both"/>
      </w:pPr>
      <w:r>
        <w:rPr/>
        <w:t xml:space="preserve">As </w:t>
      </w:r>
      <w:r>
        <w:rPr>
          <w:b/>
        </w:rPr>
        <w:t xml:space="preserve">vendas antigas continuaram presas à versão antiga</w:t>
      </w:r>
      <w:r>
        <w:rPr/>
        <w:t xml:space="preserve">, com o preço da época. Sem SCD2, o passado seria reescrito e a receita histórica ficaria distorcida.</w:t>
      </w:r>
    </w:p>
    <w:p>
      <w:pPr>
        <w:pStyle w:val="Ttulo2"/>
      </w:pPr>
      <w:r>
        <w:rPr/>
        <w:t xml:space="preserve">4.4 Dimensão tempo</w:t>
      </w:r>
    </w:p>
    <w:p>
      <w:pPr>
        <w:pStyle w:val="Normal"/>
        <w:spacing w:after="120"/>
        <w:jc w:val="both"/>
      </w:pPr>
      <w:r>
        <w:rPr>
          <w:rFonts w:ascii="Consolas" w:hAnsi="Consolas"/>
        </w:rPr>
        <w:t xml:space="preserve">dim_tempo</w:t>
      </w:r>
      <w:r>
        <w:rPr/>
        <w:t xml:space="preserve"> no grão de </w:t>
      </w:r>
      <w:r>
        <w:rPr>
          <w:b/>
        </w:rPr>
        <w:t xml:space="preserve">dia</w:t>
      </w:r>
      <w:r>
        <w:rPr/>
        <w:t xml:space="preserve">, de </w:t>
      </w:r>
      <w:r>
        <w:rPr>
          <w:b/>
        </w:rPr>
        <w:t xml:space="preserve">01/01/1996 a 31/12/2026</w:t>
      </w:r>
      <w:r>
        <w:rPr/>
        <w:t xml:space="preserve"> = </w:t>
      </w:r>
      <w:r>
        <w:rPr>
          <w:b/>
        </w:rPr>
        <w:t xml:space="preserve">11.323 dias</w:t>
      </w:r>
      <w:r>
        <w:rPr/>
        <w:t xml:space="preserve">, com </w:t>
      </w:r>
      <w:r>
        <w:rPr>
          <w:b/>
        </w:rPr>
        <w:t xml:space="preserve">281 feriados</w:t>
      </w:r>
      <w:r>
        <w:rPr/>
        <w:t xml:space="preserve"> e </w:t>
      </w:r>
      <w:r>
        <w:rPr>
          <w:b/>
        </w:rPr>
        <w:t xml:space="preserve">62 pontos facultativos</w:t>
      </w:r>
      <w:r>
        <w:rPr/>
        <w:t xml:space="preserve">. O período é a </w:t>
      </w:r>
      <w:r>
        <w:rPr>
          <w:b/>
        </w:rPr>
        <w:t xml:space="preserve">união</w:t>
      </w:r>
      <w:r>
        <w:rPr/>
        <w:t xml:space="preserve"> dos períodos das duas fontes: se fosse gerado só o período recente, as 2.155 vendas do Northwind ficariam </w:t>
      </w:r>
      <w:r>
        <w:rPr>
          <w:b/>
        </w:rPr>
        <w:t xml:space="preserve">órfãs</w:t>
      </w:r>
      <w:r>
        <w:rPr/>
        <w:t xml:space="preserve">. A dimensão é usada em </w:t>
      </w:r>
      <w:r>
        <w:rPr>
          <w:b/>
        </w:rPr>
        <w:t xml:space="preserve">papel duplo</w:t>
      </w:r>
      <w:r>
        <w:rPr/>
        <w:t xml:space="preserve"> (ex.: data da venda e data do faturamento).</w:t>
      </w:r>
    </w:p>
    <w:p>
      <w:pPr>
        <w:pStyle w:val="Normal"/>
        <w:spacing w:after="120"/>
        <w:jc w:val="both"/>
      </w:pPr>
      <w:r>
        <w:rPr>
          <w:b/>
        </w:rPr>
        <w:t xml:space="preserve">Rigor conceitual:</w:t>
      </w:r>
      <w:r>
        <w:rPr/>
        <w:t xml:space="preserve"> Carnaval e Corpus Christi foram marcados como </w:t>
      </w:r>
      <w:r>
        <w:rPr>
          <w:b/>
        </w:rPr>
        <w:t xml:space="preserve">ponto facultativo</w:t>
      </w:r>
      <w:r>
        <w:rPr/>
        <w:t xml:space="preserve">, e não como feriado, porque </w:t>
      </w:r>
      <w:r>
        <w:rPr>
          <w:b/>
        </w:rPr>
        <w:t xml:space="preserve">não são feriados legais</w:t>
      </w:r>
      <w:r>
        <w:rPr/>
        <w:t xml:space="preserve">. O 20/11 (Consciência Negra) só é feriado </w:t>
      </w:r>
      <w:r>
        <w:rPr>
          <w:b/>
        </w:rPr>
        <w:t xml:space="preserve">a partir de 2024</w:t>
      </w:r>
      <w:r>
        <w:rPr/>
        <w:t xml:space="preserve">, conforme a Lei 14.759/2023. Essa distinção gerou um achado de negócio (item 7).</w:t>
      </w:r>
    </w:p>
    <w:p>
      <w:pPr>
        <w:pStyle w:val="Ttulo2"/>
      </w:pPr>
      <w:r>
        <w:rPr/>
        <w:t xml:space="preserve">4.5 Dados externos e conversão de moeda</w:t>
      </w:r>
    </w:p>
    <w:tbl>
      <w:tblPr>
        <w:tblStyle w:val="Tabelacomgrade"/>
        <w:tblW w:w="10546" w:type="dxa"/>
        <w:tblLook w:val="04A0"/>
      </w:tblPr>
      <w:tblGrid>
        <w:gridCol w:w="3515"/>
        <w:gridCol w:w="3515"/>
        <w:gridCol w:w="3515"/>
      </w:tblGrid>
      <w:tr>
        <w:tc>
          <w:tcPr>
            <w:tcW w:w="3515" w:type="dxa"/>
            <w:shd w:val="clear" w:color="auto" w:fill="DCE6F1"/>
            <w:tblHeader/>
          </w:tcPr>
          <w:p>
            <w:pPr>
              <w:pStyle w:val="Normal"/>
            </w:pPr>
            <w:r>
              <w:rPr>
                <w:b/>
              </w:rPr>
              <w:t xml:space="preserve">Dado externo</w:t>
            </w:r>
          </w:p>
        </w:tc>
        <w:tc>
          <w:tcPr>
            <w:tcW w:w="3515" w:type="dxa"/>
            <w:shd w:val="clear" w:color="auto" w:fill="DCE6F1"/>
            <w:tblHeader/>
          </w:tcPr>
          <w:p>
            <w:pPr>
              <w:pStyle w:val="Normal"/>
            </w:pPr>
            <w:r>
              <w:rPr>
                <w:b/>
              </w:rPr>
              <w:t xml:space="preserve">Fonte</w:t>
            </w:r>
          </w:p>
        </w:tc>
        <w:tc>
          <w:tcPr>
            <w:tcW w:w="3515" w:type="dxa"/>
            <w:shd w:val="clear" w:color="auto" w:fill="DCE6F1"/>
            <w:tblHeader/>
          </w:tcPr>
          <w:p>
            <w:pPr>
              <w:pStyle w:val="Normal"/>
            </w:pPr>
            <w:r>
              <w:rPr>
                <w:b/>
              </w:rPr>
              <w:t xml:space="preserve">Onde entra</w:t>
            </w:r>
          </w:p>
        </w:tc>
      </w:tr>
      <w:tr>
        <w:tc>
          <w:tcPr>
            <w:tcW w:w="3515" w:type="dxa"/>
          </w:tcPr>
          <w:p>
            <w:pPr>
              <w:pStyle w:val="Normal"/>
            </w:pPr>
            <w:r>
              <w:rPr/>
              <w:t xml:space="preserve">Código do município e população</w:t>
            </w:r>
          </w:p>
        </w:tc>
        <w:tc>
          <w:tcPr>
            <w:tcW w:w="3515" w:type="dxa"/>
          </w:tcPr>
          <w:p>
            <w:pPr>
              <w:pStyle w:val="Normal"/>
            </w:pPr>
            <w:r>
              <w:rPr>
                <w:b/>
              </w:rPr>
              <w:t xml:space="preserve">IBGE</w:t>
            </w:r>
          </w:p>
        </w:tc>
        <w:tc>
          <w:tcPr>
            <w:tcW w:w="3515" w:type="dxa"/>
          </w:tcPr>
          <w:p>
            <w:pPr>
              <w:pStyle w:val="Normal"/>
            </w:pPr>
            <w:r>
              <w:rPr>
                <w:rFonts w:ascii="Consolas" w:hAnsi="Consolas"/>
              </w:rPr>
              <w:t xml:space="preserve">dim_localidade</w:t>
            </w:r>
          </w:p>
        </w:tc>
      </w:tr>
      <w:tr>
        <w:tc>
          <w:tcPr>
            <w:tcW w:w="3515" w:type="dxa"/>
          </w:tcPr>
          <w:p>
            <w:pPr>
              <w:pStyle w:val="Normal"/>
            </w:pPr>
            <w:r>
              <w:rPr/>
              <w:t xml:space="preserve">Cotação USD→BRL do dia</w:t>
            </w:r>
          </w:p>
        </w:tc>
        <w:tc>
          <w:tcPr>
            <w:tcW w:w="3515" w:type="dxa"/>
          </w:tcPr>
          <w:p>
            <w:pPr>
              <w:pStyle w:val="Normal"/>
            </w:pPr>
            <w:r>
              <w:rPr>
                <w:b/>
              </w:rPr>
              <w:t xml:space="preserve">BCB / PTAX</w:t>
            </w:r>
          </w:p>
        </w:tc>
        <w:tc>
          <w:tcPr>
            <w:tcW w:w="3515" w:type="dxa"/>
          </w:tcPr>
          <w:p>
            <w:pPr>
              <w:pStyle w:val="Normal"/>
            </w:pPr>
            <w:r>
              <w:rPr>
                <w:rFonts w:ascii="Consolas" w:hAnsi="Consolas"/>
              </w:rPr>
              <w:t xml:space="preserve">fato_vendas.taxa_cambio</w:t>
            </w:r>
          </w:p>
        </w:tc>
      </w:tr>
      <w:tr>
        <w:tc>
          <w:tcPr>
            <w:tcW w:w="3515" w:type="dxa"/>
          </w:tcPr>
          <w:p>
            <w:pPr>
              <w:pStyle w:val="Normal"/>
            </w:pPr>
            <w:r>
              <w:rPr/>
              <w:t xml:space="preserve">Feriados (calculados pela Páscoa)</w:t>
            </w:r>
          </w:p>
        </w:tc>
        <w:tc>
          <w:tcPr>
            <w:tcW w:w="3515" w:type="dxa"/>
          </w:tcPr>
          <w:p>
            <w:pPr>
              <w:pStyle w:val="Normal"/>
            </w:pPr>
            <w:r>
              <w:rPr/>
              <w:t xml:space="preserve">calendário</w:t>
            </w:r>
          </w:p>
        </w:tc>
        <w:tc>
          <w:tcPr>
            <w:tcW w:w="3515" w:type="dxa"/>
          </w:tcPr>
          <w:p>
            <w:pPr>
              <w:pStyle w:val="Normal"/>
            </w:pPr>
            <w:r>
              <w:rPr>
                <w:rFonts w:ascii="Consolas" w:hAnsi="Consolas"/>
              </w:rPr>
              <w:t xml:space="preserve">dim_tempo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  <w:spacing w:after="120"/>
        <w:jc w:val="both"/>
      </w:pPr>
      <w:r>
        <w:rPr/>
        <w:t xml:space="preserve">Foram extraídos </w:t>
      </w:r>
      <w:r>
        <w:rPr>
          <w:b/>
        </w:rPr>
        <w:t xml:space="preserve">39 municípios</w:t>
      </w:r>
      <w:r>
        <w:rPr/>
        <w:t xml:space="preserve"> e </w:t>
      </w:r>
      <w:r>
        <w:rPr>
          <w:b/>
        </w:rPr>
        <w:t xml:space="preserve">750 cotações</w:t>
      </w:r>
      <w:r>
        <w:rPr/>
        <w:t xml:space="preserve"> PTAX (1996–1998), com fonte e data de acesso registradas em </w:t>
      </w:r>
      <w:r>
        <w:rPr>
          <w:rFonts w:ascii="Consolas" w:hAnsi="Consolas"/>
        </w:rPr>
        <w:t xml:space="preserve">dados_externos/README.md</w:t>
      </w:r>
      <w:r>
        <w:rPr/>
        <w:t xml:space="preserve">.</w:t>
      </w:r>
    </w:p>
    <w:p>
      <w:pPr>
        <w:pStyle w:val="Normal"/>
        <w:spacing w:after="120"/>
        <w:jc w:val="both"/>
      </w:pPr>
      <w:r>
        <w:rPr>
          <w:b/>
        </w:rPr>
        <w:t xml:space="preserve">Por que converter?</w:t>
      </w:r>
      <w:r>
        <w:rPr/>
        <w:t xml:space="preserve"> O Northwind está em </w:t>
      </w:r>
      <w:r>
        <w:rPr>
          <w:b/>
        </w:rPr>
        <w:t xml:space="preserve">dólar</w:t>
      </w:r>
      <w:r>
        <w:rPr/>
        <w:t xml:space="preserve"> e a Mercearia em </w:t>
      </w:r>
      <w:r>
        <w:rPr>
          <w:b/>
        </w:rPr>
        <w:t xml:space="preserve">real</w:t>
      </w:r>
      <w:r>
        <w:rPr/>
        <w:t xml:space="preserve">. Somar as duas moedas produziria um número sem sentido. A regra adotada: converter pela </w:t>
      </w:r>
      <w:r>
        <w:rPr>
          <w:b/>
        </w:rPr>
        <w:t xml:space="preserve">PTAX de compra do dia da venda</w:t>
      </w:r>
      <w:r>
        <w:rPr/>
        <w:t xml:space="preserve"> e </w:t>
      </w:r>
      <w:r>
        <w:rPr>
          <w:b/>
        </w:rPr>
        <w:t xml:space="preserve">gravar a taxa na própria linha</w:t>
      </w:r>
      <w:r>
        <w:rPr/>
        <w:t xml:space="preserve"> do fato, para permitir auditoria. Taxas aplicadas: de </w:t>
      </w:r>
      <w:r>
        <w:rPr>
          <w:b/>
        </w:rPr>
        <w:t xml:space="preserve">1,0040</w:t>
      </w:r>
      <w:r>
        <w:rPr/>
        <w:t xml:space="preserve"> a </w:t>
      </w:r>
      <w:r>
        <w:rPr>
          <w:b/>
        </w:rPr>
        <w:t xml:space="preserve">1,1445</w:t>
      </w:r>
      <w:r>
        <w:rPr/>
        <w:t xml:space="preserve"> BRL por USD.</w:t>
      </w:r>
    </w:p>
    <w:p>
      <w:pPr>
        <w:pStyle w:val="Normal"/>
      </w:pPr>
      <w:r>
        <w:t xml:space="preserve"/>
      </w:r>
    </w:p>
    <w:p>
      <w:pPr>
        <w:pStyle w:val="Ttulo1"/>
      </w:pPr>
      <w:r>
        <w:rPr/>
        <w:t xml:space="preserve">5. DataMarts</w:t>
      </w:r>
    </w:p>
    <w:p>
      <w:pPr>
        <w:pStyle w:val="Normal"/>
        <w:spacing w:after="120"/>
        <w:jc w:val="both"/>
      </w:pPr>
      <w:r>
        <w:rPr/>
        <w:t xml:space="preserve">Cada DataMart é um </w:t>
      </w:r>
      <w:r>
        <w:rPr>
          <w:b/>
        </w:rPr>
        <w:t xml:space="preserve">esquema estrela próprio</w:t>
      </w:r>
      <w:r>
        <w:rPr/>
        <w:t xml:space="preserve">, materializado como tabelas físicas e carregado a partir do DW. As dimensões mantêm a </w:t>
      </w:r>
      <w:r>
        <w:rPr>
          <w:b/>
        </w:rPr>
        <w:t xml:space="preserve">mesma chave</w:t>
      </w:r>
      <w:r>
        <w:rPr/>
        <w:t xml:space="preserve"> do DW, e isso é verificado por teste.</w:t>
      </w:r>
    </w:p>
    <w:tbl>
      <w:tblPr>
        <w:tblStyle w:val="Tabelacomgrade"/>
        <w:tblW w:w="10546" w:type="dxa"/>
        <w:tblLook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w="1757" w:type="dxa"/>
            <w:shd w:val="clear" w:color="auto" w:fill="DCE6F1"/>
            <w:tblHeader/>
          </w:tcPr>
          <w:p>
            <w:pPr>
              <w:pStyle w:val="Normal"/>
            </w:pPr>
            <w:r>
              <w:rPr>
                <w:b/>
              </w:rPr>
              <w:t xml:space="preserve">#</w:t>
            </w:r>
          </w:p>
        </w:tc>
        <w:tc>
          <w:tcPr>
            <w:tcW w:w="1757" w:type="dxa"/>
            <w:shd w:val="clear" w:color="auto" w:fill="DCE6F1"/>
            <w:tblHeader/>
          </w:tcPr>
          <w:p>
            <w:pPr>
              <w:pStyle w:val="Normal"/>
            </w:pPr>
            <w:r>
              <w:rPr>
                <w:b/>
              </w:rPr>
              <w:t xml:space="preserve">DataMart</w:t>
            </w:r>
          </w:p>
        </w:tc>
        <w:tc>
          <w:tcPr>
            <w:tcW w:w="1757" w:type="dxa"/>
            <w:shd w:val="clear" w:color="auto" w:fill="DCE6F1"/>
            <w:tblHeader/>
          </w:tcPr>
          <w:p>
            <w:pPr>
              <w:pStyle w:val="Normal"/>
            </w:pPr>
            <w:r>
              <w:rPr>
                <w:b/>
              </w:rPr>
              <w:t xml:space="preserve">Assunto</w:t>
            </w:r>
          </w:p>
        </w:tc>
        <w:tc>
          <w:tcPr>
            <w:tcW w:w="1757" w:type="dxa"/>
            <w:shd w:val="clear" w:color="auto" w:fill="DCE6F1"/>
            <w:tblHeader/>
          </w:tcPr>
          <w:p>
            <w:pPr>
              <w:pStyle w:val="Normal"/>
            </w:pPr>
            <w:r>
              <w:rPr>
                <w:b/>
              </w:rPr>
              <w:t xml:space="preserve">Fato (grão)</w:t>
            </w:r>
          </w:p>
        </w:tc>
        <w:tc>
          <w:tcPr>
            <w:tcW w:w="1757" w:type="dxa"/>
            <w:shd w:val="clear" w:color="auto" w:fill="DCE6F1"/>
            <w:tblHeader/>
          </w:tcPr>
          <w:p>
            <w:pPr>
              <w:pStyle w:val="Normal"/>
            </w:pPr>
            <w:r>
              <w:rPr>
                <w:b/>
              </w:rPr>
              <w:t xml:space="preserve">Dimensões</w:t>
            </w:r>
          </w:p>
        </w:tc>
        <w:tc>
          <w:tcPr>
            <w:tcW w:w="1757" w:type="dxa"/>
            <w:shd w:val="clear" w:color="auto" w:fill="DCE6F1"/>
            <w:tblHeader/>
          </w:tcPr>
          <w:p>
            <w:pPr>
              <w:pStyle w:val="Normal"/>
            </w:pPr>
            <w:r>
              <w:rPr>
                <w:b/>
              </w:rPr>
              <w:t xml:space="preserve">Linhas</w:t>
            </w:r>
          </w:p>
        </w:tc>
      </w:tr>
      <w:tr>
        <w:tc>
          <w:tcPr>
            <w:tcW w:w="1757" w:type="dxa"/>
          </w:tcPr>
          <w:p>
            <w:pPr>
              <w:pStyle w:val="Normal"/>
            </w:pPr>
            <w:r>
              <w:rPr/>
              <w:t xml:space="preserve">1</w:t>
            </w:r>
          </w:p>
        </w:tc>
        <w:tc>
          <w:tcPr>
            <w:tcW w:w="1757" w:type="dxa"/>
          </w:tcPr>
          <w:p>
            <w:pPr>
              <w:pStyle w:val="Normal"/>
            </w:pPr>
            <w:r>
              <w:rPr>
                <w:rFonts w:ascii="Consolas" w:hAnsi="Consolas"/>
              </w:rPr>
              <w:t xml:space="preserve">dm_vendas</w:t>
            </w:r>
          </w:p>
        </w:tc>
        <w:tc>
          <w:tcPr>
            <w:tcW w:w="1757" w:type="dxa"/>
          </w:tcPr>
          <w:p>
            <w:pPr>
              <w:pStyle w:val="Normal"/>
            </w:pPr>
            <w:r>
              <w:rPr/>
              <w:t xml:space="preserve">desempenho comercial</w:t>
            </w:r>
          </w:p>
        </w:tc>
        <w:tc>
          <w:tcPr>
            <w:tcW w:w="1757" w:type="dxa"/>
          </w:tcPr>
          <w:p>
            <w:pPr>
              <w:pStyle w:val="Normal"/>
            </w:pPr>
            <w:r>
              <w:rPr>
                <w:rFonts w:ascii="Consolas" w:hAnsi="Consolas"/>
              </w:rPr>
              <w:t xml:space="preserve">fato_vendas</w:t>
            </w:r>
            <w:r>
              <w:rPr/>
              <w:t xml:space="preserve"> (item)</w:t>
            </w:r>
          </w:p>
        </w:tc>
        <w:tc>
          <w:tcPr>
            <w:tcW w:w="1757" w:type="dxa"/>
          </w:tcPr>
          <w:p>
            <w:pPr>
              <w:pStyle w:val="Normal"/>
            </w:pPr>
            <w:r>
              <w:rPr/>
              <w:t xml:space="preserve">tempo (papel duplo), produto, cliente, localidade, vendedor</w:t>
            </w:r>
          </w:p>
        </w:tc>
        <w:tc>
          <w:tcPr>
            <w:tcW w:w="1757" w:type="dxa"/>
          </w:tcPr>
          <w:p>
            <w:pPr>
              <w:pStyle w:val="Normal"/>
            </w:pPr>
            <w:r>
              <w:rPr/>
              <w:t xml:space="preserve">11.651</w:t>
            </w:r>
          </w:p>
        </w:tc>
      </w:tr>
      <w:tr>
        <w:tc>
          <w:tcPr>
            <w:tcW w:w="1757" w:type="dxa"/>
          </w:tcPr>
          <w:p>
            <w:pPr>
              <w:pStyle w:val="Normal"/>
            </w:pPr>
            <w:r>
              <w:rPr/>
              <w:t xml:space="preserve">2</w:t>
            </w:r>
          </w:p>
        </w:tc>
        <w:tc>
          <w:tcPr>
            <w:tcW w:w="1757" w:type="dxa"/>
          </w:tcPr>
          <w:p>
            <w:pPr>
              <w:pStyle w:val="Normal"/>
            </w:pPr>
            <w:r>
              <w:rPr>
                <w:rFonts w:ascii="Consolas" w:hAnsi="Consolas"/>
              </w:rPr>
              <w:t xml:space="preserve">dm_suprimentos</w:t>
            </w:r>
          </w:p>
        </w:tc>
        <w:tc>
          <w:tcPr>
            <w:tcW w:w="1757" w:type="dxa"/>
          </w:tcPr>
          <w:p>
            <w:pPr>
              <w:pStyle w:val="Normal"/>
            </w:pPr>
            <w:r>
              <w:rPr/>
              <w:t xml:space="preserve">compras e abastecimento</w:t>
            </w:r>
          </w:p>
        </w:tc>
        <w:tc>
          <w:tcPr>
            <w:tcW w:w="1757" w:type="dxa"/>
          </w:tcPr>
          <w:p>
            <w:pPr>
              <w:pStyle w:val="Normal"/>
            </w:pPr>
            <w:r>
              <w:rPr>
                <w:rFonts w:ascii="Consolas" w:hAnsi="Consolas"/>
              </w:rPr>
              <w:t xml:space="preserve">fato_compras</w:t>
            </w:r>
            <w:r>
              <w:rPr/>
              <w:t xml:space="preserve"> (item)</w:t>
            </w:r>
          </w:p>
        </w:tc>
        <w:tc>
          <w:tcPr>
            <w:tcW w:w="1757" w:type="dxa"/>
          </w:tcPr>
          <w:p>
            <w:pPr>
              <w:pStyle w:val="Normal"/>
            </w:pPr>
            <w:r>
              <w:rPr/>
              <w:t xml:space="preserve">tempo (papel duplo), produto, fornecedor</w:t>
            </w:r>
          </w:p>
        </w:tc>
        <w:tc>
          <w:tcPr>
            <w:tcW w:w="1757" w:type="dxa"/>
          </w:tcPr>
          <w:p>
            <w:pPr>
              <w:pStyle w:val="Normal"/>
            </w:pPr>
            <w:r>
              <w:rPr/>
              <w:t xml:space="preserve">302</w:t>
            </w:r>
          </w:p>
        </w:tc>
      </w:tr>
      <w:tr>
        <w:tc>
          <w:tcPr>
            <w:tcW w:w="1757" w:type="dxa"/>
          </w:tcPr>
          <w:p>
            <w:pPr>
              <w:pStyle w:val="Normal"/>
            </w:pPr>
            <w:r>
              <w:rPr/>
              <w:t xml:space="preserve">3</w:t>
            </w:r>
          </w:p>
        </w:tc>
        <w:tc>
          <w:tcPr>
            <w:tcW w:w="1757" w:type="dxa"/>
          </w:tcPr>
          <w:p>
            <w:pPr>
              <w:pStyle w:val="Normal"/>
            </w:pPr>
            <w:r>
              <w:rPr>
                <w:rFonts w:ascii="Consolas" w:hAnsi="Consolas"/>
              </w:rPr>
              <w:t xml:space="preserve">dm_logistica</w:t>
            </w:r>
          </w:p>
        </w:tc>
        <w:tc>
          <w:tcPr>
            <w:tcW w:w="1757" w:type="dxa"/>
          </w:tcPr>
          <w:p>
            <w:pPr>
              <w:pStyle w:val="Normal"/>
            </w:pPr>
            <w:r>
              <w:rPr/>
              <w:t xml:space="preserve">entregas e frete</w:t>
            </w:r>
          </w:p>
        </w:tc>
        <w:tc>
          <w:tcPr>
            <w:tcW w:w="1757" w:type="dxa"/>
          </w:tcPr>
          <w:p>
            <w:pPr>
              <w:pStyle w:val="Normal"/>
            </w:pPr>
            <w:r>
              <w:rPr>
                <w:rFonts w:ascii="Consolas" w:hAnsi="Consolas"/>
              </w:rPr>
              <w:t xml:space="preserve">fato_entregas</w:t>
            </w:r>
            <w:r>
              <w:rPr/>
              <w:t xml:space="preserve"> (pedido)</w:t>
            </w:r>
          </w:p>
        </w:tc>
        <w:tc>
          <w:tcPr>
            <w:tcW w:w="1757" w:type="dxa"/>
          </w:tcPr>
          <w:p>
            <w:pPr>
              <w:pStyle w:val="Normal"/>
            </w:pPr>
            <w:r>
              <w:rPr/>
              <w:t xml:space="preserve">tempo (papel duplo), cliente, localidade, transportadora</w:t>
            </w:r>
          </w:p>
        </w:tc>
        <w:tc>
          <w:tcPr>
            <w:tcW w:w="1757" w:type="dxa"/>
          </w:tcPr>
          <w:p>
            <w:pPr>
              <w:pStyle w:val="Normal"/>
            </w:pPr>
            <w:r>
              <w:rPr/>
              <w:t xml:space="preserve">830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  <w:spacing w:after="120"/>
        <w:jc w:val="both"/>
      </w:pPr>
      <w:r>
        <w:rPr>
          <w:b/>
        </w:rPr>
        <w:t xml:space="preserve">1 — Vendas.</w:t>
      </w:r>
      <w:r>
        <w:rPr/>
        <w:t xml:space="preserve"> Apoia decisões de preço, mix de produtos, desconto e alocação de vendedor. Dimensões: tempo (papel duplo), produto, cliente, localidade e vendedor.</w:t>
      </w:r>
    </w:p>
    <w:p>
      <w:pPr>
        <w:pStyle w:val="Normal"/>
        <w:spacing w:after="120"/>
        <w:jc w:val="both"/>
      </w:pPr>
      <w:r>
        <w:rPr>
          <w:b/>
        </w:rPr>
        <w:t xml:space="preserve">2 — Suprimentos.</w:t>
      </w:r>
      <w:r>
        <w:rPr/>
        <w:t xml:space="preserve"> Apoia a decisão de compra: de quem comprar, a que custo e com que prazo. O Northwind não tem compras, então este DataMart é da Mercearia — </w:t>
      </w:r>
      <w:r>
        <w:rPr>
          <w:b/>
        </w:rPr>
        <w:t xml:space="preserve">mas compartilha a mesma `dim_produto`</w:t>
      </w:r>
      <w:r>
        <w:rPr/>
        <w:t xml:space="preserve"> do DataMart de Vendas, o que permite cruzar </w:t>
      </w:r>
      <w:r>
        <w:rPr>
          <w:b/>
        </w:rPr>
        <w:t xml:space="preserve">custo de compra × preço de venda</w:t>
      </w:r>
      <w:r>
        <w:rPr/>
        <w:t xml:space="preserve">.</w:t>
      </w:r>
    </w:p>
    <w:p>
      <w:pPr>
        <w:pStyle w:val="Normal"/>
        <w:spacing w:after="120"/>
        <w:jc w:val="both"/>
      </w:pPr>
      <w:r>
        <w:rPr>
          <w:b/>
        </w:rPr>
        <w:t xml:space="preserve">3 — Logística.</w:t>
      </w:r>
      <w:r>
        <w:rPr/>
        <w:t xml:space="preserve"> Existe pela razão técnica do item 4.1: o frete é do pedido. Apoia a escolha de transportadora (prazo e frete) e mostra o efeito de feriados no prazo.</w:t>
      </w:r>
    </w:p>
    <w:p>
      <w:pPr>
        <w:pStyle w:val="Normal"/>
        <w:spacing w:after="120"/>
        <w:jc w:val="both"/>
      </w:pPr>
      <w:r>
        <w:rPr>
          <w:b/>
        </w:rPr>
        <w:t xml:space="preserve">Recorte:</w:t>
      </w:r>
      <w:r>
        <w:rPr/>
        <w:t xml:space="preserve"> cada DataMart carrega apenas as dimensões e os membros que os seus fatos usam. No DataMart de Logística, CPF, faixa de renda e data de nascimento foram </w:t>
      </w:r>
      <w:r>
        <w:rPr>
          <w:b/>
        </w:rPr>
        <w:t xml:space="preserve">omitidos</w:t>
      </w:r>
      <w:r>
        <w:rPr/>
        <w:t xml:space="preserve"> (minimização de dados). Todas as versões históricas usadas pelos fatos são mantidas, senão as vendas antigas ficariam órfãs.</w:t>
      </w:r>
    </w:p>
    <w:p>
      <w:pPr>
        <w:pStyle w:val="Normal"/>
      </w:pPr>
      <w:r>
        <w:t xml:space="preserve"/>
      </w:r>
    </w:p>
    <w:p>
      <w:pPr>
        <w:pStyle w:val="Ttulo1"/>
      </w:pPr>
      <w:r>
        <w:rPr/>
        <w:t xml:space="preserve">6. Processo de ETL e testes</w:t>
      </w:r>
    </w:p>
    <w:tbl>
      <w:tblPr>
        <w:tblStyle w:val="Tabelacomgrade"/>
        <w:tblW w:w="10546" w:type="dxa"/>
        <w:tblLook w:val="04A0"/>
      </w:tblPr>
      <w:tblGrid>
        <w:gridCol w:w="5273"/>
        <w:gridCol w:w="5273"/>
      </w:tblGrid>
      <w:tr>
        <w:tc>
          <w:tcPr>
            <w:tcW w:w="5273" w:type="dxa"/>
            <w:shd w:val="clear" w:color="auto" w:fill="DCE6F1"/>
            <w:tblHeader/>
          </w:tcPr>
          <w:p>
            <w:pPr>
              <w:pStyle w:val="Normal"/>
            </w:pPr>
            <w:r>
              <w:rPr>
                <w:b/>
              </w:rPr>
              <w:t xml:space="preserve">Etapa</w:t>
            </w:r>
          </w:p>
        </w:tc>
        <w:tc>
          <w:tcPr>
            <w:tcW w:w="5273" w:type="dxa"/>
            <w:shd w:val="clear" w:color="auto" w:fill="DCE6F1"/>
            <w:tblHeader/>
          </w:tcPr>
          <w:p>
            <w:pPr>
              <w:pStyle w:val="Normal"/>
            </w:pPr>
            <w:r>
              <w:rPr>
                <w:b/>
              </w:rPr>
              <w:t xml:space="preserve">O que faz</w:t>
            </w:r>
          </w:p>
        </w:tc>
      </w:tr>
      <w:tr>
        <w:tc>
          <w:tcPr>
            <w:tcW w:w="5273" w:type="dxa"/>
          </w:tcPr>
          <w:p>
            <w:pPr>
              <w:pStyle w:val="Normal"/>
            </w:pPr>
            <w:r>
              <w:rPr>
                <w:b/>
              </w:rPr>
              <w:t xml:space="preserve">Extract</w:t>
            </w:r>
          </w:p>
        </w:tc>
        <w:tc>
          <w:tcPr>
            <w:tcW w:w="5273" w:type="dxa"/>
          </w:tcPr>
          <w:p>
            <w:pPr>
              <w:pStyle w:val="Normal"/>
            </w:pPr>
            <w:r>
              <w:rPr/>
              <w:t xml:space="preserve">carrega Northwind e Mercearia no schema </w:t>
            </w:r>
            <w:r>
              <w:rPr>
                <w:rFonts w:ascii="Consolas" w:hAnsi="Consolas"/>
              </w:rPr>
              <w:t xml:space="preserve">public</w:t>
            </w:r>
            <w:r>
              <w:rPr/>
              <w:t xml:space="preserve"> e cria a massa sintética declarada</w:t>
            </w:r>
          </w:p>
        </w:tc>
      </w:tr>
      <w:tr>
        <w:tc>
          <w:tcPr>
            <w:tcW w:w="5273" w:type="dxa"/>
          </w:tcPr>
          <w:p>
            <w:pPr>
              <w:pStyle w:val="Normal"/>
            </w:pPr>
            <w:r>
              <w:rPr>
                <w:b/>
              </w:rPr>
              <w:t xml:space="preserve">Dados externos</w:t>
            </w:r>
          </w:p>
        </w:tc>
        <w:tc>
          <w:tcPr>
            <w:tcW w:w="5273" w:type="dxa"/>
          </w:tcPr>
          <w:p>
            <w:pPr>
              <w:pStyle w:val="Normal"/>
            </w:pPr>
            <w:r>
              <w:rPr/>
              <w:t xml:space="preserve">carga do IBGE, da PTAX, do calendário de câmbio e dos feriados</w:t>
            </w:r>
          </w:p>
        </w:tc>
      </w:tr>
      <w:tr>
        <w:tc>
          <w:tcPr>
            <w:tcW w:w="5273" w:type="dxa"/>
          </w:tcPr>
          <w:p>
            <w:pPr>
              <w:pStyle w:val="Normal"/>
            </w:pPr>
            <w:r>
              <w:rPr>
                <w:b/>
              </w:rPr>
              <w:t xml:space="preserve">Transform + Load</w:t>
            </w:r>
          </w:p>
        </w:tc>
        <w:tc>
          <w:tcPr>
            <w:tcW w:w="5273" w:type="dxa"/>
          </w:tcPr>
          <w:p>
            <w:pPr>
              <w:pStyle w:val="Normal"/>
            </w:pPr>
            <w:r>
              <w:rPr/>
              <w:t xml:space="preserve">dimensão tempo, as 7 dimensões (com mascaramento LGPD) e os 3 fatos (com conversão de moeda)</w:t>
            </w:r>
          </w:p>
        </w:tc>
      </w:tr>
      <w:tr>
        <w:tc>
          <w:tcPr>
            <w:tcW w:w="5273" w:type="dxa"/>
          </w:tcPr>
          <w:p>
            <w:pPr>
              <w:pStyle w:val="Normal"/>
            </w:pPr>
            <w:r>
              <w:rPr>
                <w:b/>
              </w:rPr>
              <w:t xml:space="preserve">DataMarts</w:t>
            </w:r>
          </w:p>
        </w:tc>
        <w:tc>
          <w:tcPr>
            <w:tcW w:w="5273" w:type="dxa"/>
          </w:tcPr>
          <w:p>
            <w:pPr>
              <w:pStyle w:val="Normal"/>
            </w:pPr>
            <w:r>
              <w:rPr/>
              <w:t xml:space="preserve">cria e carrega os 3 DataMarts e roda os testes de integridade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  <w:spacing w:after="120"/>
        <w:jc w:val="both"/>
      </w:pPr>
      <w:r>
        <w:rPr>
          <w:b/>
        </w:rPr>
        <w:t xml:space="preserve">Transformações principais:</w:t>
      </w:r>
      <w:r>
        <w:rPr/>
        <w:t xml:space="preserve"> conversão USD→BRL com a taxa gravada; padronização de país e de nome de cidade; mascaramento de CPF/CNPJ; generalização de renda em faixas; telefones </w:t>
      </w:r>
      <w:r>
        <w:rPr>
          <w:b/>
        </w:rPr>
        <w:t xml:space="preserve">não</w:t>
      </w:r>
      <w:r>
        <w:rPr/>
        <w:t xml:space="preserve"> carregados; tratamento de nulos (21 pedidos sem expedição, por exemplo) sem inventar valor.</w:t>
      </w:r>
    </w:p>
    <w:p>
      <w:pPr>
        <w:pStyle w:val="Normal"/>
        <w:spacing w:after="120"/>
        <w:jc w:val="both"/>
      </w:pPr>
      <w:r>
        <w:rPr>
          <w:b/>
        </w:rPr>
        <w:t xml:space="preserve">Resultados dos testes:</w:t>
      </w:r>
    </w:p>
    <w:tbl>
      <w:tblPr>
        <w:tblStyle w:val="Tabelacomgrade"/>
        <w:tblW w:w="10546" w:type="dxa"/>
        <w:tblLook w:val="04A0"/>
      </w:tblPr>
      <w:tblGrid>
        <w:gridCol w:w="5273"/>
        <w:gridCol w:w="5273"/>
      </w:tblGrid>
      <w:tr>
        <w:tc>
          <w:tcPr>
            <w:tcW w:w="5273" w:type="dxa"/>
            <w:shd w:val="clear" w:color="auto" w:fill="DCE6F1"/>
            <w:tblHeader/>
          </w:tcPr>
          <w:p>
            <w:pPr>
              <w:pStyle w:val="Normal"/>
            </w:pPr>
            <w:r>
              <w:rPr>
                <w:b/>
              </w:rPr>
              <w:t xml:space="preserve">Teste</w:t>
            </w:r>
          </w:p>
        </w:tc>
        <w:tc>
          <w:tcPr>
            <w:tcW w:w="5273" w:type="dxa"/>
            <w:shd w:val="clear" w:color="auto" w:fill="DCE6F1"/>
            <w:tblHeader/>
          </w:tcPr>
          <w:p>
            <w:pPr>
              <w:pStyle w:val="Normal"/>
            </w:pPr>
            <w:r>
              <w:rPr>
                <w:b/>
              </w:rPr>
              <w:t xml:space="preserve">Resultado</w:t>
            </w:r>
          </w:p>
        </w:tc>
      </w:tr>
      <w:tr>
        <w:tc>
          <w:tcPr>
            <w:tcW w:w="5273" w:type="dxa"/>
          </w:tcPr>
          <w:p>
            <w:pPr>
              <w:pStyle w:val="Normal"/>
            </w:pPr>
            <w:r>
              <w:rPr/>
              <w:t xml:space="preserve">Contagens origem × DW (13 comparações)</w:t>
            </w:r>
          </w:p>
        </w:tc>
        <w:tc>
          <w:tcPr>
            <w:tcW w:w="5273" w:type="dxa"/>
          </w:tcPr>
          <w:p>
            <w:pPr>
              <w:pStyle w:val="Normal"/>
            </w:pPr>
            <w:r>
              <w:rPr>
                <w:b/>
              </w:rPr>
              <w:t xml:space="preserve">todas iguais</w:t>
            </w:r>
          </w:p>
        </w:tc>
      </w:tr>
      <w:tr>
        <w:tc>
          <w:tcPr>
            <w:tcW w:w="5273" w:type="dxa"/>
          </w:tcPr>
          <w:p>
            <w:pPr>
              <w:pStyle w:val="Normal"/>
            </w:pPr>
            <w:r>
              <w:rPr/>
              <w:t xml:space="preserve">Identidade contábil das medidas (11.651 linhas)</w:t>
            </w:r>
          </w:p>
        </w:tc>
        <w:tc>
          <w:tcPr>
            <w:tcW w:w="5273" w:type="dxa"/>
          </w:tcPr>
          <w:p>
            <w:pPr>
              <w:pStyle w:val="Normal"/>
            </w:pPr>
            <w:r>
              <w:rPr>
                <w:b/>
              </w:rPr>
              <w:t xml:space="preserve">0 erros</w:t>
            </w:r>
          </w:p>
        </w:tc>
      </w:tr>
      <w:tr>
        <w:tc>
          <w:tcPr>
            <w:tcW w:w="5273" w:type="dxa"/>
          </w:tcPr>
          <w:p>
            <w:pPr>
              <w:pStyle w:val="Normal"/>
            </w:pPr>
            <w:r>
              <w:rPr/>
              <w:t xml:space="preserve">Registros órfãos</w:t>
            </w:r>
          </w:p>
        </w:tc>
        <w:tc>
          <w:tcPr>
            <w:tcW w:w="5273" w:type="dxa"/>
          </w:tcPr>
          <w:p>
            <w:pPr>
              <w:pStyle w:val="Normal"/>
            </w:pPr>
            <w:r>
              <w:rPr>
                <w:b/>
              </w:rPr>
              <w:t xml:space="preserve">0</w:t>
            </w:r>
          </w:p>
        </w:tc>
      </w:tr>
      <w:tr>
        <w:tc>
          <w:tcPr>
            <w:tcW w:w="5273" w:type="dxa"/>
          </w:tcPr>
          <w:p>
            <w:pPr>
              <w:pStyle w:val="Normal"/>
            </w:pPr>
            <w:r>
              <w:rPr/>
              <w:t xml:space="preserve">Versão vigente única por chave (SCD2)</w:t>
            </w:r>
          </w:p>
        </w:tc>
        <w:tc>
          <w:tcPr>
            <w:tcW w:w="5273" w:type="dxa"/>
          </w:tcPr>
          <w:p>
            <w:pPr>
              <w:pStyle w:val="Normal"/>
            </w:pPr>
            <w:r>
              <w:rPr>
                <w:b/>
              </w:rPr>
              <w:t xml:space="preserve">100%</w:t>
            </w:r>
          </w:p>
        </w:tc>
      </w:tr>
      <w:tr>
        <w:tc>
          <w:tcPr>
            <w:tcW w:w="5273" w:type="dxa"/>
          </w:tcPr>
          <w:p>
            <w:pPr>
              <w:pStyle w:val="Normal"/>
            </w:pPr>
            <w:r>
              <w:rPr>
                <w:b/>
              </w:rPr>
              <w:t xml:space="preserve">Conformidade entre DataMarts</w:t>
            </w:r>
            <w:r>
              <w:rPr/>
              <w:t xml:space="preserve"> (mesmo membro = mesmos valores)</w:t>
            </w:r>
          </w:p>
        </w:tc>
        <w:tc>
          <w:tcPr>
            <w:tcW w:w="5273" w:type="dxa"/>
          </w:tcPr>
          <w:p>
            <w:pPr>
              <w:pStyle w:val="Normal"/>
            </w:pPr>
            <w:r>
              <w:rPr>
                <w:b/>
              </w:rPr>
              <w:t xml:space="preserve">0 divergências</w:t>
            </w:r>
          </w:p>
        </w:tc>
      </w:tr>
      <w:tr>
        <w:tc>
          <w:tcPr>
            <w:tcW w:w="5273" w:type="dxa"/>
          </w:tcPr>
          <w:p>
            <w:pPr>
              <w:pStyle w:val="Normal"/>
            </w:pPr>
            <w:r>
              <w:rPr/>
              <w:t xml:space="preserve">LGPD: colunas sensíveis no DataMart de Logística</w:t>
            </w:r>
          </w:p>
        </w:tc>
        <w:tc>
          <w:tcPr>
            <w:tcW w:w="5273" w:type="dxa"/>
          </w:tcPr>
          <w:p>
            <w:pPr>
              <w:pStyle w:val="Normal"/>
            </w:pPr>
            <w:r>
              <w:rPr>
                <w:b/>
              </w:rPr>
              <w:t xml:space="preserve">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  <w:spacing w:after="120"/>
        <w:jc w:val="both"/>
      </w:pPr>
      <w:r>
        <w:rPr>
          <w:b/>
        </w:rPr>
        <w:t xml:space="preserve">Defeitos encontrados e corrigidos no processo:</w:t>
      </w:r>
      <w:r>
        <w:rPr/>
        <w:t xml:space="preserve"> 7 no total. Dois deles merecem registro, porque </w:t>
      </w:r>
      <w:r>
        <w:rPr>
          <w:b/>
        </w:rPr>
        <w:t xml:space="preserve">passaram por todos os testes de contagem</w:t>
      </w:r>
      <w:r>
        <w:rPr/>
        <w:t xml:space="preserve"> e só apareceram quando o dado foi </w:t>
      </w:r>
      <w:r>
        <w:rPr>
          <w:b/>
        </w:rPr>
        <w:t xml:space="preserve">usado</w:t>
      </w:r>
      <w:r>
        <w:rPr/>
        <w:t xml:space="preserve"> na análise: a mesma cidade entrando duas vezes (</w:t>
      </w:r>
      <w:r>
        <w:rPr>
          <w:rFonts w:ascii="Consolas" w:hAnsi="Consolas"/>
        </w:rPr>
        <w:t xml:space="preserve">Sao Paulo</w:t>
      </w:r>
      <w:r>
        <w:rPr/>
        <w:t xml:space="preserve"> e </w:t>
      </w:r>
      <w:r>
        <w:rPr>
          <w:rFonts w:ascii="Consolas" w:hAnsi="Consolas"/>
        </w:rPr>
        <w:t xml:space="preserve">São Paulo</w:t>
      </w:r>
      <w:r>
        <w:rPr/>
        <w:t xml:space="preserve">) e a UF </w:t>
      </w:r>
      <w:r>
        <w:rPr>
          <w:rFonts w:ascii="Consolas" w:hAnsi="Consolas"/>
        </w:rPr>
        <w:t xml:space="preserve">SP</w:t>
      </w:r>
      <w:r>
        <w:rPr/>
        <w:t xml:space="preserve"> aparecendo com dois rótulos diferentes. A lição: </w:t>
      </w:r>
      <w:r>
        <w:rPr>
          <w:b/>
        </w:rPr>
        <w:t xml:space="preserve">teste de contagem não substitui teste de uso</w:t>
      </w:r>
      <w:r>
        <w:rPr/>
        <w:t xml:space="preserve">.</w:t>
      </w:r>
    </w:p>
    <w:p>
      <w:pPr>
        <w:pStyle w:val="Normal"/>
      </w:pPr>
      <w:r>
        <w:t xml:space="preserve"/>
      </w:r>
    </w:p>
    <w:p>
      <w:pPr>
        <w:pStyle w:val="Ttulo1"/>
      </w:pPr>
      <w:r>
        <w:rPr/>
        <w:t xml:space="preserve">7. Análise de dados</w:t>
      </w:r>
    </w:p>
    <w:p>
      <w:pPr>
        <w:pStyle w:val="Normal"/>
        <w:spacing w:after="120"/>
        <w:jc w:val="both"/>
      </w:pPr>
      <w:r>
        <w:rPr>
          <w:b/>
        </w:rPr>
        <w:t xml:space="preserve">Ferramenta:</w:t>
      </w:r>
      <w:r>
        <w:rPr/>
        <w:t xml:space="preserve"> Python 3.13 (pandas, matplotlib, scikit-learn), conectado direto ao banco e aplicado </w:t>
      </w:r>
      <w:r>
        <w:rPr>
          <w:b/>
        </w:rPr>
        <w:t xml:space="preserve">ao DW e aos DataMarts</w:t>
      </w:r>
      <w:r>
        <w:rPr/>
        <w:t xml:space="preserve">. Script: </w:t>
      </w:r>
      <w:r>
        <w:rPr>
          <w:rFonts w:ascii="Consolas" w:hAnsi="Consolas"/>
        </w:rPr>
        <w:t xml:space="preserve">analise/analise_dw_datamarts.py</w:t>
      </w:r>
      <w:r>
        <w:rPr/>
        <w:t xml:space="preserve">.</w:t>
      </w:r>
    </w:p>
    <w:p>
      <w:pPr>
        <w:pStyle w:val="Normal"/>
        <w:spacing w:after="120"/>
        <w:jc w:val="both"/>
      </w:pPr>
      <w:r>
        <w:rPr/>
        <w:t xml:space="preserve">Faturamento total: </w:t>
      </w:r>
      <w:r>
        <w:rPr>
          <w:b/>
        </w:rPr>
        <w:t xml:space="preserve">R$ 1.991.124,46</w:t>
      </w:r>
      <w:r>
        <w:rPr/>
        <w:t xml:space="preserve"> · prazo médio de entrega: </w:t>
      </w:r>
      <w:r>
        <w:rPr>
          <w:b/>
        </w:rPr>
        <w:t xml:space="preserve">8,5 dias</w:t>
      </w:r>
      <w:r>
        <w:rPr/>
        <w:t xml:space="preserve"> · frete médio: </w:t>
      </w:r>
      <w:r>
        <w:rPr>
          <w:b/>
        </w:rPr>
        <w:t xml:space="preserve">R$ 85,20</w:t>
      </w:r>
      <w:r>
        <w:rPr/>
        <w:t xml:space="preserve">.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6032500" cy="2742045"/>
            <wp:docPr id="101" name="Figura 1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01_evolucao_mensal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6032500" cy="274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after="240"/>
        <w:jc w:val="center"/>
      </w:pPr>
      <w:r>
        <w:rPr>
          <w:i/>
        </w:rPr>
        <w:t xml:space="preserve">Figura 1 — Evolução mensal do faturamento (BRL) por origem (Northwind 1996–1998 e Mercearia 2024–2026).</w:t>
      </w:r>
    </w:p>
    <w:p>
      <w:pPr>
        <w:pStyle w:val="Normal"/>
        <w:spacing w:after="120"/>
        <w:jc w:val="both"/>
      </w:pPr>
      <w:r>
        <w:rPr>
          <w:b/>
        </w:rPr>
        <w:t xml:space="preserve">Resultados principais:</w:t>
      </w:r>
    </w:p>
    <w:p>
      <w:pPr>
        <w:pStyle w:val="PargrafodaLista"/>
        <w:spacing w:after="80"/>
        <w:jc w:val="both"/>
      </w:pPr>
      <w:r>
        <w:rPr>
          <w:b/>
        </w:rPr>
        <w:t xml:space="preserve">Sazonalidade:</w:t>
      </w:r>
      <w:r>
        <w:rPr/>
        <w:t xml:space="preserve"> fim de semana vende </w:t>
      </w:r>
      <w:r>
        <w:rPr>
          <w:b/>
        </w:rPr>
        <w:t xml:space="preserve">~1,5× mais</w:t>
      </w:r>
      <w:r>
        <w:rPr/>
        <w:t xml:space="preserve"> que dia útil. E **feriado legal vende 21%</w:t>
      </w:r>
    </w:p>
    <w:p>
      <w:pPr>
        <w:pStyle w:val="Normal"/>
        <w:spacing w:after="120"/>
        <w:jc w:val="both"/>
      </w:pPr>
      <w:r>
        <w:rPr/>
        <w:t xml:space="preserve">MENOS</w:t>
      </w:r>
      <w:r>
        <w:rPr>
          <w:b/>
        </w:rPr>
        <w:t xml:space="preserve"> que um dia comum (R$ 670,76 contra R$ 846,29), enquanto Carnaval e Corpus Christi (ponto facultativo) vendem </w:t>
      </w:r>
      <w:r>
        <w:rPr/>
        <w:t xml:space="preserve">mais</w:t>
      </w:r>
      <w:r>
        <w:rPr>
          <w:b/>
        </w:rPr>
        <w:t xml:space="preserve"> (R$ 947,02) — o que </w:t>
      </w:r>
      <w:r>
        <w:rPr/>
        <w:t xml:space="preserve">justifica** a flag separada na dimensão tempo.</w:t>
      </w:r>
    </w:p>
    <w:p>
      <w:pPr>
        <w:pStyle w:val="PargrafodaLista"/>
        <w:spacing w:after="80"/>
        <w:jc w:val="both"/>
      </w:pPr>
      <w:r>
        <w:rPr>
          <w:b/>
        </w:rPr>
        <w:t xml:space="preserve">Dezembro</w:t>
      </w:r>
      <w:r>
        <w:rPr/>
        <w:t xml:space="preserve"> é pico nas duas bases, mesmo sendo fontes de épocas diferentes.</w:t>
      </w:r>
    </w:p>
    <w:p>
      <w:pPr>
        <w:pStyle w:val="PargrafodaLista"/>
        <w:spacing w:after="80"/>
        <w:jc w:val="both"/>
      </w:pPr>
      <w:r>
        <w:rPr>
          <w:b/>
        </w:rPr>
        <w:t xml:space="preserve">Mercearia fatura por volume; Northwind por valor unitário</w:t>
      </w:r>
      <w:r>
        <w:rPr/>
        <w:t xml:space="preserve"> — o topo do ranking é dominado por</w:t>
      </w:r>
    </w:p>
    <w:p>
      <w:pPr>
        <w:pStyle w:val="Normal"/>
        <w:spacing w:after="120"/>
        <w:jc w:val="both"/>
      </w:pPr>
      <w:r>
        <w:rPr/>
        <w:t xml:space="preserve">produtos caros do Northwind, enquanto a fralda lidera na Mercearia.</w:t>
      </w:r>
    </w:p>
    <w:p>
      <w:pPr>
        <w:pStyle w:val="PargrafodaLista"/>
        <w:spacing w:after="80"/>
        <w:jc w:val="both"/>
      </w:pPr>
      <w:r>
        <w:rPr>
          <w:b/>
        </w:rPr>
        <w:t xml:space="preserve">Logística:</w:t>
      </w:r>
      <w:r>
        <w:rPr/>
        <w:t xml:space="preserve"> a United Package concentra o maior volume (326 pedidos), tem o </w:t>
      </w:r>
      <w:r>
        <w:rPr>
          <w:b/>
        </w:rPr>
        <w:t xml:space="preserve">pior prazo</w:t>
      </w:r>
    </w:p>
    <w:p>
      <w:pPr>
        <w:pStyle w:val="Normal"/>
        <w:spacing w:after="120"/>
        <w:jc w:val="both"/>
      </w:pPr>
      <w:r>
        <w:rPr/>
        <w:t xml:space="preserve">(9,2 dias) e o </w:t>
      </w:r>
      <w:r>
        <w:rPr>
          <w:b/>
        </w:rPr>
        <w:t xml:space="preserve">maior frete</w:t>
      </w:r>
      <w:r>
        <w:rPr/>
        <w:t xml:space="preserve"> (R$ 94,80) — prioridade de renegociação.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6032500" cy="3351388"/>
            <wp:docPr id="102" name="Figura 1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05_transportadoras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6032500" cy="3351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after="240"/>
        <w:jc w:val="center"/>
      </w:pPr>
      <w:r>
        <w:rPr>
          <w:i/>
        </w:rPr>
        <w:t xml:space="preserve">Figura 2 — Prazo médio de entrega por transportadora (dias).</w:t>
      </w:r>
    </w:p>
    <w:p>
      <w:pPr>
        <w:pStyle w:val="PargrafodaLista"/>
        <w:spacing w:after="80"/>
        <w:jc w:val="both"/>
      </w:pPr>
      <w:r>
        <w:rPr>
          <w:b/>
        </w:rPr>
        <w:t xml:space="preserve">IA — segmentação de clientes (K-Means sobre RFM):</w:t>
      </w:r>
      <w:r>
        <w:rPr/>
        <w:t xml:space="preserve"> 60 clientes em 3 grupos. O grupo intermediário</w:t>
      </w:r>
    </w:p>
    <w:p>
      <w:pPr>
        <w:pStyle w:val="Normal"/>
        <w:spacing w:after="120"/>
        <w:jc w:val="both"/>
      </w:pPr>
      <w:r>
        <w:rPr/>
        <w:t xml:space="preserve">(13 clientes) tem valor próximo ao topo, mas </w:t>
      </w:r>
      <w:r>
        <w:rPr>
          <w:b/>
        </w:rPr>
        <w:t xml:space="preserve">46 dias sem comprar</w:t>
      </w:r>
      <w:r>
        <w:rPr/>
        <w:t xml:space="preserve"> — melhor oportunidade de reativação.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6032500" cy="3686527"/>
            <wp:docPr id="103" name="Figura 1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07_clusters_clientes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6032500" cy="3686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after="240"/>
        <w:jc w:val="center"/>
      </w:pPr>
      <w:r>
        <w:rPr>
          <w:i/>
        </w:rPr>
        <w:t xml:space="preserve">Figura 3 — Segmentação de clientes (K-Means, k=3) sobre recência × valor.</w:t>
      </w:r>
    </w:p>
    <w:p>
      <w:pPr>
        <w:pStyle w:val="PargrafodaLista"/>
        <w:spacing w:after="80"/>
        <w:jc w:val="both"/>
      </w:pPr>
      <w:r>
        <w:rPr>
          <w:b/>
        </w:rPr>
        <w:t xml:space="preserve">IA — projeção de vendas (regressão linear):</w:t>
      </w:r>
      <w:r>
        <w:rPr/>
        <w:t xml:space="preserve"> R² = </w:t>
      </w:r>
      <w:r>
        <w:rPr>
          <w:b/>
        </w:rPr>
        <w:t xml:space="preserve">0,866</w:t>
      </w:r>
      <w:r>
        <w:rPr/>
        <w:t xml:space="preserve">, com **efeito de dezembro de</w:t>
      </w:r>
    </w:p>
    <w:p>
      <w:pPr>
        <w:pStyle w:val="Normal"/>
        <w:spacing w:after="120"/>
        <w:jc w:val="both"/>
      </w:pPr>
      <w:r>
        <w:rPr/>
        <w:t xml:space="preserve">+R$ 21.686,08</w:t>
      </w:r>
      <w:r>
        <w:rPr>
          <w:b/>
        </w:rPr>
        <w:t xml:space="preserve"> (projeção do próximo dezembro: R$ 44.994,89). O bom ajuste vem da </w:t>
      </w:r>
      <w:r>
        <w:rPr/>
        <w:t xml:space="preserve">sazonalidade**, não de crescimento.</w:t>
      </w:r>
    </w:p>
    <w:p>
      <w:pPr>
        <w:pStyle w:val="Normal"/>
        <w:jc w:val="center"/>
      </w:pPr>
      <w:r>
        <w:drawing>
          <wp:inline xmlns:wp="http://schemas.openxmlformats.org/drawingml/2006/wordprocessingDrawing" distT="0" distB="0" distL="0" distR="0">
            <wp:extent cx="6032500" cy="3016250"/>
            <wp:docPr id="104" name="Figura 1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08_previsao.png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603250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after="240"/>
        <w:jc w:val="center"/>
      </w:pPr>
      <w:r>
        <w:rPr>
          <w:i/>
        </w:rPr>
        <w:t xml:space="preserve">Figura 4 — Faturamento mensal e projeção por regressão linear.</w:t>
      </w:r>
    </w:p>
    <w:p>
      <w:pPr>
        <w:pStyle w:val="Normal"/>
        <w:spacing w:after="120"/>
        <w:jc w:val="both"/>
      </w:pPr>
      <w:r>
        <w:rPr>
          <w:b/>
        </w:rPr>
        <w:t xml:space="preserve">Limitações declaradas:</w:t>
      </w:r>
      <w:r>
        <w:rPr/>
        <w:t xml:space="preserve"> a margem por produto saiu uniforme em 35% por ser </w:t>
      </w:r>
      <w:r>
        <w:rPr>
          <w:b/>
        </w:rPr>
        <w:t xml:space="preserve">artefato dos dados sintéticos</w:t>
      </w:r>
      <w:r>
        <w:rPr/>
        <w:t xml:space="preserve"> (o custo foi gerado como 65% do preço) — o método está correto, o número não é interpretável. E o seed sintético faz os clientes comprarem com frequência parecida, então a segmentação separou sobretudo por valor. Com dados reais, ambos os resultados seriam mais ricos.</w:t>
      </w:r>
    </w:p>
    <w:p>
      <w:pPr>
        <w:pStyle w:val="Normal"/>
      </w:pPr>
      <w:r>
        <w:t xml:space="preserve"/>
      </w:r>
    </w:p>
    <w:p>
      <w:pPr>
        <w:pStyle w:val="Ttulo1"/>
      </w:pPr>
      <w:r>
        <w:rPr/>
        <w:t xml:space="preserve">8. LGPD</w:t>
      </w:r>
    </w:p>
    <w:p>
      <w:pPr>
        <w:pStyle w:val="Normal"/>
        <w:spacing w:after="120"/>
        <w:jc w:val="both"/>
      </w:pPr>
      <w:r>
        <w:rPr/>
        <w:t xml:space="preserve">Aplicada de forma preventiva, embora os dados usados sejam públicos ou sintéticos:</w:t>
      </w:r>
    </w:p>
    <w:tbl>
      <w:tblPr>
        <w:tblStyle w:val="Tabelacomgrade"/>
        <w:tblW w:w="10546" w:type="dxa"/>
        <w:tblLook w:val="04A0"/>
      </w:tblPr>
      <w:tblGrid>
        <w:gridCol w:w="5273"/>
        <w:gridCol w:w="5273"/>
      </w:tblGrid>
      <w:tr>
        <w:tc>
          <w:tcPr>
            <w:tcW w:w="5273" w:type="dxa"/>
            <w:shd w:val="clear" w:color="auto" w:fill="DCE6F1"/>
            <w:tblHeader/>
          </w:tcPr>
          <w:p>
            <w:pPr>
              <w:pStyle w:val="Normal"/>
            </w:pPr>
            <w:r>
              <w:rPr>
                <w:b/>
              </w:rPr>
              <w:t xml:space="preserve">Medida</w:t>
            </w:r>
          </w:p>
        </w:tc>
        <w:tc>
          <w:tcPr>
            <w:tcW w:w="5273" w:type="dxa"/>
            <w:shd w:val="clear" w:color="auto" w:fill="DCE6F1"/>
            <w:tblHeader/>
          </w:tcPr>
          <w:p>
            <w:pPr>
              <w:pStyle w:val="Normal"/>
            </w:pPr>
            <w:r>
              <w:rPr>
                <w:b/>
              </w:rPr>
              <w:t xml:space="preserve">Onde</w:t>
            </w:r>
          </w:p>
        </w:tc>
      </w:tr>
      <w:tr>
        <w:tc>
          <w:tcPr>
            <w:tcW w:w="5273" w:type="dxa"/>
          </w:tcPr>
          <w:p>
            <w:pPr>
              <w:pStyle w:val="Normal"/>
            </w:pPr>
            <w:r>
              <w:rPr>
                <w:b/>
              </w:rPr>
              <w:t xml:space="preserve">Minimização</w:t>
            </w:r>
            <w:r>
              <w:rPr/>
              <w:t xml:space="preserve"> — telefones </w:t>
            </w:r>
            <w:r>
              <w:rPr>
                <w:b/>
              </w:rPr>
              <w:t xml:space="preserve">não</w:t>
            </w:r>
            <w:r>
              <w:rPr/>
              <w:t xml:space="preserve"> entram no DW</w:t>
            </w:r>
          </w:p>
        </w:tc>
        <w:tc>
          <w:tcPr>
            <w:tcW w:w="5273" w:type="dxa"/>
          </w:tcPr>
          <w:p>
            <w:pPr>
              <w:pStyle w:val="Normal"/>
            </w:pPr>
            <w:r>
              <w:rPr/>
              <w:t xml:space="preserve">tabela </w:t>
            </w:r>
            <w:r>
              <w:rPr>
                <w:rFonts w:ascii="Consolas" w:hAnsi="Consolas"/>
              </w:rPr>
              <w:t xml:space="preserve">Telefones</w:t>
            </w:r>
          </w:p>
        </w:tc>
      </w:tr>
      <w:tr>
        <w:tc>
          <w:tcPr>
            <w:tcW w:w="5273" w:type="dxa"/>
          </w:tcPr>
          <w:p>
            <w:pPr>
              <w:pStyle w:val="Normal"/>
            </w:pPr>
            <w:r>
              <w:rPr>
                <w:b/>
              </w:rPr>
              <w:t xml:space="preserve">Mascaramento</w:t>
            </w:r>
            <w:r>
              <w:rPr/>
              <w:t xml:space="preserve"> — CPF/CNPJ vira </w:t>
            </w:r>
            <w:r>
              <w:rPr>
                <w:rFonts w:ascii="Consolas" w:hAnsi="Consolas"/>
              </w:rPr>
              <w:t xml:space="preserve">***.***.***-XX</w:t>
            </w:r>
          </w:p>
        </w:tc>
        <w:tc>
          <w:tcPr>
            <w:tcW w:w="5273" w:type="dxa"/>
          </w:tcPr>
          <w:p>
            <w:pPr>
              <w:pStyle w:val="Normal"/>
            </w:pPr>
            <w:r>
              <w:rPr>
                <w:rFonts w:ascii="Consolas" w:hAnsi="Consolas"/>
              </w:rPr>
              <w:t xml:space="preserve">dim_cliente.cpf_cnpj_masked</w:t>
            </w:r>
          </w:p>
        </w:tc>
      </w:tr>
      <w:tr>
        <w:tc>
          <w:tcPr>
            <w:tcW w:w="5273" w:type="dxa"/>
          </w:tcPr>
          <w:p>
            <w:pPr>
              <w:pStyle w:val="Normal"/>
            </w:pPr>
            <w:r>
              <w:rPr>
                <w:b/>
              </w:rPr>
              <w:t xml:space="preserve">Generalização</w:t>
            </w:r>
            <w:r>
              <w:rPr/>
              <w:t xml:space="preserve"> — renda exata vira </w:t>
            </w:r>
            <w:r>
              <w:rPr>
                <w:b/>
              </w:rPr>
              <w:t xml:space="preserve">faixa</w:t>
            </w:r>
          </w:p>
        </w:tc>
        <w:tc>
          <w:tcPr>
            <w:tcW w:w="5273" w:type="dxa"/>
          </w:tcPr>
          <w:p>
            <w:pPr>
              <w:pStyle w:val="Normal"/>
            </w:pPr>
            <w:r>
              <w:rPr>
                <w:rFonts w:ascii="Consolas" w:hAnsi="Consolas"/>
              </w:rPr>
              <w:t xml:space="preserve">dim_cliente.faixa_renda</w:t>
            </w:r>
          </w:p>
        </w:tc>
      </w:tr>
      <w:tr>
        <w:tc>
          <w:tcPr>
            <w:tcW w:w="5273" w:type="dxa"/>
          </w:tcPr>
          <w:p>
            <w:pPr>
              <w:pStyle w:val="Normal"/>
            </w:pPr>
            <w:r>
              <w:rPr>
                <w:b/>
              </w:rPr>
              <w:t xml:space="preserve">Minimização por assunto</w:t>
            </w:r>
            <w:r>
              <w:rPr/>
              <w:t xml:space="preserve"> — sem CPF, renda e nascimento no DataMart de entregas</w:t>
            </w:r>
          </w:p>
        </w:tc>
        <w:tc>
          <w:tcPr>
            <w:tcW w:w="5273" w:type="dxa"/>
          </w:tcPr>
          <w:p>
            <w:pPr>
              <w:pStyle w:val="Normal"/>
            </w:pPr>
            <w:r>
              <w:rPr>
                <w:rFonts w:ascii="Consolas" w:hAnsi="Consolas"/>
              </w:rPr>
              <w:t xml:space="preserve">dm_logistica.dim_cliente</w:t>
            </w:r>
          </w:p>
        </w:tc>
      </w:tr>
      <w:tr>
        <w:tc>
          <w:tcPr>
            <w:tcW w:w="5273" w:type="dxa"/>
          </w:tcPr>
          <w:p>
            <w:pPr>
              <w:pStyle w:val="Normal"/>
            </w:pPr>
            <w:r>
              <w:rPr>
                <w:b/>
              </w:rPr>
              <w:t xml:space="preserve">Dados sintéticos declarados</w:t>
            </w:r>
            <w:r>
              <w:rPr/>
              <w:t xml:space="preserve"> — nenhum dado real de pessoa</w:t>
            </w:r>
          </w:p>
        </w:tc>
        <w:tc>
          <w:tcPr>
            <w:tcW w:w="5273" w:type="dxa"/>
          </w:tcPr>
          <w:p>
            <w:pPr>
              <w:pStyle w:val="Normal"/>
            </w:pPr>
            <w:r>
              <w:rPr>
                <w:rFonts w:ascii="Consolas" w:hAnsi="Consolas"/>
              </w:rPr>
              <w:t xml:space="preserve">sql/seed_mercearia.sql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Ttulo1"/>
      </w:pPr>
      <w:r>
        <w:rPr/>
        <w:t xml:space="preserve">9. Conclusão</w:t>
      </w:r>
    </w:p>
    <w:p>
      <w:pPr>
        <w:pStyle w:val="Normal"/>
        <w:spacing w:after="120"/>
        <w:jc w:val="both"/>
      </w:pPr>
      <w:r>
        <w:rPr/>
        <w:t xml:space="preserve">O trabalho entregou um DW que </w:t>
      </w:r>
      <w:r>
        <w:rPr>
          <w:b/>
        </w:rPr>
        <w:t xml:space="preserve">integra de fato</w:t>
      </w:r>
      <w:r>
        <w:rPr/>
        <w:t xml:space="preserve"> duas fontes de estruturas e semânticas diferentes: quatro dimensões recebem registros das duas bases, os rótulos conflitantes foram padronizados e as medidas ficaram homogêneas com conversão cambial auditável.</w:t>
      </w:r>
    </w:p>
    <w:p>
      <w:pPr>
        <w:pStyle w:val="Normal"/>
        <w:spacing w:after="120"/>
        <w:jc w:val="both"/>
      </w:pPr>
      <w:r>
        <w:rPr/>
        <w:t xml:space="preserve">Os três itens da atividade foram atendidos: (1) o DW integrando Northwind e Mercearia; (2) </w:t>
      </w:r>
      <w:r>
        <w:rPr>
          <w:b/>
        </w:rPr>
        <w:t xml:space="preserve">três DataMarts</w:t>
      </w:r>
      <w:r>
        <w:rPr/>
        <w:t xml:space="preserve"> modelados com assunto, grão, dimensões e justificativa, com DDL própria; (3) </w:t>
      </w:r>
      <w:r>
        <w:rPr>
          <w:b/>
        </w:rPr>
        <w:t xml:space="preserve">análise de dados aplicada ao DW e aos DataMarts</w:t>
      </w:r>
      <w:r>
        <w:rPr/>
        <w:t xml:space="preserve">, incluindo dois modelos de aprendizado de máquina.</w:t>
      </w:r>
    </w:p>
    <w:p>
      <w:pPr>
        <w:pStyle w:val="Normal"/>
        <w:spacing w:after="120"/>
        <w:jc w:val="both"/>
      </w:pPr>
      <w:r>
        <w:rPr/>
        <w:t xml:space="preserve">Os conceitos pedidos não ficaram no texto: </w:t>
      </w:r>
      <w:r>
        <w:rPr>
          <w:b/>
        </w:rPr>
        <w:t xml:space="preserve">granularidade</w:t>
      </w:r>
      <w:r>
        <w:rPr/>
        <w:t xml:space="preserve"> gerou um fato adicional (frete), </w:t>
      </w:r>
      <w:r>
        <w:rPr>
          <w:b/>
        </w:rPr>
        <w:t xml:space="preserve">integração</w:t>
      </w:r>
      <w:r>
        <w:rPr/>
        <w:t xml:space="preserve"> exigiu padronização de país e de texto, </w:t>
      </w:r>
      <w:r>
        <w:rPr>
          <w:b/>
        </w:rPr>
        <w:t xml:space="preserve">historicidade</w:t>
      </w:r>
      <w:r>
        <w:rPr/>
        <w:t xml:space="preserve"> foi demonstrada com as vendas antigas preservadas no preço da época, a </w:t>
      </w:r>
      <w:r>
        <w:rPr>
          <w:b/>
        </w:rPr>
        <w:t xml:space="preserve">dimensão tempo</w:t>
      </w:r>
      <w:r>
        <w:rPr/>
        <w:t xml:space="preserve"> cobre a união dos períodos, os </w:t>
      </w:r>
      <w:r>
        <w:rPr>
          <w:b/>
        </w:rPr>
        <w:t xml:space="preserve">dados externos</w:t>
      </w:r>
      <w:r>
        <w:rPr/>
        <w:t xml:space="preserve"> enriquecem localidade e câmbio, e a </w:t>
      </w:r>
      <w:r>
        <w:rPr>
          <w:b/>
        </w:rPr>
        <w:t xml:space="preserve">LGPD</w:t>
      </w:r>
      <w:r>
        <w:rPr/>
        <w:t xml:space="preserve"> orientou quatro decisões de minimização.</w:t>
      </w:r>
    </w:p>
    <w:p>
      <w:pPr>
        <w:pStyle w:val="Normal"/>
        <w:spacing w:after="120"/>
        <w:jc w:val="both"/>
      </w:pPr>
      <w:r>
        <w:rPr>
          <w:b/>
        </w:rPr>
        <w:t xml:space="preserve">Limitações:</w:t>
      </w:r>
      <w:r>
        <w:rPr/>
        <w:t xml:space="preserve"> a Mercearia não acompanha dados, então sua massa é sintética e declarada; as duas fontes são de épocas distantes, portanto não devem ser lidas como uma série contínua de uma mesma economia; e o modelo de projeção é didático (24 pontos, 2 variáveis).</w:t>
      </w:r>
    </w:p>
    <w:p>
      <w:pPr>
        <w:pStyle w:val="Normal"/>
      </w:pPr>
      <w:r>
        <w:t xml:space="preserve"/>
      </w:r>
    </w:p>
    <w:p>
      <w:pPr>
        <w:pStyle w:val="Ttulo1"/>
      </w:pPr>
      <w:r>
        <w:rPr/>
        <w:t xml:space="preserve">10. Referências e anexos</w:t>
      </w:r>
    </w:p>
    <w:p>
      <w:pPr>
        <w:pStyle w:val="Normal"/>
        <w:spacing w:after="120"/>
        <w:jc w:val="both"/>
      </w:pPr>
      <w:r>
        <w:rPr>
          <w:b/>
        </w:rPr>
        <w:t xml:space="preserve">Referências:</w:t>
      </w:r>
      <w:r>
        <w:rPr/>
        <w:t xml:space="preserve"> KIMBALL, R.; ROSS, M. </w:t>
      </w:r>
      <w:r>
        <w:rPr>
          <w:i/>
        </w:rPr>
        <w:t xml:space="preserve">The Data Warehouse Toolkit</w:t>
      </w:r>
      <w:r>
        <w:rPr/>
        <w:t xml:space="preserve">. 3. ed. Wiley, 2013. · IBGE — API de Localidades e Agregados (acesso em 29/09/2026) · BCB — PTAX/OLINDA (acesso em 29/09/2026) · BRASIL, Lei 13.709/2018 (LGPD) · BRASIL, Lei 14.759/2023.</w:t>
      </w:r>
    </w:p>
    <w:tbl>
      <w:tblPr>
        <w:tblStyle w:val="Tabelacomgrade"/>
        <w:tblW w:w="10546" w:type="dxa"/>
        <w:tblLook w:val="04A0"/>
      </w:tblPr>
      <w:tblGrid>
        <w:gridCol w:w="5273"/>
        <w:gridCol w:w="5273"/>
      </w:tblGrid>
      <w:tr>
        <w:tc>
          <w:tcPr>
            <w:tcW w:w="5273" w:type="dxa"/>
            <w:shd w:val="clear" w:color="auto" w:fill="DCE6F1"/>
            <w:tblHeader/>
          </w:tcPr>
          <w:p>
            <w:pPr>
              <w:pStyle w:val="Normal"/>
            </w:pPr>
            <w:r>
              <w:rPr>
                <w:b/>
              </w:rPr>
              <w:t xml:space="preserve">Anexo</w:t>
            </w:r>
          </w:p>
        </w:tc>
        <w:tc>
          <w:tcPr>
            <w:tcW w:w="5273" w:type="dxa"/>
            <w:shd w:val="clear" w:color="auto" w:fill="DCE6F1"/>
            <w:tblHeader/>
          </w:tcPr>
          <w:p>
            <w:pPr>
              <w:pStyle w:val="Normal"/>
            </w:pPr>
            <w:r>
              <w:rPr>
                <w:b/>
              </w:rPr>
              <w:t xml:space="preserve">Arquivo</w:t>
            </w:r>
          </w:p>
        </w:tc>
      </w:tr>
      <w:tr>
        <w:tc>
          <w:tcPr>
            <w:tcW w:w="5273" w:type="dxa"/>
          </w:tcPr>
          <w:p>
            <w:pPr>
              <w:pStyle w:val="Normal"/>
            </w:pPr>
            <w:r>
              <w:rPr/>
              <w:t xml:space="preserve">DDL do DW e dos DataMarts</w:t>
            </w:r>
          </w:p>
        </w:tc>
        <w:tc>
          <w:tcPr>
            <w:tcW w:w="5273" w:type="dxa"/>
          </w:tcPr>
          <w:p>
            <w:pPr>
              <w:pStyle w:val="Normal"/>
            </w:pPr>
            <w:r>
              <w:rPr>
                <w:rFonts w:ascii="Consolas" w:hAnsi="Consolas"/>
              </w:rPr>
              <w:t xml:space="preserve">sql/01_dw_organizacional.sql</w:t>
            </w:r>
            <w:r>
              <w:rPr/>
              <w:t xml:space="preserve">, </w:t>
            </w:r>
            <w:r>
              <w:rPr>
                <w:rFonts w:ascii="Consolas" w:hAnsi="Consolas"/>
              </w:rPr>
              <w:t xml:space="preserve">sql/04_datamarts.sql</w:t>
            </w:r>
          </w:p>
        </w:tc>
      </w:tr>
      <w:tr>
        <w:tc>
          <w:tcPr>
            <w:tcW w:w="5273" w:type="dxa"/>
          </w:tcPr>
          <w:p>
            <w:pPr>
              <w:pStyle w:val="Normal"/>
            </w:pPr>
            <w:r>
              <w:rPr/>
              <w:t xml:space="preserve">Dimensão tempo e dados externos</w:t>
            </w:r>
          </w:p>
        </w:tc>
        <w:tc>
          <w:tcPr>
            <w:tcW w:w="5273" w:type="dxa"/>
          </w:tcPr>
          <w:p>
            <w:pPr>
              <w:pStyle w:val="Normal"/>
            </w:pPr>
            <w:r>
              <w:rPr>
                <w:rFonts w:ascii="Consolas" w:hAnsi="Consolas"/>
              </w:rPr>
              <w:t xml:space="preserve">sql/02_dim_tempo.sql</w:t>
            </w:r>
            <w:r>
              <w:rPr/>
              <w:t xml:space="preserve">, </w:t>
            </w:r>
            <w:r>
              <w:rPr>
                <w:rFonts w:ascii="Consolas" w:hAnsi="Consolas"/>
              </w:rPr>
              <w:t xml:space="preserve">sql/03_dados_externos.sql</w:t>
            </w:r>
          </w:p>
        </w:tc>
      </w:tr>
      <w:tr>
        <w:tc>
          <w:tcPr>
            <w:tcW w:w="5273" w:type="dxa"/>
          </w:tcPr>
          <w:p>
            <w:pPr>
              <w:pStyle w:val="Normal"/>
            </w:pPr>
            <w:r>
              <w:rPr/>
              <w:t xml:space="preserve">Carga completa (um comando) e ETL</w:t>
            </w:r>
          </w:p>
        </w:tc>
        <w:tc>
          <w:tcPr>
            <w:tcW w:w="5273" w:type="dxa"/>
          </w:tcPr>
          <w:p>
            <w:pPr>
              <w:pStyle w:val="Normal"/>
            </w:pPr>
            <w:r>
              <w:rPr>
                <w:rFonts w:ascii="Consolas" w:hAnsi="Consolas"/>
              </w:rPr>
              <w:t xml:space="preserve">etl/00_carga_inicial.sh</w:t>
            </w:r>
            <w:r>
              <w:rPr/>
              <w:t xml:space="preserve">, </w:t>
            </w:r>
            <w:r>
              <w:rPr>
                <w:rFonts w:ascii="Consolas" w:hAnsi="Consolas"/>
              </w:rPr>
              <w:t xml:space="preserve">etl/10_carga_dimensoes.sql</w:t>
            </w:r>
            <w:r>
              <w:rPr/>
              <w:t xml:space="preserve">, </w:t>
            </w:r>
            <w:r>
              <w:rPr>
                <w:rFonts w:ascii="Consolas" w:hAnsi="Consolas"/>
              </w:rPr>
              <w:t xml:space="preserve">etl/20_carga_fatos.sql</w:t>
            </w:r>
            <w:r>
              <w:rPr/>
              <w:t xml:space="preserve">, </w:t>
            </w:r>
            <w:r>
              <w:rPr>
                <w:rFonts w:ascii="Consolas" w:hAnsi="Consolas"/>
              </w:rPr>
              <w:t xml:space="preserve">etl/30_carga_datamarts.sql</w:t>
            </w:r>
          </w:p>
        </w:tc>
      </w:tr>
      <w:tr>
        <w:tc>
          <w:tcPr>
            <w:tcW w:w="5273" w:type="dxa"/>
          </w:tcPr>
          <w:p>
            <w:pPr>
              <w:pStyle w:val="Normal"/>
            </w:pPr>
            <w:r>
              <w:rPr/>
              <w:t xml:space="preserve">Testes (integridade e historicidade)</w:t>
            </w:r>
          </w:p>
        </w:tc>
        <w:tc>
          <w:tcPr>
            <w:tcW w:w="5273" w:type="dxa"/>
          </w:tcPr>
          <w:p>
            <w:pPr>
              <w:pStyle w:val="Normal"/>
            </w:pPr>
            <w:r>
              <w:rPr>
                <w:rFonts w:ascii="Consolas" w:hAnsi="Consolas"/>
              </w:rPr>
              <w:t xml:space="preserve">etl/99_validacao.sql</w:t>
            </w:r>
            <w:r>
              <w:rPr/>
              <w:t xml:space="preserve">, </w:t>
            </w:r>
            <w:r>
              <w:rPr>
                <w:rFonts w:ascii="Consolas" w:hAnsi="Consolas"/>
              </w:rPr>
              <w:t xml:space="preserve">etl/40_validacao_datamarts.sql</w:t>
            </w:r>
            <w:r>
              <w:rPr/>
              <w:t xml:space="preserve">, </w:t>
            </w:r>
            <w:r>
              <w:rPr>
                <w:rFonts w:ascii="Consolas" w:hAnsi="Consolas"/>
              </w:rPr>
              <w:t xml:space="preserve">etl/90_teste_scd2.sql</w:t>
            </w:r>
          </w:p>
        </w:tc>
      </w:tr>
      <w:tr>
        <w:tc>
          <w:tcPr>
            <w:tcW w:w="5273" w:type="dxa"/>
          </w:tcPr>
          <w:p>
            <w:pPr>
              <w:pStyle w:val="Normal"/>
            </w:pPr>
            <w:r>
              <w:rPr/>
              <w:t xml:space="preserve">Análise (script, gráficos e tabelas)</w:t>
            </w:r>
          </w:p>
        </w:tc>
        <w:tc>
          <w:tcPr>
            <w:tcW w:w="5273" w:type="dxa"/>
          </w:tcPr>
          <w:p>
            <w:pPr>
              <w:pStyle w:val="Normal"/>
            </w:pPr>
            <w:r>
              <w:rPr>
                <w:rFonts w:ascii="Consolas" w:hAnsi="Consolas"/>
              </w:rPr>
              <w:t xml:space="preserve">analise/</w:t>
            </w:r>
          </w:p>
        </w:tc>
      </w:tr>
      <w:tr>
        <w:tc>
          <w:tcPr>
            <w:tcW w:w="5273" w:type="dxa"/>
          </w:tcPr>
          <w:p>
            <w:pPr>
              <w:pStyle w:val="Normal"/>
            </w:pPr>
            <w:r>
              <w:rPr/>
              <w:t xml:space="preserve">Diagramas do DW e dos DataMarts</w:t>
            </w:r>
          </w:p>
        </w:tc>
        <w:tc>
          <w:tcPr>
            <w:tcW w:w="5273" w:type="dxa"/>
          </w:tcPr>
          <w:p>
            <w:pPr>
              <w:pStyle w:val="Normal"/>
            </w:pPr>
            <w:r>
              <w:rPr>
                <w:rFonts w:ascii="Consolas" w:hAnsi="Consolas"/>
              </w:rPr>
              <w:t xml:space="preserve">docs/diagramas.md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  <w:spacing w:after="120"/>
        <w:jc w:val="both"/>
      </w:pPr>
      <w:r>
        <w:rPr>
          <w:b/>
        </w:rPr>
        <w:t xml:space="preserve">Repositório completo</w:t>
      </w:r>
      <w:r>
        <w:rPr/>
        <w:t xml:space="preserve"> (código, ETL, testes e análises): https://github.com/danflavio/ifg-atividade-dw-datamart</w:t>
      </w:r>
    </w:p>
    <w:sectPr w:rsidR="003A44DC" w:rsidRPr="003A44DC" w:rsidSect="00DC4CA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567" w:right="680" w:bottom="567" w:left="680" w:header="0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5B242B" w14:textId="77777777" w:rsidR="00B91D61" w:rsidRDefault="00B91D61" w:rsidP="00223A89">
      <w:pPr>
        <w:spacing w:after="0" w:line="240" w:lineRule="auto"/>
      </w:pPr>
      <w:r>
        <w:separator/>
      </w:r>
    </w:p>
  </w:endnote>
  <w:endnote w:type="continuationSeparator" w:id="0">
    <w:p w14:paraId="541B9DEC" w14:textId="77777777" w:rsidR="00B91D61" w:rsidRDefault="00B91D61" w:rsidP="00223A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57571" w14:textId="77777777" w:rsidR="004A68FE" w:rsidRDefault="004A68F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371FB" w14:textId="77777777" w:rsidR="004A68FE" w:rsidRDefault="004A68FE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A062A" w14:textId="77777777" w:rsidR="004A68FE" w:rsidRDefault="004A68F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B83474" w14:textId="77777777" w:rsidR="00B91D61" w:rsidRDefault="00B91D61" w:rsidP="00223A89">
      <w:pPr>
        <w:spacing w:after="0" w:line="240" w:lineRule="auto"/>
      </w:pPr>
      <w:r>
        <w:separator/>
      </w:r>
    </w:p>
  </w:footnote>
  <w:footnote w:type="continuationSeparator" w:id="0">
    <w:p w14:paraId="57A692D1" w14:textId="77777777" w:rsidR="00B91D61" w:rsidRDefault="00B91D61" w:rsidP="00223A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E8E8C" w14:textId="77777777" w:rsidR="004A68FE" w:rsidRDefault="004A68F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B689C" w14:textId="1FD645F0" w:rsidR="00223A89" w:rsidRDefault="00223A89">
    <w:pPr>
      <w:pStyle w:val="Cabealho"/>
    </w:pPr>
  </w:p>
  <w:tbl>
    <w:tblPr>
      <w:tblStyle w:val="Tabelacomgrade"/>
      <w:tblpPr w:leftFromText="141" w:rightFromText="141" w:vertAnchor="page" w:horzAnchor="margin" w:tblpXSpec="center" w:tblpY="571"/>
      <w:tblW w:w="10031" w:type="dxa"/>
      <w:tblLook w:val="04A0" w:firstRow="1" w:lastRow="0" w:firstColumn="1" w:lastColumn="0" w:noHBand="0" w:noVBand="1"/>
    </w:tblPr>
    <w:tblGrid>
      <w:gridCol w:w="2256"/>
      <w:gridCol w:w="7775"/>
    </w:tblGrid>
    <w:tr w:rsidR="00223A89" w:rsidRPr="00CA0D8D" w14:paraId="7A0FD193" w14:textId="77777777" w:rsidTr="00223A89">
      <w:tc>
        <w:tcPr>
          <w:tcW w:w="2256" w:type="dxa"/>
          <w:vMerge w:val="restart"/>
        </w:tcPr>
        <w:p w14:paraId="28F9030A" w14:textId="77777777" w:rsidR="00223A89" w:rsidRPr="00CA0D8D" w:rsidRDefault="00223A89" w:rsidP="00223A89">
          <w:pPr>
            <w:jc w:val="both"/>
            <w:rPr>
              <w:rFonts w:ascii="Segoe UI" w:hAnsi="Segoe UI" w:cs="Segoe UI"/>
              <w:sz w:val="24"/>
              <w:szCs w:val="24"/>
            </w:rPr>
          </w:pPr>
          <w:r w:rsidRPr="00CA0D8D">
            <w:rPr>
              <w:rFonts w:ascii="Segoe UI" w:hAnsi="Segoe UI" w:cs="Segoe UI"/>
              <w:noProof/>
              <w:lang w:eastAsia="pt-BR"/>
            </w:rPr>
            <w:drawing>
              <wp:inline distT="0" distB="0" distL="0" distR="0" wp14:anchorId="4E23A06C" wp14:editId="47CE32D0">
                <wp:extent cx="1123950" cy="695325"/>
                <wp:effectExtent l="0" t="0" r="0" b="9525"/>
                <wp:docPr id="1210098227" name="Imagem 1210098227" descr="C:\Users\Graci\Documents\IFG\Logo-Anapolis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2" descr="C:\Users\Graci\Documents\IFG\Logo-Anapolis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3950" cy="695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75" w:type="dxa"/>
        </w:tcPr>
        <w:p w14:paraId="73F64C5B" w14:textId="1887AAAA" w:rsidR="00223A89" w:rsidRPr="00CA0D8D" w:rsidRDefault="00223A89" w:rsidP="00223A89">
          <w:pPr>
            <w:jc w:val="both"/>
            <w:rPr>
              <w:rFonts w:ascii="Segoe UI" w:hAnsi="Segoe UI" w:cs="Segoe UI"/>
              <w:sz w:val="24"/>
              <w:szCs w:val="24"/>
            </w:rPr>
          </w:pPr>
          <w:r>
            <w:rPr>
              <w:rFonts w:ascii="Segoe UI" w:hAnsi="Segoe UI" w:cs="Segoe UI"/>
              <w:sz w:val="24"/>
              <w:szCs w:val="24"/>
            </w:rPr>
            <w:t>Estudante</w:t>
          </w:r>
          <w:r w:rsidRPr="00CA0D8D">
            <w:rPr>
              <w:rFonts w:ascii="Segoe UI" w:hAnsi="Segoe UI" w:cs="Segoe UI"/>
              <w:sz w:val="24"/>
              <w:szCs w:val="24"/>
            </w:rPr>
            <w:t xml:space="preserve">: </w:t>
          </w:r>
          <w:r w:rsidR="00BC4483">
            <w:rPr>
              <w:rFonts w:ascii="Segoe UI" w:hAnsi="Segoe UI" w:cs="Segoe UI"/>
              <w:sz w:val="24"/>
              <w:szCs w:val="24"/>
            </w:rPr>
            <w:t>Daniel Flávio de Oliveira</w:t>
          </w:r>
          <w:r w:rsidRPr="00CA0D8D">
            <w:rPr>
              <w:rFonts w:ascii="Segoe UI" w:hAnsi="Segoe UI" w:cs="Segoe UI"/>
              <w:sz w:val="24"/>
              <w:szCs w:val="24"/>
            </w:rPr>
            <w:t xml:space="preserve">                         </w:t>
          </w:r>
        </w:p>
        <w:p w14:paraId="4ADC21F7" w14:textId="77777777" w:rsidR="00223A89" w:rsidRPr="00CA0D8D" w:rsidRDefault="00223A89" w:rsidP="00223A89">
          <w:pPr>
            <w:jc w:val="both"/>
            <w:rPr>
              <w:rFonts w:ascii="Segoe UI" w:hAnsi="Segoe UI" w:cs="Segoe UI"/>
              <w:sz w:val="24"/>
              <w:szCs w:val="24"/>
            </w:rPr>
          </w:pPr>
          <w:r w:rsidRPr="00CA0D8D">
            <w:rPr>
              <w:rFonts w:ascii="Segoe UI" w:hAnsi="Segoe UI" w:cs="Segoe UI"/>
              <w:sz w:val="24"/>
              <w:szCs w:val="24"/>
            </w:rPr>
            <w:t xml:space="preserve">                                                               </w:t>
          </w:r>
        </w:p>
      </w:tc>
    </w:tr>
    <w:tr w:rsidR="00223A89" w:rsidRPr="00CA0D8D" w14:paraId="0DD4B7DD" w14:textId="77777777" w:rsidTr="00223A89">
      <w:tc>
        <w:tcPr>
          <w:tcW w:w="2256" w:type="dxa"/>
          <w:vMerge/>
        </w:tcPr>
        <w:p w14:paraId="4BE7F43B" w14:textId="77777777" w:rsidR="00223A89" w:rsidRPr="00CA0D8D" w:rsidRDefault="00223A89" w:rsidP="00223A89">
          <w:pPr>
            <w:jc w:val="both"/>
            <w:rPr>
              <w:rFonts w:ascii="Segoe UI" w:hAnsi="Segoe UI" w:cs="Segoe UI"/>
              <w:sz w:val="24"/>
              <w:szCs w:val="24"/>
            </w:rPr>
          </w:pPr>
        </w:p>
      </w:tc>
      <w:tc>
        <w:tcPr>
          <w:tcW w:w="7775" w:type="dxa"/>
        </w:tcPr>
        <w:p w14:paraId="1C9150C8" w14:textId="4ED38D92" w:rsidR="00223A89" w:rsidRPr="00CA0D8D" w:rsidRDefault="004A68FE" w:rsidP="00223A89">
          <w:pPr>
            <w:jc w:val="both"/>
            <w:rPr>
              <w:rFonts w:ascii="Segoe UI" w:hAnsi="Segoe UI" w:cs="Segoe UI"/>
              <w:sz w:val="24"/>
              <w:szCs w:val="24"/>
            </w:rPr>
          </w:pPr>
          <w:r>
            <w:rPr>
              <w:rFonts w:ascii="Segoe UI" w:hAnsi="Segoe UI" w:cs="Segoe UI"/>
              <w:sz w:val="24"/>
              <w:szCs w:val="24"/>
            </w:rPr>
            <w:t xml:space="preserve">Tópicos Avançados de IA 1 </w:t>
          </w:r>
          <w:r w:rsidR="00223A89" w:rsidRPr="00CA0D8D">
            <w:rPr>
              <w:rFonts w:ascii="Segoe UI" w:hAnsi="Segoe UI" w:cs="Segoe UI"/>
              <w:sz w:val="24"/>
              <w:szCs w:val="24"/>
            </w:rPr>
            <w:t xml:space="preserve"> </w:t>
          </w:r>
          <w:r w:rsidR="00223A89">
            <w:rPr>
              <w:rFonts w:ascii="Segoe UI" w:hAnsi="Segoe UI" w:cs="Segoe UI"/>
              <w:sz w:val="24"/>
              <w:szCs w:val="24"/>
            </w:rPr>
            <w:t xml:space="preserve">                     </w:t>
          </w:r>
          <w:r w:rsidR="00247F39">
            <w:rPr>
              <w:rFonts w:ascii="Segoe UI" w:hAnsi="Segoe UI" w:cs="Segoe UI"/>
              <w:sz w:val="24"/>
              <w:szCs w:val="24"/>
            </w:rPr>
            <w:t>Especialização em IA Aplicada</w:t>
          </w:r>
        </w:p>
      </w:tc>
    </w:tr>
    <w:tr w:rsidR="00223A89" w:rsidRPr="00CA0D8D" w14:paraId="3A579CB5" w14:textId="77777777" w:rsidTr="00223A89">
      <w:tc>
        <w:tcPr>
          <w:tcW w:w="2256" w:type="dxa"/>
          <w:vMerge/>
        </w:tcPr>
        <w:p w14:paraId="349E5D65" w14:textId="77777777" w:rsidR="00223A89" w:rsidRPr="00CA0D8D" w:rsidRDefault="00223A89" w:rsidP="00223A89">
          <w:pPr>
            <w:jc w:val="both"/>
            <w:rPr>
              <w:rFonts w:ascii="Segoe UI" w:hAnsi="Segoe UI" w:cs="Segoe UI"/>
              <w:sz w:val="24"/>
              <w:szCs w:val="24"/>
            </w:rPr>
          </w:pPr>
        </w:p>
      </w:tc>
      <w:tc>
        <w:tcPr>
          <w:tcW w:w="7775" w:type="dxa"/>
        </w:tcPr>
        <w:p w14:paraId="3A71C9CD" w14:textId="34BB9B78" w:rsidR="00223A89" w:rsidRPr="00CA0D8D" w:rsidRDefault="00223A89" w:rsidP="00223A89">
          <w:pPr>
            <w:jc w:val="both"/>
            <w:rPr>
              <w:rFonts w:ascii="Segoe UI" w:hAnsi="Segoe UI" w:cs="Segoe UI"/>
              <w:sz w:val="24"/>
              <w:szCs w:val="24"/>
            </w:rPr>
          </w:pPr>
          <w:r w:rsidRPr="00CA0D8D">
            <w:rPr>
              <w:rFonts w:ascii="Segoe UI" w:hAnsi="Segoe UI" w:cs="Segoe UI"/>
              <w:sz w:val="24"/>
              <w:szCs w:val="24"/>
            </w:rPr>
            <w:t xml:space="preserve">Professor: </w:t>
          </w:r>
          <w:proofErr w:type="spellStart"/>
          <w:r w:rsidR="004A68FE">
            <w:rPr>
              <w:rFonts w:ascii="Segoe UI" w:hAnsi="Segoe UI" w:cs="Segoe UI"/>
              <w:sz w:val="24"/>
              <w:szCs w:val="24"/>
            </w:rPr>
            <w:t>Sirlon</w:t>
          </w:r>
          <w:proofErr w:type="spellEnd"/>
          <w:r w:rsidR="004A68FE">
            <w:rPr>
              <w:rFonts w:ascii="Segoe UI" w:hAnsi="Segoe UI" w:cs="Segoe UI"/>
              <w:sz w:val="24"/>
              <w:szCs w:val="24"/>
            </w:rPr>
            <w:t xml:space="preserve"> Diniz                               </w:t>
          </w:r>
          <w:r w:rsidRPr="00CA0D8D">
            <w:rPr>
              <w:rFonts w:ascii="Segoe UI" w:hAnsi="Segoe UI" w:cs="Segoe UI"/>
              <w:sz w:val="24"/>
              <w:szCs w:val="24"/>
            </w:rPr>
            <w:t xml:space="preserve">           </w:t>
          </w:r>
          <w:r>
            <w:rPr>
              <w:rFonts w:ascii="Segoe UI" w:hAnsi="Segoe UI" w:cs="Segoe UI"/>
              <w:sz w:val="24"/>
              <w:szCs w:val="24"/>
            </w:rPr>
            <w:t xml:space="preserve">         Data: </w:t>
          </w:r>
          <w:r w:rsidR="004A68FE">
            <w:rPr>
              <w:rFonts w:ascii="Segoe UI" w:hAnsi="Segoe UI" w:cs="Segoe UI"/>
              <w:sz w:val="24"/>
              <w:szCs w:val="24"/>
            </w:rPr>
            <w:t>30/09/2026</w:t>
          </w:r>
        </w:p>
      </w:tc>
    </w:tr>
  </w:tbl>
  <w:p w14:paraId="5E89BDF0" w14:textId="13FB1A01" w:rsidR="00223A89" w:rsidRDefault="004408B0" w:rsidP="004408B0">
    <w:pPr>
      <w:pStyle w:val="Cabealho"/>
      <w:tabs>
        <w:tab w:val="clear" w:pos="4252"/>
        <w:tab w:val="clear" w:pos="8504"/>
        <w:tab w:val="left" w:pos="7770"/>
      </w:tabs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D7C64" w14:textId="77777777" w:rsidR="004A68FE" w:rsidRDefault="004A68F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226C4"/>
    <w:multiLevelType w:val="hybridMultilevel"/>
    <w:tmpl w:val="4D1A4AB0"/>
    <w:lvl w:ilvl="0" w:tplc="A1607B4A">
      <w:start w:val="1"/>
      <w:numFmt w:val="decimalZero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9C5B16"/>
    <w:multiLevelType w:val="hybridMultilevel"/>
    <w:tmpl w:val="78BAD290"/>
    <w:lvl w:ilvl="0" w:tplc="F09ACE0E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Segoe UI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C1D580F"/>
    <w:multiLevelType w:val="hybridMultilevel"/>
    <w:tmpl w:val="2D101BA6"/>
    <w:lvl w:ilvl="0" w:tplc="AEB838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FD78B5"/>
    <w:multiLevelType w:val="hybridMultilevel"/>
    <w:tmpl w:val="519AE68A"/>
    <w:lvl w:ilvl="0" w:tplc="47064660">
      <w:start w:val="1"/>
      <w:numFmt w:val="decimalZero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BF1A77"/>
    <w:multiLevelType w:val="hybridMultilevel"/>
    <w:tmpl w:val="519AE68A"/>
    <w:lvl w:ilvl="0" w:tplc="FFFFFFFF">
      <w:start w:val="1"/>
      <w:numFmt w:val="decimalZero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C5306B"/>
    <w:multiLevelType w:val="hybridMultilevel"/>
    <w:tmpl w:val="8A80EC0A"/>
    <w:lvl w:ilvl="0" w:tplc="35B0FBE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CD596C"/>
    <w:multiLevelType w:val="hybridMultilevel"/>
    <w:tmpl w:val="5F0E34DA"/>
    <w:lvl w:ilvl="0" w:tplc="B0089E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7901342">
    <w:abstractNumId w:val="0"/>
  </w:num>
  <w:num w:numId="2" w16cid:durableId="714156355">
    <w:abstractNumId w:val="3"/>
  </w:num>
  <w:num w:numId="3" w16cid:durableId="1803695770">
    <w:abstractNumId w:val="1"/>
  </w:num>
  <w:num w:numId="4" w16cid:durableId="1894265735">
    <w:abstractNumId w:val="4"/>
  </w:num>
  <w:num w:numId="5" w16cid:durableId="1125806676">
    <w:abstractNumId w:val="6"/>
  </w:num>
  <w:num w:numId="6" w16cid:durableId="659578536">
    <w:abstractNumId w:val="5"/>
  </w:num>
  <w:num w:numId="7" w16cid:durableId="8443977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A89"/>
    <w:rsid w:val="00092F0B"/>
    <w:rsid w:val="001A19CE"/>
    <w:rsid w:val="001F4C85"/>
    <w:rsid w:val="00223A89"/>
    <w:rsid w:val="00247F39"/>
    <w:rsid w:val="003513E0"/>
    <w:rsid w:val="00395273"/>
    <w:rsid w:val="003A44DC"/>
    <w:rsid w:val="003C44BE"/>
    <w:rsid w:val="004408B0"/>
    <w:rsid w:val="004A68FE"/>
    <w:rsid w:val="004D4002"/>
    <w:rsid w:val="005003C4"/>
    <w:rsid w:val="006012AE"/>
    <w:rsid w:val="007A088D"/>
    <w:rsid w:val="008829A9"/>
    <w:rsid w:val="00920F14"/>
    <w:rsid w:val="00974A96"/>
    <w:rsid w:val="00981794"/>
    <w:rsid w:val="00990E1B"/>
    <w:rsid w:val="00A24AFE"/>
    <w:rsid w:val="00B6479F"/>
    <w:rsid w:val="00B82ABC"/>
    <w:rsid w:val="00B91D61"/>
    <w:rsid w:val="00BA7233"/>
    <w:rsid w:val="00BB0EDE"/>
    <w:rsid w:val="00BC4483"/>
    <w:rsid w:val="00BC6D45"/>
    <w:rsid w:val="00C86D77"/>
    <w:rsid w:val="00CB00D8"/>
    <w:rsid w:val="00CB05BD"/>
    <w:rsid w:val="00CE018A"/>
    <w:rsid w:val="00D9772F"/>
    <w:rsid w:val="00DC4CA4"/>
    <w:rsid w:val="00E87380"/>
    <w:rsid w:val="00F10793"/>
    <w:rsid w:val="00F131AA"/>
    <w:rsid w:val="00F40321"/>
    <w:rsid w:val="00F86A30"/>
    <w:rsid w:val="00F8761C"/>
    <w:rsid w:val="00FA2F63"/>
    <w:rsid w:val="00FA61A6"/>
    <w:rsid w:val="00FC656E"/>
    <w:rsid w:val="00FE6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11B121"/>
  <w15:chartTrackingRefBased/>
  <w15:docId w15:val="{BE49E37B-6E78-4331-BA6B-D65463178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6D77"/>
  </w:style>
  <w:style w:type="paragraph" w:styleId="Ttulo1">
    <w:name w:val="heading 1"/>
    <w:basedOn w:val="Normal"/>
    <w:next w:val="Normal"/>
    <w:link w:val="Ttulo1Char"/>
    <w:uiPriority w:val="9"/>
    <w:qFormat/>
    <w:rsid w:val="00223A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23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23A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23A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23A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23A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23A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23A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23A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23A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23A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23A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23A8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23A8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23A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23A8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23A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23A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23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23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23A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23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23A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23A8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23A8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23A8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23A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23A8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23A8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223A8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23A89"/>
  </w:style>
  <w:style w:type="paragraph" w:styleId="Rodap">
    <w:name w:val="footer"/>
    <w:basedOn w:val="Normal"/>
    <w:link w:val="RodapChar"/>
    <w:uiPriority w:val="99"/>
    <w:unhideWhenUsed/>
    <w:rsid w:val="00223A8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23A89"/>
  </w:style>
  <w:style w:type="table" w:styleId="Tabelacomgrade">
    <w:name w:val="Table Grid"/>
    <w:basedOn w:val="Tabelanormal"/>
    <w:uiPriority w:val="39"/>
    <w:rsid w:val="00223A89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F0974E-B9C4-47D5-B1E0-7A25FBF336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Éder Brito</dc:creator>
  <cp:keywords/>
  <dc:description/>
  <cp:lastModifiedBy>Daniel Flávio</cp:lastModifiedBy>
  <cp:revision>2</cp:revision>
  <dcterms:created xsi:type="dcterms:W3CDTF">2026-09-30T00:17:00Z</dcterms:created>
  <dcterms:modified xsi:type="dcterms:W3CDTF">2026-09-30T00:17:00Z</dcterms:modified>
</cp:coreProperties>
</file>