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/>
        <w:t xml:space="preserve">RELATÓRIO TÉCNICO — Data Warehouse Organizacional e DataMarts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Campo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Valor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Instituição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Instituto Federal de Goiás (IFG) — Campus Goiânia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Disciplina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Tópicos Avançados em Inteligência Artificial I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Professor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Sirlon Diniz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Autor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Daniel Flávio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Data de entrega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30/09/2026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Repositório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https://github.com/danflavio/ifg-atividade-dw-datamart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1. Objetivo</w:t>
      </w:r>
    </w:p>
    <w:p>
      <w:pPr>
        <w:pStyle w:val="Normal"/>
        <w:spacing w:after="120"/>
        <w:jc w:val="both"/>
      </w:pPr>
      <w:r>
        <w:rPr/>
        <w:t xml:space="preserve">Construir um </w:t>
      </w:r>
      <w:r>
        <w:rPr>
          <w:b/>
        </w:rPr>
        <w:t xml:space="preserve">Data Warehouse (DW) Organizacional</w:t>
      </w:r>
      <w:r>
        <w:rPr/>
        <w:t xml:space="preserve"> que integra duas bases diferentes — </w:t>
      </w:r>
      <w:r>
        <w:rPr>
          <w:b/>
        </w:rPr>
        <w:t xml:space="preserve">Northwind</w:t>
      </w:r>
      <w:r>
        <w:rPr/>
        <w:t xml:space="preserve"> e </w:t>
      </w:r>
      <w:r>
        <w:rPr>
          <w:b/>
        </w:rPr>
        <w:t xml:space="preserve">Mercearia</w:t>
      </w:r>
      <w:r>
        <w:rPr/>
        <w:t xml:space="preserve"> — e, a partir dele, criar </w:t>
      </w:r>
      <w:r>
        <w:rPr>
          <w:b/>
        </w:rPr>
        <w:t xml:space="preserve">três DataMarts</w:t>
      </w:r>
      <w:r>
        <w:rPr/>
        <w:t xml:space="preserve"> de assuntos distintos, aplicando ferramentas de análise de dados sobre o DW e sobre os DataMarts.</w:t>
      </w:r>
    </w:p>
    <w:p>
      <w:pPr>
        <w:pStyle w:val="Normal"/>
        <w:spacing w:after="120"/>
        <w:jc w:val="both"/>
      </w:pPr>
      <w:r>
        <w:rPr/>
        <w:t xml:space="preserve">O trabalho atende aos conceitos pedidos: </w:t>
      </w:r>
      <w:r>
        <w:rPr>
          <w:b/>
        </w:rPr>
        <w:t xml:space="preserve">granularidade</w:t>
      </w:r>
      <w:r>
        <w:rPr/>
        <w:t xml:space="preserve">, </w:t>
      </w:r>
      <w:r>
        <w:rPr>
          <w:b/>
        </w:rPr>
        <w:t xml:space="preserve">integração</w:t>
      </w:r>
      <w:r>
        <w:rPr/>
        <w:t xml:space="preserve">, </w:t>
      </w:r>
      <w:r>
        <w:rPr>
          <w:b/>
        </w:rPr>
        <w:t xml:space="preserve">historicidade</w:t>
      </w:r>
      <w:r>
        <w:rPr/>
        <w:t xml:space="preserve">, </w:t>
      </w:r>
      <w:r>
        <w:rPr>
          <w:b/>
        </w:rPr>
        <w:t xml:space="preserve">dimensão tempo</w:t>
      </w:r>
      <w:r>
        <w:rPr/>
        <w:t xml:space="preserve">, </w:t>
      </w:r>
      <w:r>
        <w:rPr>
          <w:b/>
        </w:rPr>
        <w:t xml:space="preserve">dados externos</w:t>
      </w:r>
      <w:r>
        <w:rPr/>
        <w:t xml:space="preserve"> e </w:t>
      </w:r>
      <w:r>
        <w:rPr>
          <w:b/>
        </w:rPr>
        <w:t xml:space="preserve">LGPD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2. Fontes de dados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Fonte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 que contém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Northwind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Dump PostgreSQL </w:t>
            </w:r>
            <w:r>
              <w:rPr>
                <w:b/>
              </w:rPr>
              <w:t xml:space="preserve">com dados</w:t>
            </w:r>
            <w:r>
              <w:rPr/>
              <w:t xml:space="preserve">: 830 pedidos, 2.155 itens, 91 clientes, 77 produtos, 29 fornecedores, 9 funcionários, 6 transportadoras e entregas em </w:t>
            </w:r>
            <w:r>
              <w:rPr>
                <w:b/>
              </w:rPr>
              <w:t xml:space="preserve">21 países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Mercearia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Somente DDL</w:t>
            </w:r>
            <w:r>
              <w:rPr/>
              <w:t xml:space="preserve">, sem nenhum registro: 14 tabelas, com endereços brasileiros em 5 níveis (UF → Cidade → Bairro → Logradouro → Endereço)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Declaração sobre a Mercearia</w:t>
      </w:r>
    </w:p>
    <w:p>
      <w:pPr>
        <w:pStyle w:val="Normal"/>
        <w:spacing w:after="120"/>
        <w:jc w:val="both"/>
      </w:pPr>
      <w:r>
        <w:rPr/>
        <w:t xml:space="preserve">O material de origem da Mercearia </w:t>
      </w:r>
      <w:r>
        <w:rPr>
          <w:b/>
        </w:rPr>
        <w:t xml:space="preserve">não acompanha dados</w:t>
      </w:r>
      <w:r>
        <w:rPr/>
        <w:t xml:space="preserve">. Para que a integração das duas fontes fosse demonstrável, foi criada uma massa </w:t>
      </w:r>
      <w:r>
        <w:rPr>
          <w:b/>
        </w:rPr>
        <w:t xml:space="preserve">sintética e declarada</w:t>
      </w:r>
      <w:r>
        <w:rPr/>
        <w:t xml:space="preserve"> (</w:t>
      </w:r>
      <w:r>
        <w:rPr>
          <w:rFonts w:ascii="Consolas" w:hAnsi="Consolas"/>
        </w:rPr>
        <w:t xml:space="preserve">sql/seed_mercearia.sql</w:t>
      </w:r>
      <w:r>
        <w:rPr/>
        <w:t xml:space="preserve">): nomes e empresas fictícios, </w:t>
      </w:r>
      <w:r>
        <w:rPr>
          <w:b/>
        </w:rPr>
        <w:t xml:space="preserve">CPF/CNPJ inválidos por construção</w:t>
      </w:r>
      <w:r>
        <w:rPr/>
        <w:t xml:space="preserve"> (só para exercitar o mascaramento) e 3.171 vendas ao longo de 24 meses. </w:t>
      </w:r>
      <w:r>
        <w:rPr>
          <w:b/>
        </w:rPr>
        <w:t xml:space="preserve">Nenhum dado real de pessoa foi usado</w:t>
      </w:r>
      <w:r>
        <w:rPr/>
        <w:t xml:space="preserve">, e o arquivo original permanece intacto.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3. Arquitetura da solução</w:t>
      </w:r>
    </w:p>
    <w:p>
      <w:pPr>
        <w:pStyle w:val="Normal"/>
        <w:shd w:val="clear" w:fill="F2F2F2"/>
        <w:spacing w:after="0"/>
      </w:pPr>
      <w:r>
        <w:rPr>
          <w:rFonts w:ascii="Consolas" w:hAnsi="Consolas"/>
          <w:sz w:val="16"/>
          <w:szCs w:val="16"/>
        </w:rPr>
        <w:t xml:space="preserve">  Northwind ---\</w:t>
      </w:r>
    </w:p>
    <w:p>
      <w:pPr>
        <w:pStyle w:val="Normal"/>
        <w:shd w:val="clear" w:fill="F2F2F2"/>
        <w:spacing w:after="0"/>
      </w:pPr>
      <w:r>
        <w:rPr>
          <w:rFonts w:ascii="Consolas" w:hAnsi="Consolas"/>
          <w:sz w:val="16"/>
          <w:szCs w:val="16"/>
        </w:rPr>
        <w:t xml:space="preserve">                &gt;--- public (staging) ---&gt; dw (DW: 7 dimensões + 3 fatos)</w:t>
      </w:r>
    </w:p>
    <w:p>
      <w:pPr>
        <w:pStyle w:val="Normal"/>
        <w:shd w:val="clear" w:fill="F2F2F2"/>
        <w:spacing w:after="0"/>
      </w:pPr>
      <w:r>
        <w:rPr>
          <w:rFonts w:ascii="Consolas" w:hAnsi="Consolas"/>
          <w:sz w:val="16"/>
          <w:szCs w:val="16"/>
        </w:rPr>
        <w:t xml:space="preserve">  Mercearia ---/                              |</w:t>
      </w:r>
    </w:p>
    <w:p>
      <w:pPr>
        <w:pStyle w:val="Normal"/>
        <w:shd w:val="clear" w:fill="F2F2F2"/>
        <w:spacing w:after="0"/>
      </w:pPr>
      <w:r>
        <w:rPr>
          <w:rFonts w:ascii="Consolas" w:hAnsi="Consolas"/>
          <w:sz w:val="16"/>
          <w:szCs w:val="16"/>
        </w:rPr>
        <w:t xml:space="preserve">  IBGE -------\                               +---&gt; dm_vendas       (assunto: comercial)</w:t>
      </w:r>
    </w:p>
    <w:p>
      <w:pPr>
        <w:pStyle w:val="Normal"/>
        <w:shd w:val="clear" w:fill="F2F2F2"/>
        <w:spacing w:after="0"/>
      </w:pPr>
      <w:r>
        <w:rPr>
          <w:rFonts w:ascii="Consolas" w:hAnsi="Consolas"/>
          <w:sz w:val="16"/>
          <w:szCs w:val="16"/>
        </w:rPr>
        <w:t xml:space="preserve">  BCB/PTAX ---/--&gt; ext (dados externos)       +---&gt; dm_suprimentos  (assunto: compras)</w:t>
      </w:r>
    </w:p>
    <w:p>
      <w:pPr>
        <w:pStyle w:val="Normal"/>
        <w:shd w:val="clear" w:fill="F2F2F2"/>
        <w:spacing w:after="0"/>
      </w:pPr>
      <w:r>
        <w:rPr>
          <w:rFonts w:ascii="Consolas" w:hAnsi="Consolas"/>
          <w:sz w:val="16"/>
          <w:szCs w:val="16"/>
        </w:rPr>
        <w:t xml:space="preserve">                                              +---&gt; dm_logistica    (assunto: entregas)</w:t>
      </w:r>
    </w:p>
    <w:p>
      <w:pPr>
        <w:pStyle w:val="PargrafodaLista"/>
        <w:numPr>
          <w:ilvl w:val="0"/>
          <w:numId w:val="1"/>
        </w:numPr>
        <w:spacing w:after="80"/>
        <w:jc w:val="both"/>
      </w:pPr>
      <w:r>
        <w:rPr>
          <w:b/>
        </w:rPr>
        <w:t xml:space="preserve">SGBD:</w:t>
      </w:r>
      <w:r>
        <w:rPr/>
        <w:t xml:space="preserve"> PostgreSQL 16 em Docker. Tudo sobe e carrega com </w:t>
      </w:r>
      <w:r>
        <w:rPr>
          <w:b/>
        </w:rPr>
        <w:t xml:space="preserve">um comando</w:t>
      </w:r>
      <w:r>
        <w:rPr/>
        <w:t xml:space="preserve">:</w:t>
      </w:r>
    </w:p>
    <w:p>
      <w:pPr>
        <w:pStyle w:val="Normal"/>
        <w:spacing w:after="120"/>
        <w:jc w:val="both"/>
      </w:pPr>
      <w:r>
        <w:rPr>
          <w:rFonts w:ascii="Consolas" w:hAnsi="Consolas"/>
        </w:rPr>
        <w:t xml:space="preserve">docker compose exec -T db sh /etl/00_carga_inicial.sh</w:t>
      </w:r>
    </w:p>
    <w:p>
      <w:pPr>
        <w:pStyle w:val="PargrafodaLista"/>
        <w:numPr>
          <w:ilvl w:val="0"/>
          <w:numId w:val="1"/>
        </w:numPr>
        <w:spacing w:after="80"/>
        <w:jc w:val="both"/>
      </w:pPr>
      <w:r>
        <w:rPr>
          <w:b/>
        </w:rPr>
        <w:t xml:space="preserve">ETL:</w:t>
      </w:r>
      <w:r>
        <w:rPr/>
        <w:t xml:space="preserve"> em </w:t>
      </w:r>
      <w:r>
        <w:rPr>
          <w:b/>
        </w:rPr>
        <w:t xml:space="preserve">SQL puro</w:t>
      </w:r>
      <w:r>
        <w:rPr/>
        <w:t xml:space="preserve"> (o enunciado permite ferramenta; optou-se por SQL por ser auditável e</w:t>
      </w:r>
    </w:p>
    <w:p>
      <w:pPr>
        <w:pStyle w:val="Normal"/>
        <w:spacing w:after="120"/>
        <w:jc w:val="both"/>
      </w:pPr>
      <w:r>
        <w:rPr/>
        <w:t xml:space="preserve">reproduzível sem instalar nada além do banco).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4. Decisões de modelagem</w:t>
      </w:r>
    </w:p>
    <w:p>
      <w:pPr>
        <w:pStyle w:val="Ttulo2"/>
      </w:pPr>
      <w:r>
        <w:rPr/>
        <w:t xml:space="preserve">4.1 Granularidade: o que cada linha representa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Fato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Grão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Por quê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 linha por </w:t>
            </w:r>
            <w:r>
              <w:rPr>
                <w:b/>
              </w:rPr>
              <w:t xml:space="preserve">item</w:t>
            </w:r>
            <w:r>
              <w:rPr/>
              <w:t xml:space="preserve"> de pedido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menor detalhe disponível; permite somar depois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fato_compras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 linha por </w:t>
            </w:r>
            <w:r>
              <w:rPr>
                <w:b/>
              </w:rPr>
              <w:t xml:space="preserve">item</w:t>
            </w:r>
            <w:r>
              <w:rPr/>
              <w:t xml:space="preserve"> de compra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mesma razão, para o processo de compras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fato_entregas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1 linha por </w:t>
            </w:r>
            <w:r>
              <w:rPr>
                <w:b/>
              </w:rPr>
              <w:t xml:space="preserve">pedido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o frete é medido no pedido, não no item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after="120"/>
        <w:jc w:val="both"/>
      </w:pPr>
      <w:r>
        <w:rPr>
          <w:b/>
        </w:rPr>
        <w:t xml:space="preserve">Por que o terceiro fato tem outro grão?</w:t>
      </w:r>
      <w:r>
        <w:rPr/>
        <w:t xml:space="preserve"> No Northwind, o frete (</w:t>
      </w:r>
      <w:r>
        <w:rPr>
          <w:rFonts w:ascii="Consolas" w:hAnsi="Consolas"/>
        </w:rPr>
        <w:t xml:space="preserve">orders.freight</w:t>
      </w:r>
      <w:r>
        <w:rPr/>
        <w:t xml:space="preserve">) é um valor </w:t>
      </w:r>
      <w:r>
        <w:rPr>
          <w:b/>
        </w:rPr>
        <w:t xml:space="preserve">do pedido</w:t>
      </w:r>
      <w:r>
        <w:rPr/>
        <w:t xml:space="preserve">. Se fosse colocado no fato de item, o mesmo frete apareceria </w:t>
      </w:r>
      <w:r>
        <w:rPr>
          <w:b/>
        </w:rPr>
        <w:t xml:space="preserve">repetido em cada item</w:t>
      </w:r>
      <w:r>
        <w:rPr/>
        <w:t xml:space="preserve"> do pedido (dupla contagem) ou teria que ser rateado — um número que não existe na origem. A solução correta é </w:t>
      </w:r>
      <w:r>
        <w:rPr>
          <w:b/>
        </w:rPr>
        <w:t xml:space="preserve">um fato por grão</w:t>
      </w:r>
      <w:r>
        <w:rPr/>
        <w:t xml:space="preserve">, com </w:t>
      </w:r>
      <w:r>
        <w:rPr>
          <w:b/>
        </w:rPr>
        <w:t xml:space="preserve">dimensões conformadas</w:t>
      </w:r>
      <w:r>
        <w:rPr/>
        <w:t xml:space="preserve"> compartilhadas. Ou seja: a granularidade não é detalhe técnico, ela </w:t>
      </w:r>
      <w:r>
        <w:rPr>
          <w:b/>
        </w:rPr>
        <w:t xml:space="preserve">muda o resultado do número</w:t>
      </w:r>
      <w:r>
        <w:rPr/>
        <w:t xml:space="preserve">.</w:t>
      </w:r>
    </w:p>
    <w:p>
      <w:pPr>
        <w:pStyle w:val="Ttulo2"/>
      </w:pPr>
      <w:r>
        <w:rPr/>
        <w:t xml:space="preserve">4.2 Integração das duas fontes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Mecanismo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Aplicação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Chave natural por origem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coluna </w:t>
            </w:r>
            <w:r>
              <w:rPr>
                <w:rFonts w:ascii="Consolas" w:hAnsi="Consolas"/>
              </w:rPr>
              <w:t xml:space="preserve">origem</w:t>
            </w:r>
            <w:r>
              <w:rPr/>
              <w:t xml:space="preserve"> (</w:t>
            </w:r>
            <w:r>
              <w:rPr>
                <w:rFonts w:ascii="Consolas" w:hAnsi="Consolas"/>
              </w:rPr>
              <w:t xml:space="preserve">MERCEARIA</w:t>
            </w:r>
            <w:r>
              <w:rPr/>
              <w:t xml:space="preserve"> / </w:t>
            </w:r>
            <w:r>
              <w:rPr>
                <w:rFonts w:ascii="Consolas" w:hAnsi="Consolas"/>
              </w:rPr>
              <w:t xml:space="preserve">NORTHWIND</w:t>
            </w:r>
            <w:r>
              <w:rPr/>
              <w:t xml:space="preserve">) + chave da fonte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Dimensões conformadas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produto, cliente, fornecedor, localidade e tempo servem aos três fatos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Padronização de país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Brazil</w:t>
            </w:r>
            <w:r>
              <w:rPr/>
              <w:t xml:space="preserve"> (Northwind) e </w:t>
            </w:r>
            <w:r>
              <w:rPr>
                <w:rFonts w:ascii="Consolas" w:hAnsi="Consolas"/>
              </w:rPr>
              <w:t xml:space="preserve">Brasil</w:t>
            </w:r>
            <w:r>
              <w:rPr/>
              <w:t xml:space="preserve"> (Mercearia) viram </w:t>
            </w:r>
            <w:r>
              <w:rPr>
                <w:b/>
              </w:rPr>
              <w:t xml:space="preserve">o mesmo país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Normalização de texto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Sao Paulo</w:t>
            </w:r>
            <w:r>
              <w:rPr/>
              <w:t xml:space="preserve"> e </w:t>
            </w:r>
            <w:r>
              <w:rPr>
                <w:rFonts w:ascii="Consolas" w:hAnsi="Consolas"/>
              </w:rPr>
              <w:t xml:space="preserve">São Paulo</w:t>
            </w:r>
            <w:r>
              <w:rPr/>
              <w:t xml:space="preserve"> reconhecidos como a </w:t>
            </w:r>
            <w:r>
              <w:rPr>
                <w:b/>
              </w:rPr>
              <w:t xml:space="preserve">mesma cidade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Chave oficial externa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codigo_ibge</w:t>
            </w:r>
            <w:r>
              <w:rPr/>
              <w:t xml:space="preserve"> no município, para casar com sistemas oficiais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tulo2"/>
      </w:pPr>
      <w:r>
        <w:rPr/>
        <w:t xml:space="preserve">4.3 Historicidade — SCD Tipo 2</w:t>
      </w:r>
    </w:p>
    <w:p>
      <w:pPr>
        <w:pStyle w:val="Normal"/>
        <w:spacing w:after="120"/>
        <w:jc w:val="both"/>
      </w:pPr>
      <w:r>
        <w:rPr/>
        <w:t xml:space="preserve">Aplicado em </w:t>
      </w:r>
      <w:r>
        <w:rPr>
          <w:b/>
        </w:rPr>
        <w:t xml:space="preserve">`dim_produto`</w:t>
      </w:r>
      <w:r>
        <w:rPr/>
        <w:t xml:space="preserve"> (preço) e </w:t>
      </w:r>
      <w:r>
        <w:rPr>
          <w:b/>
        </w:rPr>
        <w:t xml:space="preserve">`dim_cliente`</w:t>
      </w:r>
      <w:r>
        <w:rPr/>
        <w:t xml:space="preserve"> (faixa de renda). A dimensão guarda </w:t>
      </w:r>
      <w:r>
        <w:rPr>
          <w:rFonts w:ascii="Consolas" w:hAnsi="Consolas"/>
        </w:rPr>
        <w:t xml:space="preserve">versao</w:t>
      </w:r>
      <w:r>
        <w:rPr/>
        <w:t xml:space="preserve">, </w:t>
      </w:r>
      <w:r>
        <w:rPr>
          <w:rFonts w:ascii="Consolas" w:hAnsi="Consolas"/>
        </w:rPr>
        <w:t xml:space="preserve">data_inicio</w:t>
      </w:r>
      <w:r>
        <w:rPr/>
        <w:t xml:space="preserve">, </w:t>
      </w:r>
      <w:r>
        <w:rPr>
          <w:rFonts w:ascii="Consolas" w:hAnsi="Consolas"/>
        </w:rPr>
        <w:t xml:space="preserve">data_fim</w:t>
      </w:r>
      <w:r>
        <w:rPr/>
        <w:t xml:space="preserve"> e </w:t>
      </w:r>
      <w:r>
        <w:rPr>
          <w:rFonts w:ascii="Consolas" w:hAnsi="Consolas"/>
        </w:rPr>
        <w:t xml:space="preserve">flag_atual</w:t>
      </w:r>
      <w:r>
        <w:rPr/>
        <w:t xml:space="preserve">.</w:t>
      </w:r>
    </w:p>
    <w:p>
      <w:pPr>
        <w:pStyle w:val="Normal"/>
        <w:spacing w:after="120"/>
        <w:jc w:val="both"/>
      </w:pPr>
      <w:r>
        <w:rPr>
          <w:b/>
        </w:rPr>
        <w:t xml:space="preserve">Não basta declarar no DDL — foi testado.</w:t>
      </w:r>
      <w:r>
        <w:rPr/>
        <w:t xml:space="preserve"> O teste (</w:t>
      </w:r>
      <w:r>
        <w:rPr>
          <w:rFonts w:ascii="Consolas" w:hAnsi="Consolas"/>
        </w:rPr>
        <w:t xml:space="preserve">etl/90_teste_scd2.sql</w:t>
      </w:r>
      <w:r>
        <w:rPr/>
        <w:t xml:space="preserve">) altera o preço do arroz na origem e recarrega a dimensão:</w:t>
      </w:r>
    </w:p>
    <w:tbl>
      <w:tblPr>
        <w:tblStyle w:val="Tabelacomgrade"/>
        <w:tblW w:w="10546" w:type="dxa"/>
        <w:tblLook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w="2109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Versão</w:t>
            </w:r>
          </w:p>
        </w:tc>
        <w:tc>
          <w:tcPr>
            <w:tcW w:w="2109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Preço</w:t>
            </w:r>
          </w:p>
        </w:tc>
        <w:tc>
          <w:tcPr>
            <w:tcW w:w="2109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Vigente</w:t>
            </w:r>
          </w:p>
        </w:tc>
        <w:tc>
          <w:tcPr>
            <w:tcW w:w="2109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 fim</w:t>
            </w:r>
          </w:p>
        </w:tc>
        <w:tc>
          <w:tcPr>
            <w:tcW w:w="2109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Vendas ligadas</w:t>
            </w:r>
          </w:p>
        </w:tc>
      </w:tr>
      <w:tr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24,90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não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28/09/2026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>
                <w:b/>
              </w:rPr>
              <w:t xml:space="preserve">324 linhas (R$ 50.845,80)</w:t>
            </w:r>
          </w:p>
        </w:tc>
      </w:tr>
      <w:tr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27,39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>
                <w:b/>
              </w:rPr>
              <w:t xml:space="preserve">sim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  <w:tc>
          <w:tcPr>
            <w:tcW w:w="2109" w:type="dxa"/>
          </w:tcPr>
          <w:p>
            <w:pPr>
              <w:pStyle w:val="Normal"/>
            </w:pPr>
            <w:r>
              <w:rPr/>
              <w:t xml:space="preserve">—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after="120"/>
        <w:jc w:val="both"/>
      </w:pPr>
      <w:r>
        <w:rPr/>
        <w:t xml:space="preserve">As </w:t>
      </w:r>
      <w:r>
        <w:rPr>
          <w:b/>
        </w:rPr>
        <w:t xml:space="preserve">vendas antigas continuaram presas à versão antiga</w:t>
      </w:r>
      <w:r>
        <w:rPr/>
        <w:t xml:space="preserve">, com o preço da época. Sem SCD2, o passado seria reescrito e a receita histórica ficaria distorcida.</w:t>
      </w:r>
    </w:p>
    <w:p>
      <w:pPr>
        <w:pStyle w:val="Ttulo2"/>
      </w:pPr>
      <w:r>
        <w:rPr/>
        <w:t xml:space="preserve">4.4 Dimensão tempo</w:t>
      </w:r>
    </w:p>
    <w:p>
      <w:pPr>
        <w:pStyle w:val="Normal"/>
        <w:spacing w:after="120"/>
        <w:jc w:val="both"/>
      </w:pPr>
      <w:r>
        <w:rPr>
          <w:rFonts w:ascii="Consolas" w:hAnsi="Consolas"/>
        </w:rPr>
        <w:t xml:space="preserve">dim_tempo</w:t>
      </w:r>
      <w:r>
        <w:rPr/>
        <w:t xml:space="preserve"> no grão de </w:t>
      </w:r>
      <w:r>
        <w:rPr>
          <w:b/>
        </w:rPr>
        <w:t xml:space="preserve">dia</w:t>
      </w:r>
      <w:r>
        <w:rPr/>
        <w:t xml:space="preserve">, de </w:t>
      </w:r>
      <w:r>
        <w:rPr>
          <w:b/>
        </w:rPr>
        <w:t xml:space="preserve">01/01/1996 a 31/12/2026</w:t>
      </w:r>
      <w:r>
        <w:rPr/>
        <w:t xml:space="preserve"> = </w:t>
      </w:r>
      <w:r>
        <w:rPr>
          <w:b/>
        </w:rPr>
        <w:t xml:space="preserve">11.323 dias</w:t>
      </w:r>
      <w:r>
        <w:rPr/>
        <w:t xml:space="preserve">, com </w:t>
      </w:r>
      <w:r>
        <w:rPr>
          <w:b/>
        </w:rPr>
        <w:t xml:space="preserve">281 feriados</w:t>
      </w:r>
      <w:r>
        <w:rPr/>
        <w:t xml:space="preserve"> e </w:t>
      </w:r>
      <w:r>
        <w:rPr>
          <w:b/>
        </w:rPr>
        <w:t xml:space="preserve">62 pontos facultativos</w:t>
      </w:r>
      <w:r>
        <w:rPr/>
        <w:t xml:space="preserve">. O período é a </w:t>
      </w:r>
      <w:r>
        <w:rPr>
          <w:b/>
        </w:rPr>
        <w:t xml:space="preserve">união</w:t>
      </w:r>
      <w:r>
        <w:rPr/>
        <w:t xml:space="preserve"> dos períodos das duas fontes: se fosse gerado só o período recente, as 2.155 vendas do Northwind ficariam </w:t>
      </w:r>
      <w:r>
        <w:rPr>
          <w:b/>
        </w:rPr>
        <w:t xml:space="preserve">órfãs</w:t>
      </w:r>
      <w:r>
        <w:rPr/>
        <w:t xml:space="preserve">. A dimensão é usada em </w:t>
      </w:r>
      <w:r>
        <w:rPr>
          <w:b/>
        </w:rPr>
        <w:t xml:space="preserve">papel duplo</w:t>
      </w:r>
      <w:r>
        <w:rPr/>
        <w:t xml:space="preserve"> (ex.: data da venda e data do faturamento).</w:t>
      </w:r>
    </w:p>
    <w:p>
      <w:pPr>
        <w:pStyle w:val="Normal"/>
        <w:spacing w:after="120"/>
        <w:jc w:val="both"/>
      </w:pPr>
      <w:r>
        <w:rPr>
          <w:b/>
        </w:rPr>
        <w:t xml:space="preserve">Rigor conceitual:</w:t>
      </w:r>
      <w:r>
        <w:rPr/>
        <w:t xml:space="preserve"> Carnaval e Corpus Christi foram marcados como </w:t>
      </w:r>
      <w:r>
        <w:rPr>
          <w:b/>
        </w:rPr>
        <w:t xml:space="preserve">ponto facultativo</w:t>
      </w:r>
      <w:r>
        <w:rPr/>
        <w:t xml:space="preserve">, e não como feriado, porque </w:t>
      </w:r>
      <w:r>
        <w:rPr>
          <w:b/>
        </w:rPr>
        <w:t xml:space="preserve">não são feriados legais</w:t>
      </w:r>
      <w:r>
        <w:rPr/>
        <w:t xml:space="preserve">. O 20/11 (Consciência Negra) só é feriado </w:t>
      </w:r>
      <w:r>
        <w:rPr>
          <w:b/>
        </w:rPr>
        <w:t xml:space="preserve">a partir de 2024</w:t>
      </w:r>
      <w:r>
        <w:rPr/>
        <w:t xml:space="preserve">, conforme a Lei 14.759/2023. Essa distinção gerou um achado de negócio (item 7).</w:t>
      </w:r>
    </w:p>
    <w:p>
      <w:pPr>
        <w:pStyle w:val="Ttulo2"/>
      </w:pPr>
      <w:r>
        <w:rPr/>
        <w:t xml:space="preserve">4.5 Dados externos e conversão de moeda</w:t>
      </w:r>
    </w:p>
    <w:tbl>
      <w:tblPr>
        <w:tblStyle w:val="Tabelacomgrade"/>
        <w:tblW w:w="10546" w:type="dxa"/>
        <w:tblLook w:val="04A0"/>
      </w:tblPr>
      <w:tblGrid>
        <w:gridCol w:w="3515"/>
        <w:gridCol w:w="3515"/>
        <w:gridCol w:w="3515"/>
      </w:tblGrid>
      <w:tr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Dado externo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Fonte</w:t>
            </w:r>
          </w:p>
        </w:tc>
        <w:tc>
          <w:tcPr>
            <w:tcW w:w="3515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Onde entra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Código do município e população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IBGE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dim_localidade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Cotação USD→BRL do dia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b/>
              </w:rPr>
              <w:t xml:space="preserve">BCB / PTAX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fato_vendas.taxa_cambio</w:t>
            </w:r>
          </w:p>
        </w:tc>
      </w:tr>
      <w:tr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Feriados (calculados pela Páscoa)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/>
              <w:t xml:space="preserve">calendário</w:t>
            </w:r>
          </w:p>
        </w:tc>
        <w:tc>
          <w:tcPr>
            <w:tcW w:w="3515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dim_tempo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after="120"/>
        <w:jc w:val="both"/>
      </w:pPr>
      <w:r>
        <w:rPr/>
        <w:t xml:space="preserve">Foram extraídos </w:t>
      </w:r>
      <w:r>
        <w:rPr>
          <w:b/>
        </w:rPr>
        <w:t xml:space="preserve">39 municípios</w:t>
      </w:r>
      <w:r>
        <w:rPr/>
        <w:t xml:space="preserve"> e </w:t>
      </w:r>
      <w:r>
        <w:rPr>
          <w:b/>
        </w:rPr>
        <w:t xml:space="preserve">750 cotações</w:t>
      </w:r>
      <w:r>
        <w:rPr/>
        <w:t xml:space="preserve"> PTAX (1996–1998), com fonte e data de acesso registradas em </w:t>
      </w:r>
      <w:r>
        <w:rPr>
          <w:rFonts w:ascii="Consolas" w:hAnsi="Consolas"/>
        </w:rPr>
        <w:t xml:space="preserve">dados_externos/README.md</w:t>
      </w:r>
      <w:r>
        <w:rPr/>
        <w:t xml:space="preserve">.</w:t>
      </w:r>
    </w:p>
    <w:p>
      <w:pPr>
        <w:pStyle w:val="Normal"/>
        <w:spacing w:after="120"/>
        <w:jc w:val="both"/>
      </w:pPr>
      <w:r>
        <w:rPr>
          <w:b/>
        </w:rPr>
        <w:t xml:space="preserve">Por que converter?</w:t>
      </w:r>
      <w:r>
        <w:rPr/>
        <w:t xml:space="preserve"> O Northwind está em </w:t>
      </w:r>
      <w:r>
        <w:rPr>
          <w:b/>
        </w:rPr>
        <w:t xml:space="preserve">dólar</w:t>
      </w:r>
      <w:r>
        <w:rPr/>
        <w:t xml:space="preserve"> e a Mercearia em </w:t>
      </w:r>
      <w:r>
        <w:rPr>
          <w:b/>
        </w:rPr>
        <w:t xml:space="preserve">real</w:t>
      </w:r>
      <w:r>
        <w:rPr/>
        <w:t xml:space="preserve">. Somar as duas moedas produziria um número sem sentido. A regra adotada: converter pela </w:t>
      </w:r>
      <w:r>
        <w:rPr>
          <w:b/>
        </w:rPr>
        <w:t xml:space="preserve">PTAX de compra do dia da venda</w:t>
      </w:r>
      <w:r>
        <w:rPr/>
        <w:t xml:space="preserve"> e </w:t>
      </w:r>
      <w:r>
        <w:rPr>
          <w:b/>
        </w:rPr>
        <w:t xml:space="preserve">gravar a taxa na própria linha</w:t>
      </w:r>
      <w:r>
        <w:rPr/>
        <w:t xml:space="preserve"> do fato, para permitir auditoria. Taxas aplicadas: de </w:t>
      </w:r>
      <w:r>
        <w:rPr>
          <w:b/>
        </w:rPr>
        <w:t xml:space="preserve">1,0040</w:t>
      </w:r>
      <w:r>
        <w:rPr/>
        <w:t xml:space="preserve"> a </w:t>
      </w:r>
      <w:r>
        <w:rPr>
          <w:b/>
        </w:rPr>
        <w:t xml:space="preserve">1,1445</w:t>
      </w:r>
      <w:r>
        <w:rPr/>
        <w:t xml:space="preserve"> BRL por USD.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5. DataMarts</w:t>
      </w:r>
    </w:p>
    <w:p>
      <w:pPr>
        <w:pStyle w:val="Normal"/>
        <w:spacing w:after="120"/>
        <w:jc w:val="both"/>
      </w:pPr>
      <w:r>
        <w:rPr/>
        <w:t xml:space="preserve">Cada DataMart é um </w:t>
      </w:r>
      <w:r>
        <w:rPr>
          <w:b/>
        </w:rPr>
        <w:t xml:space="preserve">esquema estrela próprio</w:t>
      </w:r>
      <w:r>
        <w:rPr/>
        <w:t xml:space="preserve">, materializado como tabelas físicas e carregado a partir do DW. As dimensões mantêm a </w:t>
      </w:r>
      <w:r>
        <w:rPr>
          <w:b/>
        </w:rPr>
        <w:t xml:space="preserve">mesma chave</w:t>
      </w:r>
      <w:r>
        <w:rPr/>
        <w:t xml:space="preserve"> do DW, e isso é verificado por teste.</w:t>
      </w:r>
    </w:p>
    <w:tbl>
      <w:tblPr>
        <w:tblStyle w:val="Tabelacomgrade"/>
        <w:tblW w:w="10546" w:type="dxa"/>
        <w:tblLook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#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DataMart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Assunto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Fato (grão)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Dimensões</w:t>
            </w:r>
          </w:p>
        </w:tc>
        <w:tc>
          <w:tcPr>
            <w:tcW w:w="1757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Linhas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dm_vendas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desempenho comercial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fato_vendas</w:t>
            </w:r>
            <w:r>
              <w:rPr/>
              <w:t xml:space="preserve"> (item)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produto, cliente, localidade, vendedor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11.651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dm_suprimentos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compras e abastecimento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fato_compras</w:t>
            </w:r>
            <w:r>
              <w:rPr/>
              <w:t xml:space="preserve"> (item)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produto, fornecedor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302</w:t>
            </w:r>
          </w:p>
        </w:tc>
      </w:tr>
      <w:tr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dm_logistica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entregas e frete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fato_entregas</w:t>
            </w:r>
            <w:r>
              <w:rPr/>
              <w:t xml:space="preserve"> (pedido)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tempo (papel duplo), cliente, localidade, transportadora</w:t>
            </w:r>
          </w:p>
        </w:tc>
        <w:tc>
          <w:tcPr>
            <w:tcW w:w="1757" w:type="dxa"/>
          </w:tcPr>
          <w:p>
            <w:pPr>
              <w:pStyle w:val="Normal"/>
            </w:pPr>
            <w:r>
              <w:rPr/>
              <w:t xml:space="preserve">830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after="120"/>
        <w:jc w:val="both"/>
      </w:pPr>
      <w:r>
        <w:rPr>
          <w:b/>
        </w:rPr>
        <w:t xml:space="preserve">1 — Vendas.</w:t>
      </w:r>
      <w:r>
        <w:rPr/>
        <w:t xml:space="preserve"> Apoia decisões de preço, mix de produtos, desconto e alocação de vendedor. Dimensões: tempo (papel duplo), produto, cliente, localidade e vendedor.</w:t>
      </w:r>
    </w:p>
    <w:p>
      <w:pPr>
        <w:pStyle w:val="Normal"/>
        <w:spacing w:after="120"/>
        <w:jc w:val="both"/>
      </w:pPr>
      <w:r>
        <w:rPr>
          <w:b/>
        </w:rPr>
        <w:t xml:space="preserve">2 — Suprimentos.</w:t>
      </w:r>
      <w:r>
        <w:rPr/>
        <w:t xml:space="preserve"> Apoia a decisão de compra: de quem comprar, a que custo e com que prazo. O Northwind não tem compras, então este DataMart é da Mercearia — </w:t>
      </w:r>
      <w:r>
        <w:rPr>
          <w:b/>
        </w:rPr>
        <w:t xml:space="preserve">mas compartilha a mesma `dim_produto`</w:t>
      </w:r>
      <w:r>
        <w:rPr/>
        <w:t xml:space="preserve"> do DataMart de Vendas, o que permite cruzar </w:t>
      </w:r>
      <w:r>
        <w:rPr>
          <w:b/>
        </w:rPr>
        <w:t xml:space="preserve">custo de compra × preço de venda</w:t>
      </w:r>
      <w:r>
        <w:rPr/>
        <w:t xml:space="preserve">.</w:t>
      </w:r>
    </w:p>
    <w:p>
      <w:pPr>
        <w:pStyle w:val="Normal"/>
        <w:spacing w:after="120"/>
        <w:jc w:val="both"/>
      </w:pPr>
      <w:r>
        <w:rPr>
          <w:b/>
        </w:rPr>
        <w:t xml:space="preserve">3 — Logística.</w:t>
      </w:r>
      <w:r>
        <w:rPr/>
        <w:t xml:space="preserve"> Existe pela razão técnica do item 4.1: o frete é do pedido. Apoia a escolha de transportadora (prazo e frete) e mostra o efeito de feriados no prazo.</w:t>
      </w:r>
    </w:p>
    <w:p>
      <w:pPr>
        <w:pStyle w:val="Normal"/>
        <w:spacing w:after="120"/>
        <w:jc w:val="both"/>
      </w:pPr>
      <w:r>
        <w:rPr>
          <w:b/>
        </w:rPr>
        <w:t xml:space="preserve">Recorte:</w:t>
      </w:r>
      <w:r>
        <w:rPr/>
        <w:t xml:space="preserve"> cada DataMart carrega apenas as dimensões e os membros que os seus fatos usam. No DataMart de Logística, CPF, faixa de renda e data de nascimento foram </w:t>
      </w:r>
      <w:r>
        <w:rPr>
          <w:b/>
        </w:rPr>
        <w:t xml:space="preserve">omitidos</w:t>
      </w:r>
      <w:r>
        <w:rPr/>
        <w:t xml:space="preserve"> (minimização de dados). Todas as versões históricas usadas pelos fatos são mantidas, senão as vendas antigas ficariam órfãs.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6. Processo de ETL e testes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Etapa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 que faz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Extract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carrega Northwind e Mercearia no schema </w:t>
            </w:r>
            <w:r>
              <w:rPr>
                <w:rFonts w:ascii="Consolas" w:hAnsi="Consolas"/>
              </w:rPr>
              <w:t xml:space="preserve">public</w:t>
            </w:r>
            <w:r>
              <w:rPr/>
              <w:t xml:space="preserve"> e cria a massa sintética declarada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Dados externos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carga do IBGE, da PTAX, do calendário de câmbio e dos feriados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Transform + Load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dimensão tempo, as 7 dimensões (com mascaramento LGPD) e os 3 fatos (com conversão de moeda)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cria e carrega os 3 DataMarts e roda os testes de integridade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after="120"/>
        <w:jc w:val="both"/>
      </w:pPr>
      <w:r>
        <w:rPr>
          <w:b/>
        </w:rPr>
        <w:t xml:space="preserve">Transformações principais:</w:t>
      </w:r>
      <w:r>
        <w:rPr/>
        <w:t xml:space="preserve"> conversão USD→BRL com a taxa gravada; padronização de país e de nome de cidade; mascaramento de CPF/CNPJ; generalização de renda em faixas; telefones </w:t>
      </w:r>
      <w:r>
        <w:rPr>
          <w:b/>
        </w:rPr>
        <w:t xml:space="preserve">não</w:t>
      </w:r>
      <w:r>
        <w:rPr/>
        <w:t xml:space="preserve"> carregados; tratamento de nulos (21 pedidos sem expedição, por exemplo) sem inventar valor.</w:t>
      </w:r>
    </w:p>
    <w:p>
      <w:pPr>
        <w:pStyle w:val="Normal"/>
        <w:spacing w:after="120"/>
        <w:jc w:val="both"/>
      </w:pPr>
      <w:r>
        <w:rPr>
          <w:b/>
        </w:rPr>
        <w:t xml:space="preserve">Resultados dos testes: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Teste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Resultado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Contagens origem × DW (13 comparações)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todas iguais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Identidade contábil das medidas (11.651 linhas)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 erros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Registros órfãos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Versão vigente única por chave (SCD2)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100%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Conformidade entre DataMarts</w:t>
            </w:r>
            <w:r>
              <w:rPr/>
              <w:t xml:space="preserve"> (mesmo membro = mesmos valores)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 divergências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LGPD: colunas sensíveis no DataMart de Logística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after="120"/>
        <w:jc w:val="both"/>
      </w:pPr>
      <w:r>
        <w:rPr>
          <w:b/>
        </w:rPr>
        <w:t xml:space="preserve">Defeitos encontrados e corrigidos no processo:</w:t>
      </w:r>
      <w:r>
        <w:rPr/>
        <w:t xml:space="preserve"> 7 no total. Dois deles merecem registro, porque </w:t>
      </w:r>
      <w:r>
        <w:rPr>
          <w:b/>
        </w:rPr>
        <w:t xml:space="preserve">passaram por todos os testes de contagem</w:t>
      </w:r>
      <w:r>
        <w:rPr/>
        <w:t xml:space="preserve"> e só apareceram quando o dado foi </w:t>
      </w:r>
      <w:r>
        <w:rPr>
          <w:b/>
        </w:rPr>
        <w:t xml:space="preserve">usado</w:t>
      </w:r>
      <w:r>
        <w:rPr/>
        <w:t xml:space="preserve"> na análise: a mesma cidade entrando duas vezes (</w:t>
      </w:r>
      <w:r>
        <w:rPr>
          <w:rFonts w:ascii="Consolas" w:hAnsi="Consolas"/>
        </w:rPr>
        <w:t xml:space="preserve">Sao Paulo</w:t>
      </w:r>
      <w:r>
        <w:rPr/>
        <w:t xml:space="preserve"> e </w:t>
      </w:r>
      <w:r>
        <w:rPr>
          <w:rFonts w:ascii="Consolas" w:hAnsi="Consolas"/>
        </w:rPr>
        <w:t xml:space="preserve">São Paulo</w:t>
      </w:r>
      <w:r>
        <w:rPr/>
        <w:t xml:space="preserve">) e a UF </w:t>
      </w:r>
      <w:r>
        <w:rPr>
          <w:rFonts w:ascii="Consolas" w:hAnsi="Consolas"/>
        </w:rPr>
        <w:t xml:space="preserve">SP</w:t>
      </w:r>
      <w:r>
        <w:rPr/>
        <w:t xml:space="preserve"> aparecendo com dois rótulos diferentes. A lição: </w:t>
      </w:r>
      <w:r>
        <w:rPr>
          <w:b/>
        </w:rPr>
        <w:t xml:space="preserve">teste de contagem não substitui teste de uso</w:t>
      </w:r>
      <w:r>
        <w:rPr/>
        <w:t xml:space="preserve">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7. Análise de dados</w:t>
      </w:r>
    </w:p>
    <w:p>
      <w:pPr>
        <w:pStyle w:val="Normal"/>
        <w:spacing w:after="120"/>
        <w:jc w:val="both"/>
      </w:pPr>
      <w:r>
        <w:rPr>
          <w:b/>
        </w:rPr>
        <w:t xml:space="preserve">Ferramenta:</w:t>
      </w:r>
      <w:r>
        <w:rPr/>
        <w:t xml:space="preserve"> Python 3.13 (pandas, matplotlib, scikit-learn), conectado direto ao banco e aplicado </w:t>
      </w:r>
      <w:r>
        <w:rPr>
          <w:b/>
        </w:rPr>
        <w:t xml:space="preserve">ao DW e aos DataMarts</w:t>
      </w:r>
      <w:r>
        <w:rPr/>
        <w:t xml:space="preserve">. Script: </w:t>
      </w:r>
      <w:r>
        <w:rPr>
          <w:rFonts w:ascii="Consolas" w:hAnsi="Consolas"/>
        </w:rPr>
        <w:t xml:space="preserve">analise/analise_dw_datamarts.py</w:t>
      </w:r>
      <w:r>
        <w:rPr/>
        <w:t xml:space="preserve">.</w:t>
      </w:r>
    </w:p>
    <w:p>
      <w:pPr>
        <w:pStyle w:val="Normal"/>
        <w:spacing w:after="120"/>
        <w:jc w:val="both"/>
      </w:pPr>
      <w:r>
        <w:rPr/>
        <w:t xml:space="preserve">Faturamento total: </w:t>
      </w:r>
      <w:r>
        <w:rPr>
          <w:b/>
        </w:rPr>
        <w:t xml:space="preserve">R$ 1.991.124,46</w:t>
      </w:r>
      <w:r>
        <w:rPr/>
        <w:t xml:space="preserve"> · prazo médio de entrega: </w:t>
      </w:r>
      <w:r>
        <w:rPr>
          <w:b/>
        </w:rPr>
        <w:t xml:space="preserve">8,5 dias</w:t>
      </w:r>
      <w:r>
        <w:rPr/>
        <w:t xml:space="preserve"> · frete médio: </w:t>
      </w:r>
      <w:r>
        <w:rPr>
          <w:b/>
        </w:rPr>
        <w:t xml:space="preserve">R$ 85,20</w:t>
      </w:r>
      <w:r>
        <w:rPr/>
        <w:t xml:space="preserve">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2742045"/>
            <wp:docPr id="101" name="Figura 10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_evolucao_mensal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274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240"/>
        <w:jc w:val="center"/>
      </w:pPr>
      <w:r>
        <w:rPr>
          <w:i/>
        </w:rPr>
        <w:t xml:space="preserve">Figura 1 — Evolução mensal do faturamento (BRL) por origem (Northwind 1996–1998 e Mercearia 2024–2026).</w:t>
      </w:r>
    </w:p>
    <w:p>
      <w:pPr>
        <w:pStyle w:val="Normal"/>
        <w:spacing w:after="120"/>
        <w:jc w:val="both"/>
      </w:pPr>
      <w:r>
        <w:rPr>
          <w:b/>
        </w:rPr>
        <w:t xml:space="preserve">Resultados principais:</w:t>
      </w:r>
    </w:p>
    <w:p>
      <w:pPr>
        <w:pStyle w:val="PargrafodaLista"/>
        <w:spacing w:after="80"/>
        <w:jc w:val="both"/>
      </w:pPr>
      <w:r>
        <w:rPr>
          <w:b/>
        </w:rPr>
        <w:t xml:space="preserve">Sazonalidade:</w:t>
      </w:r>
      <w:r>
        <w:rPr/>
        <w:t xml:space="preserve"> fim de semana vende </w:t>
      </w:r>
      <w:r>
        <w:rPr>
          <w:b/>
        </w:rPr>
        <w:t xml:space="preserve">~1,5× mais</w:t>
      </w:r>
      <w:r>
        <w:rPr/>
        <w:t xml:space="preserve"> que dia útil. E **feriado legal vende 21%</w:t>
      </w:r>
    </w:p>
    <w:p>
      <w:pPr>
        <w:pStyle w:val="Normal"/>
        <w:spacing w:after="120"/>
        <w:jc w:val="both"/>
      </w:pPr>
      <w:r>
        <w:rPr/>
        <w:t xml:space="preserve">MENOS</w:t>
      </w:r>
      <w:r>
        <w:rPr>
          <w:b/>
        </w:rPr>
        <w:t xml:space="preserve"> que um dia comum (R$ 670,76 contra R$ 846,29), enquanto Carnaval e Corpus Christi (ponto facultativo) vendem </w:t>
      </w:r>
      <w:r>
        <w:rPr/>
        <w:t xml:space="preserve">mais</w:t>
      </w:r>
      <w:r>
        <w:rPr>
          <w:b/>
        </w:rPr>
        <w:t xml:space="preserve"> (R$ 947,02) — o que </w:t>
      </w:r>
      <w:r>
        <w:rPr/>
        <w:t xml:space="preserve">justifica** a flag separada na dimensão tempo.</w:t>
      </w:r>
    </w:p>
    <w:p>
      <w:pPr>
        <w:pStyle w:val="PargrafodaLista"/>
        <w:spacing w:after="80"/>
        <w:jc w:val="both"/>
      </w:pPr>
      <w:r>
        <w:rPr>
          <w:b/>
        </w:rPr>
        <w:t xml:space="preserve">Dezembro</w:t>
      </w:r>
      <w:r>
        <w:rPr/>
        <w:t xml:space="preserve"> é pico nas duas bases, mesmo sendo fontes de épocas diferentes.</w:t>
      </w:r>
    </w:p>
    <w:p>
      <w:pPr>
        <w:pStyle w:val="PargrafodaLista"/>
        <w:spacing w:after="80"/>
        <w:jc w:val="both"/>
      </w:pPr>
      <w:r>
        <w:rPr>
          <w:b/>
        </w:rPr>
        <w:t xml:space="preserve">Mercearia fatura por volume; Northwind por valor unitário</w:t>
      </w:r>
      <w:r>
        <w:rPr/>
        <w:t xml:space="preserve"> — o topo do ranking é dominado por</w:t>
      </w:r>
    </w:p>
    <w:p>
      <w:pPr>
        <w:pStyle w:val="Normal"/>
        <w:spacing w:after="120"/>
        <w:jc w:val="both"/>
      </w:pPr>
      <w:r>
        <w:rPr/>
        <w:t xml:space="preserve">produtos caros do Northwind, enquanto a fralda lidera na Mercearia.</w:t>
      </w:r>
    </w:p>
    <w:p>
      <w:pPr>
        <w:pStyle w:val="PargrafodaLista"/>
        <w:spacing w:after="80"/>
        <w:jc w:val="both"/>
      </w:pPr>
      <w:r>
        <w:rPr>
          <w:b/>
        </w:rPr>
        <w:t xml:space="preserve">Logística:</w:t>
      </w:r>
      <w:r>
        <w:rPr/>
        <w:t xml:space="preserve"> a United Package concentra o maior volume (326 pedidos), tem o </w:t>
      </w:r>
      <w:r>
        <w:rPr>
          <w:b/>
        </w:rPr>
        <w:t xml:space="preserve">pior prazo</w:t>
      </w:r>
    </w:p>
    <w:p>
      <w:pPr>
        <w:pStyle w:val="Normal"/>
        <w:spacing w:after="120"/>
        <w:jc w:val="both"/>
      </w:pPr>
      <w:r>
        <w:rPr/>
        <w:t xml:space="preserve">(9,2 dias) e o </w:t>
      </w:r>
      <w:r>
        <w:rPr>
          <w:b/>
        </w:rPr>
        <w:t xml:space="preserve">maior frete</w:t>
      </w:r>
      <w:r>
        <w:rPr/>
        <w:t xml:space="preserve"> (R$ 94,80) — prioridade de renegociação.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351388"/>
            <wp:docPr id="102" name="Figura 1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5_transportadoras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3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240"/>
        <w:jc w:val="center"/>
      </w:pPr>
      <w:r>
        <w:rPr>
          <w:i/>
        </w:rPr>
        <w:t xml:space="preserve">Figura 2 — Prazo médio de entrega por transportadora (dias).</w:t>
      </w:r>
    </w:p>
    <w:p>
      <w:pPr>
        <w:pStyle w:val="PargrafodaLista"/>
        <w:spacing w:after="80"/>
        <w:jc w:val="both"/>
      </w:pPr>
      <w:r>
        <w:rPr>
          <w:b/>
        </w:rPr>
        <w:t xml:space="preserve">IA — segmentação de clientes (K-Means sobre RFM):</w:t>
      </w:r>
      <w:r>
        <w:rPr/>
        <w:t xml:space="preserve"> 60 clientes em 3 grupos. O grupo intermediário</w:t>
      </w:r>
    </w:p>
    <w:p>
      <w:pPr>
        <w:pStyle w:val="Normal"/>
        <w:spacing w:after="120"/>
        <w:jc w:val="both"/>
      </w:pPr>
      <w:r>
        <w:rPr/>
        <w:t xml:space="preserve">(13 clientes) tem valor próximo ao topo, mas </w:t>
      </w:r>
      <w:r>
        <w:rPr>
          <w:b/>
        </w:rPr>
        <w:t xml:space="preserve">46 dias sem comprar</w:t>
      </w:r>
      <w:r>
        <w:rPr/>
        <w:t xml:space="preserve"> — melhor oportunidade de reativação.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686527"/>
            <wp:docPr id="103" name="Figura 1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7_clusters_clientes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68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240"/>
        <w:jc w:val="center"/>
      </w:pPr>
      <w:r>
        <w:rPr>
          <w:i/>
        </w:rPr>
        <w:t xml:space="preserve">Figura 3 — Segmentação de clientes (K-Means, k=3) sobre recência × valor.</w:t>
      </w:r>
    </w:p>
    <w:p>
      <w:pPr>
        <w:pStyle w:val="PargrafodaLista"/>
        <w:spacing w:after="80"/>
        <w:jc w:val="both"/>
      </w:pPr>
      <w:r>
        <w:rPr>
          <w:b/>
        </w:rPr>
        <w:t xml:space="preserve">IA — projeção de vendas (regressão linear):</w:t>
      </w:r>
      <w:r>
        <w:rPr/>
        <w:t xml:space="preserve"> R² = </w:t>
      </w:r>
      <w:r>
        <w:rPr>
          <w:b/>
        </w:rPr>
        <w:t xml:space="preserve">0,866</w:t>
      </w:r>
      <w:r>
        <w:rPr/>
        <w:t xml:space="preserve">, com **efeito de dezembro de</w:t>
      </w:r>
    </w:p>
    <w:p>
      <w:pPr>
        <w:pStyle w:val="Normal"/>
        <w:spacing w:after="120"/>
        <w:jc w:val="both"/>
      </w:pPr>
      <w:r>
        <w:rPr/>
        <w:t xml:space="preserve">+R$ 21.686,08</w:t>
      </w:r>
      <w:r>
        <w:rPr>
          <w:b/>
        </w:rPr>
        <w:t xml:space="preserve"> (projeção do próximo dezembro: R$ 44.994,89). O bom ajuste vem da </w:t>
      </w:r>
      <w:r>
        <w:rPr/>
        <w:t xml:space="preserve">sazonalidade**, não de crescimento.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6032500" cy="3016250"/>
            <wp:docPr id="104" name="Figura 1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8_previsao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after="240"/>
        <w:jc w:val="center"/>
      </w:pPr>
      <w:r>
        <w:rPr>
          <w:i/>
        </w:rPr>
        <w:t xml:space="preserve">Figura 4 — Faturamento mensal e projeção por regressão linear.</w:t>
      </w:r>
    </w:p>
    <w:p>
      <w:pPr>
        <w:pStyle w:val="Normal"/>
        <w:spacing w:after="120"/>
        <w:jc w:val="both"/>
      </w:pPr>
      <w:r>
        <w:rPr>
          <w:b/>
        </w:rPr>
        <w:t xml:space="preserve">Limitações declaradas:</w:t>
      </w:r>
      <w:r>
        <w:rPr/>
        <w:t xml:space="preserve"> a margem por produto saiu uniforme em 35% por ser </w:t>
      </w:r>
      <w:r>
        <w:rPr>
          <w:b/>
        </w:rPr>
        <w:t xml:space="preserve">artefato dos dados sintéticos</w:t>
      </w:r>
      <w:r>
        <w:rPr/>
        <w:t xml:space="preserve"> (o custo foi gerado como 65% do preço) — o método está correto, o número não é interpretável. E o seed sintético faz os clientes comprarem com frequência parecida, então a segmentação separou sobretudo por valor. Com dados reais, ambos os resultados seriam mais ricos.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8. LGPD</w:t>
      </w:r>
    </w:p>
    <w:p>
      <w:pPr>
        <w:pStyle w:val="Normal"/>
        <w:spacing w:after="120"/>
        <w:jc w:val="both"/>
      </w:pPr>
      <w:r>
        <w:rPr/>
        <w:t xml:space="preserve">Aplicada de forma preventiva, embora os dados usados sejam públicos ou sintéticos: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Medida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Onde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Minimização</w:t>
            </w:r>
            <w:r>
              <w:rPr/>
              <w:t xml:space="preserve"> — telefones </w:t>
            </w:r>
            <w:r>
              <w:rPr>
                <w:b/>
              </w:rPr>
              <w:t xml:space="preserve">não</w:t>
            </w:r>
            <w:r>
              <w:rPr/>
              <w:t xml:space="preserve"> entram no DW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tabela </w:t>
            </w:r>
            <w:r>
              <w:rPr>
                <w:rFonts w:ascii="Consolas" w:hAnsi="Consolas"/>
              </w:rPr>
              <w:t xml:space="preserve">Telefones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Mascaramento</w:t>
            </w:r>
            <w:r>
              <w:rPr/>
              <w:t xml:space="preserve"> — CPF/CNPJ vira </w:t>
            </w:r>
            <w:r>
              <w:rPr>
                <w:rFonts w:ascii="Consolas" w:hAnsi="Consolas"/>
              </w:rPr>
              <w:t xml:space="preserve">***.***.***-XX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dim_cliente.cpf_cnpj_masked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Generalização</w:t>
            </w:r>
            <w:r>
              <w:rPr/>
              <w:t xml:space="preserve"> — renda exata vira </w:t>
            </w:r>
            <w:r>
              <w:rPr>
                <w:b/>
              </w:rPr>
              <w:t xml:space="preserve">faixa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dim_cliente.faixa_renda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Minimização por assunto</w:t>
            </w:r>
            <w:r>
              <w:rPr/>
              <w:t xml:space="preserve"> — sem CPF, renda e nascimento no DataMart de entregas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dm_logistica.dim_cliente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>
                <w:b/>
              </w:rPr>
              <w:t xml:space="preserve">Dados sintéticos declarados</w:t>
            </w:r>
            <w:r>
              <w:rPr/>
              <w:t xml:space="preserve"> — nenhum dado real de pessoa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sql/seed_mercearia.sql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9. Conclusão</w:t>
      </w:r>
    </w:p>
    <w:p>
      <w:pPr>
        <w:pStyle w:val="Normal"/>
        <w:spacing w:after="120"/>
        <w:jc w:val="both"/>
      </w:pPr>
      <w:r>
        <w:rPr/>
        <w:t xml:space="preserve">O trabalho entregou um DW que </w:t>
      </w:r>
      <w:r>
        <w:rPr>
          <w:b/>
        </w:rPr>
        <w:t xml:space="preserve">integra de fato</w:t>
      </w:r>
      <w:r>
        <w:rPr/>
        <w:t xml:space="preserve"> duas fontes de estruturas e semânticas diferentes: quatro dimensões recebem registros das duas bases, os rótulos conflitantes foram padronizados e as medidas ficaram homogêneas com conversão cambial auditável.</w:t>
      </w:r>
    </w:p>
    <w:p>
      <w:pPr>
        <w:pStyle w:val="Normal"/>
        <w:spacing w:after="120"/>
        <w:jc w:val="both"/>
      </w:pPr>
      <w:r>
        <w:rPr/>
        <w:t xml:space="preserve">Os três itens da atividade foram atendidos: (1) o DW integrando Northwind e Mercearia; (2) </w:t>
      </w:r>
      <w:r>
        <w:rPr>
          <w:b/>
        </w:rPr>
        <w:t xml:space="preserve">três DataMarts</w:t>
      </w:r>
      <w:r>
        <w:rPr/>
        <w:t xml:space="preserve"> modelados com assunto, grão, dimensões e justificativa, com DDL própria; (3) </w:t>
      </w:r>
      <w:r>
        <w:rPr>
          <w:b/>
        </w:rPr>
        <w:t xml:space="preserve">análise de dados aplicada ao DW e aos DataMarts</w:t>
      </w:r>
      <w:r>
        <w:rPr/>
        <w:t xml:space="preserve">, incluindo dois modelos de aprendizado de máquina.</w:t>
      </w:r>
    </w:p>
    <w:p>
      <w:pPr>
        <w:pStyle w:val="Normal"/>
        <w:spacing w:after="120"/>
        <w:jc w:val="both"/>
      </w:pPr>
      <w:r>
        <w:rPr/>
        <w:t xml:space="preserve">Os conceitos pedidos não ficaram no texto: </w:t>
      </w:r>
      <w:r>
        <w:rPr>
          <w:b/>
        </w:rPr>
        <w:t xml:space="preserve">granularidade</w:t>
      </w:r>
      <w:r>
        <w:rPr/>
        <w:t xml:space="preserve"> gerou um fato adicional (frete), </w:t>
      </w:r>
      <w:r>
        <w:rPr>
          <w:b/>
        </w:rPr>
        <w:t xml:space="preserve">integração</w:t>
      </w:r>
      <w:r>
        <w:rPr/>
        <w:t xml:space="preserve"> exigiu padronização de país e de texto, </w:t>
      </w:r>
      <w:r>
        <w:rPr>
          <w:b/>
        </w:rPr>
        <w:t xml:space="preserve">historicidade</w:t>
      </w:r>
      <w:r>
        <w:rPr/>
        <w:t xml:space="preserve"> foi demonstrada com as vendas antigas preservadas no preço da época, a </w:t>
      </w:r>
      <w:r>
        <w:rPr>
          <w:b/>
        </w:rPr>
        <w:t xml:space="preserve">dimensão tempo</w:t>
      </w:r>
      <w:r>
        <w:rPr/>
        <w:t xml:space="preserve"> cobre a união dos períodos, os </w:t>
      </w:r>
      <w:r>
        <w:rPr>
          <w:b/>
        </w:rPr>
        <w:t xml:space="preserve">dados externos</w:t>
      </w:r>
      <w:r>
        <w:rPr/>
        <w:t xml:space="preserve"> enriquecem localidade e câmbio, e a </w:t>
      </w:r>
      <w:r>
        <w:rPr>
          <w:b/>
        </w:rPr>
        <w:t xml:space="preserve">LGPD</w:t>
      </w:r>
      <w:r>
        <w:rPr/>
        <w:t xml:space="preserve"> orientou quatro decisões de minimização.</w:t>
      </w:r>
    </w:p>
    <w:p>
      <w:pPr>
        <w:pStyle w:val="Normal"/>
        <w:spacing w:after="120"/>
        <w:jc w:val="both"/>
      </w:pPr>
      <w:r>
        <w:rPr>
          <w:b/>
        </w:rPr>
        <w:t xml:space="preserve">Limitações:</w:t>
      </w:r>
      <w:r>
        <w:rPr/>
        <w:t xml:space="preserve"> a Mercearia não acompanha dados, então sua massa é sintética e declarada; as duas fontes são de épocas distantes, portanto não devem ser lidas como uma série contínua de uma mesma economia; e o modelo de projeção é didático (24 pontos, 2 variáveis).</w:t>
      </w:r>
    </w:p>
    <w:p>
      <w:pPr>
        <w:pStyle w:val="Normal"/>
      </w:pPr>
      <w:r>
        <w:t xml:space="preserve"/>
      </w:r>
    </w:p>
    <w:p>
      <w:pPr>
        <w:pStyle w:val="Ttulo1"/>
      </w:pPr>
      <w:r>
        <w:rPr/>
        <w:t xml:space="preserve">10. Referências e anexos</w:t>
      </w:r>
    </w:p>
    <w:p>
      <w:pPr>
        <w:pStyle w:val="Normal"/>
        <w:spacing w:after="120"/>
        <w:jc w:val="both"/>
      </w:pPr>
      <w:r>
        <w:rPr>
          <w:b/>
        </w:rPr>
        <w:t xml:space="preserve">Referências:</w:t>
      </w:r>
      <w:r>
        <w:rPr/>
        <w:t xml:space="preserve"> KIMBALL, R.; ROSS, M. </w:t>
      </w:r>
      <w:r>
        <w:rPr>
          <w:i/>
        </w:rPr>
        <w:t xml:space="preserve">The Data Warehouse Toolkit</w:t>
      </w:r>
      <w:r>
        <w:rPr/>
        <w:t xml:space="preserve">. 3. ed. Wiley, 2013. · IBGE — API de Localidades e Agregados (acesso em 29/09/2026) · BCB — PTAX/OLINDA (acesso em 29/09/2026) · BRASIL, Lei 13.709/2018 (LGPD) · BRASIL, Lei 14.759/2023.</w:t>
      </w:r>
    </w:p>
    <w:tbl>
      <w:tblPr>
        <w:tblStyle w:val="Tabelacomgrade"/>
        <w:tblW w:w="10546" w:type="dxa"/>
        <w:tblLook w:val="04A0"/>
      </w:tblPr>
      <w:tblGrid>
        <w:gridCol w:w="5273"/>
        <w:gridCol w:w="5273"/>
      </w:tblGrid>
      <w:tr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Anexo</w:t>
            </w:r>
          </w:p>
        </w:tc>
        <w:tc>
          <w:tcPr>
            <w:tcW w:w="5273" w:type="dxa"/>
            <w:shd w:val="clear" w:color="auto" w:fill="DCE6F1"/>
            <w:tblHeader/>
          </w:tcPr>
          <w:p>
            <w:pPr>
              <w:pStyle w:val="Normal"/>
            </w:pPr>
            <w:r>
              <w:rPr>
                <w:b/>
              </w:rPr>
              <w:t xml:space="preserve">Arquivo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DDL do DW e dos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sql/01_dw_organizacional.sql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sql/04_datamarts.sql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Dimensão tempo e dados externos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sql/02_dim_tempo.sql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sql/03_dados_externos.sql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Carga completa (um comando) e ETL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etl/00_carga_inicial.sh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etl/10_carga_dimensoes.sql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etl/20_carga_fatos.sql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etl/30_carga_datamarts.sql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Testes (integridade e historicidade)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etl/99_validacao.sql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etl/40_validacao_datamarts.sql</w:t>
            </w:r>
            <w:r>
              <w:rPr/>
              <w:t xml:space="preserve">, </w:t>
            </w:r>
            <w:r>
              <w:rPr>
                <w:rFonts w:ascii="Consolas" w:hAnsi="Consolas"/>
              </w:rPr>
              <w:t xml:space="preserve">etl/90_teste_scd2.sql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Análise (script, gráficos e tabelas)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analise/</w:t>
            </w:r>
          </w:p>
        </w:tc>
      </w:tr>
      <w:tr>
        <w:tc>
          <w:tcPr>
            <w:tcW w:w="5273" w:type="dxa"/>
          </w:tcPr>
          <w:p>
            <w:pPr>
              <w:pStyle w:val="Normal"/>
            </w:pPr>
            <w:r>
              <w:rPr/>
              <w:t xml:space="preserve">Diagramas do DW e dos DataMarts</w:t>
            </w:r>
          </w:p>
        </w:tc>
        <w:tc>
          <w:tcPr>
            <w:tcW w:w="5273" w:type="dxa"/>
          </w:tcPr>
          <w:p>
            <w:pPr>
              <w:pStyle w:val="Normal"/>
            </w:pPr>
            <w:r>
              <w:rPr>
                <w:rFonts w:ascii="Consolas" w:hAnsi="Consolas"/>
              </w:rPr>
              <w:t xml:space="preserve">docs/diagramas.md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after="120"/>
        <w:jc w:val="both"/>
      </w:pPr>
      <w:r>
        <w:rPr>
          <w:b/>
        </w:rPr>
        <w:t xml:space="preserve">Repositório completo</w:t>
      </w:r>
      <w:r>
        <w:rPr/>
        <w:t xml:space="preserve"> (código, ETL, testes e análises): https://github.com/danflavio/ifg-atividade-dw-datamart</w:t>
      </w:r>
    </w:p>
    <w:sectPr w:rsidR="003A44DC" w:rsidRPr="003A44DC" w:rsidSect="00DC4C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567" w:right="680" w:bottom="567" w:left="680" w:header="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B242B" w14:textId="77777777" w:rsidR="00B91D61" w:rsidRDefault="00B91D61" w:rsidP="00223A89">
      <w:pPr>
        <w:spacing w:after="0" w:line="240" w:lineRule="auto"/>
      </w:pPr>
      <w:r>
        <w:separator/>
      </w:r>
    </w:p>
  </w:endnote>
  <w:endnote w:type="continuationSeparator" w:id="0">
    <w:p w14:paraId="541B9DEC" w14:textId="77777777" w:rsidR="00B91D61" w:rsidRDefault="00B91D61" w:rsidP="00223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57571" w14:textId="77777777" w:rsidR="004A68FE" w:rsidRDefault="004A68F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371FB" w14:textId="77777777" w:rsidR="004A68FE" w:rsidRDefault="004A68FE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A062A" w14:textId="77777777" w:rsidR="004A68FE" w:rsidRDefault="004A68F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83474" w14:textId="77777777" w:rsidR="00B91D61" w:rsidRDefault="00B91D61" w:rsidP="00223A89">
      <w:pPr>
        <w:spacing w:after="0" w:line="240" w:lineRule="auto"/>
      </w:pPr>
      <w:r>
        <w:separator/>
      </w:r>
    </w:p>
  </w:footnote>
  <w:footnote w:type="continuationSeparator" w:id="0">
    <w:p w14:paraId="57A692D1" w14:textId="77777777" w:rsidR="00B91D61" w:rsidRDefault="00B91D61" w:rsidP="00223A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E8E8C" w14:textId="77777777" w:rsidR="004A68FE" w:rsidRDefault="004A68F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689C" w14:textId="1FD645F0" w:rsidR="00223A89" w:rsidRDefault="00223A89">
    <w:pPr>
      <w:pStyle w:val="Cabealho"/>
    </w:pPr>
  </w:p>
  <w:tbl>
    <w:tblPr>
      <w:tblStyle w:val="Tabelacomgrade"/>
      <w:tblpPr w:leftFromText="141" w:rightFromText="141" w:vertAnchor="page" w:horzAnchor="margin" w:tblpXSpec="center" w:tblpY="571"/>
      <w:tblW w:w="10031" w:type="dxa"/>
      <w:tblLook w:val="04A0" w:firstRow="1" w:lastRow="0" w:firstColumn="1" w:lastColumn="0" w:noHBand="0" w:noVBand="1"/>
    </w:tblPr>
    <w:tblGrid>
      <w:gridCol w:w="2256"/>
      <w:gridCol w:w="7775"/>
    </w:tblGrid>
    <w:tr w:rsidR="00223A89" w:rsidRPr="00CA0D8D" w14:paraId="7A0FD193" w14:textId="77777777" w:rsidTr="00223A89">
      <w:tc>
        <w:tcPr>
          <w:tcW w:w="2256" w:type="dxa"/>
          <w:vMerge w:val="restart"/>
        </w:tcPr>
        <w:p w14:paraId="28F9030A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noProof/>
              <w:lang w:eastAsia="pt-BR"/>
            </w:rPr>
            <w:drawing>
              <wp:inline distT="0" distB="0" distL="0" distR="0" wp14:anchorId="4E23A06C" wp14:editId="47CE32D0">
                <wp:extent cx="1123950" cy="695325"/>
                <wp:effectExtent l="0" t="0" r="0" b="9525"/>
                <wp:docPr id="1210098227" name="Imagem 1210098227" descr="C:\Users\Graci\Documents\IFG\Logo-Anapoli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 descr="C:\Users\Graci\Documents\IFG\Logo-Anapolis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75" w:type="dxa"/>
        </w:tcPr>
        <w:p w14:paraId="73F64C5B" w14:textId="1887AAAA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>Estudante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: </w:t>
          </w:r>
          <w:r w:rsidR="00BC4483">
            <w:rPr>
              <w:rFonts w:ascii="Segoe UI" w:hAnsi="Segoe UI" w:cs="Segoe UI"/>
              <w:sz w:val="24"/>
              <w:szCs w:val="24"/>
            </w:rPr>
            <w:t>Daniel Flávio de Oliveira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</w:t>
          </w:r>
        </w:p>
        <w:p w14:paraId="4ADC21F7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                                      </w:t>
          </w:r>
        </w:p>
      </w:tc>
    </w:tr>
    <w:tr w:rsidR="00223A89" w:rsidRPr="00CA0D8D" w14:paraId="0DD4B7DD" w14:textId="77777777" w:rsidTr="00223A89">
      <w:tc>
        <w:tcPr>
          <w:tcW w:w="2256" w:type="dxa"/>
          <w:vMerge/>
        </w:tcPr>
        <w:p w14:paraId="4BE7F43B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1C9150C8" w14:textId="4ED38D92" w:rsidR="00223A89" w:rsidRPr="00CA0D8D" w:rsidRDefault="004A68FE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 xml:space="preserve">Tópicos Avançados de IA 1 </w:t>
          </w:r>
          <w:r w:rsidR="00223A89" w:rsidRPr="00CA0D8D">
            <w:rPr>
              <w:rFonts w:ascii="Segoe UI" w:hAnsi="Segoe UI" w:cs="Segoe UI"/>
              <w:sz w:val="24"/>
              <w:szCs w:val="24"/>
            </w:rPr>
            <w:t xml:space="preserve"> </w:t>
          </w:r>
          <w:r w:rsidR="00223A89">
            <w:rPr>
              <w:rFonts w:ascii="Segoe UI" w:hAnsi="Segoe UI" w:cs="Segoe UI"/>
              <w:sz w:val="24"/>
              <w:szCs w:val="24"/>
            </w:rPr>
            <w:t xml:space="preserve">                     </w:t>
          </w:r>
          <w:r w:rsidR="00247F39">
            <w:rPr>
              <w:rFonts w:ascii="Segoe UI" w:hAnsi="Segoe UI" w:cs="Segoe UI"/>
              <w:sz w:val="24"/>
              <w:szCs w:val="24"/>
            </w:rPr>
            <w:t>Especialização em IA Aplicada</w:t>
          </w:r>
        </w:p>
      </w:tc>
    </w:tr>
    <w:tr w:rsidR="00223A89" w:rsidRPr="00CA0D8D" w14:paraId="3A579CB5" w14:textId="77777777" w:rsidTr="00223A89">
      <w:tc>
        <w:tcPr>
          <w:tcW w:w="2256" w:type="dxa"/>
          <w:vMerge/>
        </w:tcPr>
        <w:p w14:paraId="349E5D65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3A71C9CD" w14:textId="34BB9B78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Professor: </w:t>
          </w:r>
          <w:proofErr w:type="spellStart"/>
          <w:r w:rsidR="004A68FE">
            <w:rPr>
              <w:rFonts w:ascii="Segoe UI" w:hAnsi="Segoe UI" w:cs="Segoe UI"/>
              <w:sz w:val="24"/>
              <w:szCs w:val="24"/>
            </w:rPr>
            <w:t>Sirlon</w:t>
          </w:r>
          <w:proofErr w:type="spellEnd"/>
          <w:r w:rsidR="004A68FE">
            <w:rPr>
              <w:rFonts w:ascii="Segoe UI" w:hAnsi="Segoe UI" w:cs="Segoe UI"/>
              <w:sz w:val="24"/>
              <w:szCs w:val="24"/>
            </w:rPr>
            <w:t xml:space="preserve"> Diniz                               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          </w:t>
          </w:r>
          <w:r>
            <w:rPr>
              <w:rFonts w:ascii="Segoe UI" w:hAnsi="Segoe UI" w:cs="Segoe UI"/>
              <w:sz w:val="24"/>
              <w:szCs w:val="24"/>
            </w:rPr>
            <w:t xml:space="preserve">         Data: </w:t>
          </w:r>
          <w:r w:rsidR="004A68FE">
            <w:rPr>
              <w:rFonts w:ascii="Segoe UI" w:hAnsi="Segoe UI" w:cs="Segoe UI"/>
              <w:sz w:val="24"/>
              <w:szCs w:val="24"/>
            </w:rPr>
            <w:t>30/09/2026</w:t>
          </w:r>
        </w:p>
      </w:tc>
    </w:tr>
  </w:tbl>
  <w:p w14:paraId="5E89BDF0" w14:textId="13FB1A01" w:rsidR="00223A89" w:rsidRDefault="004408B0" w:rsidP="004408B0">
    <w:pPr>
      <w:pStyle w:val="Cabealho"/>
      <w:tabs>
        <w:tab w:val="clear" w:pos="4252"/>
        <w:tab w:val="clear" w:pos="8504"/>
        <w:tab w:val="left" w:pos="777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D7C64" w14:textId="77777777" w:rsidR="004A68FE" w:rsidRDefault="004A68F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26C4"/>
    <w:multiLevelType w:val="hybridMultilevel"/>
    <w:tmpl w:val="4D1A4AB0"/>
    <w:lvl w:ilvl="0" w:tplc="A1607B4A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C5B16"/>
    <w:multiLevelType w:val="hybridMultilevel"/>
    <w:tmpl w:val="78BAD290"/>
    <w:lvl w:ilvl="0" w:tplc="F09ACE0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Segoe UI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1D580F"/>
    <w:multiLevelType w:val="hybridMultilevel"/>
    <w:tmpl w:val="2D101BA6"/>
    <w:lvl w:ilvl="0" w:tplc="AEB83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FD78B5"/>
    <w:multiLevelType w:val="hybridMultilevel"/>
    <w:tmpl w:val="519AE68A"/>
    <w:lvl w:ilvl="0" w:tplc="4706466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BF1A77"/>
    <w:multiLevelType w:val="hybridMultilevel"/>
    <w:tmpl w:val="519AE68A"/>
    <w:lvl w:ilvl="0" w:tplc="FFFFFFFF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5306B"/>
    <w:multiLevelType w:val="hybridMultilevel"/>
    <w:tmpl w:val="8A80EC0A"/>
    <w:lvl w:ilvl="0" w:tplc="35B0FB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CD596C"/>
    <w:multiLevelType w:val="hybridMultilevel"/>
    <w:tmpl w:val="5F0E34DA"/>
    <w:lvl w:ilvl="0" w:tplc="B0089E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901342">
    <w:abstractNumId w:val="0"/>
  </w:num>
  <w:num w:numId="2" w16cid:durableId="714156355">
    <w:abstractNumId w:val="3"/>
  </w:num>
  <w:num w:numId="3" w16cid:durableId="1803695770">
    <w:abstractNumId w:val="1"/>
  </w:num>
  <w:num w:numId="4" w16cid:durableId="1894265735">
    <w:abstractNumId w:val="4"/>
  </w:num>
  <w:num w:numId="5" w16cid:durableId="1125806676">
    <w:abstractNumId w:val="6"/>
  </w:num>
  <w:num w:numId="6" w16cid:durableId="659578536">
    <w:abstractNumId w:val="5"/>
  </w:num>
  <w:num w:numId="7" w16cid:durableId="844397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89"/>
    <w:rsid w:val="00092F0B"/>
    <w:rsid w:val="001A19CE"/>
    <w:rsid w:val="001F4C85"/>
    <w:rsid w:val="00223A89"/>
    <w:rsid w:val="00247F39"/>
    <w:rsid w:val="003513E0"/>
    <w:rsid w:val="00395273"/>
    <w:rsid w:val="003A44DC"/>
    <w:rsid w:val="003C44BE"/>
    <w:rsid w:val="004408B0"/>
    <w:rsid w:val="004A68FE"/>
    <w:rsid w:val="004D4002"/>
    <w:rsid w:val="005003C4"/>
    <w:rsid w:val="006012AE"/>
    <w:rsid w:val="007A088D"/>
    <w:rsid w:val="008829A9"/>
    <w:rsid w:val="00920F14"/>
    <w:rsid w:val="00974A96"/>
    <w:rsid w:val="00981794"/>
    <w:rsid w:val="00990E1B"/>
    <w:rsid w:val="00A24AFE"/>
    <w:rsid w:val="00B6479F"/>
    <w:rsid w:val="00B82ABC"/>
    <w:rsid w:val="00B91D61"/>
    <w:rsid w:val="00BA7233"/>
    <w:rsid w:val="00BB0EDE"/>
    <w:rsid w:val="00BC4483"/>
    <w:rsid w:val="00BC6D45"/>
    <w:rsid w:val="00C86D77"/>
    <w:rsid w:val="00CB00D8"/>
    <w:rsid w:val="00CB05BD"/>
    <w:rsid w:val="00CE018A"/>
    <w:rsid w:val="00D9772F"/>
    <w:rsid w:val="00DC4CA4"/>
    <w:rsid w:val="00E87380"/>
    <w:rsid w:val="00F10793"/>
    <w:rsid w:val="00F131AA"/>
    <w:rsid w:val="00F40321"/>
    <w:rsid w:val="00F86A30"/>
    <w:rsid w:val="00F8761C"/>
    <w:rsid w:val="00FA2F63"/>
    <w:rsid w:val="00FA61A6"/>
    <w:rsid w:val="00FC656E"/>
    <w:rsid w:val="00FE6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11B121"/>
  <w15:chartTrackingRefBased/>
  <w15:docId w15:val="{BE49E37B-6E78-4331-BA6B-D65463178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D77"/>
  </w:style>
  <w:style w:type="paragraph" w:styleId="Ttulo1">
    <w:name w:val="heading 1"/>
    <w:basedOn w:val="Normal"/>
    <w:next w:val="Normal"/>
    <w:link w:val="Ttulo1Char"/>
    <w:uiPriority w:val="9"/>
    <w:qFormat/>
    <w:rsid w:val="0022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3A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3A8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3A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3A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3A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3A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3A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3A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3A8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3A8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3A8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23A89"/>
  </w:style>
  <w:style w:type="paragraph" w:styleId="Rodap">
    <w:name w:val="footer"/>
    <w:basedOn w:val="Normal"/>
    <w:link w:val="Rodap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23A89"/>
  </w:style>
  <w:style w:type="table" w:styleId="Tabelacomgrade">
    <w:name w:val="Table Grid"/>
    <w:basedOn w:val="Tabelanormal"/>
    <w:uiPriority w:val="39"/>
    <w:rsid w:val="00223A8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F0974E-B9C4-47D5-B1E0-7A25FBF33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Éder Brito</dc:creator>
  <cp:keywords/>
  <dc:description/>
  <cp:lastModifiedBy>Daniel Flávio</cp:lastModifiedBy>
  <cp:revision>2</cp:revision>
  <dcterms:created xsi:type="dcterms:W3CDTF">2026-09-30T00:17:00Z</dcterms:created>
  <dcterms:modified xsi:type="dcterms:W3CDTF">2026-09-30T00:17:00Z</dcterms:modified>
</cp:coreProperties>
</file>