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3FA03CCE" w:rsidR="002435DE" w:rsidRDefault="002435DE" w:rsidP="00E01957">
      <w:pPr>
        <w:spacing w:line="360" w:lineRule="auto"/>
        <w:ind w:firstLine="360"/>
      </w:pPr>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r>
        <w:t xml:space="preserve">. Its range extends through much of the North American Mediterranean zone throughout mountain ranges in California and central Oregon, with most of the growing stock 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r w:rsidR="00BC1636">
        <w:t xml:space="preserve">a key role 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r>
        <w:t>Like many other plant and animal species, Sugar pine faces numerous challenges in the Anthropocene,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5B5B67F" w:rsidR="008611C1" w:rsidRDefault="008611C1" w:rsidP="00E01957">
      <w:pPr>
        <w:spacing w:line="360" w:lineRule="auto"/>
        <w:ind w:firstLine="360"/>
      </w:pPr>
      <w:r>
        <w:t xml:space="preserve">First, disruptions to the fire </w:t>
      </w:r>
      <w:r w:rsidR="00B23450">
        <w:t xml:space="preserve">regime have challenged sugar pine. </w:t>
      </w:r>
      <w:r w:rsidR="00B23450">
        <w:t xml:space="preserve">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via 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combined with a warming climate to drive an increase in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E01957">
      <w:pPr>
        <w:spacing w:line="360" w:lineRule="auto"/>
        <w:ind w:firstLine="360"/>
      </w:pPr>
    </w:p>
    <w:p w14:paraId="2610385A" w14:textId="0B8054DF" w:rsidR="008611C1" w:rsidRPr="00E005FB" w:rsidRDefault="00DB0132" w:rsidP="00E01957">
      <w:pPr>
        <w:spacing w:line="360" w:lineRule="auto"/>
        <w:ind w:firstLine="360"/>
      </w:pPr>
      <w:r>
        <w:lastRenderedPageBreak/>
        <w:t xml:space="preserve">Second, </w:t>
      </w:r>
      <w:r>
        <w:t xml:space="preserve">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w:t>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r w:rsidR="00E005FB">
        <w:t xml:space="preserve">The epidemic in the western United States has been severe enough to cause the related species </w:t>
      </w:r>
      <w:r w:rsidR="00E005FB">
        <w:rPr>
          <w:i/>
          <w:iCs/>
        </w:rPr>
        <w:t xml:space="preserve">Pinus </w:t>
      </w:r>
      <w:proofErr w:type="spellStart"/>
      <w:r w:rsidR="00E005FB">
        <w:rPr>
          <w:i/>
          <w:iCs/>
        </w:rPr>
        <w:t>albicaulis</w:t>
      </w:r>
      <w:proofErr w:type="spellEnd"/>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5FBC0D29" w:rsidR="008611C1" w:rsidRPr="005B4308" w:rsidRDefault="00542DB6" w:rsidP="00E01957">
      <w:pPr>
        <w:spacing w:line="360" w:lineRule="auto"/>
        <w:ind w:firstLine="360"/>
      </w:pPr>
      <w:r>
        <w:t xml:space="preserve">Third, there is evidence that the modern densified forest structure threatens sugar pine in numerous ways. </w:t>
      </w:r>
      <w:r>
        <w:t>Effective fire suppression, which was instituted across much of sugar pine’s range in the 20</w:t>
      </w:r>
      <w:r w:rsidRPr="003B39CC">
        <w:rPr>
          <w:vertAlign w:val="superscript"/>
        </w:rPr>
        <w:t>th</w:t>
      </w:r>
      <w:r>
        <w:t xml:space="preserve"> century, has resulted in an overall densification of these forests</w:t>
      </w:r>
      <w:r>
        <w:t xml:space="preserve">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5B4308">
        <w:t>:</w:t>
      </w:r>
      <w:r w:rsidR="005B4308" w:rsidRPr="005B4308">
        <w:t xml:space="preserve"> </w:t>
      </w:r>
      <w:r>
        <w:t>S</w:t>
      </w:r>
      <w:r>
        <w:t xml:space="preserve">pecies composition (especially of younger cohorts) </w:t>
      </w:r>
      <w:r>
        <w:t xml:space="preserve">has shifted </w:t>
      </w:r>
      <w:r>
        <w:t xml:space="preserve">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w:t>
      </w:r>
      <w:r>
        <w:t xml:space="preserve"> </w:t>
      </w:r>
      <w:r w:rsidR="005B4308">
        <w:t xml:space="preserve">There is also evidence that the densified forest structure has reduced the vigor of adult sugar pines, thus reducing their ability to resist other stresses </w:t>
      </w:r>
      <w:r w:rsidR="005B4308">
        <w:fldChar w:fldCharType="begin" w:fldLock="1"/>
      </w:r>
      <w:r w:rsidR="009F6E8A">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r w:rsidR="005B06F2">
        <w:t xml:space="preserve"> </w:t>
      </w:r>
    </w:p>
    <w:p w14:paraId="36249CCE" w14:textId="394D9B51" w:rsidR="008611C1" w:rsidRDefault="005B06F2" w:rsidP="00E01957">
      <w:pPr>
        <w:spacing w:line="360" w:lineRule="auto"/>
        <w:ind w:firstLine="360"/>
      </w:pPr>
      <w:r>
        <w:t xml:space="preserve">Finally, </w:t>
      </w:r>
      <w:r>
        <w:t xml:space="preserve">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In a context where natural resource </w:t>
      </w:r>
      <w:r>
        <w:lastRenderedPageBreak/>
        <w:t xml:space="preserve">management funding is constrained, it is important to understand the status and demographic outlook for sugar pine as a species.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7D82B733"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0AE890DD"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w:t>
      </w:r>
      <w:proofErr w:type="spellStart"/>
      <w:r w:rsidR="00197ED8">
        <w:t>rasters</w:t>
      </w:r>
      <w:proofErr w:type="spellEnd"/>
      <w:r w:rsidR="00197ED8">
        <w:t xml:space="preserve">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lastRenderedPageBreak/>
        <w:t>Inventory Data</w:t>
      </w:r>
    </w:p>
    <w:p w14:paraId="45A3136F" w14:textId="0BB436C0"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w:t>
      </w:r>
      <w:proofErr w:type="spellStart"/>
      <w:r>
        <w:t>macroplot</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either new recruits or were not tagged due to small size at initial measurement. </w:t>
      </w:r>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The range polygon was used, rather than simply using all plots where sugar pine was </w:t>
      </w:r>
      <w:proofErr w:type="gramStart"/>
      <w:r w:rsidR="004F3A49">
        <w:t>actually present</w:t>
      </w:r>
      <w:proofErr w:type="gramEnd"/>
      <w:r w:rsidR="004F3A49">
        <w: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climatic water deficit (CWD)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w:t>
      </w:r>
      <w:r w:rsidR="003C1D45">
        <w:lastRenderedPageBreak/>
        <w:t xml:space="preserve">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53750994" w:rsidR="00D96875" w:rsidRDefault="00304447" w:rsidP="00E01957">
      <w:pPr>
        <w:spacing w:line="360" w:lineRule="auto"/>
      </w:pPr>
      <w:r>
        <w:tab/>
        <w:t xml:space="preserve">The modelling approach for this study broadly follows that described in </w:t>
      </w:r>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r w:rsidR="00B064C4">
        <w:t xml:space="preserve">, </w:t>
      </w:r>
      <w:r w:rsidR="005F02B2">
        <w:t>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r w:rsidR="005A4789">
        <w:fldChar w:fldCharType="begin"/>
      </w:r>
      <w:r w:rsidR="005A4789">
        <w:instrText xml:space="preserve"> SEQ Equation \* ARABIC </w:instrText>
      </w:r>
      <w:r w:rsidR="005A4789">
        <w:fldChar w:fldCharType="separate"/>
      </w:r>
      <w:r w:rsidR="0021304E">
        <w:rPr>
          <w:noProof/>
        </w:rPr>
        <w:t>1</w:t>
      </w:r>
      <w:r w:rsidR="005A4789">
        <w:rPr>
          <w:noProof/>
        </w:rPr>
        <w:fldChar w:fldCharType="end"/>
      </w:r>
      <w:bookmarkEnd w:id="0"/>
    </w:p>
    <w:p w14:paraId="17EAD06B" w14:textId="72C4E03A" w:rsidR="000B2974" w:rsidRPr="000B2974" w:rsidRDefault="005A4789"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t xml:space="preserve">Equation </w:t>
      </w:r>
      <w:r w:rsidR="005A4789">
        <w:fldChar w:fldCharType="begin"/>
      </w:r>
      <w:r w:rsidR="005A4789">
        <w:instrText xml:space="preserve"> SEQ Equation \* ARABIC </w:instrText>
      </w:r>
      <w:r w:rsidR="005A4789">
        <w:fldChar w:fldCharType="separate"/>
      </w:r>
      <w:r w:rsidR="0021304E">
        <w:rPr>
          <w:noProof/>
        </w:rPr>
        <w:t>2</w:t>
      </w:r>
      <w:r w:rsidR="005A4789">
        <w:rPr>
          <w:noProof/>
        </w:rPr>
        <w:fldChar w:fldCharType="end"/>
      </w:r>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w:t>
      </w:r>
      <w:r w:rsidR="0030686A">
        <w:rPr>
          <w:rFonts w:eastAsiaTheme="minorEastAsia"/>
        </w:rPr>
        <w:lastRenderedPageBreak/>
        <w:t xml:space="preserve">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r w:rsidR="005A4789">
        <w:fldChar w:fldCharType="begin"/>
      </w:r>
      <w:r w:rsidR="005A4789">
        <w:instrText xml:space="preserve"> SEQ Equation \* ARABIC </w:instrText>
      </w:r>
      <w:r w:rsidR="005A4789">
        <w:fldChar w:fldCharType="separate"/>
      </w:r>
      <w:r w:rsidR="0021304E">
        <w:rPr>
          <w:noProof/>
        </w:rPr>
        <w:t>3</w:t>
      </w:r>
      <w:r w:rsidR="005A4789">
        <w:rPr>
          <w:noProof/>
        </w:rPr>
        <w:fldChar w:fldCharType="end"/>
      </w:r>
    </w:p>
    <w:p w14:paraId="63FCE82D" w14:textId="47DEAC8D" w:rsidR="00F30DE4" w:rsidRPr="00880C94" w:rsidRDefault="005A4789"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r w:rsidR="005A4789">
        <w:fldChar w:fldCharType="begin"/>
      </w:r>
      <w:r w:rsidR="005A4789">
        <w:instrText xml:space="preserve"> SEQ Equation \* ARABIC </w:instrText>
      </w:r>
      <w:r w:rsidR="005A4789">
        <w:fldChar w:fldCharType="separate"/>
      </w:r>
      <w:r w:rsidR="0021304E">
        <w:rPr>
          <w:noProof/>
        </w:rPr>
        <w:t>4</w:t>
      </w:r>
      <w:r w:rsidR="005A4789">
        <w:rPr>
          <w:noProof/>
        </w:rPr>
        <w:fldChar w:fldCharType="end"/>
      </w:r>
      <w:bookmarkEnd w:id="2"/>
    </w:p>
    <w:p w14:paraId="29CA2B75" w14:textId="7C04E68D" w:rsidR="00283D34" w:rsidRPr="00283D34" w:rsidRDefault="005A4789"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7D61DE4B"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w:t>
      </w:r>
      <w:r w:rsidR="00481D04">
        <w:rPr>
          <w:rFonts w:eastAsiaTheme="minorEastAsia"/>
        </w:rPr>
        <w:lastRenderedPageBreak/>
        <w:t>described briefly below,</w:t>
      </w:r>
      <w:r w:rsidR="005F02B2">
        <w:rPr>
          <w:rFonts w:eastAsiaTheme="minorEastAsia"/>
        </w:rPr>
        <w:t xml:space="preserve"> 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r w:rsidR="005F02B2">
        <w:rPr>
          <w:rFonts w:eastAsiaTheme="minorEastAsia"/>
        </w:rPr>
        <w:t>,</w:t>
      </w:r>
      <w:r w:rsidR="00481D04">
        <w:rPr>
          <w:rFonts w:eastAsiaTheme="minorEastAsia"/>
        </w:rPr>
        <w:t xml:space="preserve"> 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r w:rsidR="005A4789">
        <w:fldChar w:fldCharType="begin"/>
      </w:r>
      <w:r w:rsidR="005A4789">
        <w:instrText xml:space="preserve"> SEQ Equation \* ARABIC </w:instrText>
      </w:r>
      <w:r w:rsidR="005A4789">
        <w:fldChar w:fldCharType="separate"/>
      </w:r>
      <w:r w:rsidR="0021304E">
        <w:rPr>
          <w:noProof/>
        </w:rPr>
        <w:t>5</w:t>
      </w:r>
      <w:r w:rsidR="005A4789">
        <w:rPr>
          <w:noProof/>
        </w:rPr>
        <w:fldChar w:fldCharType="end"/>
      </w:r>
    </w:p>
    <w:p w14:paraId="17730052" w14:textId="411CC77D" w:rsidR="00481D04" w:rsidRPr="004A6BFC" w:rsidRDefault="005A4789"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w:t>
      </w:r>
      <w:proofErr w:type="gramStart"/>
      <w:r w:rsidR="005F02B2">
        <w:rPr>
          <w:rFonts w:eastAsiaTheme="minorEastAsia"/>
        </w:rPr>
        <w:t>distribution.</w:t>
      </w:r>
      <w:proofErr w:type="gramEnd"/>
      <w:r w:rsidR="005F02B2">
        <w:rPr>
          <w:rFonts w:eastAsiaTheme="minorEastAsia"/>
        </w:rPr>
        <w:t xml:space="preserve">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r w:rsidR="005A4789">
        <w:fldChar w:fldCharType="begin"/>
      </w:r>
      <w:r w:rsidR="005A4789">
        <w:instrText xml:space="preserve"> SEQ Equation \* ARABIC </w:instrText>
      </w:r>
      <w:r w:rsidR="005A4789">
        <w:fldChar w:fldCharType="separate"/>
      </w:r>
      <w:r w:rsidR="0021304E">
        <w:rPr>
          <w:noProof/>
        </w:rPr>
        <w:t>6</w:t>
      </w:r>
      <w:r w:rsidR="005A4789">
        <w:rPr>
          <w:noProof/>
        </w:rPr>
        <w:fldChar w:fldCharType="end"/>
      </w:r>
    </w:p>
    <w:p w14:paraId="79BE3FAF" w14:textId="5893410F" w:rsidR="000B4F67" w:rsidRPr="000B4F67" w:rsidRDefault="005A4789"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r w:rsidR="005A4789">
        <w:fldChar w:fldCharType="begin"/>
      </w:r>
      <w:r w:rsidR="005A4789">
        <w:instrText xml:space="preserve"> SEQ Equation \* ARABIC </w:instrText>
      </w:r>
      <w:r w:rsidR="005A4789">
        <w:fldChar w:fldCharType="separate"/>
      </w:r>
      <w:r w:rsidR="0021304E">
        <w:rPr>
          <w:noProof/>
        </w:rPr>
        <w:t>7</w:t>
      </w:r>
      <w:r w:rsidR="005A4789">
        <w:rPr>
          <w:noProof/>
        </w:rPr>
        <w:fldChar w:fldCharType="end"/>
      </w:r>
    </w:p>
    <w:p w14:paraId="452449EA" w14:textId="43D16C07" w:rsidR="008415CA" w:rsidRPr="007B3DC9" w:rsidRDefault="005A4789"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lastRenderedPageBreak/>
        <w:t xml:space="preserve">Equation </w:t>
      </w:r>
      <w:r w:rsidR="005A4789">
        <w:fldChar w:fldCharType="begin"/>
      </w:r>
      <w:r w:rsidR="005A4789">
        <w:instrText xml:space="preserve"> SEQ Equation \* ARABIC </w:instrText>
      </w:r>
      <w:r w:rsidR="005A4789">
        <w:fldChar w:fldCharType="separate"/>
      </w:r>
      <w:r w:rsidR="0021304E">
        <w:rPr>
          <w:noProof/>
        </w:rPr>
        <w:t>8</w:t>
      </w:r>
      <w:r w:rsidR="005A4789">
        <w:rPr>
          <w:noProof/>
        </w:rPr>
        <w:fldChar w:fldCharType="end"/>
      </w:r>
      <w:bookmarkEnd w:id="3"/>
    </w:p>
    <w:p w14:paraId="36A0526C" w14:textId="7C40DF96" w:rsidR="0027112C" w:rsidRPr="00860357" w:rsidRDefault="005A4789"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w:t>
      </w:r>
      <w:proofErr w:type="gramStart"/>
      <w:r w:rsidR="00B21325">
        <w:rPr>
          <w:rFonts w:eastAsiaTheme="minorEastAsia"/>
        </w:rPr>
        <w:t>a new recruit</w:t>
      </w:r>
      <w:proofErr w:type="gramEnd"/>
      <w:r w:rsidR="00B21325">
        <w:rPr>
          <w:rFonts w:eastAsiaTheme="minorEastAsia"/>
        </w:rPr>
        <w:t xml:space="preserve">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r w:rsidR="005A4789">
        <w:fldChar w:fldCharType="begin"/>
      </w:r>
      <w:r w:rsidR="005A4789">
        <w:instrText xml:space="preserve"> SEQ Equation \* </w:instrText>
      </w:r>
      <w:r w:rsidR="005A4789">
        <w:instrText xml:space="preserve">ARABIC </w:instrText>
      </w:r>
      <w:r w:rsidR="005A4789">
        <w:fldChar w:fldCharType="separate"/>
      </w:r>
      <w:r>
        <w:rPr>
          <w:noProof/>
        </w:rPr>
        <w:t>9</w:t>
      </w:r>
      <w:r w:rsidR="005A4789">
        <w:rPr>
          <w:noProof/>
        </w:rPr>
        <w:fldChar w:fldCharType="end"/>
      </w:r>
      <w:bookmarkEnd w:id="4"/>
    </w:p>
    <w:p w14:paraId="57B8E5BE" w14:textId="0FFA1F2B" w:rsidR="008E09B2" w:rsidRDefault="005A4789"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r>
        <w:rPr>
          <w:rFonts w:eastAsiaTheme="minorEastAsia"/>
        </w:rPr>
        <w:t>We</w:t>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w:t>
      </w:r>
      <w:r>
        <w:rPr>
          <w:rFonts w:eastAsiaTheme="minorEastAsia"/>
        </w:rPr>
        <w:t xml:space="preserve"> </w:t>
      </w:r>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p>
    <w:p w14:paraId="7D69B0AA" w14:textId="5CCCA48D" w:rsidR="003E5D44" w:rsidRPr="000B4F67" w:rsidRDefault="003E5D44" w:rsidP="00EB1B4C">
      <w:pPr>
        <w:spacing w:line="360" w:lineRule="auto"/>
        <w:rPr>
          <w:rFonts w:eastAsiaTheme="minorEastAsia"/>
        </w:rPr>
      </w:pPr>
      <w:r>
        <w:rPr>
          <w:rFonts w:eastAsiaTheme="minorEastAsia"/>
        </w:rPr>
        <w:lastRenderedPageBreak/>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 xml:space="preserve">Other R 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proofErr w:type="spellStart"/>
      <w:r w:rsidR="00D71062">
        <w:rPr>
          <w:rFonts w:eastAsiaTheme="minorEastAsia"/>
        </w:rPr>
        <w:t>doParallel</w:t>
      </w:r>
      <w:proofErr w:type="spellEnd"/>
      <w:r w:rsidR="00D71062">
        <w:rPr>
          <w:rFonts w:eastAsiaTheme="minorEastAsia"/>
        </w:rPr>
        <w:t xml:space="preserve">. </w:t>
      </w:r>
    </w:p>
    <w:p w14:paraId="4B767712" w14:textId="0EBFF758" w:rsidR="00EE5D6E" w:rsidRPr="00EE5D6E" w:rsidRDefault="00272B03" w:rsidP="00E01957">
      <w:pPr>
        <w:pStyle w:val="Heading2"/>
        <w:spacing w:line="360" w:lineRule="auto"/>
      </w:pPr>
      <w:r>
        <w:t>Model Validation</w:t>
      </w:r>
    </w:p>
    <w:p w14:paraId="6EDBD71F" w14:textId="34C79229"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w:t>
      </w:r>
      <w:r w:rsidR="005D180E">
        <w:t>we</w:t>
      </w:r>
      <w:r>
        <w:t xml:space="preserve">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38687E10"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w:t>
      </w:r>
      <w:r w:rsidR="00522FF0">
        <w:lastRenderedPageBreak/>
        <w:t xml:space="preserve">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r w:rsidR="00371AC7">
        <w:rPr>
          <w:rFonts w:eastAsiaTheme="minorEastAsia"/>
        </w:rPr>
        <w:t xml:space="preserve"> (</w:t>
      </w:r>
      <w:r w:rsidR="00371AC7">
        <w:rPr>
          <w:rFonts w:eastAsiaTheme="minorEastAsia"/>
        </w:rPr>
        <w:fldChar w:fldCharType="begin"/>
      </w:r>
      <w:r w:rsidR="00371AC7">
        <w:rPr>
          <w:rFonts w:eastAsiaTheme="minorEastAsia"/>
        </w:rPr>
        <w:instrText xml:space="preserve"> REF _Ref93744929 \h </w:instrText>
      </w:r>
      <w:r w:rsidR="00371AC7">
        <w:rPr>
          <w:rFonts w:eastAsiaTheme="minorEastAsia"/>
        </w:rPr>
      </w:r>
      <w:r w:rsidR="00371AC7">
        <w:rPr>
          <w:rFonts w:eastAsiaTheme="minorEastAsia"/>
        </w:rPr>
        <w:fldChar w:fldCharType="separate"/>
      </w:r>
      <w:r w:rsidR="00371AC7">
        <w:t xml:space="preserve">Figure </w:t>
      </w:r>
      <w:r w:rsidR="00371AC7">
        <w:rPr>
          <w:noProof/>
        </w:rPr>
        <w:t>2</w:t>
      </w:r>
      <w:r w:rsidR="00371AC7">
        <w:rPr>
          <w:rFonts w:eastAsiaTheme="minorEastAsia"/>
        </w:rPr>
        <w:fldChar w:fldCharType="end"/>
      </w:r>
      <w:r w:rsidR="00371AC7">
        <w:rPr>
          <w:rFonts w:eastAsiaTheme="minorEastAsia"/>
        </w:rPr>
        <w:t xml:space="preserve">, </w:t>
      </w:r>
      <w:r w:rsidR="00371AC7">
        <w:rPr>
          <w:rFonts w:eastAsiaTheme="minorEastAsia"/>
        </w:rPr>
        <w:fldChar w:fldCharType="begin"/>
      </w:r>
      <w:r w:rsidR="00371AC7">
        <w:rPr>
          <w:rFonts w:eastAsiaTheme="minorEastAsia"/>
        </w:rPr>
        <w:instrText xml:space="preserve"> REF _Ref94611931 \h </w:instrText>
      </w:r>
      <w:r w:rsidR="00371AC7">
        <w:rPr>
          <w:rFonts w:eastAsiaTheme="minorEastAsia"/>
        </w:rPr>
      </w:r>
      <w:r w:rsidR="00371AC7">
        <w:rPr>
          <w:rFonts w:eastAsiaTheme="minorEastAsia"/>
        </w:rPr>
        <w:fldChar w:fldCharType="separate"/>
      </w:r>
      <w:r w:rsidR="00371AC7">
        <w:t xml:space="preserve">Figure </w:t>
      </w:r>
      <w:r w:rsidR="00371AC7">
        <w:rPr>
          <w:noProof/>
        </w:rPr>
        <w:t>3</w:t>
      </w:r>
      <w:r w:rsidR="00371AC7">
        <w:rPr>
          <w:rFonts w:eastAsiaTheme="minorEastAsia"/>
        </w:rPr>
        <w:fldChar w:fldCharType="end"/>
      </w:r>
      <w:r w:rsidR="00371AC7">
        <w:rPr>
          <w:rFonts w:eastAsiaTheme="minorEastAsia"/>
        </w:rPr>
        <w:t xml:space="preserve">, and </w:t>
      </w:r>
      <w:r w:rsidR="00371AC7">
        <w:rPr>
          <w:rFonts w:eastAsiaTheme="minorEastAsia"/>
        </w:rPr>
        <w:fldChar w:fldCharType="begin"/>
      </w:r>
      <w:r w:rsidR="00371AC7">
        <w:rPr>
          <w:rFonts w:eastAsiaTheme="minorEastAsia"/>
        </w:rPr>
        <w:instrText xml:space="preserve"> REF _Ref94613276 \h </w:instrText>
      </w:r>
      <w:r w:rsidR="00371AC7">
        <w:rPr>
          <w:rFonts w:eastAsiaTheme="minorEastAsia"/>
        </w:rPr>
      </w:r>
      <w:r w:rsidR="00371AC7">
        <w:rPr>
          <w:rFonts w:eastAsiaTheme="minorEastAsia"/>
        </w:rPr>
        <w:fldChar w:fldCharType="separate"/>
      </w:r>
      <w:r w:rsidR="00371AC7">
        <w:t xml:space="preserve">Figure </w:t>
      </w:r>
      <w:r w:rsidR="00371AC7">
        <w:rPr>
          <w:noProof/>
        </w:rPr>
        <w:t>4</w:t>
      </w:r>
      <w:r w:rsidR="00371AC7">
        <w:rPr>
          <w:rFonts w:eastAsiaTheme="minorEastAsia"/>
        </w:rPr>
        <w:fldChar w:fldCharType="end"/>
      </w:r>
      <w:r w:rsidR="00371AC7">
        <w:rPr>
          <w:rFonts w:eastAsiaTheme="minorEastAsia"/>
        </w:rPr>
        <w:t>)</w:t>
      </w:r>
      <w:r w:rsidR="00486861">
        <w:rPr>
          <w:rFonts w:eastAsiaTheme="minorEastAsia"/>
        </w:rPr>
        <w:t>.</w:t>
      </w:r>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 estimate posterior asymptotic growth rates under </w:t>
      </w:r>
      <w:r>
        <w:t>the same suite of</w:t>
      </w:r>
      <w:r w:rsidR="00276327">
        <w:t xml:space="preserve"> scenarios. </w:t>
      </w:r>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r w:rsidR="005A4789">
        <w:fldChar w:fldCharType="begin"/>
      </w:r>
      <w:r w:rsidR="005A4789">
        <w:instrText xml:space="preserve"> SEQ Equation \* ARABIC </w:instrText>
      </w:r>
      <w:r w:rsidR="005A4789">
        <w:fldChar w:fldCharType="separate"/>
      </w:r>
      <w:r>
        <w:rPr>
          <w:noProof/>
        </w:rPr>
        <w:t>10</w:t>
      </w:r>
      <w:r w:rsidR="005A4789">
        <w:rPr>
          <w:noProof/>
        </w:rPr>
        <w:fldChar w:fldCharType="end"/>
      </w:r>
    </w:p>
    <w:p w14:paraId="73B6514E" w14:textId="75C719A7" w:rsidR="00910F38" w:rsidRDefault="005A4789"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w:t>
      </w:r>
      <w:proofErr w:type="gramStart"/>
      <w:r w:rsidR="000E59FA">
        <w:rPr>
          <w:rFonts w:eastAsiaTheme="minorEastAsia"/>
        </w:rPr>
        <w:t>a new recruit</w:t>
      </w:r>
      <w:proofErr w:type="gramEnd"/>
      <w:r w:rsidR="000E59FA">
        <w:rPr>
          <w:rFonts w:eastAsiaTheme="minorEastAsia"/>
        </w:rPr>
        <w:t xml:space="preserve">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t xml:space="preserve">Following the recommendations of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w:t>
      </w:r>
      <w:r w:rsidR="00445077">
        <w:rPr>
          <w:rFonts w:eastAsiaTheme="minorEastAsia"/>
        </w:rPr>
        <w:lastRenderedPageBreak/>
        <w:t xml:space="preserve">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r w:rsidR="00C942ED">
        <w:t>The</w:t>
      </w:r>
      <w:r w:rsidR="0058771A">
        <w:t xml:space="preserve"> posterior median estimate of the intercept for the survival model</w:t>
      </w:r>
      <w:r w:rsidR="0052326E">
        <w:rPr>
          <w:rFonts w:eastAsiaTheme="minorEastAsia"/>
        </w:rPr>
        <w:t xml:space="preserve"> </w:t>
      </w:r>
      <w:r w:rsidR="0058771A">
        <w:t>was 2.08, with a 90%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The presence of WPBR on a subplot also had a negative main effect (median -1.31, CI -2.08 to -0.53), indicating reduced survival for the smallest trees, and an ambiguous interaction with size (median 1.07, CI -0.28 to 2.48). 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a less severe </w:t>
      </w:r>
      <w:r w:rsidR="0082493A">
        <w:t xml:space="preserve">negative </w:t>
      </w:r>
      <w:r w:rsidR="00717725">
        <w:t>impact on survival (median -0.27, CI -0.55 to 0.00)</w:t>
      </w:r>
      <w:r w:rsidR="0082493A">
        <w:t xml:space="preserve"> and a weak or nonexistent interaction with size (median 0.19, CI -0.15 to 0.56). </w:t>
      </w:r>
      <w:r w:rsidR="0082493A">
        <w:lastRenderedPageBreak/>
        <w:t xml:space="preserve">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r w:rsidR="00C15C9A">
        <w:t>Several ecoregions in the southern Sierra Nevada mountains</w:t>
      </w:r>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r w:rsidR="00954945">
        <w:t>Fire had an ambiguous main effect on size at follow-up (median -0.003, CI -0.012 to 0.005) and a negative interaction with initial size (median -0.012, CI -0.021 to -0.003); 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r w:rsidR="00837AAE">
        <w:t xml:space="preserve">There is a broad-scale pattern of ecoregions in the Klamath and </w:t>
      </w:r>
      <w:proofErr w:type="gramStart"/>
      <w:r w:rsidR="00837AAE">
        <w:t>Cascades mountain</w:t>
      </w:r>
      <w:proofErr w:type="gramEnd"/>
      <w:r w:rsidR="00837AAE">
        <w:t xml:space="preserve"> ranges exhibiting negative effects on growth, while the effects of ecoregions in the Sierra Nevada mountain range 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176C98B" w14:textId="58BE168B" w:rsidR="00874307" w:rsidRDefault="00874307" w:rsidP="00293491">
      <w:pPr>
        <w:pStyle w:val="Heading2"/>
        <w:spacing w:line="360" w:lineRule="auto"/>
      </w:pPr>
      <w:r>
        <w:lastRenderedPageBreak/>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(medians 0.35 and -0.18, CIs -1.43 to 1.95 and -3.14 to 2.45, respectively) 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535238A9" w14:textId="6467D35F" w:rsidR="00874307" w:rsidRPr="00874307" w:rsidRDefault="00874307" w:rsidP="00293491">
      <w:pPr>
        <w:pStyle w:val="Heading2"/>
        <w:spacing w:line="360" w:lineRule="auto"/>
      </w:pPr>
      <w:r>
        <w:t>Asymptotic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effects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xml:space="preserve">). Where WPBR is present, the posterior distribution for </w:t>
      </w:r>
      <w:r w:rsidR="00B91F66">
        <w:lastRenderedPageBreak/>
        <w:t>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p>
    <w:p w14:paraId="01A75E00" w14:textId="56102DEE" w:rsidR="00097CE1" w:rsidRPr="009B0C1C" w:rsidRDefault="009B22BB" w:rsidP="009B0C1C">
      <w:pPr>
        <w:pStyle w:val="Heading1"/>
        <w:spacing w:line="360" w:lineRule="auto"/>
      </w:pPr>
      <w:r>
        <w:t>Discussion</w:t>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r w:rsidR="00D95337" w:rsidRPr="00F30BF0">
        <w:rPr>
          <w:rFonts w:cstheme="minorHAnsi"/>
        </w:rPr>
        <w:t xml:space="preserve">. </w:t>
      </w:r>
    </w:p>
    <w:p w14:paraId="5067BE96" w14:textId="2A7C07D2" w:rsidR="001545DE" w:rsidRPr="00F30BF0" w:rsidRDefault="00D95337" w:rsidP="00991CC2">
      <w:pPr>
        <w:spacing w:line="360" w:lineRule="auto"/>
        <w:rPr>
          <w:rFonts w:cstheme="minorHAnsi"/>
        </w:rPr>
      </w:pPr>
      <w:r w:rsidRPr="00F30BF0">
        <w:rPr>
          <w:rFonts w:cstheme="minorHAnsi"/>
        </w:rPr>
        <w:tab/>
        <w:t>The effects of fire on fecundity were nuanced in this study, where fire strongly reduced 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ambiguous effects on 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r w:rsidR="005C7999" w:rsidRPr="00F30BF0">
        <w:rPr>
          <w:rFonts w:cstheme="minorHAnsi"/>
        </w:rPr>
        <w:t>However, the literature suggests that a core way in which fire influences the population dynamics of sugar pine is by killing off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 xml:space="preserve">The most extreme form of this dynamic results in so-called type conversion, where high severity fire locally extirpates sugar pine and </w:t>
      </w:r>
      <w:r w:rsidR="00C63FF8" w:rsidRPr="00F30BF0">
        <w:rPr>
          <w:rFonts w:cstheme="minorHAnsi"/>
        </w:rPr>
        <w:lastRenderedPageBreak/>
        <w:t>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effects of fire on survival are likely temporary. 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w:t>
      </w:r>
      <w:r w:rsidR="00857722" w:rsidRPr="00F30BF0">
        <w:rPr>
          <w:rFonts w:cstheme="minorHAnsi"/>
        </w:rPr>
        <w:lastRenderedPageBreak/>
        <w:t xml:space="preserve">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hat drought and climate related variables had little impact on sugar pine’s vital rates and asymptotic population growth rat</w:t>
      </w:r>
      <w:r>
        <w:rPr>
          <w:rFonts w:cstheme="minorHAnsi"/>
        </w:rPr>
        <w:t>e</w:t>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fuzzed/swapped plot coordinates,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However, it is also possible that</w:t>
      </w:r>
      <w:r w:rsidR="002C7D13" w:rsidRPr="00F30BF0">
        <w:rPr>
          <w:rFonts w:cstheme="minorHAnsi"/>
        </w:rPr>
        <w:t xml:space="preserve"> when the entire range of sugar pine is considered (rather than the site-specific studies often appearing in the literature) that drought truly has mild effects relative to the other stressors considered here. This uncertainty regarding the effects of bioclimatic factors highlights an important avenue for future research. </w:t>
      </w:r>
    </w:p>
    <w:p w14:paraId="124BCF37" w14:textId="61904030"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w:t>
      </w:r>
      <w:r w:rsidRPr="00F30BF0">
        <w:rPr>
          <w:rFonts w:cstheme="minorHAnsi"/>
        </w:rPr>
        <w:lastRenderedPageBreak/>
        <w:t>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relationship between fire exclusion, stand density, and WPBR infection has been suggested,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r w:rsidR="006838F2" w:rsidRPr="00F30BF0">
        <w:rPr>
          <w:rFonts w:cstheme="minorHAnsi"/>
        </w:rPr>
        <w:t xml:space="preserve">Exploring how stressors are likely to interact and shape population dynamics is another goal for future research. </w:t>
      </w:r>
    </w:p>
    <w:p w14:paraId="05C821C7" w14:textId="5B498F89" w:rsidR="000B464D" w:rsidRPr="00F30BF0" w:rsidRDefault="009B0C1C" w:rsidP="00D70E5C">
      <w:pPr>
        <w:spacing w:line="360" w:lineRule="auto"/>
        <w:ind w:firstLine="360"/>
        <w:rPr>
          <w:rFonts w:cstheme="minorHAnsi"/>
        </w:rPr>
      </w:pPr>
      <w:r w:rsidRPr="00F30BF0">
        <w:rPr>
          <w:rFonts w:cstheme="minorHAnsi"/>
        </w:rPr>
        <w:t>There are several other limitations to this study.</w:t>
      </w:r>
      <w:r w:rsidR="006838F2" w:rsidRPr="00F30BF0">
        <w:rPr>
          <w:rFonts w:cstheme="minorHAnsi"/>
        </w:rPr>
        <w:t xml:space="preserve"> </w:t>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 Though the resolution of the </w:t>
      </w:r>
      <w:proofErr w:type="spellStart"/>
      <w:r w:rsidR="004E6FBC" w:rsidRPr="00F30BF0">
        <w:rPr>
          <w:rFonts w:cstheme="minorHAnsi"/>
        </w:rPr>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w:t>
      </w:r>
      <w:r w:rsidR="004E6FBC" w:rsidRPr="00F30BF0">
        <w:rPr>
          <w:rFonts w:cstheme="minorHAnsi"/>
        </w:rPr>
        <w:lastRenderedPageBreak/>
        <w:t xml:space="preserve">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applied alongside timber harvests,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w:t>
      </w:r>
      <w:r w:rsidRPr="00F30BF0">
        <w:rPr>
          <w:rFonts w:cstheme="minorHAnsi"/>
        </w:rPr>
        <w:lastRenderedPageBreak/>
        <w:t xml:space="preserve">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r w:rsidR="0021575D" w:rsidRPr="00F30BF0">
        <w:rPr>
          <w:rFonts w:cstheme="minorHAnsi"/>
        </w:rPr>
        <w:t>The findings of this study indicate that managers can substantially benefit sugar pine populations by investing resources in addressing the tractable challenges posed by fire, densification, and white pine blister rust.</w:t>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67A7B991" w14:textId="1C74655C" w:rsidR="00A41A84" w:rsidRPr="00A41A84" w:rsidRDefault="00EB4A84" w:rsidP="00A41A84">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A41A84" w:rsidRPr="00A41A84">
        <w:rPr>
          <w:rFonts w:ascii="Calibri" w:hAnsi="Calibri" w:cs="Calibri"/>
          <w:noProof/>
          <w:szCs w:val="24"/>
        </w:rPr>
        <w:t xml:space="preserve">Abatzoglou, J. T. </w:t>
      </w:r>
      <w:r w:rsidR="00A41A84" w:rsidRPr="00A41A84">
        <w:rPr>
          <w:rFonts w:ascii="Calibri" w:hAnsi="Calibri" w:cs="Calibri"/>
          <w:i/>
          <w:iCs/>
          <w:noProof/>
          <w:szCs w:val="24"/>
        </w:rPr>
        <w:t>et al.</w:t>
      </w:r>
      <w:r w:rsidR="00A41A84" w:rsidRPr="00A41A84">
        <w:rPr>
          <w:rFonts w:ascii="Calibri" w:hAnsi="Calibri" w:cs="Calibri"/>
          <w:noProof/>
          <w:szCs w:val="24"/>
        </w:rPr>
        <w:t xml:space="preserve"> (2018) ‘TerraClimate, a high-resolution global dataset of monthly climate and climatic water balance from 1958-2015’, </w:t>
      </w:r>
      <w:r w:rsidR="00A41A84" w:rsidRPr="00A41A84">
        <w:rPr>
          <w:rFonts w:ascii="Calibri" w:hAnsi="Calibri" w:cs="Calibri"/>
          <w:i/>
          <w:iCs/>
          <w:noProof/>
          <w:szCs w:val="24"/>
        </w:rPr>
        <w:t>Scientific Data</w:t>
      </w:r>
      <w:r w:rsidR="00A41A84" w:rsidRPr="00A41A84">
        <w:rPr>
          <w:rFonts w:ascii="Calibri" w:hAnsi="Calibri" w:cs="Calibri"/>
          <w:noProof/>
          <w:szCs w:val="24"/>
        </w:rPr>
        <w:t>, 5, pp. 1–12. doi: 10.1038/sdata.2017.191.</w:t>
      </w:r>
    </w:p>
    <w:p w14:paraId="2886E49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Aitken, S. N. and Whitlock, M. C. (2013) ‘Assisted Gene Flow to Facilitate Local Adaptation to Climate Change’, </w:t>
      </w:r>
      <w:r w:rsidRPr="00A41A84">
        <w:rPr>
          <w:rFonts w:ascii="Calibri" w:hAnsi="Calibri" w:cs="Calibri"/>
          <w:i/>
          <w:iCs/>
          <w:noProof/>
          <w:szCs w:val="24"/>
        </w:rPr>
        <w:t>Annual Review of Ecology, evolution, and Systematics</w:t>
      </w:r>
      <w:r w:rsidRPr="00A41A84">
        <w:rPr>
          <w:rFonts w:ascii="Calibri" w:hAnsi="Calibri" w:cs="Calibri"/>
          <w:noProof/>
          <w:szCs w:val="24"/>
        </w:rPr>
        <w:t>, 44, pp. 367–88. doi: 10.1146/annurev-ecolsys-110512-135747.</w:t>
      </w:r>
    </w:p>
    <w:p w14:paraId="59FB66F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Alizadeh, M. R. </w:t>
      </w:r>
      <w:r w:rsidRPr="00A41A84">
        <w:rPr>
          <w:rFonts w:ascii="Calibri" w:hAnsi="Calibri" w:cs="Calibri"/>
          <w:i/>
          <w:iCs/>
          <w:noProof/>
          <w:szCs w:val="24"/>
        </w:rPr>
        <w:t>et al.</w:t>
      </w:r>
      <w:r w:rsidRPr="00A41A84">
        <w:rPr>
          <w:rFonts w:ascii="Calibri" w:hAnsi="Calibri" w:cs="Calibri"/>
          <w:noProof/>
          <w:szCs w:val="24"/>
        </w:rPr>
        <w:t xml:space="preserve"> (2021) ‘Warming enabled upslope advance in western US forest fires’, </w:t>
      </w:r>
      <w:r w:rsidRPr="00A41A84">
        <w:rPr>
          <w:rFonts w:ascii="Calibri" w:hAnsi="Calibri" w:cs="Calibri"/>
          <w:i/>
          <w:iCs/>
          <w:noProof/>
          <w:szCs w:val="24"/>
        </w:rPr>
        <w:t>Proceedings of the National Academy of Sciences of the United States of America</w:t>
      </w:r>
      <w:r w:rsidRPr="00A41A84">
        <w:rPr>
          <w:rFonts w:ascii="Calibri" w:hAnsi="Calibri" w:cs="Calibri"/>
          <w:noProof/>
          <w:szCs w:val="24"/>
        </w:rPr>
        <w:t>, 118(22), pp. 1–14. doi: 10.1073/pnas.2009717118.</w:t>
      </w:r>
    </w:p>
    <w:p w14:paraId="1CA9045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Angell, N., Waring, K. M. and Graves, T. A. (2014) ‘Predicting height growth of sugar pine regeneration using stand and individual tree characteristics’, </w:t>
      </w:r>
      <w:r w:rsidRPr="00A41A84">
        <w:rPr>
          <w:rFonts w:ascii="Calibri" w:hAnsi="Calibri" w:cs="Calibri"/>
          <w:i/>
          <w:iCs/>
          <w:noProof/>
          <w:szCs w:val="24"/>
        </w:rPr>
        <w:t>Forestry</w:t>
      </w:r>
      <w:r w:rsidRPr="00A41A84">
        <w:rPr>
          <w:rFonts w:ascii="Calibri" w:hAnsi="Calibri" w:cs="Calibri"/>
          <w:noProof/>
          <w:szCs w:val="24"/>
        </w:rPr>
        <w:t>, 87(1), pp. 85–97. doi: 10.1093/forestry/cpt028.</w:t>
      </w:r>
    </w:p>
    <w:p w14:paraId="1B1860D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A41A84">
        <w:rPr>
          <w:rFonts w:ascii="Calibri" w:hAnsi="Calibri" w:cs="Calibri"/>
          <w:i/>
          <w:iCs/>
          <w:noProof/>
          <w:szCs w:val="24"/>
        </w:rPr>
        <w:t>The Journal of the Torrey Botanical Society</w:t>
      </w:r>
      <w:r w:rsidRPr="00A41A84">
        <w:rPr>
          <w:rFonts w:ascii="Calibri" w:hAnsi="Calibri" w:cs="Calibri"/>
          <w:noProof/>
          <w:szCs w:val="24"/>
        </w:rPr>
        <w:t>, 125(4), pp. 297–308.</w:t>
      </w:r>
    </w:p>
    <w:p w14:paraId="1146D1E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Bechtold, W. A. and Patterson, P. L. (2005) ‘The Enhanced Forest Inventory and Analysis Program — National Sampling Design and Estimation Procedures’, </w:t>
      </w:r>
      <w:r w:rsidRPr="00A41A84">
        <w:rPr>
          <w:rFonts w:ascii="Calibri" w:hAnsi="Calibri" w:cs="Calibri"/>
          <w:i/>
          <w:iCs/>
          <w:noProof/>
          <w:szCs w:val="24"/>
        </w:rPr>
        <w:t>USDA General Technical Report</w:t>
      </w:r>
      <w:r w:rsidRPr="00A41A84">
        <w:rPr>
          <w:rFonts w:ascii="Calibri" w:hAnsi="Calibri" w:cs="Calibri"/>
          <w:noProof/>
          <w:szCs w:val="24"/>
        </w:rPr>
        <w:t>, SRS-80, p. 85.</w:t>
      </w:r>
    </w:p>
    <w:p w14:paraId="64F013B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A41A84">
        <w:rPr>
          <w:rFonts w:ascii="Calibri" w:hAnsi="Calibri" w:cs="Calibri"/>
          <w:i/>
          <w:iCs/>
          <w:noProof/>
          <w:szCs w:val="24"/>
        </w:rPr>
        <w:t>Global Ecology and Biogeography</w:t>
      </w:r>
      <w:r w:rsidRPr="00A41A84">
        <w:rPr>
          <w:rFonts w:ascii="Calibri" w:hAnsi="Calibri" w:cs="Calibri"/>
          <w:noProof/>
          <w:szCs w:val="24"/>
        </w:rPr>
        <w:t>, 23(2), pp. 168–180. doi: 10.1111/geb.12109.</w:t>
      </w:r>
    </w:p>
    <w:p w14:paraId="69312A2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A41A84">
        <w:rPr>
          <w:rFonts w:ascii="Calibri" w:hAnsi="Calibri" w:cs="Calibri"/>
          <w:i/>
          <w:iCs/>
          <w:noProof/>
          <w:szCs w:val="24"/>
        </w:rPr>
        <w:t>Gen. Tech. Rep. PSW-GTR-273. Albany, CA: US Department of Agriculture, Forest Service, Pacific Southwest Research Station. 146 p.</w:t>
      </w:r>
      <w:r w:rsidRPr="00A41A84">
        <w:rPr>
          <w:rFonts w:ascii="Calibri" w:hAnsi="Calibri" w:cs="Calibri"/>
          <w:noProof/>
          <w:szCs w:val="24"/>
        </w:rPr>
        <w:t>, 273(November).</w:t>
      </w:r>
    </w:p>
    <w:p w14:paraId="1E2BB9E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Bohner, T. and Diez, J. (2021) ‘Tree resistance and recovery from drought mediated by multiple abiotic and biotic processes across a large geographic gradient’, </w:t>
      </w:r>
      <w:r w:rsidRPr="00A41A84">
        <w:rPr>
          <w:rFonts w:ascii="Calibri" w:hAnsi="Calibri" w:cs="Calibri"/>
          <w:i/>
          <w:iCs/>
          <w:noProof/>
          <w:szCs w:val="24"/>
        </w:rPr>
        <w:t>Science of The Total Environment</w:t>
      </w:r>
      <w:r w:rsidRPr="00A41A84">
        <w:rPr>
          <w:rFonts w:ascii="Calibri" w:hAnsi="Calibri" w:cs="Calibri"/>
          <w:noProof/>
          <w:szCs w:val="24"/>
        </w:rPr>
        <w:t>, 789, p. 147744. doi: 10.1016/j.scitotenv.2021.147744.</w:t>
      </w:r>
    </w:p>
    <w:p w14:paraId="0E874CDA"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Bronson, J., Petrick, J. and Danchok, R. (2018) ‘Efficacy of Early Pruning to Reduce the Incidence of White Pine Blister Rust on Sugar Pine ( Pinus lambertiana )’, pp. 205–208.</w:t>
      </w:r>
    </w:p>
    <w:p w14:paraId="779C05A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Collins, B. M. </w:t>
      </w:r>
      <w:r w:rsidRPr="00A41A84">
        <w:rPr>
          <w:rFonts w:ascii="Calibri" w:hAnsi="Calibri" w:cs="Calibri"/>
          <w:i/>
          <w:iCs/>
          <w:noProof/>
          <w:szCs w:val="24"/>
        </w:rPr>
        <w:t>et al.</w:t>
      </w:r>
      <w:r w:rsidRPr="00A41A84">
        <w:rPr>
          <w:rFonts w:ascii="Calibri" w:hAnsi="Calibri" w:cs="Calibri"/>
          <w:noProof/>
          <w:szCs w:val="24"/>
        </w:rPr>
        <w:t xml:space="preserve"> (2014) ‘Beyond Reducing Fire Hazard’, </w:t>
      </w:r>
      <w:r w:rsidRPr="00A41A84">
        <w:rPr>
          <w:rFonts w:ascii="Calibri" w:hAnsi="Calibri" w:cs="Calibri"/>
          <w:i/>
          <w:iCs/>
          <w:noProof/>
          <w:szCs w:val="24"/>
        </w:rPr>
        <w:t>Ecological Applications</w:t>
      </w:r>
      <w:r w:rsidRPr="00A41A84">
        <w:rPr>
          <w:rFonts w:ascii="Calibri" w:hAnsi="Calibri" w:cs="Calibri"/>
          <w:noProof/>
          <w:szCs w:val="24"/>
        </w:rPr>
        <w:t>, 24(8), pp. 1879–1886. doi: 10.1890/14-0971.1.</w:t>
      </w:r>
    </w:p>
    <w:p w14:paraId="3792F72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Coop, J. D. </w:t>
      </w:r>
      <w:r w:rsidRPr="00A41A84">
        <w:rPr>
          <w:rFonts w:ascii="Calibri" w:hAnsi="Calibri" w:cs="Calibri"/>
          <w:i/>
          <w:iCs/>
          <w:noProof/>
          <w:szCs w:val="24"/>
        </w:rPr>
        <w:t>et al.</w:t>
      </w:r>
      <w:r w:rsidRPr="00A41A84">
        <w:rPr>
          <w:rFonts w:ascii="Calibri" w:hAnsi="Calibri" w:cs="Calibri"/>
          <w:noProof/>
          <w:szCs w:val="24"/>
        </w:rPr>
        <w:t xml:space="preserve"> (2020) ‘Wildfire-Driven Forest Conversion in Western North American Landscapes’, </w:t>
      </w:r>
      <w:r w:rsidRPr="00A41A84">
        <w:rPr>
          <w:rFonts w:ascii="Calibri" w:hAnsi="Calibri" w:cs="Calibri"/>
          <w:i/>
          <w:iCs/>
          <w:noProof/>
          <w:szCs w:val="24"/>
        </w:rPr>
        <w:t>BioScience</w:t>
      </w:r>
      <w:r w:rsidRPr="00A41A84">
        <w:rPr>
          <w:rFonts w:ascii="Calibri" w:hAnsi="Calibri" w:cs="Calibri"/>
          <w:noProof/>
          <w:szCs w:val="24"/>
        </w:rPr>
        <w:t>, 70(8), pp. 659–673. doi: 10.1093/biosci/biaa061.</w:t>
      </w:r>
    </w:p>
    <w:p w14:paraId="1C2027E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w:t>
      </w:r>
      <w:r w:rsidRPr="00A41A84">
        <w:rPr>
          <w:rFonts w:ascii="Calibri" w:hAnsi="Calibri" w:cs="Calibri"/>
          <w:i/>
          <w:iCs/>
          <w:noProof/>
          <w:szCs w:val="24"/>
        </w:rPr>
        <w:t>et al.</w:t>
      </w:r>
      <w:r w:rsidRPr="00A41A84">
        <w:rPr>
          <w:rFonts w:ascii="Calibri" w:hAnsi="Calibri" w:cs="Calibri"/>
          <w:noProof/>
          <w:szCs w:val="24"/>
        </w:rPr>
        <w:t xml:space="preserve"> (2008) ‘Spatial elements of mortality risk in old-growth forests’, </w:t>
      </w:r>
      <w:r w:rsidRPr="00A41A84">
        <w:rPr>
          <w:rFonts w:ascii="Calibri" w:hAnsi="Calibri" w:cs="Calibri"/>
          <w:i/>
          <w:iCs/>
          <w:noProof/>
          <w:szCs w:val="24"/>
        </w:rPr>
        <w:t>Ecology</w:t>
      </w:r>
      <w:r w:rsidRPr="00A41A84">
        <w:rPr>
          <w:rFonts w:ascii="Calibri" w:hAnsi="Calibri" w:cs="Calibri"/>
          <w:noProof/>
          <w:szCs w:val="24"/>
        </w:rPr>
        <w:t>, 89(6), pp. 1744–1756. doi: 10.1890/07-0524.1.</w:t>
      </w:r>
    </w:p>
    <w:p w14:paraId="18A86EA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(2012) ‘The effect of size and competition on tree growth rate in old-growth coniferous forests’, </w:t>
      </w:r>
      <w:r w:rsidRPr="00A41A84">
        <w:rPr>
          <w:rFonts w:ascii="Calibri" w:hAnsi="Calibri" w:cs="Calibri"/>
          <w:i/>
          <w:iCs/>
          <w:noProof/>
          <w:szCs w:val="24"/>
        </w:rPr>
        <w:t>Canadian Journal of Forest Research</w:t>
      </w:r>
      <w:r w:rsidRPr="00A41A84">
        <w:rPr>
          <w:rFonts w:ascii="Calibri" w:hAnsi="Calibri" w:cs="Calibri"/>
          <w:noProof/>
          <w:szCs w:val="24"/>
        </w:rPr>
        <w:t>, 42(11), pp. 1983–1995. doi: 10.1139/x2012-142.</w:t>
      </w:r>
    </w:p>
    <w:p w14:paraId="10A93E4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J. </w:t>
      </w:r>
      <w:r w:rsidRPr="00A41A84">
        <w:rPr>
          <w:rFonts w:ascii="Calibri" w:hAnsi="Calibri" w:cs="Calibri"/>
          <w:i/>
          <w:iCs/>
          <w:noProof/>
          <w:szCs w:val="24"/>
        </w:rPr>
        <w:t>et al.</w:t>
      </w:r>
      <w:r w:rsidRPr="00A41A84">
        <w:rPr>
          <w:rFonts w:ascii="Calibri" w:hAnsi="Calibri" w:cs="Calibri"/>
          <w:noProof/>
          <w:szCs w:val="24"/>
        </w:rPr>
        <w:t xml:space="preserve"> (2007) ‘The relationship between tree growth patterns and likelihood of mortality: A study of two tree species in the Sierra Nevada’, </w:t>
      </w:r>
      <w:r w:rsidRPr="00A41A84">
        <w:rPr>
          <w:rFonts w:ascii="Calibri" w:hAnsi="Calibri" w:cs="Calibri"/>
          <w:i/>
          <w:iCs/>
          <w:noProof/>
          <w:szCs w:val="24"/>
        </w:rPr>
        <w:t>Canadian Journal of Forest Research</w:t>
      </w:r>
      <w:r w:rsidRPr="00A41A84">
        <w:rPr>
          <w:rFonts w:ascii="Calibri" w:hAnsi="Calibri" w:cs="Calibri"/>
          <w:noProof/>
          <w:szCs w:val="24"/>
        </w:rPr>
        <w:t xml:space="preserve">, 37(3), pp. 580–597. </w:t>
      </w:r>
      <w:r w:rsidRPr="00A41A84">
        <w:rPr>
          <w:rFonts w:ascii="Calibri" w:hAnsi="Calibri" w:cs="Calibri"/>
          <w:noProof/>
          <w:szCs w:val="24"/>
        </w:rPr>
        <w:lastRenderedPageBreak/>
        <w:t>doi: 10.1139/X06-262.</w:t>
      </w:r>
    </w:p>
    <w:p w14:paraId="47C611B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Das, A. J. </w:t>
      </w:r>
      <w:r w:rsidRPr="00A41A84">
        <w:rPr>
          <w:rFonts w:ascii="Calibri" w:hAnsi="Calibri" w:cs="Calibri"/>
          <w:i/>
          <w:iCs/>
          <w:noProof/>
          <w:szCs w:val="24"/>
        </w:rPr>
        <w:t>et al.</w:t>
      </w:r>
      <w:r w:rsidRPr="00A41A84">
        <w:rPr>
          <w:rFonts w:ascii="Calibri" w:hAnsi="Calibri" w:cs="Calibri"/>
          <w:noProof/>
          <w:szCs w:val="24"/>
        </w:rPr>
        <w:t xml:space="preserve"> (2013) ‘Climatic Correlates of Tree Mortality in Water- and Energy-Limited Forests’, </w:t>
      </w:r>
      <w:r w:rsidRPr="00A41A84">
        <w:rPr>
          <w:rFonts w:ascii="Calibri" w:hAnsi="Calibri" w:cs="Calibri"/>
          <w:i/>
          <w:iCs/>
          <w:noProof/>
          <w:szCs w:val="24"/>
        </w:rPr>
        <w:t>PLoS ONE</w:t>
      </w:r>
      <w:r w:rsidRPr="00A41A84">
        <w:rPr>
          <w:rFonts w:ascii="Calibri" w:hAnsi="Calibri" w:cs="Calibri"/>
          <w:noProof/>
          <w:szCs w:val="24"/>
        </w:rPr>
        <w:t>, 8(7). doi: 10.1371/journal.pone.0069917.</w:t>
      </w:r>
    </w:p>
    <w:p w14:paraId="14A171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Davis, K. T. </w:t>
      </w:r>
      <w:r w:rsidRPr="00A41A84">
        <w:rPr>
          <w:rFonts w:ascii="Calibri" w:hAnsi="Calibri" w:cs="Calibri"/>
          <w:i/>
          <w:iCs/>
          <w:noProof/>
          <w:szCs w:val="24"/>
        </w:rPr>
        <w:t>et al.</w:t>
      </w:r>
      <w:r w:rsidRPr="00A41A84">
        <w:rPr>
          <w:rFonts w:ascii="Calibri" w:hAnsi="Calibri" w:cs="Calibri"/>
          <w:noProof/>
          <w:szCs w:val="24"/>
        </w:rPr>
        <w:t xml:space="preserve"> (2019) ‘Wildfires and climate change push low-elevation forests across a critical climate threshold for tree regeneration’, </w:t>
      </w:r>
      <w:r w:rsidRPr="00A41A84">
        <w:rPr>
          <w:rFonts w:ascii="Calibri" w:hAnsi="Calibri" w:cs="Calibri"/>
          <w:i/>
          <w:iCs/>
          <w:noProof/>
          <w:szCs w:val="24"/>
        </w:rPr>
        <w:t>Proceedings of the National Academy of Sciences of the United States of America</w:t>
      </w:r>
      <w:r w:rsidRPr="00A41A84">
        <w:rPr>
          <w:rFonts w:ascii="Calibri" w:hAnsi="Calibri" w:cs="Calibri"/>
          <w:noProof/>
          <w:szCs w:val="24"/>
        </w:rPr>
        <w:t>, 116(13), pp. 6193–6198. doi: 10.1073/pnas.1815107116.</w:t>
      </w:r>
    </w:p>
    <w:p w14:paraId="107D60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Davis, R. S., Hood, S. and Bentz, B. J. (2012) ‘Fire-injured ponderosa pine provide a pulsed resource for bark beetles’, </w:t>
      </w:r>
      <w:r w:rsidRPr="00A41A84">
        <w:rPr>
          <w:rFonts w:ascii="Calibri" w:hAnsi="Calibri" w:cs="Calibri"/>
          <w:i/>
          <w:iCs/>
          <w:noProof/>
          <w:szCs w:val="24"/>
        </w:rPr>
        <w:t>Canadian Journal of Forest Research-Revue Canadienne De Recherche Forestiere</w:t>
      </w:r>
      <w:r w:rsidRPr="00A41A84">
        <w:rPr>
          <w:rFonts w:ascii="Calibri" w:hAnsi="Calibri" w:cs="Calibri"/>
          <w:noProof/>
          <w:szCs w:val="24"/>
        </w:rPr>
        <w:t>, 42(12), pp. 2022–2036. doi: 10.1139/x2012-147.</w:t>
      </w:r>
    </w:p>
    <w:p w14:paraId="34DD3F0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Doak, D. F. </w:t>
      </w:r>
      <w:r w:rsidRPr="00A41A84">
        <w:rPr>
          <w:rFonts w:ascii="Calibri" w:hAnsi="Calibri" w:cs="Calibri"/>
          <w:i/>
          <w:iCs/>
          <w:noProof/>
          <w:szCs w:val="24"/>
        </w:rPr>
        <w:t>et al.</w:t>
      </w:r>
      <w:r w:rsidRPr="00A41A84">
        <w:rPr>
          <w:rFonts w:ascii="Calibri" w:hAnsi="Calibri" w:cs="Calibri"/>
          <w:noProof/>
          <w:szCs w:val="24"/>
        </w:rPr>
        <w:t xml:space="preserve"> (2021) ‘A critical comparison of integral projection and matrix projection models for demographic analysis’, </w:t>
      </w:r>
      <w:r w:rsidRPr="00A41A84">
        <w:rPr>
          <w:rFonts w:ascii="Calibri" w:hAnsi="Calibri" w:cs="Calibri"/>
          <w:i/>
          <w:iCs/>
          <w:noProof/>
          <w:szCs w:val="24"/>
        </w:rPr>
        <w:t>Ecological Monographs</w:t>
      </w:r>
      <w:r w:rsidRPr="00A41A84">
        <w:rPr>
          <w:rFonts w:ascii="Calibri" w:hAnsi="Calibri" w:cs="Calibri"/>
          <w:noProof/>
          <w:szCs w:val="24"/>
        </w:rPr>
        <w:t>, 91(2). doi: 10.1002/ecm.1447.</w:t>
      </w:r>
    </w:p>
    <w:p w14:paraId="26C7F1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Dudney, J. </w:t>
      </w:r>
      <w:r w:rsidRPr="00A41A84">
        <w:rPr>
          <w:rFonts w:ascii="Calibri" w:hAnsi="Calibri" w:cs="Calibri"/>
          <w:i/>
          <w:iCs/>
          <w:noProof/>
          <w:szCs w:val="24"/>
        </w:rPr>
        <w:t>et al.</w:t>
      </w:r>
      <w:r w:rsidRPr="00A41A84">
        <w:rPr>
          <w:rFonts w:ascii="Calibri" w:hAnsi="Calibri" w:cs="Calibri"/>
          <w:noProof/>
          <w:szCs w:val="24"/>
        </w:rPr>
        <w:t xml:space="preserve"> (2021) ‘Nonlinear shifts in infectious rust disease due to climate change’, </w:t>
      </w:r>
      <w:r w:rsidRPr="00A41A84">
        <w:rPr>
          <w:rFonts w:ascii="Calibri" w:hAnsi="Calibri" w:cs="Calibri"/>
          <w:i/>
          <w:iCs/>
          <w:noProof/>
          <w:szCs w:val="24"/>
        </w:rPr>
        <w:t>Nature Communications</w:t>
      </w:r>
      <w:r w:rsidRPr="00A41A84">
        <w:rPr>
          <w:rFonts w:ascii="Calibri" w:hAnsi="Calibri" w:cs="Calibri"/>
          <w:noProof/>
          <w:szCs w:val="24"/>
        </w:rPr>
        <w:t>, 12(1). doi: 10.1038/s41467-021-25182-6.</w:t>
      </w:r>
    </w:p>
    <w:p w14:paraId="5F87611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Dudney, J. C. </w:t>
      </w:r>
      <w:r w:rsidRPr="00A41A84">
        <w:rPr>
          <w:rFonts w:ascii="Calibri" w:hAnsi="Calibri" w:cs="Calibri"/>
          <w:i/>
          <w:iCs/>
          <w:noProof/>
          <w:szCs w:val="24"/>
        </w:rPr>
        <w:t>et al.</w:t>
      </w:r>
      <w:r w:rsidRPr="00A41A84">
        <w:rPr>
          <w:rFonts w:ascii="Calibri" w:hAnsi="Calibri" w:cs="Calibri"/>
          <w:noProof/>
          <w:szCs w:val="24"/>
        </w:rPr>
        <w:t xml:space="preserve"> (2020) ‘Compounding effects of white pine blister rust, mountain pine beetle, and fire threaten four white pine species’, </w:t>
      </w:r>
      <w:r w:rsidRPr="00A41A84">
        <w:rPr>
          <w:rFonts w:ascii="Calibri" w:hAnsi="Calibri" w:cs="Calibri"/>
          <w:i/>
          <w:iCs/>
          <w:noProof/>
          <w:szCs w:val="24"/>
        </w:rPr>
        <w:t>Ecosphere</w:t>
      </w:r>
      <w:r w:rsidRPr="00A41A84">
        <w:rPr>
          <w:rFonts w:ascii="Calibri" w:hAnsi="Calibri" w:cs="Calibri"/>
          <w:noProof/>
          <w:szCs w:val="24"/>
        </w:rPr>
        <w:t>, 11(October), p. e03263. doi: 10.1002/ecs2.3263.</w:t>
      </w:r>
    </w:p>
    <w:p w14:paraId="67A4505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Eitzel, M. </w:t>
      </w:r>
      <w:r w:rsidRPr="00A41A84">
        <w:rPr>
          <w:rFonts w:ascii="Calibri" w:hAnsi="Calibri" w:cs="Calibri"/>
          <w:i/>
          <w:iCs/>
          <w:noProof/>
          <w:szCs w:val="24"/>
        </w:rPr>
        <w:t>et al.</w:t>
      </w:r>
      <w:r w:rsidRPr="00A41A84">
        <w:rPr>
          <w:rFonts w:ascii="Calibri" w:hAnsi="Calibri" w:cs="Calibri"/>
          <w:noProof/>
          <w:szCs w:val="24"/>
        </w:rPr>
        <w:t xml:space="preserve"> (2013) ‘Estimating tree growth from complex forest monitoring data’, </w:t>
      </w:r>
      <w:r w:rsidRPr="00A41A84">
        <w:rPr>
          <w:rFonts w:ascii="Calibri" w:hAnsi="Calibri" w:cs="Calibri"/>
          <w:i/>
          <w:iCs/>
          <w:noProof/>
          <w:szCs w:val="24"/>
        </w:rPr>
        <w:t>Ecological Applications</w:t>
      </w:r>
      <w:r w:rsidRPr="00A41A84">
        <w:rPr>
          <w:rFonts w:ascii="Calibri" w:hAnsi="Calibri" w:cs="Calibri"/>
          <w:noProof/>
          <w:szCs w:val="24"/>
        </w:rPr>
        <w:t>, 23(6), pp. 1288–1296. doi: 10.1890/12-0504.1.</w:t>
      </w:r>
    </w:p>
    <w:p w14:paraId="25AA56F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Fettig, C. J. </w:t>
      </w:r>
      <w:r w:rsidRPr="00A41A84">
        <w:rPr>
          <w:rFonts w:ascii="Calibri" w:hAnsi="Calibri" w:cs="Calibri"/>
          <w:i/>
          <w:iCs/>
          <w:noProof/>
          <w:szCs w:val="24"/>
        </w:rPr>
        <w:t>et al.</w:t>
      </w:r>
      <w:r w:rsidRPr="00A41A84">
        <w:rPr>
          <w:rFonts w:ascii="Calibri" w:hAnsi="Calibri" w:cs="Calibri"/>
          <w:noProof/>
          <w:szCs w:val="24"/>
        </w:rPr>
        <w:t xml:space="preserve"> (2019) ‘Tree mortality following drought in the central and southern Sierra Nevada, California, U.S.’, </w:t>
      </w:r>
      <w:r w:rsidRPr="00A41A84">
        <w:rPr>
          <w:rFonts w:ascii="Calibri" w:hAnsi="Calibri" w:cs="Calibri"/>
          <w:i/>
          <w:iCs/>
          <w:noProof/>
          <w:szCs w:val="24"/>
        </w:rPr>
        <w:t>Forest Ecology and Management</w:t>
      </w:r>
      <w:r w:rsidRPr="00A41A84">
        <w:rPr>
          <w:rFonts w:ascii="Calibri" w:hAnsi="Calibri" w:cs="Calibri"/>
          <w:noProof/>
          <w:szCs w:val="24"/>
        </w:rPr>
        <w:t>, 432(August 2018), pp. 164–178. doi: 10.1016/j.foreco.2018.09.006.</w:t>
      </w:r>
    </w:p>
    <w:p w14:paraId="12D83C1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Foster, D. E. </w:t>
      </w:r>
      <w:r w:rsidRPr="00A41A84">
        <w:rPr>
          <w:rFonts w:ascii="Calibri" w:hAnsi="Calibri" w:cs="Calibri"/>
          <w:i/>
          <w:iCs/>
          <w:noProof/>
          <w:szCs w:val="24"/>
        </w:rPr>
        <w:t>et al.</w:t>
      </w:r>
      <w:r w:rsidRPr="00A41A84">
        <w:rPr>
          <w:rFonts w:ascii="Calibri" w:hAnsi="Calibri" w:cs="Calibri"/>
          <w:noProof/>
          <w:szCs w:val="24"/>
        </w:rPr>
        <w:t xml:space="preserve"> (2020) ‘Potential wildfire and carbon stability in frequent-fire forests in the Sierra Nevada: trade-offs from a long-term study’, </w:t>
      </w:r>
      <w:r w:rsidRPr="00A41A84">
        <w:rPr>
          <w:rFonts w:ascii="Calibri" w:hAnsi="Calibri" w:cs="Calibri"/>
          <w:i/>
          <w:iCs/>
          <w:noProof/>
          <w:szCs w:val="24"/>
        </w:rPr>
        <w:t>Ecosphere</w:t>
      </w:r>
      <w:r w:rsidRPr="00A41A84">
        <w:rPr>
          <w:rFonts w:ascii="Calibri" w:hAnsi="Calibri" w:cs="Calibri"/>
          <w:noProof/>
          <w:szCs w:val="24"/>
        </w:rPr>
        <w:t>, 11(8). doi: 10.1002/ecs2.3198.</w:t>
      </w:r>
    </w:p>
    <w:p w14:paraId="0C872FA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Furniss, T. J. </w:t>
      </w:r>
      <w:r w:rsidRPr="00A41A84">
        <w:rPr>
          <w:rFonts w:ascii="Calibri" w:hAnsi="Calibri" w:cs="Calibri"/>
          <w:i/>
          <w:iCs/>
          <w:noProof/>
          <w:szCs w:val="24"/>
        </w:rPr>
        <w:t>et al.</w:t>
      </w:r>
      <w:r w:rsidRPr="00A41A84">
        <w:rPr>
          <w:rFonts w:ascii="Calibri" w:hAnsi="Calibri" w:cs="Calibri"/>
          <w:noProof/>
          <w:szCs w:val="24"/>
        </w:rPr>
        <w:t xml:space="preserve"> (2018) ‘Multi-scale assessment of post-fire tree mortality models’, </w:t>
      </w:r>
      <w:r w:rsidRPr="00A41A84">
        <w:rPr>
          <w:rFonts w:ascii="Calibri" w:hAnsi="Calibri" w:cs="Calibri"/>
          <w:i/>
          <w:iCs/>
          <w:noProof/>
          <w:szCs w:val="24"/>
        </w:rPr>
        <w:t>International Journal of Wildland Fire</w:t>
      </w:r>
      <w:r w:rsidRPr="00A41A84">
        <w:rPr>
          <w:rFonts w:ascii="Calibri" w:hAnsi="Calibri" w:cs="Calibri"/>
          <w:noProof/>
          <w:szCs w:val="24"/>
        </w:rPr>
        <w:t>, p. in press. doi: 10.1071/WF18031.</w:t>
      </w:r>
    </w:p>
    <w:p w14:paraId="393CE57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Furniss, T. J. </w:t>
      </w:r>
      <w:r w:rsidRPr="00A41A84">
        <w:rPr>
          <w:rFonts w:ascii="Calibri" w:hAnsi="Calibri" w:cs="Calibri"/>
          <w:i/>
          <w:iCs/>
          <w:noProof/>
          <w:szCs w:val="24"/>
        </w:rPr>
        <w:t>et al.</w:t>
      </w:r>
      <w:r w:rsidRPr="00A41A84">
        <w:rPr>
          <w:rFonts w:ascii="Calibri" w:hAnsi="Calibri" w:cs="Calibri"/>
          <w:noProof/>
          <w:szCs w:val="24"/>
        </w:rPr>
        <w:t xml:space="preserve"> (2021) ‘Crowding, climate, and the case for social distancing among trees’, </w:t>
      </w:r>
      <w:r w:rsidRPr="00A41A84">
        <w:rPr>
          <w:rFonts w:ascii="Calibri" w:hAnsi="Calibri" w:cs="Calibri"/>
          <w:i/>
          <w:iCs/>
          <w:noProof/>
          <w:szCs w:val="24"/>
        </w:rPr>
        <w:t>Ecological Applications</w:t>
      </w:r>
      <w:r w:rsidRPr="00A41A84">
        <w:rPr>
          <w:rFonts w:ascii="Calibri" w:hAnsi="Calibri" w:cs="Calibri"/>
          <w:noProof/>
          <w:szCs w:val="24"/>
        </w:rPr>
        <w:t>, (June 2021), pp. 1–14. doi: 10.1002/eap.2507.</w:t>
      </w:r>
    </w:p>
    <w:p w14:paraId="703B524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Geils, B. W., Hummer, K. E. and Hunt, R. S. (2010) ‘White pines, Ribes, and blister rust: A review and synthesis’, </w:t>
      </w:r>
      <w:r w:rsidRPr="00A41A84">
        <w:rPr>
          <w:rFonts w:ascii="Calibri" w:hAnsi="Calibri" w:cs="Calibri"/>
          <w:i/>
          <w:iCs/>
          <w:noProof/>
          <w:szCs w:val="24"/>
        </w:rPr>
        <w:t>Forest Pathology</w:t>
      </w:r>
      <w:r w:rsidRPr="00A41A84">
        <w:rPr>
          <w:rFonts w:ascii="Calibri" w:hAnsi="Calibri" w:cs="Calibri"/>
          <w:noProof/>
          <w:szCs w:val="24"/>
        </w:rPr>
        <w:t>, 40(3–4), pp. 147–185. doi: 10.1111/j.1439-0329.2010.00654.x.</w:t>
      </w:r>
    </w:p>
    <w:p w14:paraId="2ED158E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Hessburg, P. F. </w:t>
      </w:r>
      <w:r w:rsidRPr="00A41A84">
        <w:rPr>
          <w:rFonts w:ascii="Calibri" w:hAnsi="Calibri" w:cs="Calibri"/>
          <w:i/>
          <w:iCs/>
          <w:noProof/>
          <w:szCs w:val="24"/>
        </w:rPr>
        <w:t>et al.</w:t>
      </w:r>
      <w:r w:rsidRPr="00A41A84">
        <w:rPr>
          <w:rFonts w:ascii="Calibri" w:hAnsi="Calibri" w:cs="Calibri"/>
          <w:noProof/>
          <w:szCs w:val="24"/>
        </w:rPr>
        <w:t xml:space="preserve"> (2016) ‘Tamm Review: Management of mixed-severity fire regime forests in Oregon, Washington, and Northern California’, </w:t>
      </w:r>
      <w:r w:rsidRPr="00A41A84">
        <w:rPr>
          <w:rFonts w:ascii="Calibri" w:hAnsi="Calibri" w:cs="Calibri"/>
          <w:i/>
          <w:iCs/>
          <w:noProof/>
          <w:szCs w:val="24"/>
        </w:rPr>
        <w:t>Forest Ecology and Management</w:t>
      </w:r>
      <w:r w:rsidRPr="00A41A84">
        <w:rPr>
          <w:rFonts w:ascii="Calibri" w:hAnsi="Calibri" w:cs="Calibri"/>
          <w:noProof/>
          <w:szCs w:val="24"/>
        </w:rPr>
        <w:t>, 366, pp. 221–250. doi: 10.1016/j.foreco.2016.01.034.</w:t>
      </w:r>
    </w:p>
    <w:p w14:paraId="304C2C0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Hicke, J. A. </w:t>
      </w:r>
      <w:r w:rsidRPr="00A41A84">
        <w:rPr>
          <w:rFonts w:ascii="Calibri" w:hAnsi="Calibri" w:cs="Calibri"/>
          <w:i/>
          <w:iCs/>
          <w:noProof/>
          <w:szCs w:val="24"/>
        </w:rPr>
        <w:t>et al.</w:t>
      </w:r>
      <w:r w:rsidRPr="00A41A84">
        <w:rPr>
          <w:rFonts w:ascii="Calibri" w:hAnsi="Calibri" w:cs="Calibri"/>
          <w:noProof/>
          <w:szCs w:val="24"/>
        </w:rPr>
        <w:t xml:space="preserve"> (2012) ‘Effects of bark beetle-caused tree mortality on wildfire’, </w:t>
      </w:r>
      <w:r w:rsidRPr="00A41A84">
        <w:rPr>
          <w:rFonts w:ascii="Calibri" w:hAnsi="Calibri" w:cs="Calibri"/>
          <w:i/>
          <w:iCs/>
          <w:noProof/>
          <w:szCs w:val="24"/>
        </w:rPr>
        <w:t>Forest Ecology and Management</w:t>
      </w:r>
      <w:r w:rsidRPr="00A41A84">
        <w:rPr>
          <w:rFonts w:ascii="Calibri" w:hAnsi="Calibri" w:cs="Calibri"/>
          <w:noProof/>
          <w:szCs w:val="24"/>
        </w:rPr>
        <w:t>, 271, pp. 81–90. doi: 10.1016/j.foreco.2012.02.005.</w:t>
      </w:r>
    </w:p>
    <w:p w14:paraId="7541AC0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Hood, S. M., Smith, S. L. and Cluck, D. R. (2010) ‘Predicting mortality for five California conifers following wildfire’, </w:t>
      </w:r>
      <w:r w:rsidRPr="00A41A84">
        <w:rPr>
          <w:rFonts w:ascii="Calibri" w:hAnsi="Calibri" w:cs="Calibri"/>
          <w:i/>
          <w:iCs/>
          <w:noProof/>
          <w:szCs w:val="24"/>
        </w:rPr>
        <w:t>Forest Ecology and Management</w:t>
      </w:r>
      <w:r w:rsidRPr="00A41A84">
        <w:rPr>
          <w:rFonts w:ascii="Calibri" w:hAnsi="Calibri" w:cs="Calibri"/>
          <w:noProof/>
          <w:szCs w:val="24"/>
        </w:rPr>
        <w:t>, 260(5), pp. 750–762. doi: 10.1016/j.foreco.2010.05.033.</w:t>
      </w:r>
    </w:p>
    <w:p w14:paraId="7372990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Kinloch, B. B. </w:t>
      </w:r>
      <w:r w:rsidRPr="00A41A84">
        <w:rPr>
          <w:rFonts w:ascii="Calibri" w:hAnsi="Calibri" w:cs="Calibri"/>
          <w:i/>
          <w:iCs/>
          <w:noProof/>
          <w:szCs w:val="24"/>
        </w:rPr>
        <w:t>et al.</w:t>
      </w:r>
      <w:r w:rsidRPr="00A41A84">
        <w:rPr>
          <w:rFonts w:ascii="Calibri" w:hAnsi="Calibri" w:cs="Calibri"/>
          <w:noProof/>
          <w:szCs w:val="24"/>
        </w:rPr>
        <w:t xml:space="preserve"> (2018) ‘Patterns of Variation in Blister Rust Resistance in Sugar Pine ( Pinus lambertiana )’, in </w:t>
      </w:r>
      <w:r w:rsidRPr="00A41A84">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A41A84">
        <w:rPr>
          <w:rFonts w:ascii="Calibri" w:hAnsi="Calibri" w:cs="Calibri"/>
          <w:i/>
          <w:iCs/>
          <w:noProof/>
          <w:szCs w:val="24"/>
        </w:rPr>
        <w:lastRenderedPageBreak/>
        <w:t>June 15–20; Fort Collins, CO. Proc. RMRS-P-76. Fort Collins, CO</w:t>
      </w:r>
      <w:r w:rsidRPr="00A41A84">
        <w:rPr>
          <w:rFonts w:ascii="Calibri" w:hAnsi="Calibri" w:cs="Calibri"/>
          <w:noProof/>
          <w:szCs w:val="24"/>
        </w:rPr>
        <w:t>, pp. 124–128.</w:t>
      </w:r>
    </w:p>
    <w:p w14:paraId="0E65C32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Kinloch, B. B. and Scheuner, W. H. (1990) ‘Pinus lambertiana Dougl.’, in </w:t>
      </w:r>
      <w:r w:rsidRPr="00A41A84">
        <w:rPr>
          <w:rFonts w:ascii="Calibri" w:hAnsi="Calibri" w:cs="Calibri"/>
          <w:i/>
          <w:iCs/>
          <w:noProof/>
          <w:szCs w:val="24"/>
        </w:rPr>
        <w:t>Silvics of North America 1</w:t>
      </w:r>
      <w:r w:rsidRPr="00A41A84">
        <w:rPr>
          <w:rFonts w:ascii="Calibri" w:hAnsi="Calibri" w:cs="Calibri"/>
          <w:noProof/>
          <w:szCs w:val="24"/>
        </w:rPr>
        <w:t>, pp. 370–380.</w:t>
      </w:r>
    </w:p>
    <w:p w14:paraId="70FCF47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333AE9F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Latham, P. and Tappeiner, J. (2002) ‘Response of old-growth conifers to reduction in stand density in western Oregon forests’, </w:t>
      </w:r>
      <w:r w:rsidRPr="00A41A84">
        <w:rPr>
          <w:rFonts w:ascii="Calibri" w:hAnsi="Calibri" w:cs="Calibri"/>
          <w:i/>
          <w:iCs/>
          <w:noProof/>
          <w:szCs w:val="24"/>
        </w:rPr>
        <w:t>Tree Physiology</w:t>
      </w:r>
      <w:r w:rsidRPr="00A41A84">
        <w:rPr>
          <w:rFonts w:ascii="Calibri" w:hAnsi="Calibri" w:cs="Calibri"/>
          <w:noProof/>
          <w:szCs w:val="24"/>
        </w:rPr>
        <w:t>, 22(2–3), pp. 137–146. doi: 10.1093/treephys/22.2-3.137.</w:t>
      </w:r>
    </w:p>
    <w:p w14:paraId="762DC0A7"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Levine, C. R. </w:t>
      </w:r>
      <w:r w:rsidRPr="00A41A84">
        <w:rPr>
          <w:rFonts w:ascii="Calibri" w:hAnsi="Calibri" w:cs="Calibri"/>
          <w:i/>
          <w:iCs/>
          <w:noProof/>
          <w:szCs w:val="24"/>
        </w:rPr>
        <w:t>et al.</w:t>
      </w:r>
      <w:r w:rsidRPr="00A41A84">
        <w:rPr>
          <w:rFonts w:ascii="Calibri" w:hAnsi="Calibri" w:cs="Calibri"/>
          <w:noProof/>
          <w:szCs w:val="24"/>
        </w:rPr>
        <w:t xml:space="preserve"> (2016) ‘Long-term demographic trends in a fire-suppressed mixed-conifer forest’, </w:t>
      </w:r>
      <w:r w:rsidRPr="00A41A84">
        <w:rPr>
          <w:rFonts w:ascii="Calibri" w:hAnsi="Calibri" w:cs="Calibri"/>
          <w:i/>
          <w:iCs/>
          <w:noProof/>
          <w:szCs w:val="24"/>
        </w:rPr>
        <w:t>Canadian Journal of Forest Research</w:t>
      </w:r>
      <w:r w:rsidRPr="00A41A84">
        <w:rPr>
          <w:rFonts w:ascii="Calibri" w:hAnsi="Calibri" w:cs="Calibri"/>
          <w:noProof/>
          <w:szCs w:val="24"/>
        </w:rPr>
        <w:t>, 46(5), pp. 745–752. doi: 10.1139/cjfr-2015-0406.</w:t>
      </w:r>
    </w:p>
    <w:p w14:paraId="5444BB6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Lutz, J. A. </w:t>
      </w:r>
      <w:r w:rsidRPr="00A41A84">
        <w:rPr>
          <w:rFonts w:ascii="Calibri" w:hAnsi="Calibri" w:cs="Calibri"/>
          <w:i/>
          <w:iCs/>
          <w:noProof/>
          <w:szCs w:val="24"/>
        </w:rPr>
        <w:t>et al.</w:t>
      </w:r>
      <w:r w:rsidRPr="00A41A84">
        <w:rPr>
          <w:rFonts w:ascii="Calibri" w:hAnsi="Calibri" w:cs="Calibri"/>
          <w:noProof/>
          <w:szCs w:val="24"/>
        </w:rPr>
        <w:t xml:space="preserve"> (2018) ‘Global importance of large-diameter trees’, </w:t>
      </w:r>
      <w:r w:rsidRPr="00A41A84">
        <w:rPr>
          <w:rFonts w:ascii="Calibri" w:hAnsi="Calibri" w:cs="Calibri"/>
          <w:i/>
          <w:iCs/>
          <w:noProof/>
          <w:szCs w:val="24"/>
        </w:rPr>
        <w:t>Global Ecology and Biogeography</w:t>
      </w:r>
      <w:r w:rsidRPr="00A41A84">
        <w:rPr>
          <w:rFonts w:ascii="Calibri" w:hAnsi="Calibri" w:cs="Calibri"/>
          <w:noProof/>
          <w:szCs w:val="24"/>
        </w:rPr>
        <w:t>, 27(7), pp. 849–864. doi: 10.1111/geb.12747.</w:t>
      </w:r>
    </w:p>
    <w:p w14:paraId="6BD65E9E"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Mahalovich, M. and Stritch, L. (2013) ‘Pinus albicaulis. The IUCN Red List of Threatened Species 2013’. Available at: https://dx.doi.org/10.2305/IUCN.UK.2013-1.RLTS.T39049A2885918.en.</w:t>
      </w:r>
    </w:p>
    <w:p w14:paraId="19F8CB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(2011) ‘Incidence and distribution of white pine blister rust in the high-elevation forests of California’, </w:t>
      </w:r>
      <w:r w:rsidRPr="00A41A84">
        <w:rPr>
          <w:rFonts w:ascii="Calibri" w:hAnsi="Calibri" w:cs="Calibri"/>
          <w:i/>
          <w:iCs/>
          <w:noProof/>
          <w:szCs w:val="24"/>
        </w:rPr>
        <w:t>Forest Pathology</w:t>
      </w:r>
      <w:r w:rsidRPr="00A41A84">
        <w:rPr>
          <w:rFonts w:ascii="Calibri" w:hAnsi="Calibri" w:cs="Calibri"/>
          <w:noProof/>
          <w:szCs w:val="24"/>
        </w:rPr>
        <w:t>, 41(4), pp. 308–316. doi: 10.1111/j.1439-0329.2011.00732.x.</w:t>
      </w:r>
    </w:p>
    <w:p w14:paraId="78A13AD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w:t>
      </w:r>
      <w:r w:rsidRPr="00A41A84">
        <w:rPr>
          <w:rFonts w:ascii="Calibri" w:hAnsi="Calibri" w:cs="Calibri"/>
          <w:i/>
          <w:iCs/>
          <w:noProof/>
          <w:szCs w:val="24"/>
        </w:rPr>
        <w:t>et al.</w:t>
      </w:r>
      <w:r w:rsidRPr="00A41A84">
        <w:rPr>
          <w:rFonts w:ascii="Calibri" w:hAnsi="Calibri" w:cs="Calibri"/>
          <w:noProof/>
          <w:szCs w:val="24"/>
        </w:rPr>
        <w:t xml:space="preserve"> (2011) ‘Population biology of sugar pine (Pinus lambertiana Dougl.) with reference to historical disturbances in the Lake Tahoe Basin: Implications for restoration’, </w:t>
      </w:r>
      <w:r w:rsidRPr="00A41A84">
        <w:rPr>
          <w:rFonts w:ascii="Calibri" w:hAnsi="Calibri" w:cs="Calibri"/>
          <w:i/>
          <w:iCs/>
          <w:noProof/>
          <w:szCs w:val="24"/>
        </w:rPr>
        <w:t>Forest Ecology and Management</w:t>
      </w:r>
      <w:r w:rsidRPr="00A41A84">
        <w:rPr>
          <w:rFonts w:ascii="Calibri" w:hAnsi="Calibri" w:cs="Calibri"/>
          <w:noProof/>
          <w:szCs w:val="24"/>
        </w:rPr>
        <w:t>, 262(5), pp. 770–779. doi: 10.1016/j.foreco.2011.05.011.</w:t>
      </w:r>
    </w:p>
    <w:p w14:paraId="5C5C0C7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w:t>
      </w:r>
      <w:r w:rsidRPr="00A41A84">
        <w:rPr>
          <w:rFonts w:ascii="Calibri" w:hAnsi="Calibri" w:cs="Calibri"/>
          <w:i/>
          <w:iCs/>
          <w:noProof/>
          <w:szCs w:val="24"/>
        </w:rPr>
        <w:t>et al.</w:t>
      </w:r>
      <w:r w:rsidRPr="00A41A84">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A41A84">
        <w:rPr>
          <w:rFonts w:ascii="Calibri" w:hAnsi="Calibri" w:cs="Calibri"/>
          <w:i/>
          <w:iCs/>
          <w:noProof/>
          <w:szCs w:val="24"/>
        </w:rPr>
        <w:t>Forest Ecology and Management</w:t>
      </w:r>
      <w:r w:rsidRPr="00A41A84">
        <w:rPr>
          <w:rFonts w:ascii="Calibri" w:hAnsi="Calibri" w:cs="Calibri"/>
          <w:noProof/>
          <w:szCs w:val="24"/>
        </w:rPr>
        <w:t>, 280, pp. 166–175. doi: 10.1016/j.foreco.2012.05.025.</w:t>
      </w:r>
    </w:p>
    <w:p w14:paraId="52565B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Maloney, P. E. (2014) ‘The multivariate underpinnings of recruitment for three Pinus species in montane forests of the Sierra Nevada, USA’, </w:t>
      </w:r>
      <w:r w:rsidRPr="00A41A84">
        <w:rPr>
          <w:rFonts w:ascii="Calibri" w:hAnsi="Calibri" w:cs="Calibri"/>
          <w:i/>
          <w:iCs/>
          <w:noProof/>
          <w:szCs w:val="24"/>
        </w:rPr>
        <w:t>Plant Ecology</w:t>
      </w:r>
      <w:r w:rsidRPr="00A41A84">
        <w:rPr>
          <w:rFonts w:ascii="Calibri" w:hAnsi="Calibri" w:cs="Calibri"/>
          <w:noProof/>
          <w:szCs w:val="24"/>
        </w:rPr>
        <w:t>, 215(2), pp. 261–274. doi: 10.1007/s11258-013-0295-6.</w:t>
      </w:r>
    </w:p>
    <w:p w14:paraId="55FEB25A"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(2011) ‘Long-term effects of prescribed fire on mixed conifer forest structure in the Sierra Nevada, California’, </w:t>
      </w:r>
      <w:r w:rsidRPr="00A41A84">
        <w:rPr>
          <w:rFonts w:ascii="Calibri" w:hAnsi="Calibri" w:cs="Calibri"/>
          <w:i/>
          <w:iCs/>
          <w:noProof/>
          <w:szCs w:val="24"/>
        </w:rPr>
        <w:t>Forest Ecology and Management</w:t>
      </w:r>
      <w:r w:rsidRPr="00A41A84">
        <w:rPr>
          <w:rFonts w:ascii="Calibri" w:hAnsi="Calibri" w:cs="Calibri"/>
          <w:noProof/>
          <w:szCs w:val="24"/>
        </w:rPr>
        <w:t>, 261(6), pp. 989–994. doi: 10.1016/j.foreco.2010.12.013.</w:t>
      </w:r>
    </w:p>
    <w:p w14:paraId="270CF84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(2016) ‘Does Prescribed Fire Promote Resistance To Drought in Low Elevation Forests of the Sierra Nevada, California, Usa?’, </w:t>
      </w:r>
      <w:r w:rsidRPr="00A41A84">
        <w:rPr>
          <w:rFonts w:ascii="Calibri" w:hAnsi="Calibri" w:cs="Calibri"/>
          <w:i/>
          <w:iCs/>
          <w:noProof/>
          <w:szCs w:val="24"/>
        </w:rPr>
        <w:t>Fire Ecology</w:t>
      </w:r>
      <w:r w:rsidRPr="00A41A84">
        <w:rPr>
          <w:rFonts w:ascii="Calibri" w:hAnsi="Calibri" w:cs="Calibri"/>
          <w:noProof/>
          <w:szCs w:val="24"/>
        </w:rPr>
        <w:t>, 12(1), pp. 5–15. doi: 10.4996/fireecology.1201013.</w:t>
      </w:r>
    </w:p>
    <w:p w14:paraId="379E27A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(2018) ‘Pre-fire drought and competition mediate post-fire conifer mortality in western U.S. National Parks’, </w:t>
      </w:r>
      <w:r w:rsidRPr="00A41A84">
        <w:rPr>
          <w:rFonts w:ascii="Calibri" w:hAnsi="Calibri" w:cs="Calibri"/>
          <w:i/>
          <w:iCs/>
          <w:noProof/>
          <w:szCs w:val="24"/>
        </w:rPr>
        <w:t>Ecological Applications</w:t>
      </w:r>
      <w:r w:rsidRPr="00A41A84">
        <w:rPr>
          <w:rFonts w:ascii="Calibri" w:hAnsi="Calibri" w:cs="Calibri"/>
          <w:noProof/>
          <w:szCs w:val="24"/>
        </w:rPr>
        <w:t>, 28(7), pp. 1730–1739. doi: 10.1002/eap.1778.</w:t>
      </w:r>
    </w:p>
    <w:p w14:paraId="49649D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(2004) ‘Effects of an introduced pathogen and fire exclusion on the demography of sugar pine’, </w:t>
      </w:r>
      <w:r w:rsidRPr="00A41A84">
        <w:rPr>
          <w:rFonts w:ascii="Calibri" w:hAnsi="Calibri" w:cs="Calibri"/>
          <w:i/>
          <w:iCs/>
          <w:noProof/>
          <w:szCs w:val="24"/>
        </w:rPr>
        <w:t>Ecological Applications</w:t>
      </w:r>
      <w:r w:rsidRPr="00A41A84">
        <w:rPr>
          <w:rFonts w:ascii="Calibri" w:hAnsi="Calibri" w:cs="Calibri"/>
          <w:noProof/>
          <w:szCs w:val="24"/>
        </w:rPr>
        <w:t>, 14(5), pp. 1590–1602. doi: 10.1890/03-5109.</w:t>
      </w:r>
    </w:p>
    <w:p w14:paraId="33F9CFF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w:t>
      </w:r>
      <w:r w:rsidRPr="00A41A84">
        <w:rPr>
          <w:rFonts w:ascii="Calibri" w:hAnsi="Calibri" w:cs="Calibri"/>
          <w:i/>
          <w:iCs/>
          <w:noProof/>
          <w:szCs w:val="24"/>
        </w:rPr>
        <w:t>et al.</w:t>
      </w:r>
      <w:r w:rsidRPr="00A41A84">
        <w:rPr>
          <w:rFonts w:ascii="Calibri" w:hAnsi="Calibri" w:cs="Calibri"/>
          <w:noProof/>
          <w:szCs w:val="24"/>
        </w:rPr>
        <w:t xml:space="preserve"> (2020) ‘The influence of pre-fire growth patterns on post-fire tree mortality for common conifers in western US parks’, </w:t>
      </w:r>
      <w:r w:rsidRPr="00A41A84">
        <w:rPr>
          <w:rFonts w:ascii="Calibri" w:hAnsi="Calibri" w:cs="Calibri"/>
          <w:i/>
          <w:iCs/>
          <w:noProof/>
          <w:szCs w:val="24"/>
        </w:rPr>
        <w:t>International Journal of Wildland Fire</w:t>
      </w:r>
      <w:r w:rsidRPr="00A41A84">
        <w:rPr>
          <w:rFonts w:ascii="Calibri" w:hAnsi="Calibri" w:cs="Calibri"/>
          <w:noProof/>
          <w:szCs w:val="24"/>
        </w:rPr>
        <w:t>, 29(6), pp. 513–518. doi: 10.1071/WF19020.</w:t>
      </w:r>
    </w:p>
    <w:p w14:paraId="11AC52F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and Stephenson, N. L. (2007) ‘Apparent climatically induced increase of tree </w:t>
      </w:r>
      <w:r w:rsidRPr="00A41A84">
        <w:rPr>
          <w:rFonts w:ascii="Calibri" w:hAnsi="Calibri" w:cs="Calibri"/>
          <w:noProof/>
          <w:szCs w:val="24"/>
        </w:rPr>
        <w:lastRenderedPageBreak/>
        <w:t xml:space="preserve">mortality rates in a temperate forest’, </w:t>
      </w:r>
      <w:r w:rsidRPr="00A41A84">
        <w:rPr>
          <w:rFonts w:ascii="Calibri" w:hAnsi="Calibri" w:cs="Calibri"/>
          <w:i/>
          <w:iCs/>
          <w:noProof/>
          <w:szCs w:val="24"/>
        </w:rPr>
        <w:t>Ecology Letters</w:t>
      </w:r>
      <w:r w:rsidRPr="00A41A84">
        <w:rPr>
          <w:rFonts w:ascii="Calibri" w:hAnsi="Calibri" w:cs="Calibri"/>
          <w:noProof/>
          <w:szCs w:val="24"/>
        </w:rPr>
        <w:t>, 10(10), pp. 909–916. doi: 10.1111/j.1461-0248.2007.01080.x.</w:t>
      </w:r>
    </w:p>
    <w:p w14:paraId="1AF7502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Van Mantgem, P. J., Stephenson, N. L. and Keeley, J. E. (2006) ‘Forest reproduction along a climatic gradient in the Sierra Nevada, California’, </w:t>
      </w:r>
      <w:r w:rsidRPr="00A41A84">
        <w:rPr>
          <w:rFonts w:ascii="Calibri" w:hAnsi="Calibri" w:cs="Calibri"/>
          <w:i/>
          <w:iCs/>
          <w:noProof/>
          <w:szCs w:val="24"/>
        </w:rPr>
        <w:t>Forest Ecology and Management</w:t>
      </w:r>
      <w:r w:rsidRPr="00A41A84">
        <w:rPr>
          <w:rFonts w:ascii="Calibri" w:hAnsi="Calibri" w:cs="Calibri"/>
          <w:noProof/>
          <w:szCs w:val="24"/>
        </w:rPr>
        <w:t>, 225(1–3), pp. 391–399. doi: 10.1016/j.foreco.2006.01.015.</w:t>
      </w:r>
    </w:p>
    <w:p w14:paraId="1CC9D4A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Moran, E. V. </w:t>
      </w:r>
      <w:r w:rsidRPr="00A41A84">
        <w:rPr>
          <w:rFonts w:ascii="Calibri" w:hAnsi="Calibri" w:cs="Calibri"/>
          <w:i/>
          <w:iCs/>
          <w:noProof/>
          <w:szCs w:val="24"/>
        </w:rPr>
        <w:t>et al.</w:t>
      </w:r>
      <w:r w:rsidRPr="00A41A84">
        <w:rPr>
          <w:rFonts w:ascii="Calibri" w:hAnsi="Calibri" w:cs="Calibri"/>
          <w:noProof/>
          <w:szCs w:val="24"/>
        </w:rPr>
        <w:t xml:space="preserve"> (2019) ‘Negative impacts of summer heat on Sierra Nevada tree seedlings’, </w:t>
      </w:r>
      <w:r w:rsidRPr="00A41A84">
        <w:rPr>
          <w:rFonts w:ascii="Calibri" w:hAnsi="Calibri" w:cs="Calibri"/>
          <w:i/>
          <w:iCs/>
          <w:noProof/>
          <w:szCs w:val="24"/>
        </w:rPr>
        <w:t>Ecosphere</w:t>
      </w:r>
      <w:r w:rsidRPr="00A41A84">
        <w:rPr>
          <w:rFonts w:ascii="Calibri" w:hAnsi="Calibri" w:cs="Calibri"/>
          <w:noProof/>
          <w:szCs w:val="24"/>
        </w:rPr>
        <w:t>, 10(6). doi: 10.1002/ecs2.2776.</w:t>
      </w:r>
    </w:p>
    <w:p w14:paraId="05EF321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Murray, M. P. and Tomback, D. F. (2010) ‘Clark’s nutcrackers harvest sugar pine seeds from cones’, </w:t>
      </w:r>
      <w:r w:rsidRPr="00A41A84">
        <w:rPr>
          <w:rFonts w:ascii="Calibri" w:hAnsi="Calibri" w:cs="Calibri"/>
          <w:i/>
          <w:iCs/>
          <w:noProof/>
          <w:szCs w:val="24"/>
        </w:rPr>
        <w:t>Western North American Naturalist</w:t>
      </w:r>
      <w:r w:rsidRPr="00A41A84">
        <w:rPr>
          <w:rFonts w:ascii="Calibri" w:hAnsi="Calibri" w:cs="Calibri"/>
          <w:noProof/>
          <w:szCs w:val="24"/>
        </w:rPr>
        <w:t>, 70(3), pp. 413–414. doi: 10.3398/064.070.0314.</w:t>
      </w:r>
    </w:p>
    <w:p w14:paraId="4461F4D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Nesmith, J. C. B. </w:t>
      </w:r>
      <w:r w:rsidRPr="00A41A84">
        <w:rPr>
          <w:rFonts w:ascii="Calibri" w:hAnsi="Calibri" w:cs="Calibri"/>
          <w:i/>
          <w:iCs/>
          <w:noProof/>
          <w:szCs w:val="24"/>
        </w:rPr>
        <w:t>et al.</w:t>
      </w:r>
      <w:r w:rsidRPr="00A41A84">
        <w:rPr>
          <w:rFonts w:ascii="Calibri" w:hAnsi="Calibri" w:cs="Calibri"/>
          <w:noProof/>
          <w:szCs w:val="24"/>
        </w:rPr>
        <w:t xml:space="preserve"> (2010) ‘The effects of raking on sugar pine mortality following prescribed fire in sequoia and kings canyon national parks, California, USA’, </w:t>
      </w:r>
      <w:r w:rsidRPr="00A41A84">
        <w:rPr>
          <w:rFonts w:ascii="Calibri" w:hAnsi="Calibri" w:cs="Calibri"/>
          <w:i/>
          <w:iCs/>
          <w:noProof/>
          <w:szCs w:val="24"/>
        </w:rPr>
        <w:t>Fire Ecology</w:t>
      </w:r>
      <w:r w:rsidRPr="00A41A84">
        <w:rPr>
          <w:rFonts w:ascii="Calibri" w:hAnsi="Calibri" w:cs="Calibri"/>
          <w:noProof/>
          <w:szCs w:val="24"/>
        </w:rPr>
        <w:t>, 6(3), pp. 97–116. doi: 10.4996/fireecology.0603097.</w:t>
      </w:r>
    </w:p>
    <w:p w14:paraId="7CFA1346"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Nesmith, J. C. B. </w:t>
      </w:r>
      <w:r w:rsidRPr="00A41A84">
        <w:rPr>
          <w:rFonts w:ascii="Calibri" w:hAnsi="Calibri" w:cs="Calibri"/>
          <w:i/>
          <w:iCs/>
          <w:noProof/>
          <w:szCs w:val="24"/>
        </w:rPr>
        <w:t>et al.</w:t>
      </w:r>
      <w:r w:rsidRPr="00A41A84">
        <w:rPr>
          <w:rFonts w:ascii="Calibri" w:hAnsi="Calibri" w:cs="Calibri"/>
          <w:noProof/>
          <w:szCs w:val="24"/>
        </w:rPr>
        <w:t xml:space="preserve"> (2015) ‘The influence of prefire tree growth and crown condition on postfire mortality of sugar pine following prescribed fire in Sequoia National Park’, </w:t>
      </w:r>
      <w:r w:rsidRPr="00A41A84">
        <w:rPr>
          <w:rFonts w:ascii="Calibri" w:hAnsi="Calibri" w:cs="Calibri"/>
          <w:i/>
          <w:iCs/>
          <w:noProof/>
          <w:szCs w:val="24"/>
        </w:rPr>
        <w:t>Canadian Journal of Forest Research</w:t>
      </w:r>
      <w:r w:rsidRPr="00A41A84">
        <w:rPr>
          <w:rFonts w:ascii="Calibri" w:hAnsi="Calibri" w:cs="Calibri"/>
          <w:noProof/>
          <w:szCs w:val="24"/>
        </w:rPr>
        <w:t>, 45(7), pp. 910–919. doi: 10.1139/cjfr-2014-0449.</w:t>
      </w:r>
    </w:p>
    <w:p w14:paraId="20C24F5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(2019) ‘Tamm Review: Reforestation for resilience in dry western U.S. forests’, </w:t>
      </w:r>
      <w:r w:rsidRPr="00A41A84">
        <w:rPr>
          <w:rFonts w:ascii="Calibri" w:hAnsi="Calibri" w:cs="Calibri"/>
          <w:i/>
          <w:iCs/>
          <w:noProof/>
          <w:szCs w:val="24"/>
        </w:rPr>
        <w:t>Forest Ecology and Management</w:t>
      </w:r>
      <w:r w:rsidRPr="00A41A84">
        <w:rPr>
          <w:rFonts w:ascii="Calibri" w:hAnsi="Calibri" w:cs="Calibri"/>
          <w:noProof/>
          <w:szCs w:val="24"/>
        </w:rPr>
        <w:t>, 432(July 2018), pp. 209–224. doi: 10.1016/j.foreco.2018.09.007.</w:t>
      </w:r>
    </w:p>
    <w:p w14:paraId="596B115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(2021) ‘Pyrosilviculture needed for landscape resilience of dry western United States forests’, </w:t>
      </w:r>
      <w:r w:rsidRPr="00A41A84">
        <w:rPr>
          <w:rFonts w:ascii="Calibri" w:hAnsi="Calibri" w:cs="Calibri"/>
          <w:i/>
          <w:iCs/>
          <w:noProof/>
          <w:szCs w:val="24"/>
        </w:rPr>
        <w:t>Journal of Forestry</w:t>
      </w:r>
      <w:r w:rsidRPr="00A41A84">
        <w:rPr>
          <w:rFonts w:ascii="Calibri" w:hAnsi="Calibri" w:cs="Calibri"/>
          <w:noProof/>
          <w:szCs w:val="24"/>
        </w:rPr>
        <w:t>, pp. 1–25. doi: 10.1093/jofore/fvab026.</w:t>
      </w:r>
    </w:p>
    <w:p w14:paraId="7B8490F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North, M. P. </w:t>
      </w:r>
      <w:r w:rsidRPr="00A41A84">
        <w:rPr>
          <w:rFonts w:ascii="Calibri" w:hAnsi="Calibri" w:cs="Calibri"/>
          <w:i/>
          <w:iCs/>
          <w:noProof/>
          <w:szCs w:val="24"/>
        </w:rPr>
        <w:t>et al.</w:t>
      </w:r>
      <w:r w:rsidRPr="00A41A84">
        <w:rPr>
          <w:rFonts w:ascii="Calibri" w:hAnsi="Calibri" w:cs="Calibri"/>
          <w:noProof/>
          <w:szCs w:val="24"/>
        </w:rPr>
        <w:t xml:space="preserve"> (2022) ‘Operational resilience in western US frequent-fire forests’, </w:t>
      </w:r>
      <w:r w:rsidRPr="00A41A84">
        <w:rPr>
          <w:rFonts w:ascii="Calibri" w:hAnsi="Calibri" w:cs="Calibri"/>
          <w:i/>
          <w:iCs/>
          <w:noProof/>
          <w:szCs w:val="24"/>
        </w:rPr>
        <w:t>Forest Ecology and Management</w:t>
      </w:r>
      <w:r w:rsidRPr="00A41A84">
        <w:rPr>
          <w:rFonts w:ascii="Calibri" w:hAnsi="Calibri" w:cs="Calibri"/>
          <w:noProof/>
          <w:szCs w:val="24"/>
        </w:rPr>
        <w:t>, 507(November 2021), p. 120004. doi: 10.1016/j.foreco.2021.120004.</w:t>
      </w:r>
    </w:p>
    <w:p w14:paraId="27BB3312"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Parks, S. A. and Abatzoglou, J. T. (2020) ‘Warmer and Drier Fire Seasons Contribute to Increases in Area Burned at High Severity in Western US Forests From 1985 to 2017’, </w:t>
      </w:r>
      <w:r w:rsidRPr="00A41A84">
        <w:rPr>
          <w:rFonts w:ascii="Calibri" w:hAnsi="Calibri" w:cs="Calibri"/>
          <w:i/>
          <w:iCs/>
          <w:noProof/>
          <w:szCs w:val="24"/>
        </w:rPr>
        <w:t>Geophysical Research Letters</w:t>
      </w:r>
      <w:r w:rsidRPr="00A41A84">
        <w:rPr>
          <w:rFonts w:ascii="Calibri" w:hAnsi="Calibri" w:cs="Calibri"/>
          <w:noProof/>
          <w:szCs w:val="24"/>
        </w:rPr>
        <w:t>, 47(22), pp. 1–10. doi: 10.1029/2020GL089858.</w:t>
      </w:r>
    </w:p>
    <w:p w14:paraId="53A3087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Paz-Kagan, T. </w:t>
      </w:r>
      <w:r w:rsidRPr="00A41A84">
        <w:rPr>
          <w:rFonts w:ascii="Calibri" w:hAnsi="Calibri" w:cs="Calibri"/>
          <w:i/>
          <w:iCs/>
          <w:noProof/>
          <w:szCs w:val="24"/>
        </w:rPr>
        <w:t>et al.</w:t>
      </w:r>
      <w:r w:rsidRPr="00A41A84">
        <w:rPr>
          <w:rFonts w:ascii="Calibri" w:hAnsi="Calibri" w:cs="Calibri"/>
          <w:noProof/>
          <w:szCs w:val="24"/>
        </w:rPr>
        <w:t xml:space="preserve"> (2017) ‘What mediates tree mortality during drought in the southern Sierra Nevada’, </w:t>
      </w:r>
      <w:r w:rsidRPr="00A41A84">
        <w:rPr>
          <w:rFonts w:ascii="Calibri" w:hAnsi="Calibri" w:cs="Calibri"/>
          <w:i/>
          <w:iCs/>
          <w:noProof/>
          <w:szCs w:val="24"/>
        </w:rPr>
        <w:t>Ecological Applications</w:t>
      </w:r>
      <w:r w:rsidRPr="00A41A84">
        <w:rPr>
          <w:rFonts w:ascii="Calibri" w:hAnsi="Calibri" w:cs="Calibri"/>
          <w:noProof/>
          <w:szCs w:val="24"/>
        </w:rPr>
        <w:t>, 27(8), pp. 2443–2457. doi: 10.1002/eap.1620.</w:t>
      </w:r>
    </w:p>
    <w:p w14:paraId="308794C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Restaino, C. </w:t>
      </w:r>
      <w:r w:rsidRPr="00A41A84">
        <w:rPr>
          <w:rFonts w:ascii="Calibri" w:hAnsi="Calibri" w:cs="Calibri"/>
          <w:i/>
          <w:iCs/>
          <w:noProof/>
          <w:szCs w:val="24"/>
        </w:rPr>
        <w:t>et al.</w:t>
      </w:r>
      <w:r w:rsidRPr="00A41A84">
        <w:rPr>
          <w:rFonts w:ascii="Calibri" w:hAnsi="Calibri" w:cs="Calibri"/>
          <w:noProof/>
          <w:szCs w:val="24"/>
        </w:rPr>
        <w:t xml:space="preserve"> (2019) ‘Forest structure and climate mediate drought-induced tree mortality in forests of the Sierra Nevada , USA’, </w:t>
      </w:r>
      <w:r w:rsidRPr="00A41A84">
        <w:rPr>
          <w:rFonts w:ascii="Calibri" w:hAnsi="Calibri" w:cs="Calibri"/>
          <w:i/>
          <w:iCs/>
          <w:noProof/>
          <w:szCs w:val="24"/>
        </w:rPr>
        <w:t>Ecological Applications</w:t>
      </w:r>
      <w:r w:rsidRPr="00A41A84">
        <w:rPr>
          <w:rFonts w:ascii="Calibri" w:hAnsi="Calibri" w:cs="Calibri"/>
          <w:noProof/>
          <w:szCs w:val="24"/>
        </w:rPr>
        <w:t>, 29(December 2017), pp. 1–14. doi: 10.1002/eap.1902.</w:t>
      </w:r>
    </w:p>
    <w:p w14:paraId="5C63FCF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A41A84">
        <w:rPr>
          <w:rFonts w:ascii="Calibri" w:hAnsi="Calibri" w:cs="Calibri"/>
          <w:i/>
          <w:iCs/>
          <w:noProof/>
          <w:szCs w:val="24"/>
        </w:rPr>
        <w:t>Gen. Tech. Rep. PSW-GTR-2562</w:t>
      </w:r>
      <w:r w:rsidRPr="00A41A84">
        <w:rPr>
          <w:rFonts w:ascii="Calibri" w:hAnsi="Calibri" w:cs="Calibri"/>
          <w:noProof/>
          <w:szCs w:val="24"/>
        </w:rPr>
        <w:t>, (October), pp. 1–151.</w:t>
      </w:r>
    </w:p>
    <w:p w14:paraId="02EDA6E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Schubert, G. H. (1956) </w:t>
      </w:r>
      <w:r w:rsidRPr="00A41A84">
        <w:rPr>
          <w:rFonts w:ascii="Calibri" w:hAnsi="Calibri" w:cs="Calibri"/>
          <w:i/>
          <w:iCs/>
          <w:noProof/>
          <w:szCs w:val="24"/>
        </w:rPr>
        <w:t>Effect of fertilizer on cone production of sugar pine</w:t>
      </w:r>
      <w:r w:rsidRPr="00A41A84">
        <w:rPr>
          <w:rFonts w:ascii="Calibri" w:hAnsi="Calibri" w:cs="Calibri"/>
          <w:noProof/>
          <w:szCs w:val="24"/>
        </w:rPr>
        <w:t>.</w:t>
      </w:r>
    </w:p>
    <w:p w14:paraId="7228540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A41A84">
        <w:rPr>
          <w:rFonts w:ascii="Calibri" w:hAnsi="Calibri" w:cs="Calibri"/>
          <w:i/>
          <w:iCs/>
          <w:noProof/>
          <w:szCs w:val="24"/>
        </w:rPr>
        <w:t>Oikos</w:t>
      </w:r>
      <w:r w:rsidRPr="00A41A84">
        <w:rPr>
          <w:rFonts w:ascii="Calibri" w:hAnsi="Calibri" w:cs="Calibri"/>
          <w:noProof/>
          <w:szCs w:val="24"/>
        </w:rPr>
        <w:t>, 94, pp. 326–336.</w:t>
      </w:r>
    </w:p>
    <w:p w14:paraId="102BF978"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Shive, K. L. </w:t>
      </w:r>
      <w:r w:rsidRPr="00A41A84">
        <w:rPr>
          <w:rFonts w:ascii="Calibri" w:hAnsi="Calibri" w:cs="Calibri"/>
          <w:i/>
          <w:iCs/>
          <w:noProof/>
          <w:szCs w:val="24"/>
        </w:rPr>
        <w:t>et al.</w:t>
      </w:r>
      <w:r w:rsidRPr="00A41A84">
        <w:rPr>
          <w:rFonts w:ascii="Calibri" w:hAnsi="Calibri" w:cs="Calibri"/>
          <w:noProof/>
          <w:szCs w:val="24"/>
        </w:rPr>
        <w:t xml:space="preserve"> (2018) ‘From the stand scale to the landscape scale: predicting the spatial patterns of forest regeneration after disturbance’, </w:t>
      </w:r>
      <w:r w:rsidRPr="00A41A84">
        <w:rPr>
          <w:rFonts w:ascii="Calibri" w:hAnsi="Calibri" w:cs="Calibri"/>
          <w:i/>
          <w:iCs/>
          <w:noProof/>
          <w:szCs w:val="24"/>
        </w:rPr>
        <w:t>Ecological Applications</w:t>
      </w:r>
      <w:r w:rsidRPr="00A41A84">
        <w:rPr>
          <w:rFonts w:ascii="Calibri" w:hAnsi="Calibri" w:cs="Calibri"/>
          <w:noProof/>
          <w:szCs w:val="24"/>
        </w:rPr>
        <w:t>, 28(6), pp. 1626–1639. doi: 10.1002/eap.1756.</w:t>
      </w:r>
    </w:p>
    <w:p w14:paraId="020E3D4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lastRenderedPageBreak/>
        <w:t xml:space="preserve">Shriver, R. K. </w:t>
      </w:r>
      <w:r w:rsidRPr="00A41A84">
        <w:rPr>
          <w:rFonts w:ascii="Calibri" w:hAnsi="Calibri" w:cs="Calibri"/>
          <w:i/>
          <w:iCs/>
          <w:noProof/>
          <w:szCs w:val="24"/>
        </w:rPr>
        <w:t>et al.</w:t>
      </w:r>
      <w:r w:rsidRPr="00A41A84">
        <w:rPr>
          <w:rFonts w:ascii="Calibri" w:hAnsi="Calibri" w:cs="Calibri"/>
          <w:noProof/>
          <w:szCs w:val="24"/>
        </w:rPr>
        <w:t xml:space="preserve"> (2019) ‘Transient population dynamics impede restoration and may promote ecosystem transformation after disturbance’, </w:t>
      </w:r>
      <w:r w:rsidRPr="00A41A84">
        <w:rPr>
          <w:rFonts w:ascii="Calibri" w:hAnsi="Calibri" w:cs="Calibri"/>
          <w:i/>
          <w:iCs/>
          <w:noProof/>
          <w:szCs w:val="24"/>
        </w:rPr>
        <w:t>Ecology Letters</w:t>
      </w:r>
      <w:r w:rsidRPr="00A41A84">
        <w:rPr>
          <w:rFonts w:ascii="Calibri" w:hAnsi="Calibri" w:cs="Calibri"/>
          <w:noProof/>
          <w:szCs w:val="24"/>
        </w:rPr>
        <w:t>, 22(9), pp. 1357–1366. doi: 10.1111/ele.13291.</w:t>
      </w:r>
    </w:p>
    <w:p w14:paraId="77506CC1"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Shriver, R. K. </w:t>
      </w:r>
      <w:r w:rsidRPr="00A41A84">
        <w:rPr>
          <w:rFonts w:ascii="Calibri" w:hAnsi="Calibri" w:cs="Calibri"/>
          <w:i/>
          <w:iCs/>
          <w:noProof/>
          <w:szCs w:val="24"/>
        </w:rPr>
        <w:t>et al.</w:t>
      </w:r>
      <w:r w:rsidRPr="00A41A84">
        <w:rPr>
          <w:rFonts w:ascii="Calibri" w:hAnsi="Calibri" w:cs="Calibri"/>
          <w:noProof/>
          <w:szCs w:val="24"/>
        </w:rPr>
        <w:t xml:space="preserve"> (2021) ‘Quantifying the demographic vulnerabilities of dry woodlands to climate and competition using range‐wide monitoring data’, </w:t>
      </w:r>
      <w:r w:rsidRPr="00A41A84">
        <w:rPr>
          <w:rFonts w:ascii="Calibri" w:hAnsi="Calibri" w:cs="Calibri"/>
          <w:i/>
          <w:iCs/>
          <w:noProof/>
          <w:szCs w:val="24"/>
        </w:rPr>
        <w:t>Ecology</w:t>
      </w:r>
      <w:r w:rsidRPr="00A41A84">
        <w:rPr>
          <w:rFonts w:ascii="Calibri" w:hAnsi="Calibri" w:cs="Calibri"/>
          <w:noProof/>
          <w:szCs w:val="24"/>
        </w:rPr>
        <w:t>, 0(0), pp. 1–12. doi: 10.1002/ecy.3425.</w:t>
      </w:r>
    </w:p>
    <w:p w14:paraId="6369244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A41A84">
        <w:rPr>
          <w:rFonts w:ascii="Calibri" w:hAnsi="Calibri" w:cs="Calibri"/>
          <w:i/>
          <w:iCs/>
          <w:noProof/>
          <w:szCs w:val="24"/>
        </w:rPr>
        <w:t>Trees</w:t>
      </w:r>
      <w:r w:rsidRPr="00A41A84">
        <w:rPr>
          <w:rFonts w:ascii="Calibri" w:hAnsi="Calibri" w:cs="Calibri"/>
          <w:noProof/>
          <w:szCs w:val="24"/>
        </w:rPr>
        <w:t>, (0123456789). doi: 10.1007/s00468-021-02098-8.</w:t>
      </w:r>
    </w:p>
    <w:p w14:paraId="53A15B1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Steel, Z. </w:t>
      </w:r>
      <w:r w:rsidRPr="00A41A84">
        <w:rPr>
          <w:rFonts w:ascii="Calibri" w:hAnsi="Calibri" w:cs="Calibri"/>
          <w:i/>
          <w:iCs/>
          <w:noProof/>
          <w:szCs w:val="24"/>
        </w:rPr>
        <w:t>et al.</w:t>
      </w:r>
      <w:r w:rsidRPr="00A41A84">
        <w:rPr>
          <w:rFonts w:ascii="Calibri" w:hAnsi="Calibri" w:cs="Calibri"/>
          <w:noProof/>
          <w:szCs w:val="24"/>
        </w:rPr>
        <w:t xml:space="preserve"> (2021) ‘Do Forest Fuel Reduction Treatments Confer Resistance to Beetle Infestation and Drought Mortality?’, </w:t>
      </w:r>
      <w:r w:rsidRPr="00A41A84">
        <w:rPr>
          <w:rFonts w:ascii="Calibri" w:hAnsi="Calibri" w:cs="Calibri"/>
          <w:i/>
          <w:iCs/>
          <w:noProof/>
          <w:szCs w:val="24"/>
        </w:rPr>
        <w:t>Ecosphere</w:t>
      </w:r>
      <w:r w:rsidRPr="00A41A84">
        <w:rPr>
          <w:rFonts w:ascii="Calibri" w:hAnsi="Calibri" w:cs="Calibri"/>
          <w:noProof/>
          <w:szCs w:val="24"/>
        </w:rPr>
        <w:t>, 12(January). doi: 10.1002/ecs2.3344.</w:t>
      </w:r>
    </w:p>
    <w:p w14:paraId="703023A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A41A84">
        <w:rPr>
          <w:rFonts w:ascii="Calibri" w:hAnsi="Calibri" w:cs="Calibri"/>
          <w:i/>
          <w:iCs/>
          <w:noProof/>
          <w:szCs w:val="24"/>
        </w:rPr>
        <w:t>Ecosphere</w:t>
      </w:r>
      <w:r w:rsidRPr="00A41A84">
        <w:rPr>
          <w:rFonts w:ascii="Calibri" w:hAnsi="Calibri" w:cs="Calibri"/>
          <w:noProof/>
          <w:szCs w:val="24"/>
        </w:rPr>
        <w:t>, 6(1). doi: 10.1890/ES14-00224.1.</w:t>
      </w:r>
    </w:p>
    <w:p w14:paraId="01D55EA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 S. C. L. S. </w:t>
      </w:r>
      <w:r w:rsidRPr="00A41A84">
        <w:rPr>
          <w:rFonts w:ascii="Calibri" w:hAnsi="Calibri" w:cs="Calibri"/>
          <w:i/>
          <w:iCs/>
          <w:noProof/>
          <w:szCs w:val="24"/>
        </w:rPr>
        <w:t>et al.</w:t>
      </w:r>
      <w:r w:rsidRPr="00A41A84">
        <w:rPr>
          <w:rFonts w:ascii="Calibri" w:hAnsi="Calibri" w:cs="Calibri"/>
          <w:noProof/>
          <w:szCs w:val="24"/>
        </w:rPr>
        <w:t xml:space="preserve"> (2015) ‘Historical and current landscape-scale ponderosa pine and mixed conifer forest structure in the Southern Sierra Nevada’, </w:t>
      </w:r>
      <w:r w:rsidRPr="00A41A84">
        <w:rPr>
          <w:rFonts w:ascii="Calibri" w:hAnsi="Calibri" w:cs="Calibri"/>
          <w:i/>
          <w:iCs/>
          <w:noProof/>
          <w:szCs w:val="24"/>
        </w:rPr>
        <w:t>Ecosphere</w:t>
      </w:r>
      <w:r w:rsidRPr="00A41A84">
        <w:rPr>
          <w:rFonts w:ascii="Calibri" w:hAnsi="Calibri" w:cs="Calibri"/>
          <w:noProof/>
          <w:szCs w:val="24"/>
        </w:rPr>
        <w:t>, 6(May), pp. 1–63.</w:t>
      </w:r>
    </w:p>
    <w:p w14:paraId="719D903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 S. L. </w:t>
      </w:r>
      <w:r w:rsidRPr="00A41A84">
        <w:rPr>
          <w:rFonts w:ascii="Calibri" w:hAnsi="Calibri" w:cs="Calibri"/>
          <w:i/>
          <w:iCs/>
          <w:noProof/>
          <w:szCs w:val="24"/>
        </w:rPr>
        <w:t>et al.</w:t>
      </w:r>
      <w:r w:rsidRPr="00A41A84">
        <w:rPr>
          <w:rFonts w:ascii="Calibri" w:hAnsi="Calibri" w:cs="Calibri"/>
          <w:noProof/>
          <w:szCs w:val="24"/>
        </w:rPr>
        <w:t xml:space="preserve"> (2018) ‘Drought, Tree Mortality, and Wildfire in Forests Adapted to Frequent Fire’, </w:t>
      </w:r>
      <w:r w:rsidRPr="00A41A84">
        <w:rPr>
          <w:rFonts w:ascii="Calibri" w:hAnsi="Calibri" w:cs="Calibri"/>
          <w:i/>
          <w:iCs/>
          <w:noProof/>
          <w:szCs w:val="24"/>
        </w:rPr>
        <w:t>BioScience</w:t>
      </w:r>
      <w:r w:rsidRPr="00A41A84">
        <w:rPr>
          <w:rFonts w:ascii="Calibri" w:hAnsi="Calibri" w:cs="Calibri"/>
          <w:noProof/>
          <w:szCs w:val="24"/>
        </w:rPr>
        <w:t>, XX(X), pp. 1–12. doi: 10.1093/biosci/bix146.</w:t>
      </w:r>
    </w:p>
    <w:p w14:paraId="44B2CD33"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Stephenson, N. L. </w:t>
      </w:r>
      <w:r w:rsidRPr="00A41A84">
        <w:rPr>
          <w:rFonts w:ascii="Calibri" w:hAnsi="Calibri" w:cs="Calibri"/>
          <w:i/>
          <w:iCs/>
          <w:noProof/>
          <w:szCs w:val="24"/>
        </w:rPr>
        <w:t>et al.</w:t>
      </w:r>
      <w:r w:rsidRPr="00A41A84">
        <w:rPr>
          <w:rFonts w:ascii="Calibri" w:hAnsi="Calibri" w:cs="Calibri"/>
          <w:noProof/>
          <w:szCs w:val="24"/>
        </w:rPr>
        <w:t xml:space="preserve"> (2019) ‘Which trees die during drought? The key role of insect host-tree selection’, </w:t>
      </w:r>
      <w:r w:rsidRPr="00A41A84">
        <w:rPr>
          <w:rFonts w:ascii="Calibri" w:hAnsi="Calibri" w:cs="Calibri"/>
          <w:i/>
          <w:iCs/>
          <w:noProof/>
          <w:szCs w:val="24"/>
        </w:rPr>
        <w:t>Journal of Ecology</w:t>
      </w:r>
      <w:r w:rsidRPr="00A41A84">
        <w:rPr>
          <w:rFonts w:ascii="Calibri" w:hAnsi="Calibri" w:cs="Calibri"/>
          <w:noProof/>
          <w:szCs w:val="24"/>
        </w:rPr>
        <w:t>, 107(5), pp. 2383–2401. doi: 10.1111/1365-2745.13176.</w:t>
      </w:r>
    </w:p>
    <w:p w14:paraId="1A76FD1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Stevens, J. T. </w:t>
      </w:r>
      <w:r w:rsidRPr="00A41A84">
        <w:rPr>
          <w:rFonts w:ascii="Calibri" w:hAnsi="Calibri" w:cs="Calibri"/>
          <w:i/>
          <w:iCs/>
          <w:noProof/>
          <w:szCs w:val="24"/>
        </w:rPr>
        <w:t>et al.</w:t>
      </w:r>
      <w:r w:rsidRPr="00A41A84">
        <w:rPr>
          <w:rFonts w:ascii="Calibri" w:hAnsi="Calibri" w:cs="Calibri"/>
          <w:noProof/>
          <w:szCs w:val="24"/>
        </w:rPr>
        <w:t xml:space="preserve"> (2017) ‘Changing spatial patterns of stand-replacing fire in California conifer forests’, </w:t>
      </w:r>
      <w:r w:rsidRPr="00A41A84">
        <w:rPr>
          <w:rFonts w:ascii="Calibri" w:hAnsi="Calibri" w:cs="Calibri"/>
          <w:i/>
          <w:iCs/>
          <w:noProof/>
          <w:szCs w:val="24"/>
        </w:rPr>
        <w:t>Forest Ecology and Management</w:t>
      </w:r>
      <w:r w:rsidRPr="00A41A84">
        <w:rPr>
          <w:rFonts w:ascii="Calibri" w:hAnsi="Calibri" w:cs="Calibri"/>
          <w:noProof/>
          <w:szCs w:val="24"/>
        </w:rPr>
        <w:t>, 406(August), pp. 28–36. doi: 10.1016/j.foreco.2017.08.051.</w:t>
      </w:r>
    </w:p>
    <w:p w14:paraId="61D718FD"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Stewart, J. A. E. </w:t>
      </w:r>
      <w:r w:rsidRPr="00A41A84">
        <w:rPr>
          <w:rFonts w:ascii="Calibri" w:hAnsi="Calibri" w:cs="Calibri"/>
          <w:i/>
          <w:iCs/>
          <w:noProof/>
          <w:szCs w:val="24"/>
        </w:rPr>
        <w:t>et al.</w:t>
      </w:r>
      <w:r w:rsidRPr="00A41A84">
        <w:rPr>
          <w:rFonts w:ascii="Calibri" w:hAnsi="Calibri" w:cs="Calibri"/>
          <w:noProof/>
          <w:szCs w:val="24"/>
        </w:rPr>
        <w:t xml:space="preserve"> (2021) ‘Effects of postfire climate and seed availability on postfire conifer regeneration’, </w:t>
      </w:r>
      <w:r w:rsidRPr="00A41A84">
        <w:rPr>
          <w:rFonts w:ascii="Calibri" w:hAnsi="Calibri" w:cs="Calibri"/>
          <w:i/>
          <w:iCs/>
          <w:noProof/>
          <w:szCs w:val="24"/>
        </w:rPr>
        <w:t>Ecological Applications</w:t>
      </w:r>
      <w:r w:rsidRPr="00A41A84">
        <w:rPr>
          <w:rFonts w:ascii="Calibri" w:hAnsi="Calibri" w:cs="Calibri"/>
          <w:noProof/>
          <w:szCs w:val="24"/>
        </w:rPr>
        <w:t>, 31(3), pp. 1–14. doi: 10.1002/eap.2280.</w:t>
      </w:r>
    </w:p>
    <w:p w14:paraId="13E69B5F"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Voelker, S. L. </w:t>
      </w:r>
      <w:r w:rsidRPr="00A41A84">
        <w:rPr>
          <w:rFonts w:ascii="Calibri" w:hAnsi="Calibri" w:cs="Calibri"/>
          <w:i/>
          <w:iCs/>
          <w:noProof/>
          <w:szCs w:val="24"/>
        </w:rPr>
        <w:t>et al.</w:t>
      </w:r>
      <w:r w:rsidRPr="00A41A84">
        <w:rPr>
          <w:rFonts w:ascii="Calibri" w:hAnsi="Calibri" w:cs="Calibri"/>
          <w:noProof/>
          <w:szCs w:val="24"/>
        </w:rPr>
        <w:t xml:space="preserve"> (2019) ‘Fire deficits have increased drought sensitivity in dry conifer forests: Fire frequency and tree-ring carbon isotope evidence from Central Oregon’, </w:t>
      </w:r>
      <w:r w:rsidRPr="00A41A84">
        <w:rPr>
          <w:rFonts w:ascii="Calibri" w:hAnsi="Calibri" w:cs="Calibri"/>
          <w:i/>
          <w:iCs/>
          <w:noProof/>
          <w:szCs w:val="24"/>
        </w:rPr>
        <w:t>Global Change Biology</w:t>
      </w:r>
      <w:r w:rsidRPr="00A41A84">
        <w:rPr>
          <w:rFonts w:ascii="Calibri" w:hAnsi="Calibri" w:cs="Calibri"/>
          <w:noProof/>
          <w:szCs w:val="24"/>
        </w:rPr>
        <w:t>, 25(4), pp. 1247–1262. doi: 10.1111/gcb.14543.</w:t>
      </w:r>
    </w:p>
    <w:p w14:paraId="10E34FD9"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Wayman, R. B. and Safford, H. D. (2021) ‘Recent bark beetle outbreaks influence wildfire severity in mixed-conifer forests of the Sierra Nevada, California, USA’, </w:t>
      </w:r>
      <w:r w:rsidRPr="00A41A84">
        <w:rPr>
          <w:rFonts w:ascii="Calibri" w:hAnsi="Calibri" w:cs="Calibri"/>
          <w:i/>
          <w:iCs/>
          <w:noProof/>
          <w:szCs w:val="24"/>
        </w:rPr>
        <w:t>Ecological Applications</w:t>
      </w:r>
      <w:r w:rsidRPr="00A41A84">
        <w:rPr>
          <w:rFonts w:ascii="Calibri" w:hAnsi="Calibri" w:cs="Calibri"/>
          <w:noProof/>
          <w:szCs w:val="24"/>
        </w:rPr>
        <w:t>, 31(3), pp. 1–19. doi: 10.1002/eap.2287.</w:t>
      </w:r>
    </w:p>
    <w:p w14:paraId="7B7B047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Westerling, A. L. (2018) </w:t>
      </w:r>
      <w:r w:rsidRPr="00A41A84">
        <w:rPr>
          <w:rFonts w:ascii="Calibri" w:hAnsi="Calibri" w:cs="Calibri"/>
          <w:i/>
          <w:iCs/>
          <w:noProof/>
          <w:szCs w:val="24"/>
        </w:rPr>
        <w:t>Wildfire Simulations for the Fourth California Climate Assessment: Projecting Changes in Extreme Wildfire Events with a Warming Climate</w:t>
      </w:r>
      <w:r w:rsidRPr="00A41A84">
        <w:rPr>
          <w:rFonts w:ascii="Calibri" w:hAnsi="Calibri" w:cs="Calibri"/>
          <w:noProof/>
          <w:szCs w:val="24"/>
        </w:rPr>
        <w:t>. CCCA4-CEC-2018–014. Available at: http://www.climateassessment.ca.gov/techreports/docs/20180827-Projections_CCCA4-CEC-2018-014.pdf.</w:t>
      </w:r>
    </w:p>
    <w:p w14:paraId="3967DBEB"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Wilson, B. T. </w:t>
      </w:r>
      <w:r w:rsidRPr="00A41A84">
        <w:rPr>
          <w:rFonts w:ascii="Calibri" w:hAnsi="Calibri" w:cs="Calibri"/>
          <w:i/>
          <w:iCs/>
          <w:noProof/>
          <w:szCs w:val="24"/>
        </w:rPr>
        <w:t>et al.</w:t>
      </w:r>
      <w:r w:rsidRPr="00A41A84">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606C9C50"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41B59004"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A41A84">
        <w:rPr>
          <w:rFonts w:ascii="Calibri" w:hAnsi="Calibri" w:cs="Calibri"/>
          <w:i/>
          <w:iCs/>
          <w:noProof/>
          <w:szCs w:val="24"/>
        </w:rPr>
        <w:t>The American Midland Naturalist</w:t>
      </w:r>
      <w:r w:rsidRPr="00A41A84">
        <w:rPr>
          <w:rFonts w:ascii="Calibri" w:hAnsi="Calibri" w:cs="Calibri"/>
          <w:noProof/>
          <w:szCs w:val="24"/>
        </w:rPr>
        <w:t>, 111(1), pp. 126–137. Available at: https://www.jstor.org/stable/2425550.</w:t>
      </w:r>
    </w:p>
    <w:p w14:paraId="6D62B2F5"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York, R. A. </w:t>
      </w:r>
      <w:r w:rsidRPr="00A41A84">
        <w:rPr>
          <w:rFonts w:ascii="Calibri" w:hAnsi="Calibri" w:cs="Calibri"/>
          <w:i/>
          <w:iCs/>
          <w:noProof/>
          <w:szCs w:val="24"/>
        </w:rPr>
        <w:t>et al.</w:t>
      </w:r>
      <w:r w:rsidRPr="00A41A84">
        <w:rPr>
          <w:rFonts w:ascii="Calibri" w:hAnsi="Calibri" w:cs="Calibri"/>
          <w:noProof/>
          <w:szCs w:val="24"/>
        </w:rPr>
        <w:t xml:space="preserve"> (2004) ‘Group selection management in conifer forests: Relationships between opening size and tree growth’, </w:t>
      </w:r>
      <w:r w:rsidRPr="00A41A84">
        <w:rPr>
          <w:rFonts w:ascii="Calibri" w:hAnsi="Calibri" w:cs="Calibri"/>
          <w:i/>
          <w:iCs/>
          <w:noProof/>
          <w:szCs w:val="24"/>
        </w:rPr>
        <w:t>Canadian Journal of Forest Research</w:t>
      </w:r>
      <w:r w:rsidRPr="00A41A84">
        <w:rPr>
          <w:rFonts w:ascii="Calibri" w:hAnsi="Calibri" w:cs="Calibri"/>
          <w:noProof/>
          <w:szCs w:val="24"/>
        </w:rPr>
        <w:t>, 34(3), pp. 630–641. doi: 10.1139/x03-222.</w:t>
      </w:r>
    </w:p>
    <w:p w14:paraId="7E78421C" w14:textId="77777777" w:rsidR="00A41A84" w:rsidRPr="00A41A84" w:rsidRDefault="00A41A84" w:rsidP="00A41A84">
      <w:pPr>
        <w:widowControl w:val="0"/>
        <w:autoSpaceDE w:val="0"/>
        <w:autoSpaceDN w:val="0"/>
        <w:adjustRightInd w:val="0"/>
        <w:spacing w:line="240" w:lineRule="auto"/>
        <w:rPr>
          <w:rFonts w:ascii="Calibri" w:hAnsi="Calibri" w:cs="Calibri"/>
          <w:noProof/>
          <w:szCs w:val="24"/>
        </w:rPr>
      </w:pPr>
      <w:r w:rsidRPr="00A41A84">
        <w:rPr>
          <w:rFonts w:ascii="Calibri" w:hAnsi="Calibri" w:cs="Calibri"/>
          <w:noProof/>
          <w:szCs w:val="24"/>
        </w:rPr>
        <w:t xml:space="preserve">York, R. A. </w:t>
      </w:r>
      <w:r w:rsidRPr="00A41A84">
        <w:rPr>
          <w:rFonts w:ascii="Calibri" w:hAnsi="Calibri" w:cs="Calibri"/>
          <w:i/>
          <w:iCs/>
          <w:noProof/>
          <w:szCs w:val="24"/>
        </w:rPr>
        <w:t>et al.</w:t>
      </w:r>
      <w:r w:rsidRPr="00A41A84">
        <w:rPr>
          <w:rFonts w:ascii="Calibri" w:hAnsi="Calibri" w:cs="Calibri"/>
          <w:noProof/>
          <w:szCs w:val="24"/>
        </w:rPr>
        <w:t xml:space="preserve"> (2012) ‘A gap-based approach for regenerating pine species and reducing surface fuels in multi-aged mixed conifer stands in the Sierra Nevada, California’, </w:t>
      </w:r>
      <w:r w:rsidRPr="00A41A84">
        <w:rPr>
          <w:rFonts w:ascii="Calibri" w:hAnsi="Calibri" w:cs="Calibri"/>
          <w:i/>
          <w:iCs/>
          <w:noProof/>
          <w:szCs w:val="24"/>
        </w:rPr>
        <w:t>Forestry</w:t>
      </w:r>
      <w:r w:rsidRPr="00A41A84">
        <w:rPr>
          <w:rFonts w:ascii="Calibri" w:hAnsi="Calibri" w:cs="Calibri"/>
          <w:noProof/>
          <w:szCs w:val="24"/>
        </w:rPr>
        <w:t>, 85(2), pp. 203–213. doi: 10.1093/forestry/cpr058.</w:t>
      </w:r>
    </w:p>
    <w:p w14:paraId="668D1598" w14:textId="77777777" w:rsidR="00A41A84" w:rsidRPr="00A41A84" w:rsidRDefault="00A41A84" w:rsidP="00A41A84">
      <w:pPr>
        <w:widowControl w:val="0"/>
        <w:autoSpaceDE w:val="0"/>
        <w:autoSpaceDN w:val="0"/>
        <w:adjustRightInd w:val="0"/>
        <w:spacing w:line="240" w:lineRule="auto"/>
        <w:rPr>
          <w:rFonts w:ascii="Calibri" w:hAnsi="Calibri" w:cs="Calibri"/>
          <w:noProof/>
        </w:rPr>
      </w:pPr>
      <w:r w:rsidRPr="00A41A84">
        <w:rPr>
          <w:rFonts w:ascii="Calibri" w:hAnsi="Calibri" w:cs="Calibri"/>
          <w:noProof/>
          <w:szCs w:val="24"/>
        </w:rPr>
        <w:t xml:space="preserve">Young, D. J. N. </w:t>
      </w:r>
      <w:r w:rsidRPr="00A41A84">
        <w:rPr>
          <w:rFonts w:ascii="Calibri" w:hAnsi="Calibri" w:cs="Calibri"/>
          <w:i/>
          <w:iCs/>
          <w:noProof/>
          <w:szCs w:val="24"/>
        </w:rPr>
        <w:t>et al.</w:t>
      </w:r>
      <w:r w:rsidRPr="00A41A84">
        <w:rPr>
          <w:rFonts w:ascii="Calibri" w:hAnsi="Calibri" w:cs="Calibri"/>
          <w:noProof/>
          <w:szCs w:val="24"/>
        </w:rPr>
        <w:t xml:space="preserve"> (2017) ‘Long-term climate and competition explain forest mortality patterns under extreme drought’, </w:t>
      </w:r>
      <w:r w:rsidRPr="00A41A84">
        <w:rPr>
          <w:rFonts w:ascii="Calibri" w:hAnsi="Calibri" w:cs="Calibri"/>
          <w:i/>
          <w:iCs/>
          <w:noProof/>
          <w:szCs w:val="24"/>
        </w:rPr>
        <w:t>Ecology Letters</w:t>
      </w:r>
      <w:r w:rsidRPr="00A41A84">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5" w:name="_Ref94877166"/>
      <w:r>
        <w:t xml:space="preserve">Figure </w:t>
      </w:r>
      <w:fldSimple w:instr=" SEQ Figure \* ARABIC ">
        <w:r w:rsidR="009166BF">
          <w:rPr>
            <w:noProof/>
          </w:rPr>
          <w:t>1</w:t>
        </w:r>
      </w:fldSimple>
      <w:bookmarkEnd w:id="5"/>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6" w:name="_Ref93744929"/>
      <w:r>
        <w:t xml:space="preserve">Figure </w:t>
      </w:r>
      <w:r w:rsidR="005A4789">
        <w:fldChar w:fldCharType="begin"/>
      </w:r>
      <w:r w:rsidR="005A4789">
        <w:instrText xml:space="preserve"> SEQ Figure \* ARABIC </w:instrText>
      </w:r>
      <w:r w:rsidR="005A4789">
        <w:fldChar w:fldCharType="separate"/>
      </w:r>
      <w:r w:rsidR="009166BF">
        <w:rPr>
          <w:noProof/>
        </w:rPr>
        <w:t>2</w:t>
      </w:r>
      <w:r w:rsidR="005A4789">
        <w:rPr>
          <w:noProof/>
        </w:rPr>
        <w:fldChar w:fldCharType="end"/>
      </w:r>
      <w:bookmarkEnd w:id="6"/>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7" w:name="_Ref94611931"/>
      <w:r>
        <w:t xml:space="preserve">Figure </w:t>
      </w:r>
      <w:r w:rsidR="005A4789">
        <w:fldChar w:fldCharType="begin"/>
      </w:r>
      <w:r w:rsidR="005A4789">
        <w:instrText xml:space="preserve"> SEQ Figure \* ARABIC </w:instrText>
      </w:r>
      <w:r w:rsidR="005A4789">
        <w:fldChar w:fldCharType="separate"/>
      </w:r>
      <w:r w:rsidR="009166BF">
        <w:rPr>
          <w:noProof/>
        </w:rPr>
        <w:t>3</w:t>
      </w:r>
      <w:r w:rsidR="005A4789">
        <w:rPr>
          <w:noProof/>
        </w:rPr>
        <w:fldChar w:fldCharType="end"/>
      </w:r>
      <w:bookmarkEnd w:id="7"/>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8" w:name="_Ref94613276"/>
      <w:r>
        <w:t xml:space="preserve">Figure </w:t>
      </w:r>
      <w:r w:rsidR="005A4789">
        <w:fldChar w:fldCharType="begin"/>
      </w:r>
      <w:r w:rsidR="005A4789">
        <w:instrText xml:space="preserve"> SEQ Figure \* ARABIC </w:instrText>
      </w:r>
      <w:r w:rsidR="005A4789">
        <w:fldChar w:fldCharType="separate"/>
      </w:r>
      <w:r w:rsidR="009166BF">
        <w:rPr>
          <w:noProof/>
        </w:rPr>
        <w:t>4</w:t>
      </w:r>
      <w:r w:rsidR="005A4789">
        <w:rPr>
          <w:noProof/>
        </w:rPr>
        <w:fldChar w:fldCharType="end"/>
      </w:r>
      <w:bookmarkEnd w:id="8"/>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9" w:name="_Ref94615945"/>
      <w:r>
        <w:t xml:space="preserve">Figure </w:t>
      </w:r>
      <w:r w:rsidR="005A4789">
        <w:fldChar w:fldCharType="begin"/>
      </w:r>
      <w:r w:rsidR="005A4789">
        <w:instrText xml:space="preserve"> SEQ Figure \* ARABIC </w:instrText>
      </w:r>
      <w:r w:rsidR="005A4789">
        <w:fldChar w:fldCharType="separate"/>
      </w:r>
      <w:r w:rsidR="009166BF">
        <w:rPr>
          <w:noProof/>
        </w:rPr>
        <w:t>5</w:t>
      </w:r>
      <w:r w:rsidR="005A4789">
        <w:rPr>
          <w:noProof/>
        </w:rPr>
        <w:fldChar w:fldCharType="end"/>
      </w:r>
      <w:bookmarkEnd w:id="9"/>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10" w:name="_Ref94616225"/>
      <w:r>
        <w:t xml:space="preserve">Figure </w:t>
      </w:r>
      <w:r w:rsidR="005A4789">
        <w:fldChar w:fldCharType="begin"/>
      </w:r>
      <w:r w:rsidR="005A4789">
        <w:instrText xml:space="preserve"> SEQ Figure \* ARABIC </w:instrText>
      </w:r>
      <w:r w:rsidR="005A4789">
        <w:fldChar w:fldCharType="separate"/>
      </w:r>
      <w:r w:rsidR="009166BF">
        <w:rPr>
          <w:noProof/>
        </w:rPr>
        <w:t>6</w:t>
      </w:r>
      <w:r w:rsidR="005A4789">
        <w:rPr>
          <w:noProof/>
        </w:rPr>
        <w:fldChar w:fldCharType="end"/>
      </w:r>
      <w:bookmarkEnd w:id="10"/>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11" w:name="_Ref94620208"/>
      <w:r>
        <w:t xml:space="preserve">Figure </w:t>
      </w:r>
      <w:r w:rsidR="005A4789">
        <w:fldChar w:fldCharType="begin"/>
      </w:r>
      <w:r w:rsidR="005A4789">
        <w:instrText xml:space="preserve"> SEQ Figure \* ARABIC </w:instrText>
      </w:r>
      <w:r w:rsidR="005A4789">
        <w:fldChar w:fldCharType="separate"/>
      </w:r>
      <w:r>
        <w:rPr>
          <w:noProof/>
        </w:rPr>
        <w:t>7</w:t>
      </w:r>
      <w:r w:rsidR="005A4789">
        <w:rPr>
          <w:noProof/>
        </w:rPr>
        <w:fldChar w:fldCharType="end"/>
      </w:r>
      <w:bookmarkEnd w:id="11"/>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2" w:name="_Ref93658815"/>
      <w:r>
        <w:lastRenderedPageBreak/>
        <w:t>Supplementary Materials</w:t>
      </w:r>
      <w:bookmarkEnd w:id="12"/>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3" w:name="_Ref93658573"/>
      <w:r>
        <w:t xml:space="preserve">Supplementary Figure </w:t>
      </w:r>
      <w:fldSimple w:instr=" SEQ Supplementary_Figure \* ARABIC ">
        <w:r w:rsidR="003E04A3">
          <w:rPr>
            <w:noProof/>
          </w:rPr>
          <w:t>1</w:t>
        </w:r>
      </w:fldSimple>
      <w:bookmarkEnd w:id="13"/>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14" w:name="_Ref93658580"/>
      <w:r>
        <w:t xml:space="preserve">Supplementary Figure </w:t>
      </w:r>
      <w:fldSimple w:instr=" SEQ Supplementary_Figure \* ARABIC ">
        <w:r w:rsidR="003E04A3">
          <w:rPr>
            <w:noProof/>
          </w:rPr>
          <w:t>2</w:t>
        </w:r>
      </w:fldSimple>
      <w:bookmarkEnd w:id="14"/>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15" w:name="_Ref93658585"/>
      <w:r>
        <w:t xml:space="preserve">Supplementary Figure </w:t>
      </w:r>
      <w:fldSimple w:instr=" SEQ Supplementary_Figure \* ARABIC ">
        <w:r w:rsidR="003E04A3">
          <w:rPr>
            <w:noProof/>
          </w:rPr>
          <w:t>3</w:t>
        </w:r>
      </w:fldSimple>
      <w:bookmarkEnd w:id="15"/>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6" w:name="_Ref93658594"/>
      <w:r>
        <w:t xml:space="preserve">Supplementary Figure </w:t>
      </w:r>
      <w:fldSimple w:instr=" SEQ Supplementary_Figure \* ARABIC ">
        <w:r w:rsidR="003E04A3">
          <w:rPr>
            <w:noProof/>
          </w:rPr>
          <w:t>4</w:t>
        </w:r>
      </w:fldSimple>
      <w:bookmarkEnd w:id="16"/>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7" w:name="_Ref93658597"/>
      <w:r>
        <w:t xml:space="preserve">Supplementary Figure </w:t>
      </w:r>
      <w:fldSimple w:instr=" SEQ Supplementary_Figure \* ARABIC ">
        <w:r w:rsidR="003E04A3">
          <w:rPr>
            <w:noProof/>
          </w:rPr>
          <w:t>5</w:t>
        </w:r>
      </w:fldSimple>
      <w:bookmarkEnd w:id="17"/>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8" w:name="_Ref93658599"/>
      <w:r>
        <w:t xml:space="preserve">Supplementary Figure </w:t>
      </w:r>
      <w:fldSimple w:instr=" SEQ Supplementary_Figure \* ARABIC ">
        <w:r w:rsidR="003E04A3">
          <w:rPr>
            <w:noProof/>
          </w:rPr>
          <w:t>6</w:t>
        </w:r>
      </w:fldSimple>
      <w:bookmarkEnd w:id="18"/>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19" w:name="_Ref94607451"/>
      <w:r>
        <w:t xml:space="preserve">Supplementary Table </w:t>
      </w:r>
      <w:fldSimple w:instr=" SEQ Supplementary_Table \* ARABIC ">
        <w:r w:rsidR="002D364A">
          <w:rPr>
            <w:noProof/>
          </w:rPr>
          <w:t>1</w:t>
        </w:r>
      </w:fldSimple>
      <w:bookmarkEnd w:id="19"/>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1008"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20" w:name="_Ref94609644"/>
      <w:r>
        <w:t xml:space="preserve">Supplementary Table </w:t>
      </w:r>
      <w:r w:rsidR="005A4789">
        <w:fldChar w:fldCharType="begin"/>
      </w:r>
      <w:r w:rsidR="005A4789">
        <w:instrText xml:space="preserve"> SEQ Supplementary_Table \* ARABIC </w:instrText>
      </w:r>
      <w:r w:rsidR="005A4789">
        <w:fldChar w:fldCharType="separate"/>
      </w:r>
      <w:r w:rsidR="002D364A">
        <w:rPr>
          <w:noProof/>
        </w:rPr>
        <w:t>2</w:t>
      </w:r>
      <w:r w:rsidR="005A4789">
        <w:rPr>
          <w:noProof/>
        </w:rPr>
        <w:fldChar w:fldCharType="end"/>
      </w:r>
      <w:bookmarkEnd w:id="20"/>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1" w:name="_Ref94613081"/>
      <w:r>
        <w:t xml:space="preserve">Supplementary Table </w:t>
      </w:r>
      <w:r w:rsidR="005A4789">
        <w:fldChar w:fldCharType="begin"/>
      </w:r>
      <w:r w:rsidR="005A4789">
        <w:instrText xml:space="preserve"> SEQ Supplementary_Table \* ARABIC </w:instrText>
      </w:r>
      <w:r w:rsidR="005A4789">
        <w:fldChar w:fldCharType="separate"/>
      </w:r>
      <w:r w:rsidR="002D364A">
        <w:rPr>
          <w:noProof/>
        </w:rPr>
        <w:t>3</w:t>
      </w:r>
      <w:r w:rsidR="005A4789">
        <w:rPr>
          <w:noProof/>
        </w:rPr>
        <w:fldChar w:fldCharType="end"/>
      </w:r>
      <w:bookmarkEnd w:id="21"/>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22" w:name="_Ref94619410"/>
      <w:r>
        <w:t xml:space="preserve">Supplementary Table </w:t>
      </w:r>
      <w:r w:rsidR="005A4789">
        <w:fldChar w:fldCharType="begin"/>
      </w:r>
      <w:r w:rsidR="005A4789">
        <w:instrText xml:space="preserve"> SEQ Supplementary_Table \* ARABIC </w:instrText>
      </w:r>
      <w:r w:rsidR="005A4789">
        <w:fldChar w:fldCharType="separate"/>
      </w:r>
      <w:r>
        <w:rPr>
          <w:noProof/>
        </w:rPr>
        <w:t>4</w:t>
      </w:r>
      <w:r w:rsidR="005A4789">
        <w:rPr>
          <w:noProof/>
        </w:rPr>
        <w:fldChar w:fldCharType="end"/>
      </w:r>
      <w:bookmarkEnd w:id="22"/>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D4ABC" w14:textId="77777777" w:rsidR="005A4789" w:rsidRDefault="005A4789" w:rsidP="00912F9C">
      <w:pPr>
        <w:spacing w:after="0" w:line="240" w:lineRule="auto"/>
      </w:pPr>
      <w:r>
        <w:separator/>
      </w:r>
    </w:p>
  </w:endnote>
  <w:endnote w:type="continuationSeparator" w:id="0">
    <w:p w14:paraId="7C8BA406" w14:textId="77777777" w:rsidR="005A4789" w:rsidRDefault="005A4789"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2344A" w14:textId="77777777" w:rsidR="005A4789" w:rsidRDefault="005A4789" w:rsidP="00912F9C">
      <w:pPr>
        <w:spacing w:after="0" w:line="240" w:lineRule="auto"/>
      </w:pPr>
      <w:r>
        <w:separator/>
      </w:r>
    </w:p>
  </w:footnote>
  <w:footnote w:type="continuationSeparator" w:id="0">
    <w:p w14:paraId="4D177801" w14:textId="77777777" w:rsidR="005A4789" w:rsidRDefault="005A4789"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624D9"/>
    <w:rsid w:val="0007640A"/>
    <w:rsid w:val="00092713"/>
    <w:rsid w:val="00097CE1"/>
    <w:rsid w:val="00097D16"/>
    <w:rsid w:val="000A0F76"/>
    <w:rsid w:val="000A5484"/>
    <w:rsid w:val="000B07C3"/>
    <w:rsid w:val="000B2974"/>
    <w:rsid w:val="000B464D"/>
    <w:rsid w:val="000B4F67"/>
    <w:rsid w:val="000C08B9"/>
    <w:rsid w:val="000D09FA"/>
    <w:rsid w:val="000D3AD8"/>
    <w:rsid w:val="000E59FA"/>
    <w:rsid w:val="00101105"/>
    <w:rsid w:val="001161D9"/>
    <w:rsid w:val="00120798"/>
    <w:rsid w:val="00143E5F"/>
    <w:rsid w:val="001545DE"/>
    <w:rsid w:val="00161CA5"/>
    <w:rsid w:val="00166284"/>
    <w:rsid w:val="00191A72"/>
    <w:rsid w:val="001957F1"/>
    <w:rsid w:val="00197ED8"/>
    <w:rsid w:val="001A3E0B"/>
    <w:rsid w:val="001A4E05"/>
    <w:rsid w:val="001E3443"/>
    <w:rsid w:val="001F3219"/>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626B"/>
    <w:rsid w:val="002666E7"/>
    <w:rsid w:val="0027112C"/>
    <w:rsid w:val="0027122B"/>
    <w:rsid w:val="00272B03"/>
    <w:rsid w:val="002739B1"/>
    <w:rsid w:val="00276327"/>
    <w:rsid w:val="00277ED1"/>
    <w:rsid w:val="00283D34"/>
    <w:rsid w:val="00293491"/>
    <w:rsid w:val="00296C3D"/>
    <w:rsid w:val="002A29BB"/>
    <w:rsid w:val="002B625B"/>
    <w:rsid w:val="002B6328"/>
    <w:rsid w:val="002C19B3"/>
    <w:rsid w:val="002C7D13"/>
    <w:rsid w:val="002D072E"/>
    <w:rsid w:val="002D364A"/>
    <w:rsid w:val="00304447"/>
    <w:rsid w:val="0030686A"/>
    <w:rsid w:val="00307D27"/>
    <w:rsid w:val="00307FC1"/>
    <w:rsid w:val="003103FA"/>
    <w:rsid w:val="00311911"/>
    <w:rsid w:val="00323628"/>
    <w:rsid w:val="00323FA0"/>
    <w:rsid w:val="0035131C"/>
    <w:rsid w:val="00361DD5"/>
    <w:rsid w:val="00362541"/>
    <w:rsid w:val="0036501F"/>
    <w:rsid w:val="00366F92"/>
    <w:rsid w:val="00371AC7"/>
    <w:rsid w:val="0038352F"/>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81D04"/>
    <w:rsid w:val="00483267"/>
    <w:rsid w:val="00486861"/>
    <w:rsid w:val="004900A0"/>
    <w:rsid w:val="0049671D"/>
    <w:rsid w:val="004A6BFC"/>
    <w:rsid w:val="004A7549"/>
    <w:rsid w:val="004D47AC"/>
    <w:rsid w:val="004E6FBC"/>
    <w:rsid w:val="004F3A49"/>
    <w:rsid w:val="00504371"/>
    <w:rsid w:val="00512388"/>
    <w:rsid w:val="0052071A"/>
    <w:rsid w:val="00522FF0"/>
    <w:rsid w:val="0052326E"/>
    <w:rsid w:val="00533EAF"/>
    <w:rsid w:val="005400AE"/>
    <w:rsid w:val="00542DB6"/>
    <w:rsid w:val="00561760"/>
    <w:rsid w:val="00566DC3"/>
    <w:rsid w:val="00573E2C"/>
    <w:rsid w:val="00584886"/>
    <w:rsid w:val="0058771A"/>
    <w:rsid w:val="00592F89"/>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D25A7"/>
    <w:rsid w:val="006E0CA4"/>
    <w:rsid w:val="006E2387"/>
    <w:rsid w:val="006E2D9F"/>
    <w:rsid w:val="006E6E45"/>
    <w:rsid w:val="006F5E9A"/>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60A1"/>
    <w:rsid w:val="00837AAE"/>
    <w:rsid w:val="008400A4"/>
    <w:rsid w:val="0084014F"/>
    <w:rsid w:val="0084135D"/>
    <w:rsid w:val="008415CA"/>
    <w:rsid w:val="00844EFD"/>
    <w:rsid w:val="008569B1"/>
    <w:rsid w:val="00857722"/>
    <w:rsid w:val="00857BF9"/>
    <w:rsid w:val="00860357"/>
    <w:rsid w:val="008611C1"/>
    <w:rsid w:val="00870621"/>
    <w:rsid w:val="00872B19"/>
    <w:rsid w:val="00873E42"/>
    <w:rsid w:val="00874307"/>
    <w:rsid w:val="00880C94"/>
    <w:rsid w:val="008A1354"/>
    <w:rsid w:val="008A7245"/>
    <w:rsid w:val="008A7C78"/>
    <w:rsid w:val="008C4383"/>
    <w:rsid w:val="008D1390"/>
    <w:rsid w:val="008E09B2"/>
    <w:rsid w:val="008E6E2C"/>
    <w:rsid w:val="008F0ED0"/>
    <w:rsid w:val="008F25B6"/>
    <w:rsid w:val="008F5DAE"/>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E14F1"/>
    <w:rsid w:val="009E3517"/>
    <w:rsid w:val="009E6363"/>
    <w:rsid w:val="009F381B"/>
    <w:rsid w:val="009F5DED"/>
    <w:rsid w:val="009F616C"/>
    <w:rsid w:val="009F6E8A"/>
    <w:rsid w:val="00A06CE3"/>
    <w:rsid w:val="00A354E8"/>
    <w:rsid w:val="00A41A84"/>
    <w:rsid w:val="00A708CE"/>
    <w:rsid w:val="00A9076E"/>
    <w:rsid w:val="00AB1821"/>
    <w:rsid w:val="00AC4853"/>
    <w:rsid w:val="00AC69CD"/>
    <w:rsid w:val="00AD7299"/>
    <w:rsid w:val="00AE693D"/>
    <w:rsid w:val="00B01E28"/>
    <w:rsid w:val="00B05195"/>
    <w:rsid w:val="00B064C4"/>
    <w:rsid w:val="00B21325"/>
    <w:rsid w:val="00B23450"/>
    <w:rsid w:val="00B41811"/>
    <w:rsid w:val="00B50353"/>
    <w:rsid w:val="00B57920"/>
    <w:rsid w:val="00B65A24"/>
    <w:rsid w:val="00B7042D"/>
    <w:rsid w:val="00B72A60"/>
    <w:rsid w:val="00B76637"/>
    <w:rsid w:val="00B82FD6"/>
    <w:rsid w:val="00B91F66"/>
    <w:rsid w:val="00B95D6C"/>
    <w:rsid w:val="00BA2B3B"/>
    <w:rsid w:val="00BA5AB2"/>
    <w:rsid w:val="00BC1636"/>
    <w:rsid w:val="00BC4DD2"/>
    <w:rsid w:val="00BC7D86"/>
    <w:rsid w:val="00BD4BA9"/>
    <w:rsid w:val="00BE0F16"/>
    <w:rsid w:val="00BF1ABD"/>
    <w:rsid w:val="00BF1B42"/>
    <w:rsid w:val="00C07C6D"/>
    <w:rsid w:val="00C125F1"/>
    <w:rsid w:val="00C15C9A"/>
    <w:rsid w:val="00C1655F"/>
    <w:rsid w:val="00C243DB"/>
    <w:rsid w:val="00C34525"/>
    <w:rsid w:val="00C3625A"/>
    <w:rsid w:val="00C45A1A"/>
    <w:rsid w:val="00C52916"/>
    <w:rsid w:val="00C56685"/>
    <w:rsid w:val="00C63FF8"/>
    <w:rsid w:val="00C942ED"/>
    <w:rsid w:val="00CB0832"/>
    <w:rsid w:val="00CB550D"/>
    <w:rsid w:val="00CE6534"/>
    <w:rsid w:val="00CF75E9"/>
    <w:rsid w:val="00D23103"/>
    <w:rsid w:val="00D312C0"/>
    <w:rsid w:val="00D45C6F"/>
    <w:rsid w:val="00D60BA1"/>
    <w:rsid w:val="00D617E7"/>
    <w:rsid w:val="00D70E5C"/>
    <w:rsid w:val="00D71062"/>
    <w:rsid w:val="00D80EA7"/>
    <w:rsid w:val="00D8211E"/>
    <w:rsid w:val="00D93CCF"/>
    <w:rsid w:val="00D95337"/>
    <w:rsid w:val="00D96875"/>
    <w:rsid w:val="00DA141A"/>
    <w:rsid w:val="00DB0132"/>
    <w:rsid w:val="00DB4861"/>
    <w:rsid w:val="00DC36D7"/>
    <w:rsid w:val="00DC37FC"/>
    <w:rsid w:val="00DE4D0E"/>
    <w:rsid w:val="00E005FB"/>
    <w:rsid w:val="00E01957"/>
    <w:rsid w:val="00E07EF6"/>
    <w:rsid w:val="00E14B2D"/>
    <w:rsid w:val="00E16782"/>
    <w:rsid w:val="00E167D6"/>
    <w:rsid w:val="00E32098"/>
    <w:rsid w:val="00E358D9"/>
    <w:rsid w:val="00E52428"/>
    <w:rsid w:val="00E638E5"/>
    <w:rsid w:val="00E813D6"/>
    <w:rsid w:val="00E9049A"/>
    <w:rsid w:val="00EA2ACC"/>
    <w:rsid w:val="00EB1B4C"/>
    <w:rsid w:val="00EB4A84"/>
    <w:rsid w:val="00EB5290"/>
    <w:rsid w:val="00EE5D6E"/>
    <w:rsid w:val="00EF6399"/>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semiHidden/>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semiHidden/>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44</Pages>
  <Words>66590</Words>
  <Characters>379564</Characters>
  <Application>Microsoft Office Word</Application>
  <DocSecurity>0</DocSecurity>
  <Lines>3163</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21</cp:revision>
  <dcterms:created xsi:type="dcterms:W3CDTF">2022-01-24T16:58:00Z</dcterms:created>
  <dcterms:modified xsi:type="dcterms:W3CDTF">2022-02-08T00:31:00Z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