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727EE292" w:rsidR="002B0C18" w:rsidRPr="002B0C18" w:rsidRDefault="002B0C18" w:rsidP="009D1E6E">
      <w:pPr>
        <w:spacing w:line="360" w:lineRule="auto"/>
      </w:pPr>
      <w:r w:rsidRPr="002B0C18">
        <w:t>Sugar pine (</w:t>
      </w:r>
      <w:r w:rsidRPr="009D1E6E">
        <w:rPr>
          <w:i/>
          <w:iCs/>
        </w:rPr>
        <w:t>Pinus lambertiana</w:t>
      </w:r>
      <w:r w:rsidRPr="002B0C18">
        <w:t>)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and reduces the growth of surviving large trees, resulting in a negative asymptotic population growth rate on burned sites. Conversely, lower than average forest density (neighborhood basal area) results in a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726322D0"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w:t>
      </w:r>
      <w:r w:rsidR="00D46E1C">
        <w:lastRenderedPageBreak/>
        <w:t xml:space="preserve">models including </w:t>
      </w:r>
      <w:r w:rsidR="00C5469B">
        <w:t>the effects of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D430E8">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 Bradford &lt;i&gt;et al.&lt;/i&gt;, 2022; McCauley &lt;i&gt;et al.&lt;/i&gt;, 2022)"},"properties":{"noteIndex":0},"schema":"https://github.com/citation-style-language/schema/raw/master/csl-citation.json"}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4B4C6A8C"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Pinus lambertiana</w:t>
      </w:r>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lastRenderedPageBreak/>
        <w:t xml:space="preserve">Second, an invasive fungal pathogen, </w:t>
      </w:r>
      <w:r w:rsidRPr="00F701A7">
        <w:rPr>
          <w:i/>
          <w:iCs/>
        </w:rPr>
        <w:t>Cronartium ribicola</w:t>
      </w:r>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Pinus albicaulis</w:t>
      </w:r>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 xml:space="preserve">In </w:t>
      </w:r>
      <w:r>
        <w:lastRenderedPageBreak/>
        <w:t>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5120C30"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xml:space="preserve">, which we treat as the census interval for </w:t>
      </w:r>
      <w:r w:rsidR="000451DF">
        <w:lastRenderedPageBreak/>
        <w:t>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macroplot</w:t>
      </w:r>
      <w:r w:rsidR="003735F2">
        <w:t>s</w:t>
      </w:r>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2EAC6FFF" w:rsidR="00540755" w:rsidRDefault="00540755" w:rsidP="00361DD5">
      <w:pPr>
        <w:spacing w:line="360" w:lineRule="auto"/>
        <w:ind w:firstLine="720"/>
      </w:pPr>
      <w:r>
        <w:lastRenderedPageBreak/>
        <w:t xml:space="preserve">To assess the current trajectory of sugar pine abundance across its range, we calculated the per-plot basal area and stem densities for individuals greater than 2.54 cm DBH on every plot where sugar pine was present at initial measurement or remeasurement. Across-plot means and standard errors were calculated and plotted for both basal area and stem density. </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lastRenderedPageBreak/>
        <w:t xml:space="preserve">Equation </w:t>
      </w:r>
      <w:fldSimple w:instr=" SEQ Equation \* ARABIC ">
        <w:r w:rsidR="00D73B16">
          <w:rPr>
            <w:noProof/>
          </w:rPr>
          <w:t>1</w:t>
        </w:r>
      </w:fldSimple>
      <w:bookmarkEnd w:id="28"/>
    </w:p>
    <w:p w14:paraId="17EAD06B" w14:textId="11CC2B26" w:rsidR="000B2974" w:rsidRPr="000B2974" w:rsidRDefault="00C5748E"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t xml:space="preserve">Equation </w:t>
      </w:r>
      <w:fldSimple w:instr=" SEQ Equation \* ARABIC ">
        <w:r w:rsidR="00D73B16">
          <w:rPr>
            <w:noProof/>
          </w:rPr>
          <w:t>2</w:t>
        </w:r>
      </w:fldSimple>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fldSimple w:instr=" SEQ Equation \* ARABIC ">
        <w:r w:rsidR="00D73B16">
          <w:rPr>
            <w:noProof/>
          </w:rPr>
          <w:t>3</w:t>
        </w:r>
      </w:fldSimple>
      <w:bookmarkEnd w:id="31"/>
    </w:p>
    <w:p w14:paraId="63FCE82D" w14:textId="0CD36EF6" w:rsidR="00F30DE4" w:rsidRPr="00880C94" w:rsidRDefault="00C5748E"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fldSimple w:instr=" SEQ Equation \* ARABIC ">
        <w:r w:rsidR="00D73B16">
          <w:rPr>
            <w:noProof/>
          </w:rPr>
          <w:t>4</w:t>
        </w:r>
      </w:fldSimple>
      <w:bookmarkEnd w:id="32"/>
    </w:p>
    <w:p w14:paraId="29CA2B75" w14:textId="0F228DF8" w:rsidR="00283D34" w:rsidRPr="00283D34" w:rsidRDefault="00C5748E"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lastRenderedPageBreak/>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were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fldSimple w:instr=" SEQ Equation \* ARABIC ">
        <w:r w:rsidR="00D73B16">
          <w:rPr>
            <w:noProof/>
          </w:rPr>
          <w:t>5</w:t>
        </w:r>
      </w:fldSimple>
    </w:p>
    <w:p w14:paraId="17730052" w14:textId="10279186" w:rsidR="00481D04" w:rsidRPr="004A6BFC" w:rsidRDefault="00C5748E"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r w:rsidR="009917FF">
        <w:rPr>
          <w:rFonts w:eastAsiaTheme="minorEastAsia"/>
        </w:rPr>
        <w:t>ives</w:t>
      </w:r>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lastRenderedPageBreak/>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t xml:space="preserve">Equation </w:t>
      </w:r>
      <w:fldSimple w:instr=" SEQ Equation \* ARABIC ">
        <w:r w:rsidR="00D73B16">
          <w:rPr>
            <w:noProof/>
          </w:rPr>
          <w:t>6</w:t>
        </w:r>
      </w:fldSimple>
    </w:p>
    <w:p w14:paraId="79BE3FAF" w14:textId="5AAB3130" w:rsidR="000B4F67" w:rsidRPr="000B4F67" w:rsidRDefault="00C5748E"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classes,</w:t>
      </w:r>
      <w:r w:rsidR="005B1295">
        <w:rPr>
          <w:rFonts w:eastAsiaTheme="minorEastAsia"/>
        </w:rPr>
        <w:t xml:space="preserve"> </w:t>
      </w:r>
      <w:r w:rsidR="008415CA">
        <w:rPr>
          <w:rFonts w:eastAsiaTheme="minorEastAsia"/>
        </w:rPr>
        <w:t xml:space="preserve"> which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which are observed data.</w:t>
      </w:r>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fldSimple w:instr=" SEQ Equation \* ARABIC ">
        <w:r w:rsidR="00D73B16">
          <w:rPr>
            <w:noProof/>
          </w:rPr>
          <w:t>7</w:t>
        </w:r>
      </w:fldSimple>
    </w:p>
    <w:p w14:paraId="452449EA" w14:textId="70B83413" w:rsidR="008415CA" w:rsidRPr="007B3DC9" w:rsidRDefault="00C5748E"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1C9B94A0"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Doak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fldSimple w:instr=" SEQ Equation \* ARABIC ">
        <w:r w:rsidR="00D73B16">
          <w:rPr>
            <w:noProof/>
          </w:rPr>
          <w:t>8</w:t>
        </w:r>
      </w:fldSimple>
      <w:bookmarkEnd w:id="38"/>
    </w:p>
    <w:p w14:paraId="36A0526C" w14:textId="36050D21" w:rsidR="0027112C" w:rsidRPr="00860357" w:rsidRDefault="00C5748E"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lastRenderedPageBreak/>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r w:rsidR="00EB1B4C">
        <w:rPr>
          <w:rFonts w:eastAsiaTheme="minorEastAsia"/>
        </w:rPr>
        <w:t>alculated</w:t>
      </w:r>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fldSimple w:instr=" SEQ Equation \* ARABIC ">
        <w:r w:rsidR="00D73B16">
          <w:rPr>
            <w:noProof/>
          </w:rPr>
          <w:t>9</w:t>
        </w:r>
      </w:fldSimple>
      <w:bookmarkEnd w:id="44"/>
    </w:p>
    <w:p w14:paraId="57B8E5BE" w14:textId="02FEF7A8" w:rsidR="008E09B2" w:rsidRDefault="00C5748E"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r w:rsidR="00B9336D">
        <w:rPr>
          <w:rFonts w:eastAsiaTheme="minorEastAsia"/>
        </w:rPr>
        <w:t>idpoint</w:t>
      </w:r>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lastRenderedPageBreak/>
        <w:tab/>
        <w:t xml:space="preserve">Model data was prepared using the tidyverse package in R Version 4.1.1, and Bayesian parameter estimation was performed using Hamiltonion Monte Carlo as implemented in stan version 2.28.2 and the cmdstanr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packages used for data acquisition, data management, and plotting include</w:t>
      </w:r>
      <w:r w:rsidR="005D180E">
        <w:rPr>
          <w:rFonts w:eastAsiaTheme="minorEastAsia"/>
        </w:rPr>
        <w:t>:</w:t>
      </w:r>
      <w:r w:rsidR="00752208">
        <w:rPr>
          <w:rFonts w:eastAsiaTheme="minorEastAsia"/>
        </w:rPr>
        <w:t xml:space="preserve"> here, sf, spdata, bayesplot, posterior, units, raster, ggplot2, </w:t>
      </w:r>
      <w:r w:rsidR="00B65A24">
        <w:rPr>
          <w:rFonts w:eastAsiaTheme="minorEastAsia"/>
        </w:rPr>
        <w:t>USAboundaries, truncnorm</w:t>
      </w:r>
      <w:r w:rsidR="00D71062">
        <w:rPr>
          <w:rFonts w:eastAsiaTheme="minorEastAsia"/>
        </w:rPr>
        <w:t xml:space="preserve">, cowplot, foreach, </w:t>
      </w:r>
      <w:r w:rsidR="005D180E">
        <w:rPr>
          <w:rFonts w:eastAsiaTheme="minorEastAsia"/>
        </w:rPr>
        <w:t xml:space="preserve">and </w:t>
      </w:r>
      <w:commentRangeStart w:id="47"/>
      <w:r w:rsidR="00D71062">
        <w:rPr>
          <w:rFonts w:eastAsiaTheme="minorEastAsia"/>
        </w:rPr>
        <w:t>doParallel</w:t>
      </w:r>
      <w:commentRangeEnd w:id="47"/>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cmdrstan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parameters, </w:t>
      </w:r>
      <w:r w:rsidR="00366F92">
        <w:t xml:space="preserve">and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668D78BF" w:rsidR="00517F42" w:rsidRDefault="00BE4CEB" w:rsidP="00E358D9">
      <w:pPr>
        <w:spacing w:line="360" w:lineRule="auto"/>
        <w:ind w:firstLine="720"/>
        <w:rPr>
          <w:rFonts w:eastAsiaTheme="minorEastAsia"/>
        </w:rPr>
      </w:pPr>
      <w:r>
        <w:lastRenderedPageBreak/>
        <w:t xml:space="preserve">For this paper, </w:t>
      </w:r>
      <w:r w:rsidR="00D430E8">
        <w:t>two</w:t>
      </w:r>
      <w:r>
        <w:t xml:space="preserve"> suites of IPMs were constructed. The first suite of IPMs was used for estimating the parameters for the fecundity function, and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fldSimple w:instr=" SEQ Equation \* ARABIC ">
        <w:r>
          <w:rPr>
            <w:noProof/>
          </w:rPr>
          <w:t>10</w:t>
        </w:r>
      </w:fldSimple>
      <w:bookmarkEnd w:id="52"/>
    </w:p>
    <w:p w14:paraId="3DDF7F55" w14:textId="402B1649" w:rsidR="00251274" w:rsidRPr="00251274" w:rsidRDefault="00C5748E"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1D0C92BA" w14:textId="03708612" w:rsidR="00540755" w:rsidRDefault="00540755" w:rsidP="00293491">
      <w:pPr>
        <w:pStyle w:val="Heading2"/>
        <w:spacing w:line="360" w:lineRule="auto"/>
      </w:pPr>
      <w:r>
        <w:t>Trends in Abundance</w:t>
      </w:r>
    </w:p>
    <w:p w14:paraId="0ED40EEC" w14:textId="157B3C5D" w:rsidR="00540755" w:rsidRPr="00E45F15" w:rsidRDefault="00540755" w:rsidP="00CB34EC">
      <w:pPr>
        <w:spacing w:line="360" w:lineRule="auto"/>
      </w:pPr>
      <w:r>
        <w:tab/>
      </w:r>
      <w:r w:rsidR="006A10AA">
        <w:t xml:space="preserve">The abundance of sugar pine on plots where it was present </w:t>
      </w:r>
      <w:r w:rsidR="00331DA8">
        <w:t xml:space="preserve">at either census </w:t>
      </w:r>
      <w:r w:rsidR="006A10AA">
        <w:t>declined between initial censuses (20</w:t>
      </w:r>
      <w:r w:rsidR="00331DA8">
        <w:t>04</w:t>
      </w:r>
      <w:r w:rsidR="006A10AA">
        <w:t>-2009) and remeasurements (201</w:t>
      </w:r>
      <w:r w:rsidR="00331DA8">
        <w:t>4</w:t>
      </w:r>
      <w:r w:rsidR="006A10AA">
        <w:t xml:space="preserve">-2019; </w:t>
      </w:r>
      <w:r w:rsidR="0085572F">
        <w:fldChar w:fldCharType="begin"/>
      </w:r>
      <w:r w:rsidR="0085572F">
        <w:instrText xml:space="preserve"> REF _Ref104988009 \h </w:instrText>
      </w:r>
      <w:r w:rsidR="0085572F">
        <w:fldChar w:fldCharType="separate"/>
      </w:r>
      <w:r w:rsidR="0085572F">
        <w:t xml:space="preserve">Figure </w:t>
      </w:r>
      <w:r w:rsidR="0085572F">
        <w:rPr>
          <w:noProof/>
        </w:rPr>
        <w:t>2</w:t>
      </w:r>
      <w:r w:rsidR="0085572F">
        <w:fldChar w:fldCharType="end"/>
      </w:r>
      <w:r w:rsidR="006A10AA">
        <w:t xml:space="preserve">). Basal area declined from a mean of </w:t>
      </w:r>
      <w:r w:rsidR="00E45F15">
        <w:t>4.</w:t>
      </w:r>
      <w:r w:rsidR="00331DA8">
        <w:t>5</w:t>
      </w:r>
      <w:r w:rsidR="00E45F15">
        <w:t>5 m</w:t>
      </w:r>
      <w:r w:rsidR="00E45F15">
        <w:rPr>
          <w:vertAlign w:val="superscript"/>
        </w:rPr>
        <w:t>2</w:t>
      </w:r>
      <w:r w:rsidR="00E45F15">
        <w:t>/ha (standard error 0.1</w:t>
      </w:r>
      <w:r w:rsidR="00331DA8">
        <w:t>8</w:t>
      </w:r>
      <w:r w:rsidR="00E45F15">
        <w:t xml:space="preserve"> m</w:t>
      </w:r>
      <w:r w:rsidR="00E45F15">
        <w:rPr>
          <w:vertAlign w:val="superscript"/>
        </w:rPr>
        <w:t>2</w:t>
      </w:r>
      <w:r w:rsidR="00E45F15">
        <w:t>/ha) to a mean of 4.</w:t>
      </w:r>
      <w:r w:rsidR="00331DA8">
        <w:t>22</w:t>
      </w:r>
      <w:r w:rsidR="00E45F15">
        <w:t xml:space="preserve"> (0.</w:t>
      </w:r>
      <w:r w:rsidR="00331DA8">
        <w:t>17</w:t>
      </w:r>
      <w:r w:rsidR="00E45F15">
        <w:t>) m</w:t>
      </w:r>
      <w:r w:rsidR="00E45F15">
        <w:rPr>
          <w:vertAlign w:val="superscript"/>
        </w:rPr>
        <w:t>2</w:t>
      </w:r>
      <w:r w:rsidR="00E45F15">
        <w:t xml:space="preserve">/ha. Stem density declined from a </w:t>
      </w:r>
      <w:r w:rsidR="00975E51">
        <w:t>221.8</w:t>
      </w:r>
      <w:r w:rsidR="00E45F15">
        <w:t xml:space="preserve"> (</w:t>
      </w:r>
      <w:r w:rsidR="00975E51">
        <w:t>21.5</w:t>
      </w:r>
      <w:r w:rsidR="00E45F15">
        <w:t xml:space="preserve">) stems/ha to </w:t>
      </w:r>
      <w:r w:rsidR="00975E51">
        <w:t>199.3</w:t>
      </w:r>
      <w:r w:rsidR="00E45F15">
        <w:t xml:space="preserve"> (</w:t>
      </w:r>
      <w:r w:rsidR="00975E51">
        <w:t>17.9</w:t>
      </w:r>
      <w:r w:rsidR="00E45F15">
        <w:t xml:space="preserve">) stems/ha. </w:t>
      </w:r>
      <w:r w:rsidR="00CB34EC">
        <w:t xml:space="preserve">Because these figures include only plots where sugar pine was present, they should be interpreted as upper bounds on the actual density of sugar pine </w:t>
      </w:r>
      <w:r w:rsidR="00CB34EC">
        <w:lastRenderedPageBreak/>
        <w:t xml:space="preserve">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t xml:space="preserve">Vital Rates </w:t>
      </w:r>
      <w:r w:rsidR="00874307">
        <w:t>Model Validation</w:t>
      </w:r>
    </w:p>
    <w:p w14:paraId="53D9844B" w14:textId="15D8C9B2"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85572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due to the fact that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85572F">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xml:space="preserve">, and true survival rates were slightly higher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61208B">
        <w:rPr>
          <w:rFonts w:eastAsiaTheme="minorEastAsia"/>
        </w:rPr>
        <w:t>Some plots with relatively high predicted seedling counts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85572F">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6557BFC4"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85572F">
        <w:t xml:space="preserve">Table </w:t>
      </w:r>
      <w:r w:rsidR="0085572F">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85572F">
        <w:t xml:space="preserve">Figure </w:t>
      </w:r>
      <w:r w:rsidR="0085572F">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 xml:space="preserve">There was a strong negative main effect of fire and a positive interaction </w:t>
      </w:r>
      <w:r w:rsidR="00481C21">
        <w:lastRenderedPageBreak/>
        <w:t>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85572F">
        <w:t xml:space="preserve">Figure </w:t>
      </w:r>
      <w:r w:rsidR="0085572F">
        <w:rPr>
          <w:noProof/>
        </w:rPr>
        <w:t>3</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0E3BB8E5"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85572F">
        <w:t xml:space="preserve">Table </w:t>
      </w:r>
      <w:r w:rsidR="0085572F">
        <w:rPr>
          <w:noProof/>
        </w:rPr>
        <w:t>2</w:t>
      </w:r>
      <w:r w:rsidR="00C65DC4">
        <w:fldChar w:fldCharType="end"/>
      </w:r>
      <w:r>
        <w:t xml:space="preserve">). The effect of initial size was, as expected, very close to 1. Together, these results indicate that </w:t>
      </w:r>
      <w:r w:rsidR="00C358F3">
        <w:t>the smallest trees</w:t>
      </w:r>
      <w:r>
        <w:t xml:space="preserve"> trees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85572F">
        <w:t xml:space="preserve">Figure </w:t>
      </w:r>
      <w:r w:rsidR="0085572F">
        <w:rPr>
          <w:noProof/>
        </w:rPr>
        <w:t>4</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trees, but did reduce the growth of larger stems. </w:t>
      </w:r>
      <w:r w:rsidR="00FC4865">
        <w:t>By contrast, basal area reduced the growth of small stems but not large ones. Site dryness had a negative main effect and a positive interaction with initial size: For the smallest stems growth was lower 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6E87574A"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85572F">
        <w:t xml:space="preserve">Table </w:t>
      </w:r>
      <w:r w:rsidR="0085572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85572F">
        <w:t xml:space="preserve">Figure </w:t>
      </w:r>
      <w:r w:rsidR="0085572F">
        <w:rPr>
          <w:noProof/>
        </w:rPr>
        <w:t>5</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357BC842"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5572F">
        <w:t xml:space="preserve">Figure </w:t>
      </w:r>
      <w:r w:rsidR="0085572F">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 xml:space="preserve">(other than size) for the vital rate models are held to specific values </w:t>
      </w:r>
      <w:r w:rsidR="00097D16">
        <w:lastRenderedPageBreak/>
        <w:t>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6B3A2F"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85572F">
        <w:t xml:space="preserve">Figure </w:t>
      </w:r>
      <w:r w:rsidR="0085572F">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4D10B96A"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xml:space="preserve">. Reduced growth rates may have particularly strong effects on the asymptotic population growth rate in species where large / </w:t>
      </w:r>
      <w:r w:rsidR="00D95337" w:rsidRPr="00F30BF0">
        <w:rPr>
          <w:rFonts w:cstheme="minorHAnsi"/>
        </w:rPr>
        <w:lastRenderedPageBreak/>
        <w:t>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7D66EE6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02014E">
        <w:t xml:space="preserve">Figure </w:t>
      </w:r>
      <w:r w:rsidR="0002014E">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in reality fire is unlikely to repeatedly occur on the same site during every census interval. Instead, the asymptotic population 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it is clear that the disrupted fire regime is </w:t>
      </w:r>
      <w:r w:rsidR="00DD37D1">
        <w:rPr>
          <w:rFonts w:cstheme="minorHAnsi"/>
        </w:rPr>
        <w:t>a core threat</w:t>
      </w:r>
      <w:r w:rsidR="0038352F" w:rsidRPr="00F30BF0">
        <w:rPr>
          <w:rFonts w:cstheme="minorHAnsi"/>
        </w:rPr>
        <w:t xml:space="preserve"> facing sugar pine.</w:t>
      </w:r>
    </w:p>
    <w:p w14:paraId="08143CA3" w14:textId="76F1AF18"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6A10AA">
        <w:t xml:space="preserve">Figure </w:t>
      </w:r>
      <w:r w:rsidR="006A10AA">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w:t>
      </w:r>
      <w:r w:rsidR="00093A54" w:rsidRPr="00F30BF0">
        <w:rPr>
          <w:rFonts w:cstheme="minorHAnsi"/>
        </w:rPr>
        <w:lastRenderedPageBreak/>
        <w:t xml:space="preserve">Our data may underreport the true prevalence of WPBR and overestimate the true impact of its presence on a subplot. </w:t>
      </w:r>
    </w:p>
    <w:commentRangeEnd w:id="66"/>
    <w:p w14:paraId="450DDF39" w14:textId="0D211D1D" w:rsidR="009B0C1C" w:rsidRPr="00F30BF0" w:rsidRDefault="00A47588" w:rsidP="003D3B95">
      <w:pPr>
        <w:spacing w:line="360" w:lineRule="auto"/>
        <w:ind w:firstLine="720"/>
        <w:rPr>
          <w:rFonts w:cstheme="minorHAnsi"/>
        </w:rPr>
      </w:pPr>
      <w:r>
        <w:rPr>
          <w:rStyle w:val="CommentReference"/>
        </w:rPr>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02014E">
        <w:t xml:space="preserve">Figure </w:t>
      </w:r>
      <w:r w:rsidR="0002014E">
        <w:rPr>
          <w:noProof/>
        </w:rPr>
        <w:t>4</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02014E">
        <w:t xml:space="preserve">Figure </w:t>
      </w:r>
      <w:r w:rsidR="0002014E">
        <w:rPr>
          <w:noProof/>
        </w:rPr>
        <w:t>3</w:t>
      </w:r>
      <w:r w:rsidR="0002014E">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Figure </w:t>
      </w:r>
      <w:r w:rsidR="0002014E">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02014E">
        <w:t xml:space="preserve">Figure </w:t>
      </w:r>
      <w:r w:rsidR="0002014E">
        <w:rPr>
          <w:noProof/>
        </w:rPr>
        <w:t>6</w:t>
      </w:r>
      <w:r w:rsidR="008569B1">
        <w:rPr>
          <w:rFonts w:cstheme="minorHAnsi"/>
        </w:rPr>
        <w:fldChar w:fldCharType="end"/>
      </w:r>
      <w:r w:rsidR="008569B1">
        <w:rPr>
          <w:rFonts w:cstheme="minorHAnsi"/>
        </w:rPr>
        <w:t>).</w:t>
      </w:r>
    </w:p>
    <w:p w14:paraId="14C4DDB5" w14:textId="1DC94238"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6A10AA">
        <w:t xml:space="preserve">Figure </w:t>
      </w:r>
      <w:r w:rsidR="006A10AA">
        <w:rPr>
          <w:noProof/>
        </w:rPr>
        <w:t>3</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6A10AA">
        <w:t xml:space="preserve">Table </w:t>
      </w:r>
      <w:r w:rsidR="006A10AA">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w:t>
      </w:r>
      <w:r w:rsidR="004639A9" w:rsidRPr="00F30BF0">
        <w:rPr>
          <w:rFonts w:cstheme="minorHAnsi"/>
        </w:rPr>
        <w:lastRenderedPageBreak/>
        <w:t xml:space="preserve">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4</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terraClimate data is similar to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7FA2C536"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6A10AA">
        <w:t xml:space="preserve">Figure </w:t>
      </w:r>
      <w:r w:rsidR="006A10AA">
        <w:rPr>
          <w:noProof/>
        </w:rPr>
        <w:t>3</w:t>
      </w:r>
      <w:r w:rsidR="00BA5424">
        <w:rPr>
          <w:rFonts w:cstheme="minorHAnsi"/>
        </w:rPr>
        <w:fldChar w:fldCharType="end"/>
      </w:r>
      <w:r w:rsidR="00BA5424">
        <w:rPr>
          <w:rFonts w:cstheme="minorHAnsi"/>
        </w:rPr>
        <w:t>)</w:t>
      </w:r>
      <w:r>
        <w:rPr>
          <w:rFonts w:cstheme="minorHAnsi"/>
        </w:rPr>
        <w:t xml:space="preserve">. </w:t>
      </w:r>
      <w:r w:rsidR="008759D9">
        <w:rPr>
          <w:rFonts w:cstheme="minorHAnsi"/>
        </w:rPr>
        <w:t xml:space="preserve">Of the 43 individuals larger than 1.5 m in the dataset, only 28 survived to the remeasurement census. Of these trees that died, none were harvested. </w:t>
      </w:r>
      <w:r w:rsidR="00D430E8">
        <w:rPr>
          <w:rFonts w:cstheme="minorHAnsi"/>
        </w:rPr>
        <w:t>One possible explanation is b</w:t>
      </w:r>
      <w:r w:rsidR="00BA5424">
        <w:rPr>
          <w:rFonts w:cstheme="minorHAnsi"/>
        </w:rPr>
        <w:t>ark beetles</w:t>
      </w:r>
      <w:r w:rsidR="00D430E8">
        <w:rPr>
          <w:rFonts w:cstheme="minorHAnsi"/>
        </w:rPr>
        <w:t xml:space="preserve">, which </w:t>
      </w:r>
      <w:r w:rsidR="00BA5424">
        <w:rPr>
          <w:rFonts w:cstheme="minorHAnsi"/>
        </w:rPr>
        <w:t xml:space="preserve">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0630767C" w:rsidR="009B0C1C" w:rsidRPr="00F30BF0" w:rsidRDefault="009B0C1C" w:rsidP="003D3B95">
      <w:pPr>
        <w:spacing w:line="360" w:lineRule="auto"/>
        <w:ind w:firstLine="720"/>
        <w:rPr>
          <w:rFonts w:cstheme="minorHAnsi"/>
        </w:rPr>
      </w:pPr>
      <w:r w:rsidRPr="00F30BF0">
        <w:rPr>
          <w:rFonts w:cstheme="minorHAnsi"/>
        </w:rPr>
        <w:t xml:space="preserve">An important limitation of this study is that we did not test for interaction between stressors in shaping vital rates of sugar pine. </w:t>
      </w:r>
      <w:r w:rsidR="0058682C">
        <w:rPr>
          <w:rFonts w:cstheme="minorHAnsi"/>
        </w:rPr>
        <w:t xml:space="preserve">We did not test for interactions because including numerous three-way interactions between size and two stressors would have resulted in difficult-to-interpret vital rate models. </w:t>
      </w:r>
      <w:r w:rsidRPr="00F30BF0">
        <w:rPr>
          <w:rFonts w:cstheme="minorHAnsi"/>
        </w:rPr>
        <w:t>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lastRenderedPageBreak/>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Drought and density both alter the fuelbed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D430E8">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resistance","type":"article-journal","volume":"59"},"uris":["http://www.mendeley.com/documents/?uuid=b5c155df-c555-4ef7-9f91-84c15344a5b7"]}],"mendeley":{"formattedCitation":"(Young &lt;i&gt;et al.&lt;/i&gt;, 2017; Furniss &lt;i&gt;et al.&lt;/i&gt;, 2021; Bradford &lt;i&gt;et al.&lt;/i&gt;, 2022)","plainTextFormattedCitation":"(Young et al., 2017; Furniss et al., 2021; Bradford et al., 2022)","previouslyFormattedCitation":"(Young &lt;i&gt;et al.&lt;/i&gt;, 2017; Bradford &lt;i&gt;et al.&lt;/i&gt;, 2021; Furniss &lt;i&gt;et al.&lt;/i&gt;, 2021)"},"properties":{"noteIndex":0},"schema":"https://github.com/citation-style-language/schema/raw/master/csl-citation.json"}</w:instrText>
      </w:r>
      <w:r w:rsidR="00307D27">
        <w:rPr>
          <w:rFonts w:cstheme="minorHAnsi"/>
        </w:rPr>
        <w:fldChar w:fldCharType="separate"/>
      </w:r>
      <w:r w:rsidR="00D430E8" w:rsidRPr="00D430E8">
        <w:rPr>
          <w:rFonts w:cstheme="minorHAnsi"/>
          <w:noProof/>
        </w:rPr>
        <w:t xml:space="preserve">(Young </w:t>
      </w:r>
      <w:r w:rsidR="00D430E8" w:rsidRPr="00D430E8">
        <w:rPr>
          <w:rFonts w:cstheme="minorHAnsi"/>
          <w:i/>
          <w:noProof/>
        </w:rPr>
        <w:t>et al.</w:t>
      </w:r>
      <w:r w:rsidR="00D430E8" w:rsidRPr="00D430E8">
        <w:rPr>
          <w:rFonts w:cstheme="minorHAnsi"/>
          <w:noProof/>
        </w:rPr>
        <w:t xml:space="preserve">, 2017; Furniss </w:t>
      </w:r>
      <w:r w:rsidR="00D430E8" w:rsidRPr="00D430E8">
        <w:rPr>
          <w:rFonts w:cstheme="minorHAnsi"/>
          <w:i/>
          <w:noProof/>
        </w:rPr>
        <w:t>et al.</w:t>
      </w:r>
      <w:r w:rsidR="00D430E8" w:rsidRPr="00D430E8">
        <w:rPr>
          <w:rFonts w:cstheme="minorHAnsi"/>
          <w:noProof/>
        </w:rPr>
        <w:t xml:space="preserve">, 2021; Bradford </w:t>
      </w:r>
      <w:r w:rsidR="00D430E8" w:rsidRPr="00D430E8">
        <w:rPr>
          <w:rFonts w:cstheme="minorHAnsi"/>
          <w:i/>
          <w:noProof/>
        </w:rPr>
        <w:t>et al.</w:t>
      </w:r>
      <w:r w:rsidR="00D430E8" w:rsidRPr="00D430E8">
        <w:rPr>
          <w:rFonts w:cstheme="minorHAnsi"/>
          <w:noProof/>
        </w:rPr>
        <w:t>, 2022)</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w:t>
      </w:r>
      <w:r w:rsidR="0021575D" w:rsidRPr="00F30BF0">
        <w:rPr>
          <w:rFonts w:cstheme="minorHAnsi"/>
        </w:rPr>
        <w:lastRenderedPageBreak/>
        <w:t xml:space="preserve">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16286251" w14:textId="436E908D" w:rsidR="00D430E8" w:rsidRPr="00D430E8" w:rsidRDefault="00EB4A84" w:rsidP="00D430E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D430E8" w:rsidRPr="00D430E8">
        <w:rPr>
          <w:rFonts w:ascii="Calibri" w:hAnsi="Calibri" w:cs="Calibri"/>
          <w:noProof/>
          <w:szCs w:val="24"/>
        </w:rPr>
        <w:t xml:space="preserve">Abatzoglou, J. T. </w:t>
      </w:r>
      <w:r w:rsidR="00D430E8" w:rsidRPr="00D430E8">
        <w:rPr>
          <w:rFonts w:ascii="Calibri" w:hAnsi="Calibri" w:cs="Calibri"/>
          <w:i/>
          <w:iCs/>
          <w:noProof/>
          <w:szCs w:val="24"/>
        </w:rPr>
        <w:t>et al.</w:t>
      </w:r>
      <w:r w:rsidR="00D430E8" w:rsidRPr="00D430E8">
        <w:rPr>
          <w:rFonts w:ascii="Calibri" w:hAnsi="Calibri" w:cs="Calibri"/>
          <w:noProof/>
          <w:szCs w:val="24"/>
        </w:rPr>
        <w:t xml:space="preserve"> (2018) ‘TerraClimate, a high-resolution global dataset of monthly climate and climatic water balance from 1958-2015’, </w:t>
      </w:r>
      <w:r w:rsidR="00D430E8" w:rsidRPr="00D430E8">
        <w:rPr>
          <w:rFonts w:ascii="Calibri" w:hAnsi="Calibri" w:cs="Calibri"/>
          <w:i/>
          <w:iCs/>
          <w:noProof/>
          <w:szCs w:val="24"/>
        </w:rPr>
        <w:t>Scientific Data</w:t>
      </w:r>
      <w:r w:rsidR="00D430E8" w:rsidRPr="00D430E8">
        <w:rPr>
          <w:rFonts w:ascii="Calibri" w:hAnsi="Calibri" w:cs="Calibri"/>
          <w:noProof/>
          <w:szCs w:val="24"/>
        </w:rPr>
        <w:t>, 5, pp. 1–12. doi: 10.1038/sdata.2017.191.</w:t>
      </w:r>
    </w:p>
    <w:p w14:paraId="26507FE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Aitken, S. N. and Whitlock, M. C. (2013) ‘Assisted Gene Flow to Facilitate Local Adaptation to Climate Change’, </w:t>
      </w:r>
      <w:r w:rsidRPr="00D430E8">
        <w:rPr>
          <w:rFonts w:ascii="Calibri" w:hAnsi="Calibri" w:cs="Calibri"/>
          <w:i/>
          <w:iCs/>
          <w:noProof/>
          <w:szCs w:val="24"/>
        </w:rPr>
        <w:t>Annual Review of Ecology, evolution, and Systematics</w:t>
      </w:r>
      <w:r w:rsidRPr="00D430E8">
        <w:rPr>
          <w:rFonts w:ascii="Calibri" w:hAnsi="Calibri" w:cs="Calibri"/>
          <w:noProof/>
          <w:szCs w:val="24"/>
        </w:rPr>
        <w:t>, 44, pp. 367–88. doi: 10.1146/annurev-ecolsys-110512-135747.</w:t>
      </w:r>
    </w:p>
    <w:p w14:paraId="794705B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Alizadeh, M. R. </w:t>
      </w:r>
      <w:r w:rsidRPr="00D430E8">
        <w:rPr>
          <w:rFonts w:ascii="Calibri" w:hAnsi="Calibri" w:cs="Calibri"/>
          <w:i/>
          <w:iCs/>
          <w:noProof/>
          <w:szCs w:val="24"/>
        </w:rPr>
        <w:t>et al.</w:t>
      </w:r>
      <w:r w:rsidRPr="00D430E8">
        <w:rPr>
          <w:rFonts w:ascii="Calibri" w:hAnsi="Calibri" w:cs="Calibri"/>
          <w:noProof/>
          <w:szCs w:val="24"/>
        </w:rPr>
        <w:t xml:space="preserve"> (2021) ‘Warming enabled upslope advance in western US forest fires’, </w:t>
      </w:r>
      <w:r w:rsidRPr="00D430E8">
        <w:rPr>
          <w:rFonts w:ascii="Calibri" w:hAnsi="Calibri" w:cs="Calibri"/>
          <w:i/>
          <w:iCs/>
          <w:noProof/>
          <w:szCs w:val="24"/>
        </w:rPr>
        <w:t>Proceedings of the National Academy of Sciences of the United States of America</w:t>
      </w:r>
      <w:r w:rsidRPr="00D430E8">
        <w:rPr>
          <w:rFonts w:ascii="Calibri" w:hAnsi="Calibri" w:cs="Calibri"/>
          <w:noProof/>
          <w:szCs w:val="24"/>
        </w:rPr>
        <w:t>, 118(22), pp. 1–14. doi: 10.1073/pnas.2009717118.</w:t>
      </w:r>
    </w:p>
    <w:p w14:paraId="34B3776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Angell, N., Waring, K. M. and Graves, T. A. (2014) ‘Predicting height growth of sugar pine regeneration using stand and individual tree characteristics’, </w:t>
      </w:r>
      <w:r w:rsidRPr="00D430E8">
        <w:rPr>
          <w:rFonts w:ascii="Calibri" w:hAnsi="Calibri" w:cs="Calibri"/>
          <w:i/>
          <w:iCs/>
          <w:noProof/>
          <w:szCs w:val="24"/>
        </w:rPr>
        <w:t>Forestry</w:t>
      </w:r>
      <w:r w:rsidRPr="00D430E8">
        <w:rPr>
          <w:rFonts w:ascii="Calibri" w:hAnsi="Calibri" w:cs="Calibri"/>
          <w:noProof/>
          <w:szCs w:val="24"/>
        </w:rPr>
        <w:t>, 87(1), pp. 85–97. doi: 10.1093/forestry/cpt028.</w:t>
      </w:r>
    </w:p>
    <w:p w14:paraId="63F790B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D430E8">
        <w:rPr>
          <w:rFonts w:ascii="Calibri" w:hAnsi="Calibri" w:cs="Calibri"/>
          <w:i/>
          <w:iCs/>
          <w:noProof/>
          <w:szCs w:val="24"/>
        </w:rPr>
        <w:t>The Journal of the Torrey Botanical Society</w:t>
      </w:r>
      <w:r w:rsidRPr="00D430E8">
        <w:rPr>
          <w:rFonts w:ascii="Calibri" w:hAnsi="Calibri" w:cs="Calibri"/>
          <w:noProof/>
          <w:szCs w:val="24"/>
        </w:rPr>
        <w:t>, 125(4), pp. 297–308.</w:t>
      </w:r>
    </w:p>
    <w:p w14:paraId="2B788DF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Bechtold, W. A. and Patterson, P. L. (2005) ‘The Enhanced Forest Inventory and Analysis Program — National Sampling Design and Estimation Procedures’, </w:t>
      </w:r>
      <w:r w:rsidRPr="00D430E8">
        <w:rPr>
          <w:rFonts w:ascii="Calibri" w:hAnsi="Calibri" w:cs="Calibri"/>
          <w:i/>
          <w:iCs/>
          <w:noProof/>
          <w:szCs w:val="24"/>
        </w:rPr>
        <w:t>USDA General Technical Report</w:t>
      </w:r>
      <w:r w:rsidRPr="00D430E8">
        <w:rPr>
          <w:rFonts w:ascii="Calibri" w:hAnsi="Calibri" w:cs="Calibri"/>
          <w:noProof/>
          <w:szCs w:val="24"/>
        </w:rPr>
        <w:t>, SRS-80, p. 85.</w:t>
      </w:r>
    </w:p>
    <w:p w14:paraId="4AEACE0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D430E8">
        <w:rPr>
          <w:rFonts w:ascii="Calibri" w:hAnsi="Calibri" w:cs="Calibri"/>
          <w:i/>
          <w:iCs/>
          <w:noProof/>
          <w:szCs w:val="24"/>
        </w:rPr>
        <w:t>Global Ecology and Biogeography</w:t>
      </w:r>
      <w:r w:rsidRPr="00D430E8">
        <w:rPr>
          <w:rFonts w:ascii="Calibri" w:hAnsi="Calibri" w:cs="Calibri"/>
          <w:noProof/>
          <w:szCs w:val="24"/>
        </w:rPr>
        <w:t>, 23(2), pp. 168–180. doi: 10.1111/geb.12109.</w:t>
      </w:r>
    </w:p>
    <w:p w14:paraId="2CEF2DE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D430E8">
        <w:rPr>
          <w:rFonts w:ascii="Calibri" w:hAnsi="Calibri" w:cs="Calibri"/>
          <w:i/>
          <w:iCs/>
          <w:noProof/>
          <w:szCs w:val="24"/>
        </w:rPr>
        <w:t>Gen. Tech. Rep. PSW-GTR-273. Albany, CA: US Department of Agriculture, Forest Service, Pacific Southwest Research Station. 146 p.</w:t>
      </w:r>
      <w:r w:rsidRPr="00D430E8">
        <w:rPr>
          <w:rFonts w:ascii="Calibri" w:hAnsi="Calibri" w:cs="Calibri"/>
          <w:noProof/>
          <w:szCs w:val="24"/>
        </w:rPr>
        <w:t>, 273(November).</w:t>
      </w:r>
    </w:p>
    <w:p w14:paraId="6EC0A95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Bohner, T. and Diez, J. (2021) ‘Tree resistance and recovery from drought mediated by multiple abiotic and biotic processes across a large geographic gradient’, </w:t>
      </w:r>
      <w:r w:rsidRPr="00D430E8">
        <w:rPr>
          <w:rFonts w:ascii="Calibri" w:hAnsi="Calibri" w:cs="Calibri"/>
          <w:i/>
          <w:iCs/>
          <w:noProof/>
          <w:szCs w:val="24"/>
        </w:rPr>
        <w:t>Science of The Total Environment</w:t>
      </w:r>
      <w:r w:rsidRPr="00D430E8">
        <w:rPr>
          <w:rFonts w:ascii="Calibri" w:hAnsi="Calibri" w:cs="Calibri"/>
          <w:noProof/>
          <w:szCs w:val="24"/>
        </w:rPr>
        <w:t>, 789, p. 147744. doi: 10.1016/j.scitotenv.2021.147744.</w:t>
      </w:r>
    </w:p>
    <w:p w14:paraId="702D782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Bradford, J. B. </w:t>
      </w:r>
      <w:r w:rsidRPr="00D430E8">
        <w:rPr>
          <w:rFonts w:ascii="Calibri" w:hAnsi="Calibri" w:cs="Calibri"/>
          <w:i/>
          <w:iCs/>
          <w:noProof/>
          <w:szCs w:val="24"/>
        </w:rPr>
        <w:t>et al.</w:t>
      </w:r>
      <w:r w:rsidRPr="00D430E8">
        <w:rPr>
          <w:rFonts w:ascii="Calibri" w:hAnsi="Calibri" w:cs="Calibri"/>
          <w:noProof/>
          <w:szCs w:val="24"/>
        </w:rPr>
        <w:t xml:space="preserve"> (2022) ‘Tree mortality response to drought-density interactions suggests opportunities to enhance drought resistance’, </w:t>
      </w:r>
      <w:r w:rsidRPr="00D430E8">
        <w:rPr>
          <w:rFonts w:ascii="Calibri" w:hAnsi="Calibri" w:cs="Calibri"/>
          <w:i/>
          <w:iCs/>
          <w:noProof/>
          <w:szCs w:val="24"/>
        </w:rPr>
        <w:t>Journal of Applied Ecology</w:t>
      </w:r>
      <w:r w:rsidRPr="00D430E8">
        <w:rPr>
          <w:rFonts w:ascii="Calibri" w:hAnsi="Calibri" w:cs="Calibri"/>
          <w:noProof/>
          <w:szCs w:val="24"/>
        </w:rPr>
        <w:t>, 59(2), pp. 549–559. doi: 10.1111/1365-2664.14073.</w:t>
      </w:r>
    </w:p>
    <w:p w14:paraId="1B681CB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Bronson, J., Petrick, J. and Danchok, R. (2018) ‘Efficacy of Early Pruning to Reduce the Incidence of White Pine Blister Rust on Sugar Pine ( Pinus lambertiana )’, pp. 205–208.</w:t>
      </w:r>
    </w:p>
    <w:p w14:paraId="042214D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Collins, B. M. </w:t>
      </w:r>
      <w:r w:rsidRPr="00D430E8">
        <w:rPr>
          <w:rFonts w:ascii="Calibri" w:hAnsi="Calibri" w:cs="Calibri"/>
          <w:i/>
          <w:iCs/>
          <w:noProof/>
          <w:szCs w:val="24"/>
        </w:rPr>
        <w:t>et al.</w:t>
      </w:r>
      <w:r w:rsidRPr="00D430E8">
        <w:rPr>
          <w:rFonts w:ascii="Calibri" w:hAnsi="Calibri" w:cs="Calibri"/>
          <w:noProof/>
          <w:szCs w:val="24"/>
        </w:rPr>
        <w:t xml:space="preserve"> (2014) ‘Beyond Reducing Fire Hazard’, </w:t>
      </w:r>
      <w:r w:rsidRPr="00D430E8">
        <w:rPr>
          <w:rFonts w:ascii="Calibri" w:hAnsi="Calibri" w:cs="Calibri"/>
          <w:i/>
          <w:iCs/>
          <w:noProof/>
          <w:szCs w:val="24"/>
        </w:rPr>
        <w:t>Ecological Applications</w:t>
      </w:r>
      <w:r w:rsidRPr="00D430E8">
        <w:rPr>
          <w:rFonts w:ascii="Calibri" w:hAnsi="Calibri" w:cs="Calibri"/>
          <w:noProof/>
          <w:szCs w:val="24"/>
        </w:rPr>
        <w:t>, 24(8), pp. 1879–1886. doi: 10.1890/14-0971.1.</w:t>
      </w:r>
    </w:p>
    <w:p w14:paraId="2A8526D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Coop, J. D. </w:t>
      </w:r>
      <w:r w:rsidRPr="00D430E8">
        <w:rPr>
          <w:rFonts w:ascii="Calibri" w:hAnsi="Calibri" w:cs="Calibri"/>
          <w:i/>
          <w:iCs/>
          <w:noProof/>
          <w:szCs w:val="24"/>
        </w:rPr>
        <w:t>et al.</w:t>
      </w:r>
      <w:r w:rsidRPr="00D430E8">
        <w:rPr>
          <w:rFonts w:ascii="Calibri" w:hAnsi="Calibri" w:cs="Calibri"/>
          <w:noProof/>
          <w:szCs w:val="24"/>
        </w:rPr>
        <w:t xml:space="preserve"> (2020) ‘Wildfire-Driven Forest Conversion in Western North American Landscapes’, </w:t>
      </w:r>
      <w:r w:rsidRPr="00D430E8">
        <w:rPr>
          <w:rFonts w:ascii="Calibri" w:hAnsi="Calibri" w:cs="Calibri"/>
          <w:i/>
          <w:iCs/>
          <w:noProof/>
          <w:szCs w:val="24"/>
        </w:rPr>
        <w:t>BioScience</w:t>
      </w:r>
      <w:r w:rsidRPr="00D430E8">
        <w:rPr>
          <w:rFonts w:ascii="Calibri" w:hAnsi="Calibri" w:cs="Calibri"/>
          <w:noProof/>
          <w:szCs w:val="24"/>
        </w:rPr>
        <w:t>, 70(8), pp. 659–673. doi: 10.1093/biosci/biaa061.</w:t>
      </w:r>
    </w:p>
    <w:p w14:paraId="5130A1B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w:t>
      </w:r>
      <w:r w:rsidRPr="00D430E8">
        <w:rPr>
          <w:rFonts w:ascii="Calibri" w:hAnsi="Calibri" w:cs="Calibri"/>
          <w:i/>
          <w:iCs/>
          <w:noProof/>
          <w:szCs w:val="24"/>
        </w:rPr>
        <w:t>et al.</w:t>
      </w:r>
      <w:r w:rsidRPr="00D430E8">
        <w:rPr>
          <w:rFonts w:ascii="Calibri" w:hAnsi="Calibri" w:cs="Calibri"/>
          <w:noProof/>
          <w:szCs w:val="24"/>
        </w:rPr>
        <w:t xml:space="preserve"> (2008) ‘Spatial elements of mortality risk in old-growth forests’, </w:t>
      </w:r>
      <w:r w:rsidRPr="00D430E8">
        <w:rPr>
          <w:rFonts w:ascii="Calibri" w:hAnsi="Calibri" w:cs="Calibri"/>
          <w:i/>
          <w:iCs/>
          <w:noProof/>
          <w:szCs w:val="24"/>
        </w:rPr>
        <w:t>Ecology</w:t>
      </w:r>
      <w:r w:rsidRPr="00D430E8">
        <w:rPr>
          <w:rFonts w:ascii="Calibri" w:hAnsi="Calibri" w:cs="Calibri"/>
          <w:noProof/>
          <w:szCs w:val="24"/>
        </w:rPr>
        <w:t>, 89(6), pp. 1744–1756. doi: 10.1890/07-0524.1.</w:t>
      </w:r>
    </w:p>
    <w:p w14:paraId="51B88A2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(2012) ‘The effect of size and competition on tree growth rate in old-growth coniferous forests’, </w:t>
      </w:r>
      <w:r w:rsidRPr="00D430E8">
        <w:rPr>
          <w:rFonts w:ascii="Calibri" w:hAnsi="Calibri" w:cs="Calibri"/>
          <w:i/>
          <w:iCs/>
          <w:noProof/>
          <w:szCs w:val="24"/>
        </w:rPr>
        <w:lastRenderedPageBreak/>
        <w:t>Canadian Journal of Forest Research</w:t>
      </w:r>
      <w:r w:rsidRPr="00D430E8">
        <w:rPr>
          <w:rFonts w:ascii="Calibri" w:hAnsi="Calibri" w:cs="Calibri"/>
          <w:noProof/>
          <w:szCs w:val="24"/>
        </w:rPr>
        <w:t>, 42(11), pp. 1983–1995. doi: 10.1139/x2012-142.</w:t>
      </w:r>
    </w:p>
    <w:p w14:paraId="2F98B52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J. </w:t>
      </w:r>
      <w:r w:rsidRPr="00D430E8">
        <w:rPr>
          <w:rFonts w:ascii="Calibri" w:hAnsi="Calibri" w:cs="Calibri"/>
          <w:i/>
          <w:iCs/>
          <w:noProof/>
          <w:szCs w:val="24"/>
        </w:rPr>
        <w:t>et al.</w:t>
      </w:r>
      <w:r w:rsidRPr="00D430E8">
        <w:rPr>
          <w:rFonts w:ascii="Calibri" w:hAnsi="Calibri" w:cs="Calibri"/>
          <w:noProof/>
          <w:szCs w:val="24"/>
        </w:rPr>
        <w:t xml:space="preserve"> (2007) ‘The relationship between tree growth patterns and likelihood of mortality: A study of two tree species in the Sierra Nevada’, </w:t>
      </w:r>
      <w:r w:rsidRPr="00D430E8">
        <w:rPr>
          <w:rFonts w:ascii="Calibri" w:hAnsi="Calibri" w:cs="Calibri"/>
          <w:i/>
          <w:iCs/>
          <w:noProof/>
          <w:szCs w:val="24"/>
        </w:rPr>
        <w:t>Canadian Journal of Forest Research</w:t>
      </w:r>
      <w:r w:rsidRPr="00D430E8">
        <w:rPr>
          <w:rFonts w:ascii="Calibri" w:hAnsi="Calibri" w:cs="Calibri"/>
          <w:noProof/>
          <w:szCs w:val="24"/>
        </w:rPr>
        <w:t>, 37(3), pp. 580–597. doi: 10.1139/X06-262.</w:t>
      </w:r>
    </w:p>
    <w:p w14:paraId="1069D7A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J. </w:t>
      </w:r>
      <w:r w:rsidRPr="00D430E8">
        <w:rPr>
          <w:rFonts w:ascii="Calibri" w:hAnsi="Calibri" w:cs="Calibri"/>
          <w:i/>
          <w:iCs/>
          <w:noProof/>
          <w:szCs w:val="24"/>
        </w:rPr>
        <w:t>et al.</w:t>
      </w:r>
      <w:r w:rsidRPr="00D430E8">
        <w:rPr>
          <w:rFonts w:ascii="Calibri" w:hAnsi="Calibri" w:cs="Calibri"/>
          <w:noProof/>
          <w:szCs w:val="24"/>
        </w:rPr>
        <w:t xml:space="preserve"> (2013) ‘Climatic Correlates of Tree Mortality in Water- and Energy-Limited Forests’, </w:t>
      </w:r>
      <w:r w:rsidRPr="00D430E8">
        <w:rPr>
          <w:rFonts w:ascii="Calibri" w:hAnsi="Calibri" w:cs="Calibri"/>
          <w:i/>
          <w:iCs/>
          <w:noProof/>
          <w:szCs w:val="24"/>
        </w:rPr>
        <w:t>PLoS ONE</w:t>
      </w:r>
      <w:r w:rsidRPr="00D430E8">
        <w:rPr>
          <w:rFonts w:ascii="Calibri" w:hAnsi="Calibri" w:cs="Calibri"/>
          <w:noProof/>
          <w:szCs w:val="24"/>
        </w:rPr>
        <w:t>, 8(7). doi: 10.1371/journal.pone.0069917.</w:t>
      </w:r>
    </w:p>
    <w:p w14:paraId="4784117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Davis, K. T. </w:t>
      </w:r>
      <w:r w:rsidRPr="00D430E8">
        <w:rPr>
          <w:rFonts w:ascii="Calibri" w:hAnsi="Calibri" w:cs="Calibri"/>
          <w:i/>
          <w:iCs/>
          <w:noProof/>
          <w:szCs w:val="24"/>
        </w:rPr>
        <w:t>et al.</w:t>
      </w:r>
      <w:r w:rsidRPr="00D430E8">
        <w:rPr>
          <w:rFonts w:ascii="Calibri" w:hAnsi="Calibri" w:cs="Calibri"/>
          <w:noProof/>
          <w:szCs w:val="24"/>
        </w:rPr>
        <w:t xml:space="preserve"> (2019) ‘Wildfires and climate change push low-elevation forests across a critical climate threshold for tree regeneration’, </w:t>
      </w:r>
      <w:r w:rsidRPr="00D430E8">
        <w:rPr>
          <w:rFonts w:ascii="Calibri" w:hAnsi="Calibri" w:cs="Calibri"/>
          <w:i/>
          <w:iCs/>
          <w:noProof/>
          <w:szCs w:val="24"/>
        </w:rPr>
        <w:t>Proceedings of the National Academy of Sciences of the United States of America</w:t>
      </w:r>
      <w:r w:rsidRPr="00D430E8">
        <w:rPr>
          <w:rFonts w:ascii="Calibri" w:hAnsi="Calibri" w:cs="Calibri"/>
          <w:noProof/>
          <w:szCs w:val="24"/>
        </w:rPr>
        <w:t>, 116(13), pp. 6193–6198. doi: 10.1073/pnas.1815107116.</w:t>
      </w:r>
    </w:p>
    <w:p w14:paraId="309FDC1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Davis, R. S., Hood, S. and Bentz, B. J. (2012) ‘Fire-injured ponderosa pine provide a pulsed resource for bark beetles’, </w:t>
      </w:r>
      <w:r w:rsidRPr="00D430E8">
        <w:rPr>
          <w:rFonts w:ascii="Calibri" w:hAnsi="Calibri" w:cs="Calibri"/>
          <w:i/>
          <w:iCs/>
          <w:noProof/>
          <w:szCs w:val="24"/>
        </w:rPr>
        <w:t>Canadian Journal of Forest Research-Revue Canadienne De Recherche Forestiere</w:t>
      </w:r>
      <w:r w:rsidRPr="00D430E8">
        <w:rPr>
          <w:rFonts w:ascii="Calibri" w:hAnsi="Calibri" w:cs="Calibri"/>
          <w:noProof/>
          <w:szCs w:val="24"/>
        </w:rPr>
        <w:t>, 42(12), pp. 2022–2036. doi: 10.1139/x2012-147.</w:t>
      </w:r>
    </w:p>
    <w:p w14:paraId="7FCB964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Dudney, J. </w:t>
      </w:r>
      <w:r w:rsidRPr="00D430E8">
        <w:rPr>
          <w:rFonts w:ascii="Calibri" w:hAnsi="Calibri" w:cs="Calibri"/>
          <w:i/>
          <w:iCs/>
          <w:noProof/>
          <w:szCs w:val="24"/>
        </w:rPr>
        <w:t>et al.</w:t>
      </w:r>
      <w:r w:rsidRPr="00D430E8">
        <w:rPr>
          <w:rFonts w:ascii="Calibri" w:hAnsi="Calibri" w:cs="Calibri"/>
          <w:noProof/>
          <w:szCs w:val="24"/>
        </w:rPr>
        <w:t xml:space="preserve"> (2021) ‘Nonlinear shifts in infectious rust disease due to climate change’, </w:t>
      </w:r>
      <w:r w:rsidRPr="00D430E8">
        <w:rPr>
          <w:rFonts w:ascii="Calibri" w:hAnsi="Calibri" w:cs="Calibri"/>
          <w:i/>
          <w:iCs/>
          <w:noProof/>
          <w:szCs w:val="24"/>
        </w:rPr>
        <w:t>Nature Communications</w:t>
      </w:r>
      <w:r w:rsidRPr="00D430E8">
        <w:rPr>
          <w:rFonts w:ascii="Calibri" w:hAnsi="Calibri" w:cs="Calibri"/>
          <w:noProof/>
          <w:szCs w:val="24"/>
        </w:rPr>
        <w:t>, 12(1). doi: 10.1038/s41467-021-25182-6.</w:t>
      </w:r>
    </w:p>
    <w:p w14:paraId="40520567"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Dudney, J. C. </w:t>
      </w:r>
      <w:r w:rsidRPr="00D430E8">
        <w:rPr>
          <w:rFonts w:ascii="Calibri" w:hAnsi="Calibri" w:cs="Calibri"/>
          <w:i/>
          <w:iCs/>
          <w:noProof/>
          <w:szCs w:val="24"/>
        </w:rPr>
        <w:t>et al.</w:t>
      </w:r>
      <w:r w:rsidRPr="00D430E8">
        <w:rPr>
          <w:rFonts w:ascii="Calibri" w:hAnsi="Calibri" w:cs="Calibri"/>
          <w:noProof/>
          <w:szCs w:val="24"/>
        </w:rPr>
        <w:t xml:space="preserve"> (2020) ‘Compounding effects of white pine blister rust, mountain pine beetle, and fire threaten four white pine species’, </w:t>
      </w:r>
      <w:r w:rsidRPr="00D430E8">
        <w:rPr>
          <w:rFonts w:ascii="Calibri" w:hAnsi="Calibri" w:cs="Calibri"/>
          <w:i/>
          <w:iCs/>
          <w:noProof/>
          <w:szCs w:val="24"/>
        </w:rPr>
        <w:t>Ecosphere</w:t>
      </w:r>
      <w:r w:rsidRPr="00D430E8">
        <w:rPr>
          <w:rFonts w:ascii="Calibri" w:hAnsi="Calibri" w:cs="Calibri"/>
          <w:noProof/>
          <w:szCs w:val="24"/>
        </w:rPr>
        <w:t>, 11(October), p. e03263. doi: 10.1002/ecs2.3263.</w:t>
      </w:r>
    </w:p>
    <w:p w14:paraId="25A61CF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Eitzel, M. </w:t>
      </w:r>
      <w:r w:rsidRPr="00D430E8">
        <w:rPr>
          <w:rFonts w:ascii="Calibri" w:hAnsi="Calibri" w:cs="Calibri"/>
          <w:i/>
          <w:iCs/>
          <w:noProof/>
          <w:szCs w:val="24"/>
        </w:rPr>
        <w:t>et al.</w:t>
      </w:r>
      <w:r w:rsidRPr="00D430E8">
        <w:rPr>
          <w:rFonts w:ascii="Calibri" w:hAnsi="Calibri" w:cs="Calibri"/>
          <w:noProof/>
          <w:szCs w:val="24"/>
        </w:rPr>
        <w:t xml:space="preserve"> (2013) ‘Estimating tree growth from complex forest monitoring data’, </w:t>
      </w:r>
      <w:r w:rsidRPr="00D430E8">
        <w:rPr>
          <w:rFonts w:ascii="Calibri" w:hAnsi="Calibri" w:cs="Calibri"/>
          <w:i/>
          <w:iCs/>
          <w:noProof/>
          <w:szCs w:val="24"/>
        </w:rPr>
        <w:t>Ecological Applications</w:t>
      </w:r>
      <w:r w:rsidRPr="00D430E8">
        <w:rPr>
          <w:rFonts w:ascii="Calibri" w:hAnsi="Calibri" w:cs="Calibri"/>
          <w:noProof/>
          <w:szCs w:val="24"/>
        </w:rPr>
        <w:t>, 23(6), pp. 1288–1296. doi: 10.1890/12-0504.1.</w:t>
      </w:r>
    </w:p>
    <w:p w14:paraId="70B1A2F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Fettig, C. J. </w:t>
      </w:r>
      <w:r w:rsidRPr="00D430E8">
        <w:rPr>
          <w:rFonts w:ascii="Calibri" w:hAnsi="Calibri" w:cs="Calibri"/>
          <w:i/>
          <w:iCs/>
          <w:noProof/>
          <w:szCs w:val="24"/>
        </w:rPr>
        <w:t>et al.</w:t>
      </w:r>
      <w:r w:rsidRPr="00D430E8">
        <w:rPr>
          <w:rFonts w:ascii="Calibri" w:hAnsi="Calibri" w:cs="Calibri"/>
          <w:noProof/>
          <w:szCs w:val="24"/>
        </w:rPr>
        <w:t xml:space="preserve"> (2019) ‘Tree mortality following drought in the central and southern Sierra Nevada, California, U.S.’, </w:t>
      </w:r>
      <w:r w:rsidRPr="00D430E8">
        <w:rPr>
          <w:rFonts w:ascii="Calibri" w:hAnsi="Calibri" w:cs="Calibri"/>
          <w:i/>
          <w:iCs/>
          <w:noProof/>
          <w:szCs w:val="24"/>
        </w:rPr>
        <w:t>Forest Ecology and Management</w:t>
      </w:r>
      <w:r w:rsidRPr="00D430E8">
        <w:rPr>
          <w:rFonts w:ascii="Calibri" w:hAnsi="Calibri" w:cs="Calibri"/>
          <w:noProof/>
          <w:szCs w:val="24"/>
        </w:rPr>
        <w:t>, 432(August 2018), pp. 164–178. doi: 10.1016/j.foreco.2018.09.006.</w:t>
      </w:r>
    </w:p>
    <w:p w14:paraId="69C6C8C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Foster, D. E. </w:t>
      </w:r>
      <w:r w:rsidRPr="00D430E8">
        <w:rPr>
          <w:rFonts w:ascii="Calibri" w:hAnsi="Calibri" w:cs="Calibri"/>
          <w:i/>
          <w:iCs/>
          <w:noProof/>
          <w:szCs w:val="24"/>
        </w:rPr>
        <w:t>et al.</w:t>
      </w:r>
      <w:r w:rsidRPr="00D430E8">
        <w:rPr>
          <w:rFonts w:ascii="Calibri" w:hAnsi="Calibri" w:cs="Calibri"/>
          <w:noProof/>
          <w:szCs w:val="24"/>
        </w:rPr>
        <w:t xml:space="preserve"> (2020) ‘Potential wildfire and carbon stability in frequent-fire forests in the Sierra Nevada: trade-offs from a long-term study’, </w:t>
      </w:r>
      <w:r w:rsidRPr="00D430E8">
        <w:rPr>
          <w:rFonts w:ascii="Calibri" w:hAnsi="Calibri" w:cs="Calibri"/>
          <w:i/>
          <w:iCs/>
          <w:noProof/>
          <w:szCs w:val="24"/>
        </w:rPr>
        <w:t>Ecosphere</w:t>
      </w:r>
      <w:r w:rsidRPr="00D430E8">
        <w:rPr>
          <w:rFonts w:ascii="Calibri" w:hAnsi="Calibri" w:cs="Calibri"/>
          <w:noProof/>
          <w:szCs w:val="24"/>
        </w:rPr>
        <w:t>, 11(8). doi: 10.1002/ecs2.3198.</w:t>
      </w:r>
    </w:p>
    <w:p w14:paraId="0A10964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Fowells, H. A. and Schubert, G. H. (1956) ‘Seed crops of forest trees in the pine region of California’, </w:t>
      </w:r>
      <w:r w:rsidRPr="00D430E8">
        <w:rPr>
          <w:rFonts w:ascii="Calibri" w:hAnsi="Calibri" w:cs="Calibri"/>
          <w:i/>
          <w:iCs/>
          <w:noProof/>
          <w:szCs w:val="24"/>
        </w:rPr>
        <w:t>USDA Technical Bulletin</w:t>
      </w:r>
      <w:r w:rsidRPr="00D430E8">
        <w:rPr>
          <w:rFonts w:ascii="Calibri" w:hAnsi="Calibri" w:cs="Calibri"/>
          <w:noProof/>
          <w:szCs w:val="24"/>
        </w:rPr>
        <w:t>, 1150(1150), pp. 1–48.</w:t>
      </w:r>
    </w:p>
    <w:p w14:paraId="396175B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Furniss, T. J. </w:t>
      </w:r>
      <w:r w:rsidRPr="00D430E8">
        <w:rPr>
          <w:rFonts w:ascii="Calibri" w:hAnsi="Calibri" w:cs="Calibri"/>
          <w:i/>
          <w:iCs/>
          <w:noProof/>
          <w:szCs w:val="24"/>
        </w:rPr>
        <w:t>et al.</w:t>
      </w:r>
      <w:r w:rsidRPr="00D430E8">
        <w:rPr>
          <w:rFonts w:ascii="Calibri" w:hAnsi="Calibri" w:cs="Calibri"/>
          <w:noProof/>
          <w:szCs w:val="24"/>
        </w:rPr>
        <w:t xml:space="preserve"> (2018) ‘Multi-scale assessment of post-fire tree mortality models’, </w:t>
      </w:r>
      <w:r w:rsidRPr="00D430E8">
        <w:rPr>
          <w:rFonts w:ascii="Calibri" w:hAnsi="Calibri" w:cs="Calibri"/>
          <w:i/>
          <w:iCs/>
          <w:noProof/>
          <w:szCs w:val="24"/>
        </w:rPr>
        <w:t>International Journal of Wildland Fire</w:t>
      </w:r>
      <w:r w:rsidRPr="00D430E8">
        <w:rPr>
          <w:rFonts w:ascii="Calibri" w:hAnsi="Calibri" w:cs="Calibri"/>
          <w:noProof/>
          <w:szCs w:val="24"/>
        </w:rPr>
        <w:t>, p. in press. doi: 10.1071/WF18031.</w:t>
      </w:r>
    </w:p>
    <w:p w14:paraId="6AEE8EA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Furniss, T. J. </w:t>
      </w:r>
      <w:r w:rsidRPr="00D430E8">
        <w:rPr>
          <w:rFonts w:ascii="Calibri" w:hAnsi="Calibri" w:cs="Calibri"/>
          <w:i/>
          <w:iCs/>
          <w:noProof/>
          <w:szCs w:val="24"/>
        </w:rPr>
        <w:t>et al.</w:t>
      </w:r>
      <w:r w:rsidRPr="00D430E8">
        <w:rPr>
          <w:rFonts w:ascii="Calibri" w:hAnsi="Calibri" w:cs="Calibri"/>
          <w:noProof/>
          <w:szCs w:val="24"/>
        </w:rPr>
        <w:t xml:space="preserve"> (2021) ‘Crowding, climate, and the case for social distancing among trees’, </w:t>
      </w:r>
      <w:r w:rsidRPr="00D430E8">
        <w:rPr>
          <w:rFonts w:ascii="Calibri" w:hAnsi="Calibri" w:cs="Calibri"/>
          <w:i/>
          <w:iCs/>
          <w:noProof/>
          <w:szCs w:val="24"/>
        </w:rPr>
        <w:t>Ecological Applications</w:t>
      </w:r>
      <w:r w:rsidRPr="00D430E8">
        <w:rPr>
          <w:rFonts w:ascii="Calibri" w:hAnsi="Calibri" w:cs="Calibri"/>
          <w:noProof/>
          <w:szCs w:val="24"/>
        </w:rPr>
        <w:t>, (June 2021), pp. 1–14. doi: 10.1002/eap.2507.</w:t>
      </w:r>
    </w:p>
    <w:p w14:paraId="5CE28E7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Geils, B. W., Hummer, K. E. and Hunt, R. S. (2010) ‘White pines, Ribes, and blister rust: A review and synthesis’, </w:t>
      </w:r>
      <w:r w:rsidRPr="00D430E8">
        <w:rPr>
          <w:rFonts w:ascii="Calibri" w:hAnsi="Calibri" w:cs="Calibri"/>
          <w:i/>
          <w:iCs/>
          <w:noProof/>
          <w:szCs w:val="24"/>
        </w:rPr>
        <w:t>Forest Pathology</w:t>
      </w:r>
      <w:r w:rsidRPr="00D430E8">
        <w:rPr>
          <w:rFonts w:ascii="Calibri" w:hAnsi="Calibri" w:cs="Calibri"/>
          <w:noProof/>
          <w:szCs w:val="24"/>
        </w:rPr>
        <w:t>, 40(3–4), pp. 147–185. doi: 10.1111/j.1439-0329.2010.00654.x.</w:t>
      </w:r>
    </w:p>
    <w:p w14:paraId="7A7FDB9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Harry, D. E., Jenkinson, J. L. and Kinloch, B. B. (1983) ‘Early Growth of Sugar Pine from an Elevational Transect’, </w:t>
      </w:r>
      <w:r w:rsidRPr="00D430E8">
        <w:rPr>
          <w:rFonts w:ascii="Calibri" w:hAnsi="Calibri" w:cs="Calibri"/>
          <w:i/>
          <w:iCs/>
          <w:noProof/>
          <w:szCs w:val="24"/>
        </w:rPr>
        <w:t>Forest Science</w:t>
      </w:r>
      <w:r w:rsidRPr="00D430E8">
        <w:rPr>
          <w:rFonts w:ascii="Calibri" w:hAnsi="Calibri" w:cs="Calibri"/>
          <w:noProof/>
          <w:szCs w:val="24"/>
        </w:rPr>
        <w:t>, 29(3), pp. 660–669. Available at: http://www.ingentaconnect.com/content/saf/fs/1983/00000029/00000003/art00027.</w:t>
      </w:r>
    </w:p>
    <w:p w14:paraId="16174B4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Hessburg, P. F. </w:t>
      </w:r>
      <w:r w:rsidRPr="00D430E8">
        <w:rPr>
          <w:rFonts w:ascii="Calibri" w:hAnsi="Calibri" w:cs="Calibri"/>
          <w:i/>
          <w:iCs/>
          <w:noProof/>
          <w:szCs w:val="24"/>
        </w:rPr>
        <w:t>et al.</w:t>
      </w:r>
      <w:r w:rsidRPr="00D430E8">
        <w:rPr>
          <w:rFonts w:ascii="Calibri" w:hAnsi="Calibri" w:cs="Calibri"/>
          <w:noProof/>
          <w:szCs w:val="24"/>
        </w:rPr>
        <w:t xml:space="preserve"> (2016) ‘Tamm Review: Management of mixed-severity fire regime forests in Oregon, Washington, and Northern California’, </w:t>
      </w:r>
      <w:r w:rsidRPr="00D430E8">
        <w:rPr>
          <w:rFonts w:ascii="Calibri" w:hAnsi="Calibri" w:cs="Calibri"/>
          <w:i/>
          <w:iCs/>
          <w:noProof/>
          <w:szCs w:val="24"/>
        </w:rPr>
        <w:t>Forest Ecology and Management</w:t>
      </w:r>
      <w:r w:rsidRPr="00D430E8">
        <w:rPr>
          <w:rFonts w:ascii="Calibri" w:hAnsi="Calibri" w:cs="Calibri"/>
          <w:noProof/>
          <w:szCs w:val="24"/>
        </w:rPr>
        <w:t>, 366, pp. 221–250. doi: 10.1016/j.foreco.2016.01.034.</w:t>
      </w:r>
    </w:p>
    <w:p w14:paraId="16B0AC1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Hessburg, P. F. </w:t>
      </w:r>
      <w:r w:rsidRPr="00D430E8">
        <w:rPr>
          <w:rFonts w:ascii="Calibri" w:hAnsi="Calibri" w:cs="Calibri"/>
          <w:i/>
          <w:iCs/>
          <w:noProof/>
          <w:szCs w:val="24"/>
        </w:rPr>
        <w:t>et al.</w:t>
      </w:r>
      <w:r w:rsidRPr="00D430E8">
        <w:rPr>
          <w:rFonts w:ascii="Calibri" w:hAnsi="Calibri" w:cs="Calibri"/>
          <w:noProof/>
          <w:szCs w:val="24"/>
        </w:rPr>
        <w:t xml:space="preserve"> (2021) ‘Wildfire and climate change adaptation of western North American forests: </w:t>
      </w:r>
      <w:r w:rsidRPr="00D430E8">
        <w:rPr>
          <w:rFonts w:ascii="Calibri" w:hAnsi="Calibri" w:cs="Calibri"/>
          <w:noProof/>
          <w:szCs w:val="24"/>
        </w:rPr>
        <w:lastRenderedPageBreak/>
        <w:t xml:space="preserve">a case for intentional management’, </w:t>
      </w:r>
      <w:r w:rsidRPr="00D430E8">
        <w:rPr>
          <w:rFonts w:ascii="Calibri" w:hAnsi="Calibri" w:cs="Calibri"/>
          <w:i/>
          <w:iCs/>
          <w:noProof/>
          <w:szCs w:val="24"/>
        </w:rPr>
        <w:t>Ecological Applications</w:t>
      </w:r>
      <w:r w:rsidRPr="00D430E8">
        <w:rPr>
          <w:rFonts w:ascii="Calibri" w:hAnsi="Calibri" w:cs="Calibri"/>
          <w:noProof/>
          <w:szCs w:val="24"/>
        </w:rPr>
        <w:t>, 0(0). doi: 10.1002/eap.2432.</w:t>
      </w:r>
    </w:p>
    <w:p w14:paraId="12C7473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Hicke, J. A. </w:t>
      </w:r>
      <w:r w:rsidRPr="00D430E8">
        <w:rPr>
          <w:rFonts w:ascii="Calibri" w:hAnsi="Calibri" w:cs="Calibri"/>
          <w:i/>
          <w:iCs/>
          <w:noProof/>
          <w:szCs w:val="24"/>
        </w:rPr>
        <w:t>et al.</w:t>
      </w:r>
      <w:r w:rsidRPr="00D430E8">
        <w:rPr>
          <w:rFonts w:ascii="Calibri" w:hAnsi="Calibri" w:cs="Calibri"/>
          <w:noProof/>
          <w:szCs w:val="24"/>
        </w:rPr>
        <w:t xml:space="preserve"> (2012) ‘Effects of bark beetle-caused tree mortality on wildfire’, </w:t>
      </w:r>
      <w:r w:rsidRPr="00D430E8">
        <w:rPr>
          <w:rFonts w:ascii="Calibri" w:hAnsi="Calibri" w:cs="Calibri"/>
          <w:i/>
          <w:iCs/>
          <w:noProof/>
          <w:szCs w:val="24"/>
        </w:rPr>
        <w:t>Forest Ecology and Management</w:t>
      </w:r>
      <w:r w:rsidRPr="00D430E8">
        <w:rPr>
          <w:rFonts w:ascii="Calibri" w:hAnsi="Calibri" w:cs="Calibri"/>
          <w:noProof/>
          <w:szCs w:val="24"/>
        </w:rPr>
        <w:t>, 271, pp. 81–90. doi: 10.1016/j.foreco.2012.02.005.</w:t>
      </w:r>
    </w:p>
    <w:p w14:paraId="02033CA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Hood, S. M., Smith, S. L. and Cluck, D. R. (2010) ‘Predicting mortality for five California conifers following wildfire’, </w:t>
      </w:r>
      <w:r w:rsidRPr="00D430E8">
        <w:rPr>
          <w:rFonts w:ascii="Calibri" w:hAnsi="Calibri" w:cs="Calibri"/>
          <w:i/>
          <w:iCs/>
          <w:noProof/>
          <w:szCs w:val="24"/>
        </w:rPr>
        <w:t>Forest Ecology and Management</w:t>
      </w:r>
      <w:r w:rsidRPr="00D430E8">
        <w:rPr>
          <w:rFonts w:ascii="Calibri" w:hAnsi="Calibri" w:cs="Calibri"/>
          <w:noProof/>
          <w:szCs w:val="24"/>
        </w:rPr>
        <w:t>, 260(5), pp. 750–762. doi: 10.1016/j.foreco.2010.05.033.</w:t>
      </w:r>
    </w:p>
    <w:p w14:paraId="5139C2C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Kinloch, B. B. </w:t>
      </w:r>
      <w:r w:rsidRPr="00D430E8">
        <w:rPr>
          <w:rFonts w:ascii="Calibri" w:hAnsi="Calibri" w:cs="Calibri"/>
          <w:i/>
          <w:iCs/>
          <w:noProof/>
          <w:szCs w:val="24"/>
        </w:rPr>
        <w:t>et al.</w:t>
      </w:r>
      <w:r w:rsidRPr="00D430E8">
        <w:rPr>
          <w:rFonts w:ascii="Calibri" w:hAnsi="Calibri" w:cs="Calibri"/>
          <w:noProof/>
          <w:szCs w:val="24"/>
        </w:rPr>
        <w:t xml:space="preserve"> (2018) ‘Patterns of Variation in Blister Rust Resistance in Sugar Pine ( Pinus lambertiana )’, in </w:t>
      </w:r>
      <w:r w:rsidRPr="00D430E8">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D430E8">
        <w:rPr>
          <w:rFonts w:ascii="Calibri" w:hAnsi="Calibri" w:cs="Calibri"/>
          <w:noProof/>
          <w:szCs w:val="24"/>
        </w:rPr>
        <w:t>, pp. 124–128.</w:t>
      </w:r>
    </w:p>
    <w:p w14:paraId="2FF33C4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Kinloch, B. B. and Scheuner, W. H. (1990) ‘Pinus lambertiana Dougl.’, in </w:t>
      </w:r>
      <w:r w:rsidRPr="00D430E8">
        <w:rPr>
          <w:rFonts w:ascii="Calibri" w:hAnsi="Calibri" w:cs="Calibri"/>
          <w:i/>
          <w:iCs/>
          <w:noProof/>
          <w:szCs w:val="24"/>
        </w:rPr>
        <w:t>Silvics of North America 1</w:t>
      </w:r>
      <w:r w:rsidRPr="00D430E8">
        <w:rPr>
          <w:rFonts w:ascii="Calibri" w:hAnsi="Calibri" w:cs="Calibri"/>
          <w:noProof/>
          <w:szCs w:val="24"/>
        </w:rPr>
        <w:t>, pp. 370–380.</w:t>
      </w:r>
    </w:p>
    <w:p w14:paraId="215BEEF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5EEB7A0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Latham, P. and Tappeiner, J. (2002) ‘Response of old-growth conifers to reduction in stand density in western Oregon forests’, </w:t>
      </w:r>
      <w:r w:rsidRPr="00D430E8">
        <w:rPr>
          <w:rFonts w:ascii="Calibri" w:hAnsi="Calibri" w:cs="Calibri"/>
          <w:i/>
          <w:iCs/>
          <w:noProof/>
          <w:szCs w:val="24"/>
        </w:rPr>
        <w:t>Tree Physiology</w:t>
      </w:r>
      <w:r w:rsidRPr="00D430E8">
        <w:rPr>
          <w:rFonts w:ascii="Calibri" w:hAnsi="Calibri" w:cs="Calibri"/>
          <w:noProof/>
          <w:szCs w:val="24"/>
        </w:rPr>
        <w:t>, 22(2–3), pp. 137–146. doi: 10.1093/treephys/22.2-3.137.</w:t>
      </w:r>
    </w:p>
    <w:p w14:paraId="0AB4775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Levine, C. R. </w:t>
      </w:r>
      <w:r w:rsidRPr="00D430E8">
        <w:rPr>
          <w:rFonts w:ascii="Calibri" w:hAnsi="Calibri" w:cs="Calibri"/>
          <w:i/>
          <w:iCs/>
          <w:noProof/>
          <w:szCs w:val="24"/>
        </w:rPr>
        <w:t>et al.</w:t>
      </w:r>
      <w:r w:rsidRPr="00D430E8">
        <w:rPr>
          <w:rFonts w:ascii="Calibri" w:hAnsi="Calibri" w:cs="Calibri"/>
          <w:noProof/>
          <w:szCs w:val="24"/>
        </w:rPr>
        <w:t xml:space="preserve"> (2016) ‘Long-term demographic trends in a fire-suppressed mixed-conifer forest’, </w:t>
      </w:r>
      <w:r w:rsidRPr="00D430E8">
        <w:rPr>
          <w:rFonts w:ascii="Calibri" w:hAnsi="Calibri" w:cs="Calibri"/>
          <w:i/>
          <w:iCs/>
          <w:noProof/>
          <w:szCs w:val="24"/>
        </w:rPr>
        <w:t>Canadian Journal of Forest Research</w:t>
      </w:r>
      <w:r w:rsidRPr="00D430E8">
        <w:rPr>
          <w:rFonts w:ascii="Calibri" w:hAnsi="Calibri" w:cs="Calibri"/>
          <w:noProof/>
          <w:szCs w:val="24"/>
        </w:rPr>
        <w:t>, 46(5), pp. 745–752. doi: 10.1139/cjfr-2015-0406.</w:t>
      </w:r>
    </w:p>
    <w:p w14:paraId="4854266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(2013) ‘The importance of large-diameter trees to forest structural heterogeneity’, </w:t>
      </w:r>
      <w:r w:rsidRPr="00D430E8">
        <w:rPr>
          <w:rFonts w:ascii="Calibri" w:hAnsi="Calibri" w:cs="Calibri"/>
          <w:i/>
          <w:iCs/>
          <w:noProof/>
          <w:szCs w:val="24"/>
        </w:rPr>
        <w:t>PLoS ONE</w:t>
      </w:r>
      <w:r w:rsidRPr="00D430E8">
        <w:rPr>
          <w:rFonts w:ascii="Calibri" w:hAnsi="Calibri" w:cs="Calibri"/>
          <w:noProof/>
          <w:szCs w:val="24"/>
        </w:rPr>
        <w:t>, 8(12). doi: 10.1371/journal.pone.0082784.</w:t>
      </w:r>
    </w:p>
    <w:p w14:paraId="5F52A57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(2018) ‘Global importance of large-diameter trees’, </w:t>
      </w:r>
      <w:r w:rsidRPr="00D430E8">
        <w:rPr>
          <w:rFonts w:ascii="Calibri" w:hAnsi="Calibri" w:cs="Calibri"/>
          <w:i/>
          <w:iCs/>
          <w:noProof/>
          <w:szCs w:val="24"/>
        </w:rPr>
        <w:t>Global Ecology and Biogeography</w:t>
      </w:r>
      <w:r w:rsidRPr="00D430E8">
        <w:rPr>
          <w:rFonts w:ascii="Calibri" w:hAnsi="Calibri" w:cs="Calibri"/>
          <w:noProof/>
          <w:szCs w:val="24"/>
        </w:rPr>
        <w:t>, 27(7), pp. 849–864. doi: 10.1111/geb.12747.</w:t>
      </w:r>
    </w:p>
    <w:p w14:paraId="00A2DB3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(2020) ‘Large-diameter trees dominate snag and surface biomass following reintroduced fire’, </w:t>
      </w:r>
      <w:r w:rsidRPr="00D430E8">
        <w:rPr>
          <w:rFonts w:ascii="Calibri" w:hAnsi="Calibri" w:cs="Calibri"/>
          <w:i/>
          <w:iCs/>
          <w:noProof/>
          <w:szCs w:val="24"/>
        </w:rPr>
        <w:t>Ecological Processes</w:t>
      </w:r>
      <w:r w:rsidRPr="00D430E8">
        <w:rPr>
          <w:rFonts w:ascii="Calibri" w:hAnsi="Calibri" w:cs="Calibri"/>
          <w:noProof/>
          <w:szCs w:val="24"/>
        </w:rPr>
        <w:t>, 9(1). doi: 10.1186/s13717-020-00243-8.</w:t>
      </w:r>
    </w:p>
    <w:p w14:paraId="02BF9E2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Mahalovich, M. and Stritch, L. (2013) ‘Pinus albicaulis. The IUCN Red List of Threatened Species 2013’. Available at: https://dx.doi.org/10.2305/IUCN.UK.2013-1.RLTS.T39049A2885918.en.</w:t>
      </w:r>
    </w:p>
    <w:p w14:paraId="0C23E0B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(2011) ‘Incidence and distribution of white pine blister rust in the high-elevation forests of California’, </w:t>
      </w:r>
      <w:r w:rsidRPr="00D430E8">
        <w:rPr>
          <w:rFonts w:ascii="Calibri" w:hAnsi="Calibri" w:cs="Calibri"/>
          <w:i/>
          <w:iCs/>
          <w:noProof/>
          <w:szCs w:val="24"/>
        </w:rPr>
        <w:t>Forest Pathology</w:t>
      </w:r>
      <w:r w:rsidRPr="00D430E8">
        <w:rPr>
          <w:rFonts w:ascii="Calibri" w:hAnsi="Calibri" w:cs="Calibri"/>
          <w:noProof/>
          <w:szCs w:val="24"/>
        </w:rPr>
        <w:t>, 41(4), pp. 308–316. doi: 10.1111/j.1439-0329.2011.00732.x.</w:t>
      </w:r>
    </w:p>
    <w:p w14:paraId="5771A76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w:t>
      </w:r>
      <w:r w:rsidRPr="00D430E8">
        <w:rPr>
          <w:rFonts w:ascii="Calibri" w:hAnsi="Calibri" w:cs="Calibri"/>
          <w:i/>
          <w:iCs/>
          <w:noProof/>
          <w:szCs w:val="24"/>
        </w:rPr>
        <w:t>et al.</w:t>
      </w:r>
      <w:r w:rsidRPr="00D430E8">
        <w:rPr>
          <w:rFonts w:ascii="Calibri" w:hAnsi="Calibri" w:cs="Calibri"/>
          <w:noProof/>
          <w:szCs w:val="24"/>
        </w:rPr>
        <w:t xml:space="preserve"> (2011) ‘Population biology of sugar pine (Pinus lambertiana Dougl.) with reference to historical disturbances in the Lake Tahoe Basin: Implications for restoration’, </w:t>
      </w:r>
      <w:r w:rsidRPr="00D430E8">
        <w:rPr>
          <w:rFonts w:ascii="Calibri" w:hAnsi="Calibri" w:cs="Calibri"/>
          <w:i/>
          <w:iCs/>
          <w:noProof/>
          <w:szCs w:val="24"/>
        </w:rPr>
        <w:t>Forest Ecology and Management</w:t>
      </w:r>
      <w:r w:rsidRPr="00D430E8">
        <w:rPr>
          <w:rFonts w:ascii="Calibri" w:hAnsi="Calibri" w:cs="Calibri"/>
          <w:noProof/>
          <w:szCs w:val="24"/>
        </w:rPr>
        <w:t>, 262(5), pp. 770–779. doi: 10.1016/j.foreco.2011.05.011.</w:t>
      </w:r>
    </w:p>
    <w:p w14:paraId="3E3126B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(2014) ‘The multivariate underpinnings of recruitment for three Pinus species in montane forests of the Sierra Nevada, USA’, </w:t>
      </w:r>
      <w:r w:rsidRPr="00D430E8">
        <w:rPr>
          <w:rFonts w:ascii="Calibri" w:hAnsi="Calibri" w:cs="Calibri"/>
          <w:i/>
          <w:iCs/>
          <w:noProof/>
          <w:szCs w:val="24"/>
        </w:rPr>
        <w:t>Plant Ecology</w:t>
      </w:r>
      <w:r w:rsidRPr="00D430E8">
        <w:rPr>
          <w:rFonts w:ascii="Calibri" w:hAnsi="Calibri" w:cs="Calibri"/>
          <w:noProof/>
          <w:szCs w:val="24"/>
        </w:rPr>
        <w:t>, 215(2), pp. 261–274. doi: 10.1007/s11258-013-0295-6.</w:t>
      </w:r>
    </w:p>
    <w:p w14:paraId="7EA5F4B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(2011) ‘Long-term effects of prescribed fire on mixed conifer forest structure in the Sierra Nevada, California’, </w:t>
      </w:r>
      <w:r w:rsidRPr="00D430E8">
        <w:rPr>
          <w:rFonts w:ascii="Calibri" w:hAnsi="Calibri" w:cs="Calibri"/>
          <w:i/>
          <w:iCs/>
          <w:noProof/>
          <w:szCs w:val="24"/>
        </w:rPr>
        <w:t>Forest Ecology and Management</w:t>
      </w:r>
      <w:r w:rsidRPr="00D430E8">
        <w:rPr>
          <w:rFonts w:ascii="Calibri" w:hAnsi="Calibri" w:cs="Calibri"/>
          <w:noProof/>
          <w:szCs w:val="24"/>
        </w:rPr>
        <w:t>, 261(6), pp. 989–994. doi: 10.1016/j.foreco.2010.12.013.</w:t>
      </w:r>
    </w:p>
    <w:p w14:paraId="3FAB0FD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(2016) ‘Does Prescribed Fire Promote Resistance To Drought in Low Elevation Forests of the Sierra Nevada, California, Usa?’, </w:t>
      </w:r>
      <w:r w:rsidRPr="00D430E8">
        <w:rPr>
          <w:rFonts w:ascii="Calibri" w:hAnsi="Calibri" w:cs="Calibri"/>
          <w:i/>
          <w:iCs/>
          <w:noProof/>
          <w:szCs w:val="24"/>
        </w:rPr>
        <w:t>Fire Ecology</w:t>
      </w:r>
      <w:r w:rsidRPr="00D430E8">
        <w:rPr>
          <w:rFonts w:ascii="Calibri" w:hAnsi="Calibri" w:cs="Calibri"/>
          <w:noProof/>
          <w:szCs w:val="24"/>
        </w:rPr>
        <w:t xml:space="preserve">, 12(1), pp. 5–15. doi: </w:t>
      </w:r>
      <w:r w:rsidRPr="00D430E8">
        <w:rPr>
          <w:rFonts w:ascii="Calibri" w:hAnsi="Calibri" w:cs="Calibri"/>
          <w:noProof/>
          <w:szCs w:val="24"/>
        </w:rPr>
        <w:lastRenderedPageBreak/>
        <w:t>10.4996/fireecology.1201013.</w:t>
      </w:r>
    </w:p>
    <w:p w14:paraId="208A82E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(2018) ‘Pre-fire drought and competition mediate post-fire conifer mortality in western U.S. National Parks’, </w:t>
      </w:r>
      <w:r w:rsidRPr="00D430E8">
        <w:rPr>
          <w:rFonts w:ascii="Calibri" w:hAnsi="Calibri" w:cs="Calibri"/>
          <w:i/>
          <w:iCs/>
          <w:noProof/>
          <w:szCs w:val="24"/>
        </w:rPr>
        <w:t>Ecological Applications</w:t>
      </w:r>
      <w:r w:rsidRPr="00D430E8">
        <w:rPr>
          <w:rFonts w:ascii="Calibri" w:hAnsi="Calibri" w:cs="Calibri"/>
          <w:noProof/>
          <w:szCs w:val="24"/>
        </w:rPr>
        <w:t>, 28(7), pp. 1730–1739. doi: 10.1002/eap.1778.</w:t>
      </w:r>
    </w:p>
    <w:p w14:paraId="7CCC46F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(2004) ‘Effects of an introduced pathogen and fire exclusion on the demography of sugar pine’, </w:t>
      </w:r>
      <w:r w:rsidRPr="00D430E8">
        <w:rPr>
          <w:rFonts w:ascii="Calibri" w:hAnsi="Calibri" w:cs="Calibri"/>
          <w:i/>
          <w:iCs/>
          <w:noProof/>
          <w:szCs w:val="24"/>
        </w:rPr>
        <w:t>Ecological Applications</w:t>
      </w:r>
      <w:r w:rsidRPr="00D430E8">
        <w:rPr>
          <w:rFonts w:ascii="Calibri" w:hAnsi="Calibri" w:cs="Calibri"/>
          <w:noProof/>
          <w:szCs w:val="24"/>
        </w:rPr>
        <w:t>, 14(5), pp. 1590–1602. doi: 10.1890/03-5109.</w:t>
      </w:r>
    </w:p>
    <w:p w14:paraId="43CC097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(2020) ‘The influence of pre-fire growth patterns on post-fire tree mortality for common conifers in western US parks’, </w:t>
      </w:r>
      <w:r w:rsidRPr="00D430E8">
        <w:rPr>
          <w:rFonts w:ascii="Calibri" w:hAnsi="Calibri" w:cs="Calibri"/>
          <w:i/>
          <w:iCs/>
          <w:noProof/>
          <w:szCs w:val="24"/>
        </w:rPr>
        <w:t>International Journal of Wildland Fire</w:t>
      </w:r>
      <w:r w:rsidRPr="00D430E8">
        <w:rPr>
          <w:rFonts w:ascii="Calibri" w:hAnsi="Calibri" w:cs="Calibri"/>
          <w:noProof/>
          <w:szCs w:val="24"/>
        </w:rPr>
        <w:t>, 29(6), pp. 513–518. doi: 10.1071/WF19020.</w:t>
      </w:r>
    </w:p>
    <w:p w14:paraId="0592EA1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and Stephenson, N. L. (2007) ‘Apparent climatically induced increase of tree mortality rates in a temperate forest’, </w:t>
      </w:r>
      <w:r w:rsidRPr="00D430E8">
        <w:rPr>
          <w:rFonts w:ascii="Calibri" w:hAnsi="Calibri" w:cs="Calibri"/>
          <w:i/>
          <w:iCs/>
          <w:noProof/>
          <w:szCs w:val="24"/>
        </w:rPr>
        <w:t>Ecology Letters</w:t>
      </w:r>
      <w:r w:rsidRPr="00D430E8">
        <w:rPr>
          <w:rFonts w:ascii="Calibri" w:hAnsi="Calibri" w:cs="Calibri"/>
          <w:noProof/>
          <w:szCs w:val="24"/>
        </w:rPr>
        <w:t>, 10(10), pp. 909–916. doi: 10.1111/j.1461-0248.2007.01080.x.</w:t>
      </w:r>
    </w:p>
    <w:p w14:paraId="702AB35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Stephenson, N. L. and Keeley, J. E. (2006) ‘Forest reproduction along a climatic gradient in the Sierra Nevada, California’, </w:t>
      </w:r>
      <w:r w:rsidRPr="00D430E8">
        <w:rPr>
          <w:rFonts w:ascii="Calibri" w:hAnsi="Calibri" w:cs="Calibri"/>
          <w:i/>
          <w:iCs/>
          <w:noProof/>
          <w:szCs w:val="24"/>
        </w:rPr>
        <w:t>Forest Ecology and Management</w:t>
      </w:r>
      <w:r w:rsidRPr="00D430E8">
        <w:rPr>
          <w:rFonts w:ascii="Calibri" w:hAnsi="Calibri" w:cs="Calibri"/>
          <w:noProof/>
          <w:szCs w:val="24"/>
        </w:rPr>
        <w:t>, 225(1–3), pp. 391–399. doi: 10.1016/j.foreco.2006.01.015.</w:t>
      </w:r>
    </w:p>
    <w:p w14:paraId="312E1127"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McCauley, L. A. </w:t>
      </w:r>
      <w:r w:rsidRPr="00D430E8">
        <w:rPr>
          <w:rFonts w:ascii="Calibri" w:hAnsi="Calibri" w:cs="Calibri"/>
          <w:i/>
          <w:iCs/>
          <w:noProof/>
          <w:szCs w:val="24"/>
        </w:rPr>
        <w:t>et al.</w:t>
      </w:r>
      <w:r w:rsidRPr="00D430E8">
        <w:rPr>
          <w:rFonts w:ascii="Calibri" w:hAnsi="Calibri" w:cs="Calibri"/>
          <w:noProof/>
          <w:szCs w:val="24"/>
        </w:rPr>
        <w:t xml:space="preserve"> (2022) ‘Landscape-scale forest restoration decreases vulnerability to drought mortality under climate change in southwest USA ponderosa forest’, </w:t>
      </w:r>
      <w:r w:rsidRPr="00D430E8">
        <w:rPr>
          <w:rFonts w:ascii="Calibri" w:hAnsi="Calibri" w:cs="Calibri"/>
          <w:i/>
          <w:iCs/>
          <w:noProof/>
          <w:szCs w:val="24"/>
        </w:rPr>
        <w:t>Forest Ecology and Management</w:t>
      </w:r>
      <w:r w:rsidRPr="00D430E8">
        <w:rPr>
          <w:rFonts w:ascii="Calibri" w:hAnsi="Calibri" w:cs="Calibri"/>
          <w:noProof/>
          <w:szCs w:val="24"/>
        </w:rPr>
        <w:t>, 509(February), p. 120088. doi: 10.1016/j.foreco.2022.120088.</w:t>
      </w:r>
    </w:p>
    <w:p w14:paraId="4F54E03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Millar, C. I. and Stephenson, N. L. (2015) ‘Temperate forest health in an era of emerging megadisturbance’, </w:t>
      </w:r>
      <w:r w:rsidRPr="00D430E8">
        <w:rPr>
          <w:rFonts w:ascii="Calibri" w:hAnsi="Calibri" w:cs="Calibri"/>
          <w:i/>
          <w:iCs/>
          <w:noProof/>
          <w:szCs w:val="24"/>
        </w:rPr>
        <w:t>Science</w:t>
      </w:r>
      <w:r w:rsidRPr="00D430E8">
        <w:rPr>
          <w:rFonts w:ascii="Calibri" w:hAnsi="Calibri" w:cs="Calibri"/>
          <w:noProof/>
          <w:szCs w:val="24"/>
        </w:rPr>
        <w:t>, 349(6250), pp. 823–826. doi: 10.1126/science.aaa9933.</w:t>
      </w:r>
    </w:p>
    <w:p w14:paraId="062A1F5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Moran, E. V. </w:t>
      </w:r>
      <w:r w:rsidRPr="00D430E8">
        <w:rPr>
          <w:rFonts w:ascii="Calibri" w:hAnsi="Calibri" w:cs="Calibri"/>
          <w:i/>
          <w:iCs/>
          <w:noProof/>
          <w:szCs w:val="24"/>
        </w:rPr>
        <w:t>et al.</w:t>
      </w:r>
      <w:r w:rsidRPr="00D430E8">
        <w:rPr>
          <w:rFonts w:ascii="Calibri" w:hAnsi="Calibri" w:cs="Calibri"/>
          <w:noProof/>
          <w:szCs w:val="24"/>
        </w:rPr>
        <w:t xml:space="preserve"> (2019) ‘Negative impacts of summer heat on Sierra Nevada tree seedlings’, </w:t>
      </w:r>
      <w:r w:rsidRPr="00D430E8">
        <w:rPr>
          <w:rFonts w:ascii="Calibri" w:hAnsi="Calibri" w:cs="Calibri"/>
          <w:i/>
          <w:iCs/>
          <w:noProof/>
          <w:szCs w:val="24"/>
        </w:rPr>
        <w:t>Ecosphere</w:t>
      </w:r>
      <w:r w:rsidRPr="00D430E8">
        <w:rPr>
          <w:rFonts w:ascii="Calibri" w:hAnsi="Calibri" w:cs="Calibri"/>
          <w:noProof/>
          <w:szCs w:val="24"/>
        </w:rPr>
        <w:t>, 10(6). doi: 10.1002/ecs2.2776.</w:t>
      </w:r>
    </w:p>
    <w:p w14:paraId="1900BDB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Murray, M. P. and Tomback, D. F. (2010) ‘Clark’s nutcrackers harvest sugar pine seeds from cones’, </w:t>
      </w:r>
      <w:r w:rsidRPr="00D430E8">
        <w:rPr>
          <w:rFonts w:ascii="Calibri" w:hAnsi="Calibri" w:cs="Calibri"/>
          <w:i/>
          <w:iCs/>
          <w:noProof/>
          <w:szCs w:val="24"/>
        </w:rPr>
        <w:t>Western North American Naturalist</w:t>
      </w:r>
      <w:r w:rsidRPr="00D430E8">
        <w:rPr>
          <w:rFonts w:ascii="Calibri" w:hAnsi="Calibri" w:cs="Calibri"/>
          <w:noProof/>
          <w:szCs w:val="24"/>
        </w:rPr>
        <w:t>, 70(3), pp. 413–414. doi: 10.3398/064.070.0314.</w:t>
      </w:r>
    </w:p>
    <w:p w14:paraId="4C7A29E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Nesmith, J. C. B. </w:t>
      </w:r>
      <w:r w:rsidRPr="00D430E8">
        <w:rPr>
          <w:rFonts w:ascii="Calibri" w:hAnsi="Calibri" w:cs="Calibri"/>
          <w:i/>
          <w:iCs/>
          <w:noProof/>
          <w:szCs w:val="24"/>
        </w:rPr>
        <w:t>et al.</w:t>
      </w:r>
      <w:r w:rsidRPr="00D430E8">
        <w:rPr>
          <w:rFonts w:ascii="Calibri" w:hAnsi="Calibri" w:cs="Calibri"/>
          <w:noProof/>
          <w:szCs w:val="24"/>
        </w:rPr>
        <w:t xml:space="preserve"> (2010) ‘The effects of raking on sugar pine mortality following prescribed fire in sequoia and kings canyon national parks, California, USA’, </w:t>
      </w:r>
      <w:r w:rsidRPr="00D430E8">
        <w:rPr>
          <w:rFonts w:ascii="Calibri" w:hAnsi="Calibri" w:cs="Calibri"/>
          <w:i/>
          <w:iCs/>
          <w:noProof/>
          <w:szCs w:val="24"/>
        </w:rPr>
        <w:t>Fire Ecology</w:t>
      </w:r>
      <w:r w:rsidRPr="00D430E8">
        <w:rPr>
          <w:rFonts w:ascii="Calibri" w:hAnsi="Calibri" w:cs="Calibri"/>
          <w:noProof/>
          <w:szCs w:val="24"/>
        </w:rPr>
        <w:t>, 6(3), pp. 97–116. doi: 10.4996/fireecology.0603097.</w:t>
      </w:r>
    </w:p>
    <w:p w14:paraId="05A5A33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Nesmith, J. C. B. </w:t>
      </w:r>
      <w:r w:rsidRPr="00D430E8">
        <w:rPr>
          <w:rFonts w:ascii="Calibri" w:hAnsi="Calibri" w:cs="Calibri"/>
          <w:i/>
          <w:iCs/>
          <w:noProof/>
          <w:szCs w:val="24"/>
        </w:rPr>
        <w:t>et al.</w:t>
      </w:r>
      <w:r w:rsidRPr="00D430E8">
        <w:rPr>
          <w:rFonts w:ascii="Calibri" w:hAnsi="Calibri" w:cs="Calibri"/>
          <w:noProof/>
          <w:szCs w:val="24"/>
        </w:rPr>
        <w:t xml:space="preserve"> (2015) ‘The influence of prefire tree growth and crown condition on postfire mortality of sugar pine following prescribed fire in Sequoia National Park’, </w:t>
      </w:r>
      <w:r w:rsidRPr="00D430E8">
        <w:rPr>
          <w:rFonts w:ascii="Calibri" w:hAnsi="Calibri" w:cs="Calibri"/>
          <w:i/>
          <w:iCs/>
          <w:noProof/>
          <w:szCs w:val="24"/>
        </w:rPr>
        <w:t>Canadian Journal of Forest Research</w:t>
      </w:r>
      <w:r w:rsidRPr="00D430E8">
        <w:rPr>
          <w:rFonts w:ascii="Calibri" w:hAnsi="Calibri" w:cs="Calibri"/>
          <w:noProof/>
          <w:szCs w:val="24"/>
        </w:rPr>
        <w:t>, 45(7), pp. 910–919. doi: 10.1139/cjfr-2014-0449.</w:t>
      </w:r>
    </w:p>
    <w:p w14:paraId="3E74105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w:t>
      </w:r>
      <w:r w:rsidRPr="00D430E8">
        <w:rPr>
          <w:rFonts w:ascii="Calibri" w:hAnsi="Calibri" w:cs="Calibri"/>
          <w:i/>
          <w:iCs/>
          <w:noProof/>
          <w:szCs w:val="24"/>
        </w:rPr>
        <w:t>et al.</w:t>
      </w:r>
      <w:r w:rsidRPr="00D430E8">
        <w:rPr>
          <w:rFonts w:ascii="Calibri" w:hAnsi="Calibri" w:cs="Calibri"/>
          <w:noProof/>
          <w:szCs w:val="24"/>
        </w:rPr>
        <w:t xml:space="preserve"> (2009) ‘An ecosystem management strategy for Sierran mixed- conifer forests’, </w:t>
      </w:r>
      <w:r w:rsidRPr="00D430E8">
        <w:rPr>
          <w:rFonts w:ascii="Calibri" w:hAnsi="Calibri" w:cs="Calibri"/>
          <w:i/>
          <w:iCs/>
          <w:noProof/>
          <w:szCs w:val="24"/>
        </w:rPr>
        <w:t>USDA Forest Service, Pacific Southwest Research Station, General Technical Report</w:t>
      </w:r>
      <w:r w:rsidRPr="00D430E8">
        <w:rPr>
          <w:rFonts w:ascii="Calibri" w:hAnsi="Calibri" w:cs="Calibri"/>
          <w:noProof/>
          <w:szCs w:val="24"/>
        </w:rPr>
        <w:t>, (March), p. PSW-GTR-220.</w:t>
      </w:r>
    </w:p>
    <w:p w14:paraId="05A471E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(2019) ‘Tamm Review: Reforestation for resilience in dry western U.S. forests’, </w:t>
      </w:r>
      <w:r w:rsidRPr="00D430E8">
        <w:rPr>
          <w:rFonts w:ascii="Calibri" w:hAnsi="Calibri" w:cs="Calibri"/>
          <w:i/>
          <w:iCs/>
          <w:noProof/>
          <w:szCs w:val="24"/>
        </w:rPr>
        <w:t>Forest Ecology and Management</w:t>
      </w:r>
      <w:r w:rsidRPr="00D430E8">
        <w:rPr>
          <w:rFonts w:ascii="Calibri" w:hAnsi="Calibri" w:cs="Calibri"/>
          <w:noProof/>
          <w:szCs w:val="24"/>
        </w:rPr>
        <w:t>, 432(July 2018), pp. 209–224. doi: 10.1016/j.foreco.2018.09.007.</w:t>
      </w:r>
    </w:p>
    <w:p w14:paraId="10B2E55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(2021) ‘Pyrosilviculture needed for landscape resilience of dry western United States forests’, </w:t>
      </w:r>
      <w:r w:rsidRPr="00D430E8">
        <w:rPr>
          <w:rFonts w:ascii="Calibri" w:hAnsi="Calibri" w:cs="Calibri"/>
          <w:i/>
          <w:iCs/>
          <w:noProof/>
          <w:szCs w:val="24"/>
        </w:rPr>
        <w:t>Journal of Forestry</w:t>
      </w:r>
      <w:r w:rsidRPr="00D430E8">
        <w:rPr>
          <w:rFonts w:ascii="Calibri" w:hAnsi="Calibri" w:cs="Calibri"/>
          <w:noProof/>
          <w:szCs w:val="24"/>
        </w:rPr>
        <w:t>, pp. 1–25. doi: 10.1093/jofore/fvab026.</w:t>
      </w:r>
    </w:p>
    <w:p w14:paraId="3A15117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(2022) ‘Operational resilience in western US frequent-fire forests’, </w:t>
      </w:r>
      <w:r w:rsidRPr="00D430E8">
        <w:rPr>
          <w:rFonts w:ascii="Calibri" w:hAnsi="Calibri" w:cs="Calibri"/>
          <w:i/>
          <w:iCs/>
          <w:noProof/>
          <w:szCs w:val="24"/>
        </w:rPr>
        <w:t>Forest Ecology and Management</w:t>
      </w:r>
      <w:r w:rsidRPr="00D430E8">
        <w:rPr>
          <w:rFonts w:ascii="Calibri" w:hAnsi="Calibri" w:cs="Calibri"/>
          <w:noProof/>
          <w:szCs w:val="24"/>
        </w:rPr>
        <w:t>, 507(November 2021), p. 120004. doi: 10.1016/j.foreco.2021.120004.</w:t>
      </w:r>
    </w:p>
    <w:p w14:paraId="554B304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Panek, J. A. </w:t>
      </w:r>
      <w:r w:rsidRPr="00D430E8">
        <w:rPr>
          <w:rFonts w:ascii="Calibri" w:hAnsi="Calibri" w:cs="Calibri"/>
          <w:i/>
          <w:iCs/>
          <w:noProof/>
          <w:szCs w:val="24"/>
        </w:rPr>
        <w:t>et al.</w:t>
      </w:r>
      <w:r w:rsidRPr="00D430E8">
        <w:rPr>
          <w:rFonts w:ascii="Calibri" w:hAnsi="Calibri" w:cs="Calibri"/>
          <w:noProof/>
          <w:szCs w:val="24"/>
        </w:rPr>
        <w:t xml:space="preserve"> (2012) ‘A natural resource condition assessment for Sequoia and Kings Canyon </w:t>
      </w:r>
      <w:r w:rsidRPr="00D430E8">
        <w:rPr>
          <w:rFonts w:ascii="Calibri" w:hAnsi="Calibri" w:cs="Calibri"/>
          <w:noProof/>
          <w:szCs w:val="24"/>
        </w:rPr>
        <w:lastRenderedPageBreak/>
        <w:t xml:space="preserve">National Parks’, </w:t>
      </w:r>
      <w:r w:rsidRPr="00D430E8">
        <w:rPr>
          <w:rFonts w:ascii="Calibri" w:hAnsi="Calibri" w:cs="Calibri"/>
          <w:i/>
          <w:iCs/>
          <w:noProof/>
          <w:szCs w:val="24"/>
        </w:rPr>
        <w:t>Natural Resource Report NPS/SEKI/NRR—2012</w:t>
      </w:r>
      <w:r w:rsidRPr="00D430E8">
        <w:rPr>
          <w:rFonts w:ascii="Calibri" w:hAnsi="Calibri" w:cs="Calibri"/>
          <w:noProof/>
          <w:szCs w:val="24"/>
        </w:rPr>
        <w:t>.</w:t>
      </w:r>
    </w:p>
    <w:p w14:paraId="408738C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Parks, S. A. and Abatzoglou, J. T. (2020) ‘Warmer and Drier Fire Seasons Contribute to Increases in Area Burned at High Severity in Western US Forests From 1985 to 2017’, </w:t>
      </w:r>
      <w:r w:rsidRPr="00D430E8">
        <w:rPr>
          <w:rFonts w:ascii="Calibri" w:hAnsi="Calibri" w:cs="Calibri"/>
          <w:i/>
          <w:iCs/>
          <w:noProof/>
          <w:szCs w:val="24"/>
        </w:rPr>
        <w:t>Geophysical Research Letters</w:t>
      </w:r>
      <w:r w:rsidRPr="00D430E8">
        <w:rPr>
          <w:rFonts w:ascii="Calibri" w:hAnsi="Calibri" w:cs="Calibri"/>
          <w:noProof/>
          <w:szCs w:val="24"/>
        </w:rPr>
        <w:t>, 47(22), pp. 1–10. doi: 10.1029/2020GL089858.</w:t>
      </w:r>
    </w:p>
    <w:p w14:paraId="1E9929B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Paz-Kagan, T. </w:t>
      </w:r>
      <w:r w:rsidRPr="00D430E8">
        <w:rPr>
          <w:rFonts w:ascii="Calibri" w:hAnsi="Calibri" w:cs="Calibri"/>
          <w:i/>
          <w:iCs/>
          <w:noProof/>
          <w:szCs w:val="24"/>
        </w:rPr>
        <w:t>et al.</w:t>
      </w:r>
      <w:r w:rsidRPr="00D430E8">
        <w:rPr>
          <w:rFonts w:ascii="Calibri" w:hAnsi="Calibri" w:cs="Calibri"/>
          <w:noProof/>
          <w:szCs w:val="24"/>
        </w:rPr>
        <w:t xml:space="preserve"> (2017) ‘What mediates tree mortality during drought in the southern Sierra Nevada’, </w:t>
      </w:r>
      <w:r w:rsidRPr="00D430E8">
        <w:rPr>
          <w:rFonts w:ascii="Calibri" w:hAnsi="Calibri" w:cs="Calibri"/>
          <w:i/>
          <w:iCs/>
          <w:noProof/>
          <w:szCs w:val="24"/>
        </w:rPr>
        <w:t>Ecological Applications</w:t>
      </w:r>
      <w:r w:rsidRPr="00D430E8">
        <w:rPr>
          <w:rFonts w:ascii="Calibri" w:hAnsi="Calibri" w:cs="Calibri"/>
          <w:noProof/>
          <w:szCs w:val="24"/>
        </w:rPr>
        <w:t>, 27(8), pp. 2443–2457. doi: 10.1002/eap.1620.</w:t>
      </w:r>
    </w:p>
    <w:p w14:paraId="74E2370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Restaino, C. </w:t>
      </w:r>
      <w:r w:rsidRPr="00D430E8">
        <w:rPr>
          <w:rFonts w:ascii="Calibri" w:hAnsi="Calibri" w:cs="Calibri"/>
          <w:i/>
          <w:iCs/>
          <w:noProof/>
          <w:szCs w:val="24"/>
        </w:rPr>
        <w:t>et al.</w:t>
      </w:r>
      <w:r w:rsidRPr="00D430E8">
        <w:rPr>
          <w:rFonts w:ascii="Calibri" w:hAnsi="Calibri" w:cs="Calibri"/>
          <w:noProof/>
          <w:szCs w:val="24"/>
        </w:rPr>
        <w:t xml:space="preserve"> (2019) ‘Forest structure and climate mediate drought-induced tree mortality in forests of the Sierra Nevada , USA’, </w:t>
      </w:r>
      <w:r w:rsidRPr="00D430E8">
        <w:rPr>
          <w:rFonts w:ascii="Calibri" w:hAnsi="Calibri" w:cs="Calibri"/>
          <w:i/>
          <w:iCs/>
          <w:noProof/>
          <w:szCs w:val="24"/>
        </w:rPr>
        <w:t>Ecological Applications</w:t>
      </w:r>
      <w:r w:rsidRPr="00D430E8">
        <w:rPr>
          <w:rFonts w:ascii="Calibri" w:hAnsi="Calibri" w:cs="Calibri"/>
          <w:noProof/>
          <w:szCs w:val="24"/>
        </w:rPr>
        <w:t>, 29(December 2017), pp. 1–14. doi: 10.1002/eap.1902.</w:t>
      </w:r>
    </w:p>
    <w:p w14:paraId="2565264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D430E8">
        <w:rPr>
          <w:rFonts w:ascii="Calibri" w:hAnsi="Calibri" w:cs="Calibri"/>
          <w:i/>
          <w:iCs/>
          <w:noProof/>
          <w:szCs w:val="24"/>
        </w:rPr>
        <w:t>Gen. Tech. Rep. PSW-GTR-2562</w:t>
      </w:r>
      <w:r w:rsidRPr="00D430E8">
        <w:rPr>
          <w:rFonts w:ascii="Calibri" w:hAnsi="Calibri" w:cs="Calibri"/>
          <w:noProof/>
          <w:szCs w:val="24"/>
        </w:rPr>
        <w:t>, (October), pp. 1–151.</w:t>
      </w:r>
    </w:p>
    <w:p w14:paraId="347AA15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Schubert, G. H. (1956) </w:t>
      </w:r>
      <w:r w:rsidRPr="00D430E8">
        <w:rPr>
          <w:rFonts w:ascii="Calibri" w:hAnsi="Calibri" w:cs="Calibri"/>
          <w:i/>
          <w:iCs/>
          <w:noProof/>
          <w:szCs w:val="24"/>
        </w:rPr>
        <w:t>Effect of fertilizer on cone production of sugar pine</w:t>
      </w:r>
      <w:r w:rsidRPr="00D430E8">
        <w:rPr>
          <w:rFonts w:ascii="Calibri" w:hAnsi="Calibri" w:cs="Calibri"/>
          <w:noProof/>
          <w:szCs w:val="24"/>
        </w:rPr>
        <w:t>.</w:t>
      </w:r>
    </w:p>
    <w:p w14:paraId="5F8CC39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D430E8">
        <w:rPr>
          <w:rFonts w:ascii="Calibri" w:hAnsi="Calibri" w:cs="Calibri"/>
          <w:i/>
          <w:iCs/>
          <w:noProof/>
          <w:szCs w:val="24"/>
        </w:rPr>
        <w:t>Oikos</w:t>
      </w:r>
      <w:r w:rsidRPr="00D430E8">
        <w:rPr>
          <w:rFonts w:ascii="Calibri" w:hAnsi="Calibri" w:cs="Calibri"/>
          <w:noProof/>
          <w:szCs w:val="24"/>
        </w:rPr>
        <w:t>, 94, pp. 326–336.</w:t>
      </w:r>
    </w:p>
    <w:p w14:paraId="3637BBF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Shive, K. L. </w:t>
      </w:r>
      <w:r w:rsidRPr="00D430E8">
        <w:rPr>
          <w:rFonts w:ascii="Calibri" w:hAnsi="Calibri" w:cs="Calibri"/>
          <w:i/>
          <w:iCs/>
          <w:noProof/>
          <w:szCs w:val="24"/>
        </w:rPr>
        <w:t>et al.</w:t>
      </w:r>
      <w:r w:rsidRPr="00D430E8">
        <w:rPr>
          <w:rFonts w:ascii="Calibri" w:hAnsi="Calibri" w:cs="Calibri"/>
          <w:noProof/>
          <w:szCs w:val="24"/>
        </w:rPr>
        <w:t xml:space="preserve"> (2018) ‘From the stand scale to the landscape scale: predicting the spatial patterns of forest regeneration after disturbance’, </w:t>
      </w:r>
      <w:r w:rsidRPr="00D430E8">
        <w:rPr>
          <w:rFonts w:ascii="Calibri" w:hAnsi="Calibri" w:cs="Calibri"/>
          <w:i/>
          <w:iCs/>
          <w:noProof/>
          <w:szCs w:val="24"/>
        </w:rPr>
        <w:t>Ecological Applications</w:t>
      </w:r>
      <w:r w:rsidRPr="00D430E8">
        <w:rPr>
          <w:rFonts w:ascii="Calibri" w:hAnsi="Calibri" w:cs="Calibri"/>
          <w:noProof/>
          <w:szCs w:val="24"/>
        </w:rPr>
        <w:t>, 28(6), pp. 1626–1639. doi: 10.1002/eap.1756.</w:t>
      </w:r>
    </w:p>
    <w:p w14:paraId="1333ADB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Shriver, R. K. </w:t>
      </w:r>
      <w:r w:rsidRPr="00D430E8">
        <w:rPr>
          <w:rFonts w:ascii="Calibri" w:hAnsi="Calibri" w:cs="Calibri"/>
          <w:i/>
          <w:iCs/>
          <w:noProof/>
          <w:szCs w:val="24"/>
        </w:rPr>
        <w:t>et al.</w:t>
      </w:r>
      <w:r w:rsidRPr="00D430E8">
        <w:rPr>
          <w:rFonts w:ascii="Calibri" w:hAnsi="Calibri" w:cs="Calibri"/>
          <w:noProof/>
          <w:szCs w:val="24"/>
        </w:rPr>
        <w:t xml:space="preserve"> (2019) ‘Transient population dynamics impede restoration and may promote ecosystem transformation after disturbance’, </w:t>
      </w:r>
      <w:r w:rsidRPr="00D430E8">
        <w:rPr>
          <w:rFonts w:ascii="Calibri" w:hAnsi="Calibri" w:cs="Calibri"/>
          <w:i/>
          <w:iCs/>
          <w:noProof/>
          <w:szCs w:val="24"/>
        </w:rPr>
        <w:t>Ecology Letters</w:t>
      </w:r>
      <w:r w:rsidRPr="00D430E8">
        <w:rPr>
          <w:rFonts w:ascii="Calibri" w:hAnsi="Calibri" w:cs="Calibri"/>
          <w:noProof/>
          <w:szCs w:val="24"/>
        </w:rPr>
        <w:t>, 22(9), pp. 1357–1366. doi: 10.1111/ele.13291.</w:t>
      </w:r>
    </w:p>
    <w:p w14:paraId="409CAA1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Shriver, R. K. </w:t>
      </w:r>
      <w:r w:rsidRPr="00D430E8">
        <w:rPr>
          <w:rFonts w:ascii="Calibri" w:hAnsi="Calibri" w:cs="Calibri"/>
          <w:i/>
          <w:iCs/>
          <w:noProof/>
          <w:szCs w:val="24"/>
        </w:rPr>
        <w:t>et al.</w:t>
      </w:r>
      <w:r w:rsidRPr="00D430E8">
        <w:rPr>
          <w:rFonts w:ascii="Calibri" w:hAnsi="Calibri" w:cs="Calibri"/>
          <w:noProof/>
          <w:szCs w:val="24"/>
        </w:rPr>
        <w:t xml:space="preserve"> (2021) ‘Quantifying the demographic vulnerabilities of dry woodlands to climate and competition using range‐wide monitoring data’, </w:t>
      </w:r>
      <w:r w:rsidRPr="00D430E8">
        <w:rPr>
          <w:rFonts w:ascii="Calibri" w:hAnsi="Calibri" w:cs="Calibri"/>
          <w:i/>
          <w:iCs/>
          <w:noProof/>
          <w:szCs w:val="24"/>
        </w:rPr>
        <w:t>Ecology</w:t>
      </w:r>
      <w:r w:rsidRPr="00D430E8">
        <w:rPr>
          <w:rFonts w:ascii="Calibri" w:hAnsi="Calibri" w:cs="Calibri"/>
          <w:noProof/>
          <w:szCs w:val="24"/>
        </w:rPr>
        <w:t>, 0(0), pp. 1–12. doi: 10.1002/ecy.3425.</w:t>
      </w:r>
    </w:p>
    <w:p w14:paraId="5535EEF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D430E8">
        <w:rPr>
          <w:rFonts w:ascii="Calibri" w:hAnsi="Calibri" w:cs="Calibri"/>
          <w:i/>
          <w:iCs/>
          <w:noProof/>
          <w:szCs w:val="24"/>
        </w:rPr>
        <w:t>Trees</w:t>
      </w:r>
      <w:r w:rsidRPr="00D430E8">
        <w:rPr>
          <w:rFonts w:ascii="Calibri" w:hAnsi="Calibri" w:cs="Calibri"/>
          <w:noProof/>
          <w:szCs w:val="24"/>
        </w:rPr>
        <w:t>, (0123456789). doi: 10.1007/s00468-021-02098-8.</w:t>
      </w:r>
    </w:p>
    <w:p w14:paraId="111CBBC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Steel, Z. </w:t>
      </w:r>
      <w:r w:rsidRPr="00D430E8">
        <w:rPr>
          <w:rFonts w:ascii="Calibri" w:hAnsi="Calibri" w:cs="Calibri"/>
          <w:i/>
          <w:iCs/>
          <w:noProof/>
          <w:szCs w:val="24"/>
        </w:rPr>
        <w:t>et al.</w:t>
      </w:r>
      <w:r w:rsidRPr="00D430E8">
        <w:rPr>
          <w:rFonts w:ascii="Calibri" w:hAnsi="Calibri" w:cs="Calibri"/>
          <w:noProof/>
          <w:szCs w:val="24"/>
        </w:rPr>
        <w:t xml:space="preserve"> (2021) ‘Do Forest Fuel Reduction Treatments Confer Resistance to Beetle Infestation and Drought Mortality?’, </w:t>
      </w:r>
      <w:r w:rsidRPr="00D430E8">
        <w:rPr>
          <w:rFonts w:ascii="Calibri" w:hAnsi="Calibri" w:cs="Calibri"/>
          <w:i/>
          <w:iCs/>
          <w:noProof/>
          <w:szCs w:val="24"/>
        </w:rPr>
        <w:t>Ecosphere</w:t>
      </w:r>
      <w:r w:rsidRPr="00D430E8">
        <w:rPr>
          <w:rFonts w:ascii="Calibri" w:hAnsi="Calibri" w:cs="Calibri"/>
          <w:noProof/>
          <w:szCs w:val="24"/>
        </w:rPr>
        <w:t>, 12(January). doi: 10.1002/ecs2.3344.</w:t>
      </w:r>
    </w:p>
    <w:p w14:paraId="165C1FB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D430E8">
        <w:rPr>
          <w:rFonts w:ascii="Calibri" w:hAnsi="Calibri" w:cs="Calibri"/>
          <w:i/>
          <w:iCs/>
          <w:noProof/>
          <w:szCs w:val="24"/>
        </w:rPr>
        <w:t>Ecosphere</w:t>
      </w:r>
      <w:r w:rsidRPr="00D430E8">
        <w:rPr>
          <w:rFonts w:ascii="Calibri" w:hAnsi="Calibri" w:cs="Calibri"/>
          <w:noProof/>
          <w:szCs w:val="24"/>
        </w:rPr>
        <w:t>, 6(1). doi: 10.1890/ES14-00224.1.</w:t>
      </w:r>
    </w:p>
    <w:p w14:paraId="6739EE0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C. L. S. </w:t>
      </w:r>
      <w:r w:rsidRPr="00D430E8">
        <w:rPr>
          <w:rFonts w:ascii="Calibri" w:hAnsi="Calibri" w:cs="Calibri"/>
          <w:i/>
          <w:iCs/>
          <w:noProof/>
          <w:szCs w:val="24"/>
        </w:rPr>
        <w:t>et al.</w:t>
      </w:r>
      <w:r w:rsidRPr="00D430E8">
        <w:rPr>
          <w:rFonts w:ascii="Calibri" w:hAnsi="Calibri" w:cs="Calibri"/>
          <w:noProof/>
          <w:szCs w:val="24"/>
        </w:rPr>
        <w:t xml:space="preserve"> (2015) ‘Historical and current landscape-scale ponderosa pine and mixed conifer forest structure in the Southern Sierra Nevada’, </w:t>
      </w:r>
      <w:r w:rsidRPr="00D430E8">
        <w:rPr>
          <w:rFonts w:ascii="Calibri" w:hAnsi="Calibri" w:cs="Calibri"/>
          <w:i/>
          <w:iCs/>
          <w:noProof/>
          <w:szCs w:val="24"/>
        </w:rPr>
        <w:t>Ecosphere</w:t>
      </w:r>
      <w:r w:rsidRPr="00D430E8">
        <w:rPr>
          <w:rFonts w:ascii="Calibri" w:hAnsi="Calibri" w:cs="Calibri"/>
          <w:noProof/>
          <w:szCs w:val="24"/>
        </w:rPr>
        <w:t>, 6(May), pp. 1–63.</w:t>
      </w:r>
    </w:p>
    <w:p w14:paraId="346D32A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w:t>
      </w:r>
      <w:r w:rsidRPr="00D430E8">
        <w:rPr>
          <w:rFonts w:ascii="Calibri" w:hAnsi="Calibri" w:cs="Calibri"/>
          <w:i/>
          <w:iCs/>
          <w:noProof/>
          <w:szCs w:val="24"/>
        </w:rPr>
        <w:t>et al.</w:t>
      </w:r>
      <w:r w:rsidRPr="00D430E8">
        <w:rPr>
          <w:rFonts w:ascii="Calibri" w:hAnsi="Calibri" w:cs="Calibri"/>
          <w:noProof/>
          <w:szCs w:val="24"/>
        </w:rPr>
        <w:t xml:space="preserve"> (2009) ‘Fire Treatment Effects on Vegetation Structure , Fuels , and Potential Fire Severity in Western U . S . Forests’, </w:t>
      </w:r>
      <w:r w:rsidRPr="00D430E8">
        <w:rPr>
          <w:rFonts w:ascii="Calibri" w:hAnsi="Calibri" w:cs="Calibri"/>
          <w:i/>
          <w:iCs/>
          <w:noProof/>
          <w:szCs w:val="24"/>
        </w:rPr>
        <w:t>Ecological Applications</w:t>
      </w:r>
      <w:r w:rsidRPr="00D430E8">
        <w:rPr>
          <w:rFonts w:ascii="Calibri" w:hAnsi="Calibri" w:cs="Calibri"/>
          <w:noProof/>
          <w:szCs w:val="24"/>
        </w:rPr>
        <w:t>, 19(2), pp. 305–320. doi: 10.1890/07-1755.1.</w:t>
      </w:r>
    </w:p>
    <w:p w14:paraId="5C3CD54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w:t>
      </w:r>
      <w:r w:rsidRPr="00D430E8">
        <w:rPr>
          <w:rFonts w:ascii="Calibri" w:hAnsi="Calibri" w:cs="Calibri"/>
          <w:i/>
          <w:iCs/>
          <w:noProof/>
          <w:szCs w:val="24"/>
        </w:rPr>
        <w:t>et al.</w:t>
      </w:r>
      <w:r w:rsidRPr="00D430E8">
        <w:rPr>
          <w:rFonts w:ascii="Calibri" w:hAnsi="Calibri" w:cs="Calibri"/>
          <w:noProof/>
          <w:szCs w:val="24"/>
        </w:rPr>
        <w:t xml:space="preserve"> (2018) ‘Drought, Tree Mortality, and Wildfire in Forests Adapted to Frequent Fire’, </w:t>
      </w:r>
      <w:r w:rsidRPr="00D430E8">
        <w:rPr>
          <w:rFonts w:ascii="Calibri" w:hAnsi="Calibri" w:cs="Calibri"/>
          <w:i/>
          <w:iCs/>
          <w:noProof/>
          <w:szCs w:val="24"/>
        </w:rPr>
        <w:t>BioScience</w:t>
      </w:r>
      <w:r w:rsidRPr="00D430E8">
        <w:rPr>
          <w:rFonts w:ascii="Calibri" w:hAnsi="Calibri" w:cs="Calibri"/>
          <w:noProof/>
          <w:szCs w:val="24"/>
        </w:rPr>
        <w:t>, XX(X), pp. 1–12. doi: 10.1093/biosci/bix146.</w:t>
      </w:r>
    </w:p>
    <w:p w14:paraId="24D00AB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and Moghaddas, J. J. (2005) ‘Experimental fuel treatment impacts on forest structure, </w:t>
      </w:r>
      <w:r w:rsidRPr="00D430E8">
        <w:rPr>
          <w:rFonts w:ascii="Calibri" w:hAnsi="Calibri" w:cs="Calibri"/>
          <w:noProof/>
          <w:szCs w:val="24"/>
        </w:rPr>
        <w:lastRenderedPageBreak/>
        <w:t xml:space="preserve">potential fire behavior, and predicted tree mortality in a California mixed conifer forest’, </w:t>
      </w:r>
      <w:r w:rsidRPr="00D430E8">
        <w:rPr>
          <w:rFonts w:ascii="Calibri" w:hAnsi="Calibri" w:cs="Calibri"/>
          <w:i/>
          <w:iCs/>
          <w:noProof/>
          <w:szCs w:val="24"/>
        </w:rPr>
        <w:t>Forest Ecology and Management</w:t>
      </w:r>
      <w:r w:rsidRPr="00D430E8">
        <w:rPr>
          <w:rFonts w:ascii="Calibri" w:hAnsi="Calibri" w:cs="Calibri"/>
          <w:noProof/>
          <w:szCs w:val="24"/>
        </w:rPr>
        <w:t>, 215(1–3), pp. 21–36. doi: 10.1016/j.foreco.2005.03.070.</w:t>
      </w:r>
    </w:p>
    <w:p w14:paraId="5C38189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Stephenson, N. L. (1998) ‘Actual evapotranspiration and deficit: Biologically meaningful correlates of vegetation distribution across spatial scales’, </w:t>
      </w:r>
      <w:r w:rsidRPr="00D430E8">
        <w:rPr>
          <w:rFonts w:ascii="Calibri" w:hAnsi="Calibri" w:cs="Calibri"/>
          <w:i/>
          <w:iCs/>
          <w:noProof/>
          <w:szCs w:val="24"/>
        </w:rPr>
        <w:t>Journal of Biogeography</w:t>
      </w:r>
      <w:r w:rsidRPr="00D430E8">
        <w:rPr>
          <w:rFonts w:ascii="Calibri" w:hAnsi="Calibri" w:cs="Calibri"/>
          <w:noProof/>
          <w:szCs w:val="24"/>
        </w:rPr>
        <w:t>, 25(5), pp. 855–870. doi: 10.1046/j.1365-2699.1998.00233.x.</w:t>
      </w:r>
    </w:p>
    <w:p w14:paraId="6F13902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Stephenson, N. L. </w:t>
      </w:r>
      <w:r w:rsidRPr="00D430E8">
        <w:rPr>
          <w:rFonts w:ascii="Calibri" w:hAnsi="Calibri" w:cs="Calibri"/>
          <w:i/>
          <w:iCs/>
          <w:noProof/>
          <w:szCs w:val="24"/>
        </w:rPr>
        <w:t>et al.</w:t>
      </w:r>
      <w:r w:rsidRPr="00D430E8">
        <w:rPr>
          <w:rFonts w:ascii="Calibri" w:hAnsi="Calibri" w:cs="Calibri"/>
          <w:noProof/>
          <w:szCs w:val="24"/>
        </w:rPr>
        <w:t xml:space="preserve"> (2019) ‘Which trees die during drought? The key role of insect host-tree selection’, </w:t>
      </w:r>
      <w:r w:rsidRPr="00D430E8">
        <w:rPr>
          <w:rFonts w:ascii="Calibri" w:hAnsi="Calibri" w:cs="Calibri"/>
          <w:i/>
          <w:iCs/>
          <w:noProof/>
          <w:szCs w:val="24"/>
        </w:rPr>
        <w:t>Journal of Ecology</w:t>
      </w:r>
      <w:r w:rsidRPr="00D430E8">
        <w:rPr>
          <w:rFonts w:ascii="Calibri" w:hAnsi="Calibri" w:cs="Calibri"/>
          <w:noProof/>
          <w:szCs w:val="24"/>
        </w:rPr>
        <w:t>, 107(5), pp. 2383–2401. doi: 10.1111/1365-2745.13176.</w:t>
      </w:r>
    </w:p>
    <w:p w14:paraId="5C8EE0D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Stevens, J. T. </w:t>
      </w:r>
      <w:r w:rsidRPr="00D430E8">
        <w:rPr>
          <w:rFonts w:ascii="Calibri" w:hAnsi="Calibri" w:cs="Calibri"/>
          <w:i/>
          <w:iCs/>
          <w:noProof/>
          <w:szCs w:val="24"/>
        </w:rPr>
        <w:t>et al.</w:t>
      </w:r>
      <w:r w:rsidRPr="00D430E8">
        <w:rPr>
          <w:rFonts w:ascii="Calibri" w:hAnsi="Calibri" w:cs="Calibri"/>
          <w:noProof/>
          <w:szCs w:val="24"/>
        </w:rPr>
        <w:t xml:space="preserve"> (2017) ‘Changing spatial patterns of stand-replacing fire in California conifer forests’, </w:t>
      </w:r>
      <w:r w:rsidRPr="00D430E8">
        <w:rPr>
          <w:rFonts w:ascii="Calibri" w:hAnsi="Calibri" w:cs="Calibri"/>
          <w:i/>
          <w:iCs/>
          <w:noProof/>
          <w:szCs w:val="24"/>
        </w:rPr>
        <w:t>Forest Ecology and Management</w:t>
      </w:r>
      <w:r w:rsidRPr="00D430E8">
        <w:rPr>
          <w:rFonts w:ascii="Calibri" w:hAnsi="Calibri" w:cs="Calibri"/>
          <w:noProof/>
          <w:szCs w:val="24"/>
        </w:rPr>
        <w:t>, 406(August), pp. 28–36. doi: 10.1016/j.foreco.2017.08.051.</w:t>
      </w:r>
    </w:p>
    <w:p w14:paraId="705497D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Stewart, J. A. E. </w:t>
      </w:r>
      <w:r w:rsidRPr="00D430E8">
        <w:rPr>
          <w:rFonts w:ascii="Calibri" w:hAnsi="Calibri" w:cs="Calibri"/>
          <w:i/>
          <w:iCs/>
          <w:noProof/>
          <w:szCs w:val="24"/>
        </w:rPr>
        <w:t>et al.</w:t>
      </w:r>
      <w:r w:rsidRPr="00D430E8">
        <w:rPr>
          <w:rFonts w:ascii="Calibri" w:hAnsi="Calibri" w:cs="Calibri"/>
          <w:noProof/>
          <w:szCs w:val="24"/>
        </w:rPr>
        <w:t xml:space="preserve"> (2021) ‘Effects of postfire climate and seed availability on postfire conifer regeneration’, </w:t>
      </w:r>
      <w:r w:rsidRPr="00D430E8">
        <w:rPr>
          <w:rFonts w:ascii="Calibri" w:hAnsi="Calibri" w:cs="Calibri"/>
          <w:i/>
          <w:iCs/>
          <w:noProof/>
          <w:szCs w:val="24"/>
        </w:rPr>
        <w:t>Ecological Applications</w:t>
      </w:r>
      <w:r w:rsidRPr="00D430E8">
        <w:rPr>
          <w:rFonts w:ascii="Calibri" w:hAnsi="Calibri" w:cs="Calibri"/>
          <w:noProof/>
          <w:szCs w:val="24"/>
        </w:rPr>
        <w:t>, 31(3), pp. 1–14. doi: 10.1002/eap.2280.</w:t>
      </w:r>
    </w:p>
    <w:p w14:paraId="7852A12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Voelker, S. L. </w:t>
      </w:r>
      <w:r w:rsidRPr="00D430E8">
        <w:rPr>
          <w:rFonts w:ascii="Calibri" w:hAnsi="Calibri" w:cs="Calibri"/>
          <w:i/>
          <w:iCs/>
          <w:noProof/>
          <w:szCs w:val="24"/>
        </w:rPr>
        <w:t>et al.</w:t>
      </w:r>
      <w:r w:rsidRPr="00D430E8">
        <w:rPr>
          <w:rFonts w:ascii="Calibri" w:hAnsi="Calibri" w:cs="Calibri"/>
          <w:noProof/>
          <w:szCs w:val="24"/>
        </w:rPr>
        <w:t xml:space="preserve"> (2019) ‘Fire deficits have increased drought sensitivity in dry conifer forests: Fire frequency and tree-ring carbon isotope evidence from Central Oregon’, </w:t>
      </w:r>
      <w:r w:rsidRPr="00D430E8">
        <w:rPr>
          <w:rFonts w:ascii="Calibri" w:hAnsi="Calibri" w:cs="Calibri"/>
          <w:i/>
          <w:iCs/>
          <w:noProof/>
          <w:szCs w:val="24"/>
        </w:rPr>
        <w:t>Global Change Biology</w:t>
      </w:r>
      <w:r w:rsidRPr="00D430E8">
        <w:rPr>
          <w:rFonts w:ascii="Calibri" w:hAnsi="Calibri" w:cs="Calibri"/>
          <w:noProof/>
          <w:szCs w:val="24"/>
        </w:rPr>
        <w:t>, 25(4), pp. 1247–1262. doi: 10.1111/gcb.14543.</w:t>
      </w:r>
    </w:p>
    <w:p w14:paraId="14FCFA8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Wayman, R. B. and Safford, H. D. (2021) ‘Recent bark beetle outbreaks influence wildfire severity in mixed-conifer forests of the Sierra Nevada, California, USA’, </w:t>
      </w:r>
      <w:r w:rsidRPr="00D430E8">
        <w:rPr>
          <w:rFonts w:ascii="Calibri" w:hAnsi="Calibri" w:cs="Calibri"/>
          <w:i/>
          <w:iCs/>
          <w:noProof/>
          <w:szCs w:val="24"/>
        </w:rPr>
        <w:t>Ecological Applications</w:t>
      </w:r>
      <w:r w:rsidRPr="00D430E8">
        <w:rPr>
          <w:rFonts w:ascii="Calibri" w:hAnsi="Calibri" w:cs="Calibri"/>
          <w:noProof/>
          <w:szCs w:val="24"/>
        </w:rPr>
        <w:t>, 31(3), pp. 1–19. doi: 10.1002/eap.2287.</w:t>
      </w:r>
    </w:p>
    <w:p w14:paraId="48250C0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504A43D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Yeaton, R. I. (1984) ‘Aspects of the Population Biology of Sugar Pine ( Pinus lambertiana Dougl .) on an Elevational Gradient in the Sierra Nevada of Central California’, </w:t>
      </w:r>
      <w:r w:rsidRPr="00D430E8">
        <w:rPr>
          <w:rFonts w:ascii="Calibri" w:hAnsi="Calibri" w:cs="Calibri"/>
          <w:i/>
          <w:iCs/>
          <w:noProof/>
          <w:szCs w:val="24"/>
        </w:rPr>
        <w:t>The American Midland Naturalist</w:t>
      </w:r>
      <w:r w:rsidRPr="00D430E8">
        <w:rPr>
          <w:rFonts w:ascii="Calibri" w:hAnsi="Calibri" w:cs="Calibri"/>
          <w:noProof/>
          <w:szCs w:val="24"/>
        </w:rPr>
        <w:t>, 111(1), pp. 126–137. Available at: https://www.jstor.org/stable/2425550.</w:t>
      </w:r>
    </w:p>
    <w:p w14:paraId="4C19D29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York, R. A. </w:t>
      </w:r>
      <w:r w:rsidRPr="00D430E8">
        <w:rPr>
          <w:rFonts w:ascii="Calibri" w:hAnsi="Calibri" w:cs="Calibri"/>
          <w:i/>
          <w:iCs/>
          <w:noProof/>
          <w:szCs w:val="24"/>
        </w:rPr>
        <w:t>et al.</w:t>
      </w:r>
      <w:r w:rsidRPr="00D430E8">
        <w:rPr>
          <w:rFonts w:ascii="Calibri" w:hAnsi="Calibri" w:cs="Calibri"/>
          <w:noProof/>
          <w:szCs w:val="24"/>
        </w:rPr>
        <w:t xml:space="preserve"> (2004) ‘Group selection management in conifer forests: Relationships between opening size and tree growth’, </w:t>
      </w:r>
      <w:r w:rsidRPr="00D430E8">
        <w:rPr>
          <w:rFonts w:ascii="Calibri" w:hAnsi="Calibri" w:cs="Calibri"/>
          <w:i/>
          <w:iCs/>
          <w:noProof/>
          <w:szCs w:val="24"/>
        </w:rPr>
        <w:t>Canadian Journal of Forest Research</w:t>
      </w:r>
      <w:r w:rsidRPr="00D430E8">
        <w:rPr>
          <w:rFonts w:ascii="Calibri" w:hAnsi="Calibri" w:cs="Calibri"/>
          <w:noProof/>
          <w:szCs w:val="24"/>
        </w:rPr>
        <w:t>, 34(3), pp. 630–641. doi: 10.1139/x03-222.</w:t>
      </w:r>
    </w:p>
    <w:p w14:paraId="15B0E73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York, R. A. </w:t>
      </w:r>
      <w:r w:rsidRPr="00D430E8">
        <w:rPr>
          <w:rFonts w:ascii="Calibri" w:hAnsi="Calibri" w:cs="Calibri"/>
          <w:i/>
          <w:iCs/>
          <w:noProof/>
          <w:szCs w:val="24"/>
        </w:rPr>
        <w:t>et al.</w:t>
      </w:r>
      <w:r w:rsidRPr="00D430E8">
        <w:rPr>
          <w:rFonts w:ascii="Calibri" w:hAnsi="Calibri" w:cs="Calibri"/>
          <w:noProof/>
          <w:szCs w:val="24"/>
        </w:rPr>
        <w:t xml:space="preserve"> (2012) ‘A gap-based approach for regenerating pine species and reducing surface fuels in multi-aged mixed conifer stands in the Sierra Nevada, California’, </w:t>
      </w:r>
      <w:r w:rsidRPr="00D430E8">
        <w:rPr>
          <w:rFonts w:ascii="Calibri" w:hAnsi="Calibri" w:cs="Calibri"/>
          <w:i/>
          <w:iCs/>
          <w:noProof/>
          <w:szCs w:val="24"/>
        </w:rPr>
        <w:t>Forestry</w:t>
      </w:r>
      <w:r w:rsidRPr="00D430E8">
        <w:rPr>
          <w:rFonts w:ascii="Calibri" w:hAnsi="Calibri" w:cs="Calibri"/>
          <w:noProof/>
          <w:szCs w:val="24"/>
        </w:rPr>
        <w:t>, 85(2), pp. 203–213. doi: 10.1093/forestry/cpr058.</w:t>
      </w:r>
    </w:p>
    <w:p w14:paraId="3EA3D6B8" w14:textId="77777777" w:rsidR="00D430E8" w:rsidRPr="00D430E8" w:rsidRDefault="00D430E8" w:rsidP="00D430E8">
      <w:pPr>
        <w:widowControl w:val="0"/>
        <w:autoSpaceDE w:val="0"/>
        <w:autoSpaceDN w:val="0"/>
        <w:adjustRightInd w:val="0"/>
        <w:spacing w:line="240" w:lineRule="auto"/>
        <w:rPr>
          <w:rFonts w:ascii="Calibri" w:hAnsi="Calibri" w:cs="Calibri"/>
          <w:noProof/>
        </w:rPr>
      </w:pPr>
      <w:r w:rsidRPr="00D430E8">
        <w:rPr>
          <w:rFonts w:ascii="Calibri" w:hAnsi="Calibri" w:cs="Calibri"/>
          <w:noProof/>
          <w:szCs w:val="24"/>
        </w:rPr>
        <w:t xml:space="preserve">Young, D. J. N. </w:t>
      </w:r>
      <w:r w:rsidRPr="00D430E8">
        <w:rPr>
          <w:rFonts w:ascii="Calibri" w:hAnsi="Calibri" w:cs="Calibri"/>
          <w:i/>
          <w:iCs/>
          <w:noProof/>
          <w:szCs w:val="24"/>
        </w:rPr>
        <w:t>et al.</w:t>
      </w:r>
      <w:r w:rsidRPr="00D430E8">
        <w:rPr>
          <w:rFonts w:ascii="Calibri" w:hAnsi="Calibri" w:cs="Calibri"/>
          <w:noProof/>
          <w:szCs w:val="24"/>
        </w:rPr>
        <w:t xml:space="preserve"> (2017) ‘Long-term climate and competition explain forest mortality patterns under extreme drought’, </w:t>
      </w:r>
      <w:r w:rsidRPr="00D430E8">
        <w:rPr>
          <w:rFonts w:ascii="Calibri" w:hAnsi="Calibri" w:cs="Calibri"/>
          <w:i/>
          <w:iCs/>
          <w:noProof/>
          <w:szCs w:val="24"/>
        </w:rPr>
        <w:t>Ecology Letters</w:t>
      </w:r>
      <w:r w:rsidRPr="00D430E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r w:rsidRPr="00514011">
              <w:rPr>
                <w:rFonts w:ascii="Calibri" w:hAnsi="Calibri" w:cs="Calibri"/>
                <w:b/>
                <w:bCs/>
                <w:color w:val="000000"/>
              </w:rPr>
              <w:t>StDev</w:t>
            </w:r>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r w:rsidRPr="00514011">
              <w:rPr>
                <w:rFonts w:ascii="Calibri" w:hAnsi="Calibri" w:cs="Calibri"/>
                <w:b/>
                <w:bCs/>
                <w:color w:val="000000"/>
              </w:rPr>
              <w:t>rhat</w:t>
            </w:r>
          </w:p>
        </w:tc>
        <w:tc>
          <w:tcPr>
            <w:tcW w:w="1008" w:type="dxa"/>
            <w:noWrap/>
            <w:vAlign w:val="bottom"/>
            <w:hideMark/>
          </w:tcPr>
          <w:p w14:paraId="486539A0" w14:textId="77777777" w:rsidR="00E92F0B" w:rsidRPr="008727D0" w:rsidRDefault="00E92F0B" w:rsidP="00514011">
            <w:pPr>
              <w:rPr>
                <w:b/>
                <w:bCs/>
              </w:rPr>
            </w:pPr>
            <w:r w:rsidRPr="00514011">
              <w:rPr>
                <w:rFonts w:ascii="Calibri" w:hAnsi="Calibri" w:cs="Calibri"/>
                <w:b/>
                <w:bCs/>
                <w:color w:val="000000"/>
              </w:rPr>
              <w:t>ess_bulk</w:t>
            </w:r>
          </w:p>
        </w:tc>
        <w:tc>
          <w:tcPr>
            <w:tcW w:w="960" w:type="dxa"/>
            <w:noWrap/>
            <w:vAlign w:val="bottom"/>
            <w:hideMark/>
          </w:tcPr>
          <w:p w14:paraId="6E607DB9" w14:textId="77777777" w:rsidR="00E92F0B" w:rsidRPr="008727D0" w:rsidRDefault="00E92F0B" w:rsidP="00514011">
            <w:pPr>
              <w:rPr>
                <w:b/>
                <w:bCs/>
              </w:rPr>
            </w:pPr>
            <w:r w:rsidRPr="00514011">
              <w:rPr>
                <w:rFonts w:ascii="Calibri" w:hAnsi="Calibri" w:cs="Calibri"/>
                <w:b/>
                <w:bCs/>
                <w:color w:val="000000"/>
              </w:rPr>
              <w:t>ess_tail</w:t>
            </w:r>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r w:rsidR="00C5748E">
        <w:fldChar w:fldCharType="begin"/>
      </w:r>
      <w:r w:rsidR="00C5748E">
        <w:instrText xml:space="preserve"> SEQ Table \* ARABIC </w:instrText>
      </w:r>
      <w:r w:rsidR="00C5748E">
        <w:fldChar w:fldCharType="separate"/>
      </w:r>
      <w:r>
        <w:rPr>
          <w:noProof/>
        </w:rPr>
        <w:t>1</w:t>
      </w:r>
      <w:r w:rsidR="00C5748E">
        <w:rPr>
          <w:noProof/>
        </w:rPr>
        <w:fldChar w:fldCharType="end"/>
      </w:r>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r w:rsidRPr="00870621">
              <w:rPr>
                <w:b/>
                <w:bCs/>
              </w:rPr>
              <w:t>StDev</w:t>
            </w:r>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r w:rsidRPr="00870621">
              <w:rPr>
                <w:b/>
                <w:bCs/>
              </w:rPr>
              <w:t>rhat</w:t>
            </w:r>
          </w:p>
        </w:tc>
        <w:tc>
          <w:tcPr>
            <w:tcW w:w="1285" w:type="dxa"/>
            <w:noWrap/>
            <w:hideMark/>
          </w:tcPr>
          <w:p w14:paraId="6C097373" w14:textId="77777777" w:rsidR="00245CBF" w:rsidRPr="00870621" w:rsidRDefault="00245CBF" w:rsidP="00514011">
            <w:pPr>
              <w:rPr>
                <w:b/>
                <w:bCs/>
              </w:rPr>
            </w:pPr>
            <w:r w:rsidRPr="00870621">
              <w:rPr>
                <w:b/>
                <w:bCs/>
              </w:rPr>
              <w:t>ess_bulk</w:t>
            </w:r>
          </w:p>
        </w:tc>
        <w:tc>
          <w:tcPr>
            <w:tcW w:w="1285" w:type="dxa"/>
            <w:noWrap/>
            <w:hideMark/>
          </w:tcPr>
          <w:p w14:paraId="419EF56B" w14:textId="77777777" w:rsidR="00245CBF" w:rsidRPr="00870621" w:rsidRDefault="00245CBF" w:rsidP="00514011">
            <w:pPr>
              <w:rPr>
                <w:b/>
                <w:bCs/>
              </w:rPr>
            </w:pPr>
            <w:r w:rsidRPr="00870621">
              <w:rPr>
                <w:b/>
                <w:bCs/>
              </w:rPr>
              <w:t>ess_tail</w:t>
            </w:r>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fldSimple w:instr=" SEQ Table \* ARABIC ">
        <w:r>
          <w:rPr>
            <w:noProof/>
          </w:rPr>
          <w:t>2</w:t>
        </w:r>
      </w:fldSimple>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r w:rsidRPr="00E92F0B">
              <w:rPr>
                <w:rFonts w:ascii="Calibri" w:hAnsi="Calibri" w:cs="Calibri"/>
                <w:b/>
                <w:bCs/>
                <w:color w:val="000000"/>
              </w:rPr>
              <w:t>StDev</w:t>
            </w:r>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r w:rsidRPr="00E92F0B">
              <w:rPr>
                <w:rFonts w:ascii="Calibri" w:hAnsi="Calibri" w:cs="Calibri"/>
                <w:b/>
                <w:bCs/>
                <w:color w:val="000000"/>
              </w:rPr>
              <w:t>rhat</w:t>
            </w:r>
          </w:p>
        </w:tc>
        <w:tc>
          <w:tcPr>
            <w:tcW w:w="1008" w:type="dxa"/>
            <w:noWrap/>
            <w:vAlign w:val="bottom"/>
            <w:hideMark/>
          </w:tcPr>
          <w:p w14:paraId="69F89ABD" w14:textId="77777777" w:rsidR="00245CBF" w:rsidRPr="008727D0" w:rsidRDefault="00245CBF" w:rsidP="00514011">
            <w:pPr>
              <w:rPr>
                <w:b/>
                <w:bCs/>
              </w:rPr>
            </w:pPr>
            <w:r w:rsidRPr="00E92F0B">
              <w:rPr>
                <w:rFonts w:ascii="Calibri" w:hAnsi="Calibri" w:cs="Calibri"/>
                <w:b/>
                <w:bCs/>
                <w:color w:val="000000"/>
              </w:rPr>
              <w:t>ess_bulk</w:t>
            </w:r>
          </w:p>
        </w:tc>
        <w:tc>
          <w:tcPr>
            <w:tcW w:w="960" w:type="dxa"/>
            <w:noWrap/>
            <w:vAlign w:val="bottom"/>
            <w:hideMark/>
          </w:tcPr>
          <w:p w14:paraId="01552ED6" w14:textId="77777777" w:rsidR="00245CBF" w:rsidRPr="008727D0" w:rsidRDefault="00245CBF" w:rsidP="00514011">
            <w:pPr>
              <w:rPr>
                <w:b/>
                <w:bCs/>
              </w:rPr>
            </w:pPr>
            <w:r w:rsidRPr="00E92F0B">
              <w:rPr>
                <w:rFonts w:ascii="Calibri" w:hAnsi="Calibri" w:cs="Calibri"/>
                <w:b/>
                <w:bCs/>
                <w:color w:val="000000"/>
              </w:rPr>
              <w:t>ess_tail</w:t>
            </w:r>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fldSimple w:instr=" SEQ Table \* ARABIC ">
        <w:r>
          <w:rPr>
            <w:noProof/>
          </w:rPr>
          <w:t>3</w:t>
        </w:r>
      </w:fldSimple>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19737D5F">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4A8D1746" w:rsidR="003E0B60" w:rsidRDefault="003E0B60" w:rsidP="008400A4">
      <w:pPr>
        <w:pStyle w:val="Caption"/>
      </w:pPr>
      <w:bookmarkStart w:id="77" w:name="_Ref94877166"/>
      <w:r>
        <w:t xml:space="preserve">Figure </w:t>
      </w:r>
      <w:fldSimple w:instr=" SEQ Figure \* ARABIC ">
        <w:r w:rsidR="006A10AA">
          <w:rPr>
            <w:noProof/>
          </w:rPr>
          <w:t>1</w:t>
        </w:r>
      </w:fldSimple>
      <w:bookmarkEnd w:id="77"/>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491D7C4A">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36B8F7FB" w:rsidR="006A10AA" w:rsidRDefault="006A10AA" w:rsidP="006A10AA">
      <w:pPr>
        <w:pStyle w:val="Caption"/>
      </w:pPr>
      <w:bookmarkStart w:id="78" w:name="_Ref104988009"/>
      <w:r>
        <w:t xml:space="preserve">Figure </w:t>
      </w:r>
      <w:r w:rsidR="00C5748E">
        <w:fldChar w:fldCharType="begin"/>
      </w:r>
      <w:r w:rsidR="00C5748E">
        <w:instrText xml:space="preserve"> SEQ Figure \* ARABIC </w:instrText>
      </w:r>
      <w:r w:rsidR="00C5748E">
        <w:fldChar w:fldCharType="separate"/>
      </w:r>
      <w:r>
        <w:rPr>
          <w:noProof/>
        </w:rPr>
        <w:t>2</w:t>
      </w:r>
      <w:r w:rsidR="00C5748E">
        <w:rPr>
          <w:noProof/>
        </w:rPr>
        <w:fldChar w:fldCharType="end"/>
      </w:r>
      <w:bookmarkEnd w:id="78"/>
      <w:r>
        <w:t>: Changes in plot-level basal area and stems per hectare for</w:t>
      </w:r>
      <w:r w:rsidR="00E45F15">
        <w:t xml:space="preserve"> </w:t>
      </w:r>
      <w:r w:rsidR="007C34D3">
        <w:t>822</w:t>
      </w:r>
      <w:r>
        <w:t xml:space="preserve"> plots where sugar pine was present at initial measurement (20</w:t>
      </w:r>
      <w:r w:rsidR="00331DA8">
        <w:t>04</w:t>
      </w:r>
      <w:r>
        <w:t>-2009) or remeasurement (20</w:t>
      </w:r>
      <w:r w:rsidR="00331DA8">
        <w:t>14</w:t>
      </w:r>
      <w:r>
        <w:t>-2019)</w:t>
      </w:r>
      <w:r w:rsidR="007C34D3">
        <w:t xml:space="preserve"> and seedlings were consistently tallied</w:t>
      </w:r>
      <w:r>
        <w:t xml:space="preserve">. Points are means and error bars are +/- one standard error across </w:t>
      </w:r>
      <w:r w:rsidR="00E45F15">
        <w:t>plots.</w:t>
      </w:r>
      <w:r w:rsidR="00102552">
        <w:t xml:space="preserve"> Basal area totals include only stems greater than or equal to 2.54 cm DBH, while stem density includes all stems greater than </w:t>
      </w:r>
      <w:r w:rsidR="00A76BD8">
        <w:t xml:space="preserve">0.15 m height. </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051BD0F" w:rsidR="007E3804" w:rsidRDefault="007E3804" w:rsidP="007E3804">
      <w:pPr>
        <w:pStyle w:val="Caption"/>
        <w:rPr>
          <w:noProof/>
        </w:rPr>
      </w:pPr>
      <w:bookmarkStart w:id="79" w:name="_Ref93744929"/>
      <w:commentRangeStart w:id="80"/>
      <w:r>
        <w:t xml:space="preserve">Figure </w:t>
      </w:r>
      <w:fldSimple w:instr=" SEQ Figure \* ARABIC ">
        <w:r w:rsidR="006A10AA">
          <w:rPr>
            <w:noProof/>
          </w:rPr>
          <w:t>3</w:t>
        </w:r>
      </w:fldSimple>
      <w:bookmarkEnd w:id="79"/>
      <w:r w:rsidR="008400A4">
        <w:rPr>
          <w:noProof/>
        </w:rPr>
        <w:t xml:space="preserve">: </w:t>
      </w:r>
      <w:commentRangeEnd w:id="80"/>
      <w:r w:rsidR="00090276">
        <w:rPr>
          <w:rStyle w:val="CommentReference"/>
          <w:i w:val="0"/>
          <w:iCs w:val="0"/>
          <w:color w:val="auto"/>
        </w:rPr>
        <w:commentReference w:id="80"/>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81"/>
      <w:commentRangeStart w:id="82"/>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commentRangeEnd w:id="81"/>
      <w:r w:rsidR="00D750DC">
        <w:rPr>
          <w:rStyle w:val="CommentReference"/>
        </w:rPr>
        <w:commentReference w:id="81"/>
      </w:r>
      <w:commentRangeEnd w:id="82"/>
      <w:r w:rsidR="00D750DC">
        <w:rPr>
          <w:rStyle w:val="CommentReference"/>
        </w:rPr>
        <w:commentReference w:id="82"/>
      </w:r>
    </w:p>
    <w:p w14:paraId="45744BE9" w14:textId="1036B518" w:rsidR="007E3804" w:rsidRDefault="007E3804" w:rsidP="007E3804">
      <w:pPr>
        <w:pStyle w:val="Caption"/>
        <w:rPr>
          <w:noProof/>
        </w:rPr>
      </w:pPr>
      <w:bookmarkStart w:id="83" w:name="_Ref94611931"/>
      <w:r>
        <w:t xml:space="preserve">Figure </w:t>
      </w:r>
      <w:fldSimple w:instr=" SEQ Figure \* ARABIC ">
        <w:r w:rsidR="006A10AA">
          <w:rPr>
            <w:noProof/>
          </w:rPr>
          <w:t>4</w:t>
        </w:r>
      </w:fldSimple>
      <w:bookmarkEnd w:id="83"/>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commentRangeStart w:id="84"/>
      <w:commentRangeStart w:id="85"/>
      <w:commentRangeStart w:id="86"/>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commentRangeEnd w:id="84"/>
      <w:r w:rsidR="00D750DC">
        <w:rPr>
          <w:rStyle w:val="CommentReference"/>
        </w:rPr>
        <w:commentReference w:id="84"/>
      </w:r>
      <w:commentRangeEnd w:id="85"/>
      <w:r w:rsidR="00D750DC">
        <w:rPr>
          <w:rStyle w:val="CommentReference"/>
        </w:rPr>
        <w:commentReference w:id="85"/>
      </w:r>
      <w:commentRangeEnd w:id="86"/>
      <w:r w:rsidR="00427DBC">
        <w:rPr>
          <w:rStyle w:val="CommentReference"/>
        </w:rPr>
        <w:commentReference w:id="86"/>
      </w:r>
    </w:p>
    <w:p w14:paraId="6DB62EB3" w14:textId="3297A5F2" w:rsidR="007E3804" w:rsidRDefault="007E3804" w:rsidP="007E3804">
      <w:pPr>
        <w:pStyle w:val="Caption"/>
        <w:rPr>
          <w:noProof/>
        </w:rPr>
      </w:pPr>
      <w:bookmarkStart w:id="87" w:name="_Ref94613276"/>
      <w:r>
        <w:t xml:space="preserve">Figure </w:t>
      </w:r>
      <w:fldSimple w:instr=" SEQ Figure \* ARABIC ">
        <w:r w:rsidR="006A10AA">
          <w:rPr>
            <w:noProof/>
          </w:rPr>
          <w:t>5</w:t>
        </w:r>
      </w:fldSimple>
      <w:bookmarkEnd w:id="87"/>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68DD948" w:rsidR="001161D9" w:rsidRDefault="001161D9" w:rsidP="001161D9">
      <w:pPr>
        <w:pStyle w:val="Caption"/>
      </w:pPr>
      <w:bookmarkStart w:id="88" w:name="_Ref94616225"/>
      <w:r>
        <w:t xml:space="preserve">Figure </w:t>
      </w:r>
      <w:fldSimple w:instr=" SEQ Figure \* ARABIC ">
        <w:r w:rsidR="006A10AA">
          <w:rPr>
            <w:noProof/>
          </w:rPr>
          <w:t>6</w:t>
        </w:r>
      </w:fldSimple>
      <w:bookmarkEnd w:id="88"/>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9" w:name="_Ref93658815"/>
      <w:r>
        <w:lastRenderedPageBreak/>
        <w:t>Supplementary Materials</w:t>
      </w:r>
      <w:bookmarkEnd w:id="89"/>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90" w:name="_Ref93658573"/>
      <w:r>
        <w:t xml:space="preserve">Supplementary Figure </w:t>
      </w:r>
      <w:fldSimple w:instr=" SEQ Supplementary_Figure \* ARABIC ">
        <w:r w:rsidR="003E04A3">
          <w:rPr>
            <w:noProof/>
          </w:rPr>
          <w:t>1</w:t>
        </w:r>
      </w:fldSimple>
      <w:bookmarkEnd w:id="90"/>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91" w:name="_Ref93658580"/>
      <w:r>
        <w:t xml:space="preserve">Supplementary Figure </w:t>
      </w:r>
      <w:fldSimple w:instr=" SEQ Supplementary_Figure \* ARABIC ">
        <w:r w:rsidR="003E04A3">
          <w:rPr>
            <w:noProof/>
          </w:rPr>
          <w:t>2</w:t>
        </w:r>
      </w:fldSimple>
      <w:bookmarkEnd w:id="91"/>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92" w:name="_Ref93658585"/>
      <w:r>
        <w:t xml:space="preserve">Supplementary Figure </w:t>
      </w:r>
      <w:fldSimple w:instr=" SEQ Supplementary_Figure \* ARABIC ">
        <w:r w:rsidR="003E04A3">
          <w:rPr>
            <w:noProof/>
          </w:rPr>
          <w:t>3</w:t>
        </w:r>
      </w:fldSimple>
      <w:bookmarkEnd w:id="92"/>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93" w:name="_Ref93658594"/>
      <w:r>
        <w:t xml:space="preserve">Supplementary Figure </w:t>
      </w:r>
      <w:fldSimple w:instr=" SEQ Supplementary_Figure \* ARABIC ">
        <w:r w:rsidR="003E04A3">
          <w:rPr>
            <w:noProof/>
          </w:rPr>
          <w:t>4</w:t>
        </w:r>
      </w:fldSimple>
      <w:bookmarkEnd w:id="93"/>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94" w:name="_Ref93658597"/>
      <w:r>
        <w:t xml:space="preserve">Supplementary Figure </w:t>
      </w:r>
      <w:fldSimple w:instr=" SEQ Supplementary_Figure \* ARABIC ">
        <w:r w:rsidR="003E04A3">
          <w:rPr>
            <w:noProof/>
          </w:rPr>
          <w:t>5</w:t>
        </w:r>
      </w:fldSimple>
      <w:bookmarkEnd w:id="94"/>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95"/>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95"/>
      <w:r w:rsidR="001C02F2">
        <w:rPr>
          <w:rStyle w:val="CommentReference"/>
        </w:rPr>
        <w:commentReference w:id="95"/>
      </w:r>
    </w:p>
    <w:p w14:paraId="725CAA6F" w14:textId="633B505C" w:rsidR="00C45A1A" w:rsidRDefault="00C45A1A" w:rsidP="00C45A1A">
      <w:pPr>
        <w:pStyle w:val="Caption"/>
      </w:pPr>
      <w:bookmarkStart w:id="96" w:name="_Ref93658599"/>
      <w:r>
        <w:t xml:space="preserve">Supplementary Figure </w:t>
      </w:r>
      <w:fldSimple w:instr=" SEQ Supplementary_Figure \* ARABIC ">
        <w:r w:rsidR="003E04A3">
          <w:rPr>
            <w:noProof/>
          </w:rPr>
          <w:t>6</w:t>
        </w:r>
      </w:fldSimple>
      <w:bookmarkEnd w:id="96"/>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97" w:name="_Ref94619410"/>
      <w:r>
        <w:t xml:space="preserve">Supplementary </w:t>
      </w:r>
      <w:r w:rsidR="00245CBF">
        <w:t>Table</w:t>
      </w:r>
      <w:r w:rsidR="002D364A">
        <w:t xml:space="preserve"> </w:t>
      </w:r>
      <w:bookmarkEnd w:id="97"/>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80"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1"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82"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84" w:author="Daniel Foster" w:date="2022-06-01T09:51:00Z" w:initials="DF">
    <w:p w14:paraId="3464CB31" w14:textId="68505784" w:rsidR="00D750DC" w:rsidRDefault="00D750DC" w:rsidP="005C5735">
      <w:pPr>
        <w:pStyle w:val="CommentText"/>
      </w:pPr>
      <w:r>
        <w:rPr>
          <w:rStyle w:val="CommentReference"/>
        </w:rPr>
        <w:annotationRef/>
      </w:r>
      <w:r>
        <w:t>Standardize scales</w:t>
      </w:r>
    </w:p>
  </w:comment>
  <w:comment w:id="85" w:author="Daniel Foster" w:date="2022-06-01T09:55:00Z" w:initials="DF">
    <w:p w14:paraId="3BEAB2E0" w14:textId="77777777" w:rsidR="00D750DC" w:rsidRDefault="00D750DC" w:rsidP="00F4286A">
      <w:pPr>
        <w:pStyle w:val="CommentText"/>
      </w:pPr>
      <w:r>
        <w:rPr>
          <w:rStyle w:val="CommentReference"/>
        </w:rPr>
        <w:annotationRef/>
      </w:r>
      <w:r>
        <w:t>Per capita replacement rate over a decade</w:t>
      </w:r>
    </w:p>
  </w:comment>
  <w:comment w:id="86" w:author="Daniel Foster" w:date="2022-06-01T09:58:00Z" w:initials="DF">
    <w:p w14:paraId="144835F8" w14:textId="77777777" w:rsidR="00427DBC" w:rsidRDefault="00427DBC" w:rsidP="00DA39B1">
      <w:pPr>
        <w:pStyle w:val="CommentText"/>
      </w:pPr>
      <w:r>
        <w:rPr>
          <w:rStyle w:val="CommentReference"/>
        </w:rPr>
        <w:annotationRef/>
      </w:r>
      <w:r>
        <w:t>Repeatedly interpret rates for a small (20cm) and a big (100cm) tree</w:t>
      </w:r>
    </w:p>
  </w:comment>
  <w:comment w:id="95"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3464CB31" w15:done="0"/>
  <w15:commentEx w15:paraId="3BEAB2E0" w15:paraIdParent="3464CB31" w15:done="0"/>
  <w15:commentEx w15:paraId="144835F8" w15:paraIdParent="3464CB31"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641B507" w16cex:dateUtc="2022-06-01T16:51:00Z"/>
  <w16cex:commentExtensible w16cex:durableId="2641B608" w16cex:dateUtc="2022-06-01T16:55:00Z"/>
  <w16cex:commentExtensible w16cex:durableId="2641B6C9" w16cex:dateUtc="2022-06-01T16:58: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3464CB31" w16cid:durableId="2641B507"/>
  <w16cid:commentId w16cid:paraId="3BEAB2E0" w16cid:durableId="2641B608"/>
  <w16cid:commentId w16cid:paraId="144835F8" w16cid:durableId="2641B6C9"/>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BAD41" w14:textId="77777777" w:rsidR="00C5748E" w:rsidRDefault="00C5748E" w:rsidP="00912F9C">
      <w:pPr>
        <w:spacing w:after="0" w:line="240" w:lineRule="auto"/>
      </w:pPr>
      <w:r>
        <w:separator/>
      </w:r>
    </w:p>
  </w:endnote>
  <w:endnote w:type="continuationSeparator" w:id="0">
    <w:p w14:paraId="66A91DC0" w14:textId="77777777" w:rsidR="00C5748E" w:rsidRDefault="00C5748E"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8D2F9" w14:textId="77777777" w:rsidR="00C5748E" w:rsidRDefault="00C5748E" w:rsidP="00912F9C">
      <w:pPr>
        <w:spacing w:after="0" w:line="240" w:lineRule="auto"/>
      </w:pPr>
      <w:r>
        <w:separator/>
      </w:r>
    </w:p>
  </w:footnote>
  <w:footnote w:type="continuationSeparator" w:id="0">
    <w:p w14:paraId="43E0D186" w14:textId="77777777" w:rsidR="00C5748E" w:rsidRDefault="00C5748E"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014E"/>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2552"/>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38CC"/>
    <w:rsid w:val="002F78E4"/>
    <w:rsid w:val="00304447"/>
    <w:rsid w:val="0030686A"/>
    <w:rsid w:val="00307D27"/>
    <w:rsid w:val="00307FC1"/>
    <w:rsid w:val="003103FA"/>
    <w:rsid w:val="00311911"/>
    <w:rsid w:val="00312174"/>
    <w:rsid w:val="003204E3"/>
    <w:rsid w:val="00323628"/>
    <w:rsid w:val="00323FA0"/>
    <w:rsid w:val="00331DA8"/>
    <w:rsid w:val="00334F13"/>
    <w:rsid w:val="0033554D"/>
    <w:rsid w:val="00342BA1"/>
    <w:rsid w:val="00346542"/>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27DBC"/>
    <w:rsid w:val="00430D45"/>
    <w:rsid w:val="00433AEF"/>
    <w:rsid w:val="0044137D"/>
    <w:rsid w:val="004438A3"/>
    <w:rsid w:val="00445077"/>
    <w:rsid w:val="004501B5"/>
    <w:rsid w:val="00461C54"/>
    <w:rsid w:val="0046219E"/>
    <w:rsid w:val="00462B96"/>
    <w:rsid w:val="004639A9"/>
    <w:rsid w:val="0047208D"/>
    <w:rsid w:val="00472F0C"/>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5F95"/>
    <w:rsid w:val="00561760"/>
    <w:rsid w:val="00565CA7"/>
    <w:rsid w:val="00566DC3"/>
    <w:rsid w:val="00573E2C"/>
    <w:rsid w:val="00574C47"/>
    <w:rsid w:val="00581B9B"/>
    <w:rsid w:val="00582802"/>
    <w:rsid w:val="00583A63"/>
    <w:rsid w:val="00584886"/>
    <w:rsid w:val="00585CCB"/>
    <w:rsid w:val="0058682C"/>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623"/>
    <w:rsid w:val="0061208B"/>
    <w:rsid w:val="00613A4B"/>
    <w:rsid w:val="006144D6"/>
    <w:rsid w:val="006152D3"/>
    <w:rsid w:val="00620936"/>
    <w:rsid w:val="00625B40"/>
    <w:rsid w:val="006271C9"/>
    <w:rsid w:val="006456A1"/>
    <w:rsid w:val="00662447"/>
    <w:rsid w:val="00675AA0"/>
    <w:rsid w:val="00677CDB"/>
    <w:rsid w:val="006807F0"/>
    <w:rsid w:val="006838F2"/>
    <w:rsid w:val="006A10AA"/>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C34D3"/>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572F"/>
    <w:rsid w:val="008569B1"/>
    <w:rsid w:val="008574D6"/>
    <w:rsid w:val="00857722"/>
    <w:rsid w:val="00857BF9"/>
    <w:rsid w:val="00860357"/>
    <w:rsid w:val="008611C1"/>
    <w:rsid w:val="00870621"/>
    <w:rsid w:val="008727D0"/>
    <w:rsid w:val="00872B19"/>
    <w:rsid w:val="00873E42"/>
    <w:rsid w:val="00874307"/>
    <w:rsid w:val="008759D9"/>
    <w:rsid w:val="00877029"/>
    <w:rsid w:val="00880C94"/>
    <w:rsid w:val="00884AB8"/>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6728B"/>
    <w:rsid w:val="00972A59"/>
    <w:rsid w:val="00975E51"/>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27C02"/>
    <w:rsid w:val="00A302ED"/>
    <w:rsid w:val="00A320BF"/>
    <w:rsid w:val="00A354E8"/>
    <w:rsid w:val="00A37AF9"/>
    <w:rsid w:val="00A41A84"/>
    <w:rsid w:val="00A47588"/>
    <w:rsid w:val="00A63A59"/>
    <w:rsid w:val="00A70058"/>
    <w:rsid w:val="00A708CE"/>
    <w:rsid w:val="00A76BD8"/>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469B"/>
    <w:rsid w:val="00C56685"/>
    <w:rsid w:val="00C57012"/>
    <w:rsid w:val="00C5748E"/>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4EC"/>
    <w:rsid w:val="00CB38F8"/>
    <w:rsid w:val="00CB550D"/>
    <w:rsid w:val="00CC6F71"/>
    <w:rsid w:val="00CD4F3D"/>
    <w:rsid w:val="00CE6534"/>
    <w:rsid w:val="00CF75E9"/>
    <w:rsid w:val="00D06053"/>
    <w:rsid w:val="00D070A9"/>
    <w:rsid w:val="00D10804"/>
    <w:rsid w:val="00D23103"/>
    <w:rsid w:val="00D2760D"/>
    <w:rsid w:val="00D312C0"/>
    <w:rsid w:val="00D430E8"/>
    <w:rsid w:val="00D45C6F"/>
    <w:rsid w:val="00D4629E"/>
    <w:rsid w:val="00D46E1C"/>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24887"/>
    <w:rsid w:val="00E304D0"/>
    <w:rsid w:val="00E32098"/>
    <w:rsid w:val="00E358D9"/>
    <w:rsid w:val="00E45F15"/>
    <w:rsid w:val="00E51EB0"/>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C0367"/>
    <w:rsid w:val="00EE5D6E"/>
    <w:rsid w:val="00EF6399"/>
    <w:rsid w:val="00F067F3"/>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A7F23"/>
    <w:rsid w:val="00FB1E1F"/>
    <w:rsid w:val="00FC4865"/>
    <w:rsid w:val="00FC5A10"/>
    <w:rsid w:val="00FD714B"/>
    <w:rsid w:val="00FE1095"/>
    <w:rsid w:val="00FE2333"/>
    <w:rsid w:val="00FF38BC"/>
    <w:rsid w:val="00FF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1</Pages>
  <Words>73886</Words>
  <Characters>421151</Characters>
  <Application>Microsoft Office Word</Application>
  <DocSecurity>0</DocSecurity>
  <Lines>3509</Lines>
  <Paragraphs>988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9</cp:revision>
  <dcterms:created xsi:type="dcterms:W3CDTF">2022-06-01T22:29:00Z</dcterms:created>
  <dcterms:modified xsi:type="dcterms:W3CDTF">2022-06-08T21:42:00Z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