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Pinus lambertiana</w:t>
      </w:r>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727EE292" w:rsidR="002B0C18" w:rsidRPr="002B0C18" w:rsidRDefault="002B0C18" w:rsidP="009D1E6E">
      <w:pPr>
        <w:spacing w:line="360" w:lineRule="auto"/>
      </w:pPr>
      <w:r w:rsidRPr="002B0C18">
        <w:t>Sugar pine (</w:t>
      </w:r>
      <w:r w:rsidRPr="009D1E6E">
        <w:rPr>
          <w:i/>
          <w:iCs/>
        </w:rPr>
        <w:t>Pinus lambertiana</w:t>
      </w:r>
      <w:r w:rsidRPr="002B0C18">
        <w:t>)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the vast majority of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and reduces the growth of surviving large trees, resulting in a negative asymptotic population growth rate on burned sites. Conversely, lower than average forest density (neighborhood basal area) results in a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1EE45711" w14:textId="726322D0" w:rsidR="00192E71" w:rsidRDefault="00192E71" w:rsidP="009971A5">
      <w:pPr>
        <w:spacing w:line="360" w:lineRule="auto"/>
        <w:ind w:firstLine="720"/>
      </w:pPr>
      <w:r>
        <w:t xml:space="preserve">Novel Anthropogenic stressors threaten species but may be amenable to management </w:t>
      </w:r>
      <w:r>
        <w:fldChar w:fldCharType="begin" w:fldLock="1"/>
      </w:r>
      <w:r w:rsidR="00206D93">
        <w:instrText>ADDIN CSL_CITATION {"citationItems":[{"id":"ITEM-1","itemData":{"DOI":"10.1126/science.aaa9933","ISSN":"10959203","PMID":"26293954","abstract":"Although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services.","author":[{"dropping-particle":"","family":"Millar","given":"Constance I.","non-dropping-particle":"","parse-names":false,"suffix":""},{"dropping-particle":"","family":"Stephenson","given":"Nathan L.","non-dropping-particle":"","parse-names":false,"suffix":""}],"container-title":"Science","id":"ITEM-1","issue":"6250","issued":{"date-parts":[["2015"]]},"note":"see esp refs: 14, 28, 30","page":"823-826","title":"Temperate forest health in an era of emerging megadisturbance","type":"article-journal","volume":"349"},"uris":["http://www.mendeley.com/documents/?uuid=6a47f147-54b1-4a86-8bea-f875dc96abcb"]},{"id":"ITEM-2","itemData":{"DOI":"10.1002/eap.2432","ISSN":"1051-0761","abstract":"ABSTRACT Forest landscapes across western North America (wNA) have experienced extensive changes over the last two centuries, while climatic warming has become a global reality over the last 4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(in press)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(in press) then review the research on management practices historically applied by Indigenous tribes and currently applied by some managers to intentionally manage forests for resilient conditions. They address ten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Applications","id":"ITEM-2","issue":"0","issued":{"date-parts":[["2021"]]},"title":"Wildfire and climate change adaptation of western North American forests: a case for intentional management","type":"article-journal","volume":"0"},"uris":["http://www.mendeley.com/documents/?uuid=c9f4c867-91e6-4f4d-929f-ec42f2969fc9"]}],"mendeley":{"formattedCitation":"(Millar and Stephenson, 2015; Hessburg &lt;i&gt;et al.&lt;/i&gt;, 2021)","plainTextFormattedCitation":"(Millar and Stephenson, 2015; Hessburg et al., 2021)","previouslyFormattedCitation":"(Millar and Stephenson, 2015; Hessburg &lt;i&gt;et al.&lt;/i&gt;, 2021)"},"properties":{"noteIndex":0},"schema":"https://github.com/citation-style-language/schema/raw/master/csl-citation.json"}</w:instrText>
      </w:r>
      <w:r>
        <w:fldChar w:fldCharType="separate"/>
      </w:r>
      <w:r w:rsidR="00206D93" w:rsidRPr="00206D93">
        <w:rPr>
          <w:noProof/>
        </w:rPr>
        <w:t xml:space="preserve">(Millar and Stephenson, 2015; Hessburg </w:t>
      </w:r>
      <w:r w:rsidR="00206D93" w:rsidRPr="00206D93">
        <w:rPr>
          <w:i/>
          <w:noProof/>
        </w:rPr>
        <w:t>et al.</w:t>
      </w:r>
      <w:r w:rsidR="00206D93" w:rsidRPr="00206D93">
        <w:rPr>
          <w:noProof/>
        </w:rPr>
        <w:t>, 2021)</w:t>
      </w:r>
      <w:r>
        <w:fldChar w:fldCharType="end"/>
      </w:r>
      <w:r>
        <w:t>. However, conservation resources are scarce, so it is often necessary to prioritize some stressors over others</w:t>
      </w:r>
      <w:r w:rsidR="00206D93">
        <w:t xml:space="preserve"> </w:t>
      </w:r>
      <w:r w:rsidR="00206D93">
        <w:fldChar w:fldCharType="begin" w:fldLock="1"/>
      </w:r>
      <w:r w:rsidR="00D46E1C">
        <w:instrText>ADDIN CSL_CITATION {"citationItems":[{"id":"ITEM-1","itemData":{"author":[{"dropping-particle":"","family":"Panek","given":"J A","non-dropping-particle":"","parse-names":false,"suffix":""},{"dropping-particle":"","family":"Austin","given":"J T","non-dropping-particle":"","parse-names":false,"suffix":""},{"dropping-particle":"","family":"Battles","given":"J J","non-dropping-particle":"","parse-names":false,"suffix":""},{"dropping-particle":"","family":"Nydick","given":"K R","non-dropping-particle":"","parse-names":false,"suffix":""},{"dropping-particle":"","family":"Esperanza","given":"A M","non-dropping-particle":"","parse-names":false,"suffix":""},{"dropping-particle":"","family":"Saah","given":"D S","non-dropping-particle":"","parse-names":false,"suffix":""},{"dropping-particle":"","family":"Sydoriak","given":"C A","non-dropping-particle":"","parse-names":false,"suffix":""}],"container-title":"Natural Resource Report NPS/SEKI/NRR—2012","id":"ITEM-1","issued":{"date-parts":[["2012"]]},"title":"A natural resource condition assessment for Sequoia and Kings Canyon National Parks","type":"article-journal"},"uris":["http://www.mendeley.com/documents/?uuid=c6dd64d8-162e-4b58-b8bc-8f7c64b96d89"]},{"id":"ITEM-2","itemData":{"DOI":"10.1016/j.foreco.2018.09.007","ISBN":"9781594770913","ISSN":"03781127","abstract":"The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author":[{"dropping-particle":"","family":"North","given":"Malcolm","non-dropping-particle":"","parse-names":false,"suffix":""},{"dropping-particle":"","family":"Stine","given":"Peter","non-dropping-particle":"","parse-names":false,"suffix":""},{"dropping-particle":"","family":"O'Hara","given":"Kevin","non-dropping-particle":"","parse-names":false,"suffix":""},{"dropping-particle":"","family":"Zielinski","given":"William","non-dropping-particle":"","parse-names":false,"suffix":""},{"dropping-particle":"","family":"Stephens","given":"Scott","non-dropping-particle":"","parse-names":false,"suffix":""},{"dropping-particle":"","family":"Service","given":"Forest","non-dropping-particle":"","parse-names":false,"suffix":""},{"dropping-particle":"","family":"Hara","given":"Kevin O","non-dropping-particle":"","parse-names":false,"suffix":""}],"container-title":"USDA Forest Service, Pacific Southwest Research Station, General Technical Report","id":"ITEM-3","issue":"March","issued":{"date-parts":[["2009"]]},"page":"PSW-GTR-220","title":"An ecosystem management strategy for Sierran mixed- conifer forests","type":"article-journal"},"uris":["http://www.mendeley.com/documents/?uuid=94819ab6-04af-446d-9075-82ab2aa22223"]}],"mendeley":{"formattedCitation":"(North &lt;i&gt;et al.&lt;/i&gt;, 2009, 2019; Panek &lt;i&gt;et al.&lt;/i&gt;, 2012)","plainTextFormattedCitation":"(North et al., 2009, 2019; Panek et al., 2012)","previouslyFormattedCitation":"(North &lt;i&gt;et al.&lt;/i&gt;, 2009, 2019; Panek &lt;i&gt;et al.&lt;/i&gt;, 2012)"},"properties":{"noteIndex":0},"schema":"https://github.com/citation-style-language/schema/raw/master/csl-citation.json"}</w:instrText>
      </w:r>
      <w:r w:rsidR="00206D93">
        <w:fldChar w:fldCharType="separate"/>
      </w:r>
      <w:r w:rsidR="00D46E1C" w:rsidRPr="00D46E1C">
        <w:rPr>
          <w:noProof/>
        </w:rPr>
        <w:t xml:space="preserve">(North </w:t>
      </w:r>
      <w:r w:rsidR="00D46E1C" w:rsidRPr="00D46E1C">
        <w:rPr>
          <w:i/>
          <w:noProof/>
        </w:rPr>
        <w:t>et al.</w:t>
      </w:r>
      <w:r w:rsidR="00D46E1C" w:rsidRPr="00D46E1C">
        <w:rPr>
          <w:noProof/>
        </w:rPr>
        <w:t xml:space="preserve">, 2009, 2019; Panek </w:t>
      </w:r>
      <w:r w:rsidR="00D46E1C" w:rsidRPr="00D46E1C">
        <w:rPr>
          <w:i/>
          <w:noProof/>
        </w:rPr>
        <w:t>et al.</w:t>
      </w:r>
      <w:r w:rsidR="00D46E1C" w:rsidRPr="00D46E1C">
        <w:rPr>
          <w:noProof/>
        </w:rPr>
        <w:t>, 2012)</w:t>
      </w:r>
      <w:r w:rsidR="00206D93">
        <w:fldChar w:fldCharType="end"/>
      </w:r>
      <w:r>
        <w:t>. Demographic models built around large-scale longitudinal datasets (such as the Forest Inventory and Analysis, or FIA, dataset) can provide detailed insight into how stressors impact species of concern across wide geographic ranges</w:t>
      </w:r>
      <w:r w:rsidR="00D46E1C">
        <w:t xml:space="preserve"> </w:t>
      </w:r>
      <w:r w:rsidR="00D46E1C">
        <w:fldChar w:fldCharType="begin" w:fldLock="1"/>
      </w:r>
      <w:r w:rsidR="00213CB6">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B.","non-dropping-particle":"","parse-names":false,"suffix":""}],"container-title":"Ecology","id":"ITEM-2","issue":"0","issued":{"date-parts":[["2021"]]},"page":"1-12","title":"Quantifying the demographic vulnerabilities of dry woodlands to climate and competition using range‐wide monitoring data","type":"article-journal","volume":"0"},"uris":["http://www.mendeley.com/documents/?uuid=11821100-49dc-46c9-bda1-134da21a5ab2"]}],"mendeley":{"formattedCitation":"(Davis &lt;i&gt;et al.&lt;/i&gt;, 2019; Shriver &lt;i&gt;et al.&lt;/i&gt;, 2021)","plainTextFormattedCitation":"(Davis et al., 2019; Shriver et al., 2021)","previouslyFormattedCitation":"(Davis &lt;i&gt;et al.&lt;/i&gt;, 2019; Shriver &lt;i&gt;et al.&lt;/i&gt;, 2021)"},"properties":{"noteIndex":0},"schema":"https://github.com/citation-style-language/schema/raw/master/csl-citation.json"}</w:instrText>
      </w:r>
      <w:r w:rsidR="00D46E1C">
        <w:fldChar w:fldCharType="separate"/>
      </w:r>
      <w:r w:rsidR="00213CB6" w:rsidRPr="00213CB6">
        <w:rPr>
          <w:noProof/>
        </w:rPr>
        <w:t xml:space="preserve">(Davis </w:t>
      </w:r>
      <w:r w:rsidR="00213CB6" w:rsidRPr="00213CB6">
        <w:rPr>
          <w:i/>
          <w:noProof/>
        </w:rPr>
        <w:t>et al.</w:t>
      </w:r>
      <w:r w:rsidR="00213CB6" w:rsidRPr="00213CB6">
        <w:rPr>
          <w:noProof/>
        </w:rPr>
        <w:t xml:space="preserve">, 2019; Shriver </w:t>
      </w:r>
      <w:r w:rsidR="00213CB6" w:rsidRPr="00213CB6">
        <w:rPr>
          <w:i/>
          <w:noProof/>
        </w:rPr>
        <w:t>et al.</w:t>
      </w:r>
      <w:r w:rsidR="00213CB6" w:rsidRPr="00213CB6">
        <w:rPr>
          <w:noProof/>
        </w:rPr>
        <w:t>, 2021)</w:t>
      </w:r>
      <w:r w:rsidR="00D46E1C">
        <w:fldChar w:fldCharType="end"/>
      </w:r>
      <w:r>
        <w:t xml:space="preserve">. </w:t>
      </w:r>
      <w:r w:rsidR="00D46E1C">
        <w:t>In this paper, we</w:t>
      </w:r>
      <w:r>
        <w:t xml:space="preserve"> </w:t>
      </w:r>
      <w:r w:rsidR="00D46E1C">
        <w:t xml:space="preserve">fit vital rate </w:t>
      </w:r>
      <w:r w:rsidR="00D46E1C">
        <w:lastRenderedPageBreak/>
        <w:t xml:space="preserve">models including </w:t>
      </w:r>
      <w:r w:rsidR="00C5469B">
        <w:t>the effects of key stressors</w:t>
      </w:r>
      <w:r w:rsidR="00213CB6">
        <w:t>. By</w:t>
      </w:r>
      <w:r>
        <w:t xml:space="preserve"> </w:t>
      </w:r>
      <w:r w:rsidR="00213CB6">
        <w:t>comparing</w:t>
      </w:r>
      <w:r>
        <w:t xml:space="preserve"> their effects on vital rates and demographic summary statistics (such as the asymptotic population growth rate), we can assess the relative importance of the stressors and highlight the mechanisms by which they influence the population trajectory. Findings from </w:t>
      </w:r>
      <w:r w:rsidR="00213CB6">
        <w:t>such demographic</w:t>
      </w:r>
      <w:r>
        <w:t xml:space="preserve"> analys</w:t>
      </w:r>
      <w:r w:rsidR="00213CB6">
        <w:t>e</w:t>
      </w:r>
      <w:r>
        <w:t>s can provide crucial information about how best to prioritize varied stressors in making management decisions</w:t>
      </w:r>
      <w:r w:rsidR="00D46E1C">
        <w:t xml:space="preserve"> </w:t>
      </w:r>
      <w:r w:rsidR="00D46E1C">
        <w:fldChar w:fldCharType="begin" w:fldLock="1"/>
      </w:r>
      <w:r w:rsidR="00D430E8">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disturbance","type":"article-journal","volume":"22"},"uris":["http://www.mendeley.com/documents/?uuid=2b5cea9f-f1cc-4605-9928-78a2aa0932f7"]},{"id":"ITEM-2","itemData":{"DOI":"10.1016/j.foreco.2022.120088","ISSN":"03781127","abstract":"Drought-induced tree mortality is predicted to increase in dry forests across the globe as future projections show hotter, drier climates. This could potentially result in large-scale tree die-offs, changes in species composition, and loss of forest ecosystem services, including carbon storage. While some studies have found that forest stands with greater basal areas (BA) have higher drought mortality, many have not evaluated the extent to which forests restored to lower densities via restoration activities affect drought mortality. The southwestern USA is particularly susceptible to tree mortality due to the predicted increases in temperature, drier soils, and forests with high density. Our objective was to evaluate how ponderosa pine mortality is expected to be influenced by the Four Forests Restoration Initiative (4FRI), a large-scale forest restoration effort ongoing in northern Arizona, USA, that will reduce stand BA by approximately 40%. Specifically, we modeled drought mortality in three time periods, one contemporary (1970–2010), and two future (2020–2059 and 2060–2099) under three restoration scenarios: no thinning, 4FRI thinning, and a BA reduction beyond the 4FRI plan (4FRI-intensive). We estimated mortality using 11 climate models under two emissions scenarios. Without thinning, our model predicted that by mid-century (2020–2059), changes in climate could increase annual ponderosa pine mortality rates by 45–57% over contemporary rates. However, with thinning, mid-century mortality was predicted to remain near or below contemporary rates and these rates are 31–35% (4FRI) and 46–51% (4FRI-intensive) less than the mid-century scenarios without thinning. Our study shows that while climate change is likely to increase tree mortality rates, large-scale forest restoration projects, such as 4FRI, have the potential to ameliorate the effects of climate change and keep mortality rates near contemporary levels for decades.","author":[{"dropping-particle":"","family":"McCauley","given":"Lisa A.","non-dropping-particle":"","parse-names":false,"suffix":""},{"dropping-particle":"","family":"Bradford","given":"John B.","non-dropping-particle":"","parse-names":false,"suffix":""},{"dropping-particle":"","family":"Robles","given":"Marcos D.","non-dropping-particle":"","parse-names":false,"suffix":""},{"dropping-particle":"","family":"Shriver","given":"Robert K.","non-dropping-particle":"","parse-names":false,"suffix":""},{"dropping-particle":"","family":"Woolley","given":"Travis J.","non-dropping-particle":"","parse-names":false,"suffix":""},{"dropping-particle":"","family":"Andrews","given":"Caitlin A.","non-dropping-particle":"","parse-names":false,"suffix":""}],"container-title":"Forest Ecology and Management","id":"ITEM-2","issue":"February","issued":{"date-parts":[["2022"]]},"page":"120088","publisher":"Elsevier B.V.","title":"Landscape-scale forest restoration decreases vulnerability to drought mortality under climate change in southwest USA ponderosa forest","type":"article-journal","volume":"509"},"uris":["http://www.mendeley.com/documents/?uuid=32e3ea94-03d4-42f6-8877-46356028669c"]},{"id":"ITEM-3","itemData":{"DOI":"10.1111/1365-2664.14073","ISSN":"13652664","abstract":"The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resistance","type":"article-journal","volume":"59"},"uris":["http://www.mendeley.com/documents/?uuid=b5c155df-c555-4ef7-9f91-84c15344a5b7"]}],"mendeley":{"formattedCitation":"(Shriver &lt;i&gt;et al.&lt;/i&gt;, 2019; Bradford &lt;i&gt;et al.&lt;/i&gt;, 2022; McCauley &lt;i&gt;et al.&lt;/i&gt;, 2022)","plainTextFormattedCitation":"(Shriver et al., 2019; Bradford et al., 2022; McCauley et al., 2022)","previouslyFormattedCitation":"(Shriver &lt;i&gt;et al.&lt;/i&gt;, 2019; Bradford &lt;i&gt;et al.&lt;/i&gt;, 2022; McCauley &lt;i&gt;et al.&lt;/i&gt;, 2022)"},"properties":{"noteIndex":0},"schema":"https://github.com/citation-style-language/schema/raw/master/csl-citation.json"}</w:instrText>
      </w:r>
      <w:r w:rsidR="00D46E1C">
        <w:fldChar w:fldCharType="separate"/>
      </w:r>
      <w:r w:rsidR="00213CB6" w:rsidRPr="00213CB6">
        <w:rPr>
          <w:noProof/>
        </w:rPr>
        <w:t xml:space="preserve">(Shriver </w:t>
      </w:r>
      <w:r w:rsidR="00213CB6" w:rsidRPr="00213CB6">
        <w:rPr>
          <w:i/>
          <w:noProof/>
        </w:rPr>
        <w:t>et al.</w:t>
      </w:r>
      <w:r w:rsidR="00213CB6" w:rsidRPr="00213CB6">
        <w:rPr>
          <w:noProof/>
        </w:rPr>
        <w:t xml:space="preserve">, 2019; Bradford </w:t>
      </w:r>
      <w:r w:rsidR="00213CB6" w:rsidRPr="00213CB6">
        <w:rPr>
          <w:i/>
          <w:noProof/>
        </w:rPr>
        <w:t>et al.</w:t>
      </w:r>
      <w:r w:rsidR="00213CB6" w:rsidRPr="00213CB6">
        <w:rPr>
          <w:noProof/>
        </w:rPr>
        <w:t xml:space="preserve">, 2022; McCauley </w:t>
      </w:r>
      <w:r w:rsidR="00213CB6" w:rsidRPr="00213CB6">
        <w:rPr>
          <w:i/>
          <w:noProof/>
        </w:rPr>
        <w:t>et al.</w:t>
      </w:r>
      <w:r w:rsidR="00213CB6" w:rsidRPr="00213CB6">
        <w:rPr>
          <w:noProof/>
        </w:rPr>
        <w:t>, 2022)</w:t>
      </w:r>
      <w:r w:rsidR="00D46E1C">
        <w:fldChar w:fldCharType="end"/>
      </w:r>
      <w:r>
        <w:t>.</w:t>
      </w:r>
    </w:p>
    <w:p w14:paraId="7B9D2987" w14:textId="4B4C6A8C"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Pinus lambertiana</w:t>
      </w:r>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46542">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California","type":"article-journal","volume":"1150"},"uris":["http://www.mendeley.com/documents/?uuid=ead79d64-7cd1-4e56-b8e3-b3532ddf6681"]}],"mendeley":{"formattedCitation":"(Fowells and Schubert, 1956; Murray and Tomback, 2010)","plainTextFormattedCitation":"(Fowells and Schubert, 1956; Murray and Tomback, 2010)","previouslyFormattedCitation":"(Fowells and Schubert, 1956; Murray and Tomback, 2010)"},"properties":{"noteIndex":0},"schema":"https://github.com/citation-style-language/schema/raw/master/csl-citation.json"}</w:instrText>
      </w:r>
      <w:r w:rsidR="002C19B3">
        <w:fldChar w:fldCharType="separate"/>
      </w:r>
      <w:r w:rsidR="008C2844" w:rsidRPr="008C2844">
        <w:rPr>
          <w:noProof/>
        </w:rPr>
        <w:t>(Fowells and Schubert, 1956;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192E71">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2013, 2018, 2020)"},"properties":{"noteIndex":0},"schema":"https://github.com/citation-style-language/schema/raw/master/csl-citation.json"}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lastRenderedPageBreak/>
        <w:t xml:space="preserve">Second, an invasive fungal pathogen, </w:t>
      </w:r>
      <w:r w:rsidRPr="00F701A7">
        <w:rPr>
          <w:i/>
          <w:iCs/>
        </w:rPr>
        <w:t>Cronartium ribicola</w:t>
      </w:r>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r w:rsidR="00E07EF6">
        <w:rPr>
          <w:i/>
          <w:iCs/>
        </w:rPr>
        <w:t>Strobus</w:t>
      </w:r>
      <w:r w:rsidR="009B4725">
        <w:t xml:space="preserve">, excluding the pinyon pines in subsection </w:t>
      </w:r>
      <w:r w:rsidR="009B4725">
        <w:rPr>
          <w:i/>
          <w:iCs/>
        </w:rPr>
        <w:t>Cembroides</w:t>
      </w:r>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Pinus albicaulis</w:t>
      </w:r>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r w:rsidR="005B4308" w:rsidRPr="005B4308">
        <w:rPr>
          <w:i/>
          <w:iCs/>
        </w:rPr>
        <w:t>Calodecrus decurrens</w:t>
      </w:r>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 xml:space="preserve">In </w:t>
      </w:r>
      <w:r>
        <w:lastRenderedPageBreak/>
        <w:t>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2E1390DE" w14:textId="4F52C7A9" w:rsidR="00540755" w:rsidRDefault="00E51EB0" w:rsidP="00E01957">
      <w:pPr>
        <w:numPr>
          <w:ilvl w:val="0"/>
          <w:numId w:val="1"/>
        </w:numPr>
        <w:spacing w:line="360" w:lineRule="auto"/>
      </w:pPr>
      <w:r>
        <w:t>What is the current trajectory of</w:t>
      </w:r>
      <w:r w:rsidR="00540755">
        <w:t xml:space="preserve"> abundance across the range-wide ensemble of sugar pine populations?</w:t>
      </w:r>
    </w:p>
    <w:p w14:paraId="39543004" w14:textId="77274D5B" w:rsidR="007553FB" w:rsidRDefault="00D312C0" w:rsidP="0054075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5120C30"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xml:space="preserve">, which we treat as the census interval for </w:t>
      </w:r>
      <w:r w:rsidR="000451DF">
        <w:lastRenderedPageBreak/>
        <w:t>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macroplot</w:t>
      </w:r>
      <w:r w:rsidR="003735F2">
        <w:t>s</w:t>
      </w:r>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2EAC6FFF" w:rsidR="00540755" w:rsidRDefault="00540755" w:rsidP="00361DD5">
      <w:pPr>
        <w:spacing w:line="360" w:lineRule="auto"/>
        <w:ind w:firstLine="720"/>
      </w:pPr>
      <w:r>
        <w:lastRenderedPageBreak/>
        <w:t xml:space="preserve">To assess the current trajectory of sugar pine abundance across its range, we calculated the per-plot basal area and stem densities for individuals greater than 2.54 cm DBH on every plot where sugar pine was present at initial measurement or remeasurement. Across-plot means and standard errors were calculated and plotted for both basal area and stem density. </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estimates for each nominal plot location from the TerraClimate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p>
    <w:p w14:paraId="67C1CCE9" w14:textId="53B098FE" w:rsidR="008F329F" w:rsidRDefault="00304447" w:rsidP="00E01957">
      <w:pPr>
        <w:spacing w:line="360" w:lineRule="auto"/>
      </w:pPr>
      <w:r>
        <w:tab/>
        <w:t>The modelling approach for this study broadly follows that described in</w:t>
      </w:r>
      <w:r w:rsidR="00545F95">
        <w:t xml:space="preserve"> Shriver et al. (2021).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03E6FF4" w:rsidR="00EB1B4C" w:rsidRDefault="00EB1B4C" w:rsidP="00EB1B4C">
      <w:pPr>
        <w:pStyle w:val="Caption"/>
        <w:keepNext/>
      </w:pPr>
      <w:bookmarkStart w:id="28" w:name="_Ref93659669"/>
      <w:r>
        <w:lastRenderedPageBreak/>
        <w:t xml:space="preserve">Equation </w:t>
      </w:r>
      <w:r w:rsidR="00FF39FD">
        <w:fldChar w:fldCharType="begin"/>
      </w:r>
      <w:r w:rsidR="00FF39FD">
        <w:instrText xml:space="preserve"> SEQ Equation \* ARABIC </w:instrText>
      </w:r>
      <w:r w:rsidR="00FF39FD">
        <w:fldChar w:fldCharType="separate"/>
      </w:r>
      <w:r w:rsidR="00D73B16">
        <w:rPr>
          <w:noProof/>
        </w:rPr>
        <w:t>1</w:t>
      </w:r>
      <w:r w:rsidR="00FF39FD">
        <w:rPr>
          <w:noProof/>
        </w:rPr>
        <w:fldChar w:fldCharType="end"/>
      </w:r>
      <w:bookmarkEnd w:id="28"/>
    </w:p>
    <w:p w14:paraId="17EAD06B" w14:textId="11CC2B26" w:rsidR="000B2974" w:rsidRPr="000B2974" w:rsidRDefault="00FF39FD"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63DCC49B" w:rsidR="00EB1B4C" w:rsidRDefault="00EB1B4C" w:rsidP="00EB1B4C">
      <w:pPr>
        <w:pStyle w:val="Caption"/>
        <w:keepNext/>
      </w:pPr>
      <w:bookmarkStart w:id="29" w:name="_Ref93579342"/>
      <w:r>
        <w:t xml:space="preserve">Equation </w:t>
      </w:r>
      <w:r w:rsidR="00FF39FD">
        <w:fldChar w:fldCharType="begin"/>
      </w:r>
      <w:r w:rsidR="00FF39FD">
        <w:instrText xml:space="preserve"> SEQ Equation \* ARABIC </w:instrText>
      </w:r>
      <w:r w:rsidR="00FF39FD">
        <w:fldChar w:fldCharType="separate"/>
      </w:r>
      <w:r w:rsidR="00D73B16">
        <w:rPr>
          <w:noProof/>
        </w:rPr>
        <w:t>2</w:t>
      </w:r>
      <w:r w:rsidR="00FF39FD">
        <w:rPr>
          <w:noProof/>
        </w:rPr>
        <w:fldChar w:fldCharType="end"/>
      </w:r>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F529543"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31" w:name="_Ref104375706"/>
      <w:r>
        <w:t xml:space="preserve">Equation </w:t>
      </w:r>
      <w:r w:rsidR="00FF39FD">
        <w:fldChar w:fldCharType="begin"/>
      </w:r>
      <w:r w:rsidR="00FF39FD">
        <w:instrText xml:space="preserve"> SEQ Equation \* ARABIC </w:instrText>
      </w:r>
      <w:r w:rsidR="00FF39FD">
        <w:fldChar w:fldCharType="separate"/>
      </w:r>
      <w:r w:rsidR="00D73B16">
        <w:rPr>
          <w:noProof/>
        </w:rPr>
        <w:t>3</w:t>
      </w:r>
      <w:r w:rsidR="00FF39FD">
        <w:rPr>
          <w:noProof/>
        </w:rPr>
        <w:fldChar w:fldCharType="end"/>
      </w:r>
      <w:bookmarkEnd w:id="31"/>
    </w:p>
    <w:p w14:paraId="63FCE82D" w14:textId="0CD36EF6" w:rsidR="00F30DE4" w:rsidRPr="00880C94" w:rsidRDefault="00FF39FD"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32" w:name="_Ref93578923"/>
      <w:r>
        <w:t xml:space="preserve">Equation </w:t>
      </w:r>
      <w:r w:rsidR="00FF39FD">
        <w:fldChar w:fldCharType="begin"/>
      </w:r>
      <w:r w:rsidR="00FF39FD">
        <w:instrText xml:space="preserve"> SEQ Equation \* ARABIC </w:instrText>
      </w:r>
      <w:r w:rsidR="00FF39FD">
        <w:fldChar w:fldCharType="separate"/>
      </w:r>
      <w:r w:rsidR="00D73B16">
        <w:rPr>
          <w:noProof/>
        </w:rPr>
        <w:t>4</w:t>
      </w:r>
      <w:r w:rsidR="00FF39FD">
        <w:rPr>
          <w:noProof/>
        </w:rPr>
        <w:fldChar w:fldCharType="end"/>
      </w:r>
      <w:bookmarkEnd w:id="32"/>
    </w:p>
    <w:p w14:paraId="29CA2B75" w14:textId="0F228DF8" w:rsidR="00283D34" w:rsidRPr="00283D34" w:rsidRDefault="00FF39FD"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lastRenderedPageBreak/>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were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6348F6B6" w:rsidR="005D154F" w:rsidRDefault="005D154F" w:rsidP="00E01957">
      <w:pPr>
        <w:spacing w:line="360" w:lineRule="auto"/>
        <w:rPr>
          <w:rFonts w:eastAsiaTheme="minorEastAsia"/>
        </w:rPr>
      </w:pPr>
      <w:r>
        <w:rPr>
          <w:rFonts w:eastAsiaTheme="minorEastAsia"/>
        </w:rPr>
        <w:tab/>
        <w:t>A</w:t>
      </w:r>
      <w:r w:rsidR="00545F95">
        <w:rPr>
          <w:rFonts w:eastAsiaTheme="minorEastAsia"/>
        </w:rPr>
        <w:t xml:space="preserve">s noted in </w:t>
      </w:r>
      <w:commentRangeStart w:id="34"/>
      <w:commentRangeEnd w:id="34"/>
      <w:r w:rsidR="007108F6">
        <w:rPr>
          <w:rStyle w:val="CommentReference"/>
        </w:rPr>
        <w:commentReference w:id="34"/>
      </w:r>
      <w:r w:rsidR="00545F95">
        <w:rPr>
          <w:rFonts w:eastAsiaTheme="minorEastAsia"/>
        </w:rPr>
        <w:t xml:space="preserve">Shriver et al. (2021), </w:t>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number of new seedlings on each plot can be estimated as a 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389EE448" w:rsidR="00EB1B4C" w:rsidRDefault="00EB1B4C" w:rsidP="00EB1B4C">
      <w:pPr>
        <w:pStyle w:val="Caption"/>
        <w:keepNext/>
      </w:pPr>
      <w:r>
        <w:t xml:space="preserve">Equation </w:t>
      </w:r>
      <w:r w:rsidR="00FF39FD">
        <w:fldChar w:fldCharType="begin"/>
      </w:r>
      <w:r w:rsidR="00FF39FD">
        <w:instrText xml:space="preserve"> SEQ Equation \* ARABIC </w:instrText>
      </w:r>
      <w:r w:rsidR="00FF39FD">
        <w:fldChar w:fldCharType="separate"/>
      </w:r>
      <w:r w:rsidR="00D73B16">
        <w:rPr>
          <w:noProof/>
        </w:rPr>
        <w:t>5</w:t>
      </w:r>
      <w:r w:rsidR="00FF39FD">
        <w:rPr>
          <w:noProof/>
        </w:rPr>
        <w:fldChar w:fldCharType="end"/>
      </w:r>
    </w:p>
    <w:p w14:paraId="17730052" w14:textId="10279186" w:rsidR="00481D04" w:rsidRPr="004A6BFC" w:rsidRDefault="00FF39FD"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46042FC8"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r w:rsidR="009917FF">
        <w:rPr>
          <w:rFonts w:eastAsiaTheme="minorEastAsia"/>
        </w:rPr>
        <w:t>ives</w:t>
      </w:r>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 data is 2.45 m.  </w:t>
      </w:r>
    </w:p>
    <w:p w14:paraId="5C655F76" w14:textId="52ABE052" w:rsidR="009917FF" w:rsidRDefault="009917FF" w:rsidP="00E01957">
      <w:pPr>
        <w:spacing w:line="360" w:lineRule="auto"/>
        <w:rPr>
          <w:rFonts w:eastAsiaTheme="minorEastAsia"/>
        </w:rPr>
      </w:pPr>
      <w:r>
        <w:rPr>
          <w:rFonts w:eastAsiaTheme="minorEastAsia"/>
        </w:rPr>
        <w:lastRenderedPageBreak/>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679EC856" w:rsidR="00EB1B4C" w:rsidRDefault="00EB1B4C" w:rsidP="00EB1B4C">
      <w:pPr>
        <w:pStyle w:val="Caption"/>
        <w:keepNext/>
      </w:pPr>
      <w:r>
        <w:t xml:space="preserve">Equation </w:t>
      </w:r>
      <w:r w:rsidR="00FF39FD">
        <w:fldChar w:fldCharType="begin"/>
      </w:r>
      <w:r w:rsidR="00FF39FD">
        <w:instrText xml:space="preserve"> SEQ Equation \* ARABIC </w:instrText>
      </w:r>
      <w:r w:rsidR="00FF39FD">
        <w:fldChar w:fldCharType="separate"/>
      </w:r>
      <w:r w:rsidR="00D73B16">
        <w:rPr>
          <w:noProof/>
        </w:rPr>
        <w:t>6</w:t>
      </w:r>
      <w:r w:rsidR="00FF39FD">
        <w:rPr>
          <w:noProof/>
        </w:rPr>
        <w:fldChar w:fldCharType="end"/>
      </w:r>
    </w:p>
    <w:p w14:paraId="79BE3FAF" w14:textId="5AAB3130" w:rsidR="000B4F67" w:rsidRPr="000B4F67" w:rsidRDefault="00FF39FD"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classes,</w:t>
      </w:r>
      <w:r w:rsidR="005B1295">
        <w:rPr>
          <w:rFonts w:eastAsiaTheme="minorEastAsia"/>
        </w:rPr>
        <w:t xml:space="preserve"> </w:t>
      </w:r>
      <w:r w:rsidR="008415CA">
        <w:rPr>
          <w:rFonts w:eastAsiaTheme="minorEastAsia"/>
        </w:rPr>
        <w:t xml:space="preserve"> which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occurrence rates of individuals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which are observed data.</w:t>
      </w:r>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44EE78D" w:rsidR="00EB1B4C" w:rsidRDefault="00EB1B4C" w:rsidP="00EB1B4C">
      <w:pPr>
        <w:pStyle w:val="Caption"/>
        <w:keepNext/>
      </w:pPr>
      <w:r>
        <w:t xml:space="preserve">Equation </w:t>
      </w:r>
      <w:r w:rsidR="00FF39FD">
        <w:fldChar w:fldCharType="begin"/>
      </w:r>
      <w:r w:rsidR="00FF39FD">
        <w:instrText xml:space="preserve"> SEQ Equation \* ARABIC </w:instrText>
      </w:r>
      <w:r w:rsidR="00FF39FD">
        <w:fldChar w:fldCharType="separate"/>
      </w:r>
      <w:r w:rsidR="00D73B16">
        <w:rPr>
          <w:noProof/>
        </w:rPr>
        <w:t>7</w:t>
      </w:r>
      <w:r w:rsidR="00FF39FD">
        <w:rPr>
          <w:noProof/>
        </w:rPr>
        <w:fldChar w:fldCharType="end"/>
      </w:r>
    </w:p>
    <w:p w14:paraId="452449EA" w14:textId="70B83413" w:rsidR="008415CA" w:rsidRPr="007B3DC9" w:rsidRDefault="00FF39FD"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1C9B94A0" w:rsidR="009A6AAC" w:rsidRDefault="007B3DC9" w:rsidP="00E01957">
      <w:pPr>
        <w:spacing w:line="360" w:lineRule="auto"/>
        <w:rPr>
          <w:rFonts w:eastAsiaTheme="minorEastAsia"/>
        </w:rPr>
      </w:pPr>
      <w:r>
        <w:rPr>
          <w:rFonts w:eastAsiaTheme="minorEastAsia"/>
        </w:rPr>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Shriver et al. 2021</w:t>
      </w:r>
      <w:r w:rsidR="000A5484">
        <w:rPr>
          <w:rFonts w:eastAsiaTheme="minorEastAsia"/>
        </w:rPr>
        <w:t>).</w:t>
      </w:r>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Doak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44F77D2C"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r w:rsidR="00FF39FD">
        <w:fldChar w:fldCharType="begin"/>
      </w:r>
      <w:r w:rsidR="00FF39FD">
        <w:instrText xml:space="preserve"> SEQ Equation \* ARABIC </w:instrText>
      </w:r>
      <w:r w:rsidR="00FF39FD">
        <w:fldChar w:fldCharType="separate"/>
      </w:r>
      <w:r w:rsidR="00D73B16">
        <w:rPr>
          <w:noProof/>
        </w:rPr>
        <w:t>8</w:t>
      </w:r>
      <w:r w:rsidR="00FF39FD">
        <w:rPr>
          <w:noProof/>
        </w:rPr>
        <w:fldChar w:fldCharType="end"/>
      </w:r>
      <w:bookmarkEnd w:id="38"/>
    </w:p>
    <w:p w14:paraId="36A0526C" w14:textId="36050D21" w:rsidR="0027112C" w:rsidRPr="00860357" w:rsidRDefault="00FF39FD"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lastRenderedPageBreak/>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r w:rsidR="00EB1B4C">
        <w:rPr>
          <w:rFonts w:eastAsiaTheme="minorEastAsia"/>
        </w:rPr>
        <w:t>alculated</w:t>
      </w:r>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xml:space="preserve">. Note that because we are modelling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4D00BE64"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divergent transitions in the Hamiltonian Monte Carlo algorithm described below</w:t>
      </w:r>
      <w:commentRangeEnd w:id="42"/>
      <w:r w:rsidR="00DA5840">
        <w:rPr>
          <w:rStyle w:val="CommentReference"/>
        </w:rPr>
        <w:commentReference w:id="42"/>
      </w:r>
      <w:r w:rsidR="00B21325">
        <w:rPr>
          <w:rFonts w:eastAsiaTheme="minorEastAsia"/>
        </w:rPr>
        <w:t xml:space="preserve">. Rather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5F1EF2">
        <w:rPr>
          <w:rFonts w:eastAsiaTheme="minorEastAsia"/>
        </w:rPr>
        <w:t>.</w:t>
      </w:r>
    </w:p>
    <w:p w14:paraId="5584BB72" w14:textId="44FB1CC0"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3B02A1C7" w:rsidR="0021304E" w:rsidRDefault="0021304E" w:rsidP="0021304E">
      <w:pPr>
        <w:pStyle w:val="Caption"/>
        <w:keepNext/>
      </w:pPr>
      <w:bookmarkStart w:id="44" w:name="_Ref93583271"/>
      <w:r>
        <w:t xml:space="preserve">Equation </w:t>
      </w:r>
      <w:r w:rsidR="00FF39FD">
        <w:fldChar w:fldCharType="begin"/>
      </w:r>
      <w:r w:rsidR="00FF39FD">
        <w:instrText xml:space="preserve"> SEQ Equation \* ARABIC </w:instrText>
      </w:r>
      <w:r w:rsidR="00FF39FD">
        <w:fldChar w:fldCharType="separate"/>
      </w:r>
      <w:r w:rsidR="00D73B16">
        <w:rPr>
          <w:noProof/>
        </w:rPr>
        <w:t>9</w:t>
      </w:r>
      <w:r w:rsidR="00FF39FD">
        <w:rPr>
          <w:noProof/>
        </w:rPr>
        <w:fldChar w:fldCharType="end"/>
      </w:r>
      <w:bookmarkEnd w:id="44"/>
    </w:p>
    <w:p w14:paraId="57B8E5BE" w14:textId="02FEF7A8" w:rsidR="008E09B2" w:rsidRDefault="00FF39FD"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r w:rsidR="00B9336D">
        <w:rPr>
          <w:rFonts w:eastAsiaTheme="minorEastAsia"/>
        </w:rPr>
        <w:t>idpoint</w:t>
      </w:r>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r w:rsidR="00B9336D">
        <w:rPr>
          <w:rFonts w:eastAsiaTheme="minorEastAsia"/>
        </w:rPr>
        <w:t>se</w:t>
      </w:r>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lastRenderedPageBreak/>
        <w:tab/>
        <w:t xml:space="preserve">Model data was prepared using the tidyverse package in R Version 4.1.1, and Bayesian parameter estimation was performed using Hamiltonion Monte Carlo as implemented in stan version 2.28.2 and the cmdstanr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commentReference w:id="46"/>
      </w:r>
      <w:r w:rsidR="00752208">
        <w:rPr>
          <w:rFonts w:eastAsiaTheme="minorEastAsia"/>
        </w:rPr>
        <w:t>packages used for data acquisition, data management, and plotting include</w:t>
      </w:r>
      <w:r w:rsidR="005D180E">
        <w:rPr>
          <w:rFonts w:eastAsiaTheme="minorEastAsia"/>
        </w:rPr>
        <w:t>:</w:t>
      </w:r>
      <w:r w:rsidR="00752208">
        <w:rPr>
          <w:rFonts w:eastAsiaTheme="minorEastAsia"/>
        </w:rPr>
        <w:t xml:space="preserve"> here, sf, spdata, bayesplot, posterior, units, raster, ggplot2, </w:t>
      </w:r>
      <w:r w:rsidR="00B65A24">
        <w:rPr>
          <w:rFonts w:eastAsiaTheme="minorEastAsia"/>
        </w:rPr>
        <w:t>USAboundaries, truncnorm</w:t>
      </w:r>
      <w:r w:rsidR="00D71062">
        <w:rPr>
          <w:rFonts w:eastAsiaTheme="minorEastAsia"/>
        </w:rPr>
        <w:t xml:space="preserve">, cowplot, foreach, </w:t>
      </w:r>
      <w:r w:rsidR="005D180E">
        <w:rPr>
          <w:rFonts w:eastAsiaTheme="minorEastAsia"/>
        </w:rPr>
        <w:t xml:space="preserve">and </w:t>
      </w:r>
      <w:commentRangeStart w:id="47"/>
      <w:r w:rsidR="00D71062">
        <w:rPr>
          <w:rFonts w:eastAsiaTheme="minorEastAsia"/>
        </w:rPr>
        <w:t>doParallel</w:t>
      </w:r>
      <w:commentRangeEnd w:id="47"/>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cmdrstan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parameters, </w:t>
      </w:r>
      <w:r w:rsidR="00366F92">
        <w:t xml:space="preserve">and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668D78BF" w:rsidR="00517F42" w:rsidRDefault="00BE4CEB" w:rsidP="00E358D9">
      <w:pPr>
        <w:spacing w:line="360" w:lineRule="auto"/>
        <w:ind w:firstLine="720"/>
        <w:rPr>
          <w:rFonts w:eastAsiaTheme="minorEastAsia"/>
        </w:rPr>
      </w:pPr>
      <w:r>
        <w:lastRenderedPageBreak/>
        <w:t xml:space="preserve">For this paper, </w:t>
      </w:r>
      <w:r w:rsidR="00D430E8">
        <w:t>two</w:t>
      </w:r>
      <w:r>
        <w:t xml:space="preserve"> suites of IPMs were constructed. The first suite of IPMs was used for estimating the parameters for the fecundity function, and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that used in the parameter estimation stage, using the </w:t>
      </w:r>
      <w:r w:rsidR="00251274">
        <w:t xml:space="preserve">same 100 size classes and 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2A390BBC" w:rsidR="00D73B16" w:rsidRDefault="00D73B16" w:rsidP="00E92F0B">
      <w:pPr>
        <w:pStyle w:val="Caption"/>
        <w:keepNext/>
      </w:pPr>
      <w:bookmarkStart w:id="52" w:name="_Ref104379758"/>
      <w:r>
        <w:t xml:space="preserve">Equation </w:t>
      </w:r>
      <w:r w:rsidR="00FF39FD">
        <w:fldChar w:fldCharType="begin"/>
      </w:r>
      <w:r w:rsidR="00FF39FD">
        <w:instrText xml:space="preserve"> SEQ Equation \* ARABIC </w:instrText>
      </w:r>
      <w:r w:rsidR="00FF39FD">
        <w:fldChar w:fldCharType="separate"/>
      </w:r>
      <w:r>
        <w:rPr>
          <w:noProof/>
        </w:rPr>
        <w:t>10</w:t>
      </w:r>
      <w:r w:rsidR="00FF39FD">
        <w:rPr>
          <w:noProof/>
        </w:rPr>
        <w:fldChar w:fldCharType="end"/>
      </w:r>
      <w:bookmarkEnd w:id="52"/>
    </w:p>
    <w:p w14:paraId="3DDF7F55" w14:textId="402B1649" w:rsidR="00251274" w:rsidRPr="00251274" w:rsidRDefault="00FF39FD"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6F49F3E3"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787085">
        <w:t xml:space="preserve">Equation </w:t>
      </w:r>
      <w:r w:rsidR="00787085">
        <w:rPr>
          <w:noProof/>
        </w:rPr>
        <w:t>8</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01B1276F"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56"/>
      <w:commentRangeStart w:id="57"/>
      <w:r>
        <w:t>Results</w:t>
      </w:r>
      <w:commentRangeEnd w:id="56"/>
      <w:r w:rsidR="000B15A1">
        <w:rPr>
          <w:rStyle w:val="CommentReference"/>
          <w:rFonts w:asciiTheme="minorHAnsi" w:eastAsiaTheme="minorHAnsi" w:hAnsiTheme="minorHAnsi" w:cstheme="minorBidi"/>
          <w:color w:val="auto"/>
        </w:rPr>
        <w:commentReference w:id="56"/>
      </w:r>
      <w:commentRangeEnd w:id="57"/>
      <w:r w:rsidR="000B15A1">
        <w:rPr>
          <w:rStyle w:val="CommentReference"/>
          <w:rFonts w:asciiTheme="minorHAnsi" w:eastAsiaTheme="minorHAnsi" w:hAnsiTheme="minorHAnsi" w:cstheme="minorBidi"/>
          <w:color w:val="auto"/>
        </w:rPr>
        <w:commentReference w:id="57"/>
      </w:r>
    </w:p>
    <w:p w14:paraId="1D0C92BA" w14:textId="03708612" w:rsidR="00540755" w:rsidRDefault="00540755" w:rsidP="00293491">
      <w:pPr>
        <w:pStyle w:val="Heading2"/>
        <w:spacing w:line="360" w:lineRule="auto"/>
      </w:pPr>
      <w:r>
        <w:t>Trends in Abundance</w:t>
      </w:r>
    </w:p>
    <w:p w14:paraId="0ED40EEC" w14:textId="157B3C5D" w:rsidR="00540755" w:rsidRPr="00E45F15" w:rsidRDefault="00540755" w:rsidP="00CB34EC">
      <w:pPr>
        <w:spacing w:line="360" w:lineRule="auto"/>
      </w:pPr>
      <w:r>
        <w:tab/>
      </w:r>
      <w:r w:rsidR="006A10AA">
        <w:t xml:space="preserve">The abundance of sugar pine on plots where it was present </w:t>
      </w:r>
      <w:r w:rsidR="00331DA8">
        <w:t xml:space="preserve">at either census </w:t>
      </w:r>
      <w:r w:rsidR="006A10AA">
        <w:t>declined between initial censuses (20</w:t>
      </w:r>
      <w:r w:rsidR="00331DA8">
        <w:t>04</w:t>
      </w:r>
      <w:r w:rsidR="006A10AA">
        <w:t>-2009) and remeasurements (201</w:t>
      </w:r>
      <w:r w:rsidR="00331DA8">
        <w:t>4</w:t>
      </w:r>
      <w:r w:rsidR="006A10AA">
        <w:t xml:space="preserve">-2019; </w:t>
      </w:r>
      <w:r w:rsidR="0085572F">
        <w:fldChar w:fldCharType="begin"/>
      </w:r>
      <w:r w:rsidR="0085572F">
        <w:instrText xml:space="preserve"> REF _Ref104988009 \h </w:instrText>
      </w:r>
      <w:r w:rsidR="0085572F">
        <w:fldChar w:fldCharType="separate"/>
      </w:r>
      <w:r w:rsidR="0085572F">
        <w:t xml:space="preserve">Figure </w:t>
      </w:r>
      <w:r w:rsidR="0085572F">
        <w:rPr>
          <w:noProof/>
        </w:rPr>
        <w:t>2</w:t>
      </w:r>
      <w:r w:rsidR="0085572F">
        <w:fldChar w:fldCharType="end"/>
      </w:r>
      <w:r w:rsidR="006A10AA">
        <w:t xml:space="preserve">). Basal area declined from a mean of </w:t>
      </w:r>
      <w:r w:rsidR="00E45F15">
        <w:t>4.</w:t>
      </w:r>
      <w:r w:rsidR="00331DA8">
        <w:t>5</w:t>
      </w:r>
      <w:r w:rsidR="00E45F15">
        <w:t>5 m</w:t>
      </w:r>
      <w:r w:rsidR="00E45F15">
        <w:rPr>
          <w:vertAlign w:val="superscript"/>
        </w:rPr>
        <w:t>2</w:t>
      </w:r>
      <w:r w:rsidR="00E45F15">
        <w:t>/ha (standard error 0.1</w:t>
      </w:r>
      <w:r w:rsidR="00331DA8">
        <w:t>8</w:t>
      </w:r>
      <w:r w:rsidR="00E45F15">
        <w:t xml:space="preserve"> m</w:t>
      </w:r>
      <w:r w:rsidR="00E45F15">
        <w:rPr>
          <w:vertAlign w:val="superscript"/>
        </w:rPr>
        <w:t>2</w:t>
      </w:r>
      <w:r w:rsidR="00E45F15">
        <w:t>/ha) to a mean of 4.</w:t>
      </w:r>
      <w:r w:rsidR="00331DA8">
        <w:t>22</w:t>
      </w:r>
      <w:r w:rsidR="00E45F15">
        <w:t xml:space="preserve"> (0.</w:t>
      </w:r>
      <w:r w:rsidR="00331DA8">
        <w:t>17</w:t>
      </w:r>
      <w:r w:rsidR="00E45F15">
        <w:t>) m</w:t>
      </w:r>
      <w:r w:rsidR="00E45F15">
        <w:rPr>
          <w:vertAlign w:val="superscript"/>
        </w:rPr>
        <w:t>2</w:t>
      </w:r>
      <w:r w:rsidR="00E45F15">
        <w:t xml:space="preserve">/ha. Stem density declined from a </w:t>
      </w:r>
      <w:r w:rsidR="00975E51">
        <w:t>221.8</w:t>
      </w:r>
      <w:r w:rsidR="00E45F15">
        <w:t xml:space="preserve"> (</w:t>
      </w:r>
      <w:r w:rsidR="00975E51">
        <w:t>21.5</w:t>
      </w:r>
      <w:r w:rsidR="00E45F15">
        <w:t xml:space="preserve">) stems/ha to </w:t>
      </w:r>
      <w:r w:rsidR="00975E51">
        <w:t>199.3</w:t>
      </w:r>
      <w:r w:rsidR="00E45F15">
        <w:t xml:space="preserve"> (</w:t>
      </w:r>
      <w:r w:rsidR="00975E51">
        <w:t>17.9</w:t>
      </w:r>
      <w:r w:rsidR="00E45F15">
        <w:t xml:space="preserve">) stems/ha. </w:t>
      </w:r>
      <w:r w:rsidR="00CB34EC">
        <w:t xml:space="preserve">Because these figures include only plots where sugar pine was present, they should be interpreted as upper bounds on the actual density of sugar pine </w:t>
      </w:r>
      <w:r w:rsidR="00CB34EC">
        <w:lastRenderedPageBreak/>
        <w:t xml:space="preserve">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t xml:space="preserve">Vital Rates </w:t>
      </w:r>
      <w:r w:rsidR="00874307">
        <w:t>Model Validation</w:t>
      </w:r>
    </w:p>
    <w:p w14:paraId="53D9844B" w14:textId="15D8C9B2"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85572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due to the fact that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8"/>
      <w:r w:rsidR="00BE0F16">
        <w:rPr>
          <w:rFonts w:eastAsiaTheme="minorEastAsia"/>
        </w:rPr>
        <w:t xml:space="preserve"> </w:t>
      </w:r>
      <w:commentRangeEnd w:id="58"/>
      <w:r w:rsidR="00B95CE0">
        <w:rPr>
          <w:rStyle w:val="CommentReference"/>
        </w:rPr>
        <w:commentReference w:id="58"/>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85572F">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xml:space="preserve">, and true survival rates were slightly higher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61208B">
        <w:rPr>
          <w:rFonts w:eastAsiaTheme="minorEastAsia"/>
        </w:rPr>
        <w:t>Some plots with relatively high predicted seedling counts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59"/>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85572F">
        <w:t>Supplementary Materials</w:t>
      </w:r>
      <w:r w:rsidR="003E04A3">
        <w:rPr>
          <w:rFonts w:eastAsiaTheme="minorEastAsia"/>
        </w:rPr>
        <w:fldChar w:fldCharType="end"/>
      </w:r>
      <w:commentRangeEnd w:id="59"/>
      <w:r w:rsidR="004C5044">
        <w:rPr>
          <w:rStyle w:val="CommentReference"/>
        </w:rPr>
        <w:commentReference w:id="59"/>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p>
    <w:p w14:paraId="7256D00B" w14:textId="76F9BA11" w:rsidR="00874307" w:rsidRDefault="00874307" w:rsidP="00293491">
      <w:pPr>
        <w:pStyle w:val="Heading2"/>
        <w:spacing w:line="360" w:lineRule="auto"/>
      </w:pPr>
      <w:r>
        <w:t>Survival</w:t>
      </w:r>
    </w:p>
    <w:p w14:paraId="03196E06" w14:textId="6557BFC4"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85572F">
        <w:t xml:space="preserve">Table </w:t>
      </w:r>
      <w:r w:rsidR="0085572F">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85572F">
        <w:t xml:space="preserve">Figure </w:t>
      </w:r>
      <w:r w:rsidR="0085572F">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survived to remeasurement. </w:t>
      </w:r>
      <w:r w:rsidR="00481C21">
        <w:t xml:space="preserve">There was a strong negative main effect of fire and a positive interaction </w:t>
      </w:r>
      <w:r w:rsidR="00481C21">
        <w:lastRenderedPageBreak/>
        <w:t>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85572F">
        <w:t xml:space="preserve">Figure </w:t>
      </w:r>
      <w:r w:rsidR="0085572F">
        <w:rPr>
          <w:noProof/>
        </w:rPr>
        <w:t>3</w:t>
      </w:r>
      <w:r w:rsidR="00481C21">
        <w:fldChar w:fldCharType="end"/>
      </w:r>
      <w:r w:rsidR="00481C21">
        <w:t>).</w:t>
      </w:r>
      <w:r w:rsidR="008E28B3">
        <w:t xml:space="preserve"> </w:t>
      </w:r>
      <w:r w:rsidR="001E0490">
        <w:t>There were moderate negative effects of WPBR and basal area on survival, and a positive 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0E3BB8E5" w:rsidR="00C358F3" w:rsidRDefault="00935912" w:rsidP="00293491">
      <w:pPr>
        <w:spacing w:line="360" w:lineRule="auto"/>
      </w:pPr>
      <w:r>
        <w:tab/>
      </w:r>
      <w:commentRangeStart w:id="60"/>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85572F">
        <w:t xml:space="preserve">Table </w:t>
      </w:r>
      <w:r w:rsidR="0085572F">
        <w:rPr>
          <w:noProof/>
        </w:rPr>
        <w:t>2</w:t>
      </w:r>
      <w:r w:rsidR="00C65DC4">
        <w:fldChar w:fldCharType="end"/>
      </w:r>
      <w:r>
        <w:t xml:space="preserve">). The effect of initial size was, as expected, very close to 1. Together, these results indicate that </w:t>
      </w:r>
      <w:r w:rsidR="00C358F3">
        <w:t>the smallest trees</w:t>
      </w:r>
      <w:r>
        <w:t xml:space="preserve"> trees grew an average </w:t>
      </w:r>
      <w:r w:rsidR="00C65DC4">
        <w:t>3.8 cm</w:t>
      </w:r>
      <w:r w:rsidR="00F365CE">
        <w:t xml:space="preserve"> DBH</w:t>
      </w:r>
      <w:r>
        <w:t xml:space="preserve"> in 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85572F">
        <w:t xml:space="preserve">Figure </w:t>
      </w:r>
      <w:r w:rsidR="0085572F">
        <w:rPr>
          <w:noProof/>
        </w:rPr>
        <w:t>4</w:t>
      </w:r>
      <w:r w:rsidR="00954945">
        <w:fldChar w:fldCharType="end"/>
      </w:r>
      <w:r w:rsidR="00954945">
        <w:t>)</w:t>
      </w:r>
      <w:r>
        <w:t xml:space="preserve">. </w:t>
      </w:r>
      <w:commentRangeEnd w:id="60"/>
      <w:r w:rsidR="001C02F2">
        <w:rPr>
          <w:rStyle w:val="CommentReference"/>
        </w:rPr>
        <w:commentReference w:id="60"/>
      </w:r>
      <w:r w:rsidR="00C358F3">
        <w:t xml:space="preserve">Fire had weak or no effect on growth of the smallest trees, but did reduce the growth of larger stems. </w:t>
      </w:r>
      <w:r w:rsidR="00FC4865">
        <w:t>By contrast, basal area reduced the growth of small stems but not large ones. Site dryness had a negative main effect and a positive interaction with initial size: For the smallest stems growth was lower 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6E87574A"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85572F">
        <w:t xml:space="preserve">Table </w:t>
      </w:r>
      <w:r w:rsidR="0085572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85572F">
        <w:t xml:space="preserve">Figure </w:t>
      </w:r>
      <w:r w:rsidR="0085572F">
        <w:rPr>
          <w:noProof/>
        </w:rPr>
        <w:t>5</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6467D35F" w:rsidR="00874307" w:rsidRPr="00874307" w:rsidRDefault="00874307" w:rsidP="00293491">
      <w:pPr>
        <w:pStyle w:val="Heading2"/>
        <w:spacing w:line="360" w:lineRule="auto"/>
      </w:pPr>
      <w:commentRangeStart w:id="61"/>
      <w:r>
        <w:t>Asymptotic</w:t>
      </w:r>
      <w:commentRangeEnd w:id="61"/>
      <w:r w:rsidR="00B95CE0">
        <w:rPr>
          <w:rStyle w:val="CommentReference"/>
          <w:rFonts w:asciiTheme="minorHAnsi" w:eastAsiaTheme="minorHAnsi" w:hAnsiTheme="minorHAnsi" w:cstheme="minorBidi"/>
          <w:color w:val="auto"/>
        </w:rPr>
        <w:commentReference w:id="61"/>
      </w:r>
      <w:r>
        <w:t xml:space="preserve"> Population Growth Rates</w:t>
      </w:r>
    </w:p>
    <w:p w14:paraId="700C5BA8" w14:textId="357BC842"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5572F">
        <w:t xml:space="preserve">Figure </w:t>
      </w:r>
      <w:r w:rsidR="0085572F">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 xml:space="preserve">(other than size) for the vital rate models are held to specific values </w:t>
      </w:r>
      <w:r w:rsidR="00097D16">
        <w:lastRenderedPageBreak/>
        <w:t>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696B3A2F" w:rsidR="009B22BB" w:rsidRDefault="00097D16" w:rsidP="00812F3F">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85572F">
        <w:t xml:space="preserve">Figure </w:t>
      </w:r>
      <w:r w:rsidR="0085572F">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p w14:paraId="01A75E00" w14:textId="56102DEE" w:rsidR="00097CE1" w:rsidRPr="009B0C1C" w:rsidRDefault="009B22BB" w:rsidP="009B0C1C">
      <w:pPr>
        <w:pStyle w:val="Heading1"/>
        <w:spacing w:line="360" w:lineRule="auto"/>
      </w:pPr>
      <w:commentRangeStart w:id="62"/>
      <w:commentRangeStart w:id="63"/>
      <w:r>
        <w:t>Discussion</w:t>
      </w:r>
      <w:commentRangeEnd w:id="62"/>
      <w:commentRangeEnd w:id="63"/>
      <w:r w:rsidR="00B95CE0">
        <w:rPr>
          <w:rStyle w:val="CommentReference"/>
          <w:rFonts w:asciiTheme="minorHAnsi" w:eastAsiaTheme="minorHAnsi" w:hAnsiTheme="minorHAnsi" w:cstheme="minorBidi"/>
          <w:color w:val="auto"/>
        </w:rPr>
        <w:commentReference w:id="62"/>
      </w:r>
      <w:r w:rsidR="008A2F91">
        <w:rPr>
          <w:rStyle w:val="CommentReference"/>
          <w:rFonts w:asciiTheme="minorHAnsi" w:eastAsiaTheme="minorHAnsi" w:hAnsiTheme="minorHAnsi" w:cstheme="minorBidi"/>
          <w:color w:val="auto"/>
        </w:rPr>
        <w:commentReference w:id="63"/>
      </w:r>
    </w:p>
    <w:p w14:paraId="7A1030DB" w14:textId="4D10B96A"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4631A83E"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xml:space="preserve">. Reduced growth rates may have particularly strong effects on the asymptotic population growth rate in species where large / </w:t>
      </w:r>
      <w:r w:rsidR="00D95337" w:rsidRPr="00F30BF0">
        <w:rPr>
          <w:rFonts w:cstheme="minorHAnsi"/>
        </w:rPr>
        <w:lastRenderedPageBreak/>
        <w:t>old individuals disproportionately contribute to reproduction</w:t>
      </w:r>
      <w:r w:rsidR="002535C7" w:rsidRPr="00F30BF0">
        <w:rPr>
          <w:rFonts w:cstheme="minorHAnsi"/>
        </w:rPr>
        <w:t xml:space="preserve"> </w:t>
      </w:r>
      <w:commentRangeStart w:id="64"/>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4"/>
      <w:r w:rsidR="008A2F91">
        <w:rPr>
          <w:rStyle w:val="CommentReference"/>
        </w:rPr>
        <w:commentReference w:id="64"/>
      </w:r>
      <w:r w:rsidR="006B3BFA">
        <w:rPr>
          <w:rFonts w:cstheme="minorHAnsi"/>
        </w:rPr>
        <w:t xml:space="preserve">; </w:t>
      </w:r>
      <w:r w:rsidR="006B3BFA" w:rsidRPr="00F30BF0">
        <w:rPr>
          <w:rFonts w:cstheme="minorHAnsi"/>
        </w:rPr>
        <w:t>Sugar pine is one 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7D66EE6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02014E">
        <w:t xml:space="preserve">Figure </w:t>
      </w:r>
      <w:r w:rsidR="0002014E">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 xml:space="preserve">Supplementary Table </w:t>
      </w:r>
      <w:r w:rsidR="009A1DFC" w:rsidRPr="00F30BF0">
        <w:rPr>
          <w:rFonts w:cstheme="minorHAnsi"/>
        </w:rPr>
        <w:fldChar w:fldCharType="end"/>
      </w:r>
      <w:r w:rsidR="00353F3B">
        <w:rPr>
          <w:rFonts w:cstheme="minorHAnsi"/>
        </w:rPr>
        <w:t>1</w:t>
      </w:r>
      <w:r w:rsidR="009A1DFC" w:rsidRPr="00F30BF0">
        <w:rPr>
          <w:rFonts w:cstheme="minorHAnsi"/>
        </w:rPr>
        <w:t xml:space="preserve">), indicating </w:t>
      </w:r>
      <w:r w:rsidR="003E6FCE">
        <w:rPr>
          <w:rFonts w:cstheme="minorHAnsi"/>
        </w:rPr>
        <w:t>a strong influence of fire on population dynamics</w:t>
      </w:r>
      <w:r w:rsidR="009A1DFC"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in reality fire is unlikely to repeatedly occur on the same site during every census interval. Instead, the asymptotic population growth rates give some insight into the overall influence of each stressor on population dynamics.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5"/>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5"/>
      <w:r w:rsidR="00A47588">
        <w:rPr>
          <w:rStyle w:val="CommentReference"/>
        </w:rPr>
        <w:commentReference w:id="6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it is clear that the disrupted fire regime is </w:t>
      </w:r>
      <w:r w:rsidR="00DD37D1">
        <w:rPr>
          <w:rFonts w:cstheme="minorHAnsi"/>
        </w:rPr>
        <w:t>a core threat</w:t>
      </w:r>
      <w:r w:rsidR="0038352F" w:rsidRPr="00F30BF0">
        <w:rPr>
          <w:rFonts w:cstheme="minorHAnsi"/>
        </w:rPr>
        <w:t xml:space="preserve"> facing sugar pine.</w:t>
      </w:r>
    </w:p>
    <w:p w14:paraId="08143CA3" w14:textId="76F1AF18"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6A10AA">
        <w:t xml:space="preserve">Figure </w:t>
      </w:r>
      <w:r w:rsidR="006A10AA">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66"/>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w:t>
      </w:r>
      <w:r w:rsidR="00093A54" w:rsidRPr="00F30BF0">
        <w:rPr>
          <w:rFonts w:cstheme="minorHAnsi"/>
        </w:rPr>
        <w:lastRenderedPageBreak/>
        <w:t xml:space="preserve">Our data may underreport the true prevalence of WPBR and overestimate the true impact of its presence on a subplot. </w:t>
      </w:r>
    </w:p>
    <w:commentRangeEnd w:id="66"/>
    <w:p w14:paraId="450DDF39" w14:textId="0D211D1D" w:rsidR="009B0C1C" w:rsidRPr="00F30BF0" w:rsidRDefault="00A47588" w:rsidP="003D3B95">
      <w:pPr>
        <w:spacing w:line="360" w:lineRule="auto"/>
        <w:ind w:firstLine="720"/>
        <w:rPr>
          <w:rFonts w:cstheme="minorHAnsi"/>
        </w:rPr>
      </w:pPr>
      <w:r>
        <w:rPr>
          <w:rStyle w:val="CommentReference"/>
        </w:rPr>
        <w:commentReference w:id="6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02014E">
        <w:t xml:space="preserve">Figure </w:t>
      </w:r>
      <w:r w:rsidR="0002014E">
        <w:rPr>
          <w:noProof/>
        </w:rPr>
        <w:t>4</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02014E">
        <w:t xml:space="preserve">Figure </w:t>
      </w:r>
      <w:r w:rsidR="0002014E">
        <w:rPr>
          <w:noProof/>
        </w:rPr>
        <w:t>3</w:t>
      </w:r>
      <w:r w:rsidR="0002014E">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Figure </w:t>
      </w:r>
      <w:r w:rsidR="0002014E">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02014E">
        <w:t xml:space="preserve">Figure </w:t>
      </w:r>
      <w:r w:rsidR="0002014E">
        <w:rPr>
          <w:noProof/>
        </w:rPr>
        <w:t>6</w:t>
      </w:r>
      <w:r w:rsidR="008569B1">
        <w:rPr>
          <w:rFonts w:cstheme="minorHAnsi"/>
        </w:rPr>
        <w:fldChar w:fldCharType="end"/>
      </w:r>
      <w:r w:rsidR="008569B1">
        <w:rPr>
          <w:rFonts w:cstheme="minorHAnsi"/>
        </w:rPr>
        <w:t>).</w:t>
      </w:r>
    </w:p>
    <w:p w14:paraId="14C4DDB5" w14:textId="1DC94238" w:rsidR="0078488A" w:rsidRDefault="00F72294" w:rsidP="003D3B95">
      <w:pPr>
        <w:spacing w:line="360" w:lineRule="auto"/>
        <w:ind w:firstLine="72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67"/>
      <w:r w:rsidR="0038352F" w:rsidRPr="00F30BF0">
        <w:rPr>
          <w:rFonts w:cstheme="minorHAnsi"/>
        </w:rPr>
        <w:t>rat</w:t>
      </w:r>
      <w:r>
        <w:rPr>
          <w:rFonts w:cstheme="minorHAnsi"/>
        </w:rPr>
        <w:t>e</w:t>
      </w:r>
      <w:commentRangeEnd w:id="67"/>
      <w:r w:rsidR="00A47588">
        <w:rPr>
          <w:rStyle w:val="CommentReference"/>
        </w:rPr>
        <w:commentReference w:id="6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6A10AA">
        <w:t xml:space="preserve">Figure </w:t>
      </w:r>
      <w:r w:rsidR="006A10AA">
        <w:rPr>
          <w:noProof/>
        </w:rPr>
        <w:t>3</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6A10AA">
        <w:t xml:space="preserve">Table </w:t>
      </w:r>
      <w:r w:rsidR="006A10AA">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w:t>
      </w:r>
      <w:r w:rsidR="004639A9" w:rsidRPr="00F30BF0">
        <w:rPr>
          <w:rFonts w:cstheme="minorHAnsi"/>
        </w:rPr>
        <w:lastRenderedPageBreak/>
        <w:t xml:space="preserve">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4</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Supplementary Table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93A54">
        <w:rPr>
          <w:rFonts w:cstheme="minorHAnsi"/>
        </w:rPr>
        <w:t>In addition, t</w:t>
      </w:r>
      <w:r w:rsidR="00093A54" w:rsidRPr="00F30BF0">
        <w:rPr>
          <w:rFonts w:cstheme="minorHAnsi"/>
        </w:rPr>
        <w:t xml:space="preserve">hough the resolution of the terraClimate data is similar to the scale at which plot coordinates are fuzzed, the </w:t>
      </w:r>
      <w:r w:rsidR="00093A54">
        <w:rPr>
          <w:rFonts w:cstheme="minorHAnsi"/>
        </w:rPr>
        <w:t xml:space="preserve">fuzzing and </w:t>
      </w:r>
      <w:r w:rsidR="00093A54" w:rsidRPr="00F30BF0">
        <w:rPr>
          <w:rFonts w:cstheme="minorHAnsi"/>
        </w:rPr>
        <w:t xml:space="preserve">swapping of plot coordinates likely introduced error between the true drought and site dryness experienced on a plot and the measured drought and site dryness appearing in our data. This </w:t>
      </w:r>
      <w:r w:rsidR="00093A54">
        <w:rPr>
          <w:rFonts w:cstheme="minorHAnsi"/>
        </w:rPr>
        <w:t xml:space="preserve">noisy measurement of climate conditions </w:t>
      </w:r>
      <w:r w:rsidR="00093A54" w:rsidRPr="00F30BF0">
        <w:rPr>
          <w:rFonts w:cstheme="minorHAnsi"/>
        </w:rPr>
        <w:t xml:space="preserve">could result in an underestimation of the </w:t>
      </w:r>
      <w:r w:rsidR="00093A54">
        <w:rPr>
          <w:rFonts w:cstheme="minorHAnsi"/>
        </w:rPr>
        <w:t xml:space="preserve">true </w:t>
      </w:r>
      <w:r w:rsidR="00093A54" w:rsidRPr="00F30BF0">
        <w:rPr>
          <w:rFonts w:cstheme="minorHAnsi"/>
        </w:rPr>
        <w:t>effects of drought and site dryness.</w:t>
      </w:r>
    </w:p>
    <w:p w14:paraId="2FEC3842" w14:textId="6194350F"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low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6A10AA">
        <w:t xml:space="preserve">Figure </w:t>
      </w:r>
      <w:r w:rsidR="006A10AA">
        <w:rPr>
          <w:noProof/>
        </w:rPr>
        <w:t>3</w:t>
      </w:r>
      <w:r w:rsidR="00BA5424">
        <w:rPr>
          <w:rFonts w:cstheme="minorHAnsi"/>
        </w:rPr>
        <w:fldChar w:fldCharType="end"/>
      </w:r>
      <w:r w:rsidR="00BA5424">
        <w:rPr>
          <w:rFonts w:cstheme="minorHAnsi"/>
        </w:rPr>
        <w:t>)</w:t>
      </w:r>
      <w:r>
        <w:rPr>
          <w:rFonts w:cstheme="minorHAnsi"/>
        </w:rPr>
        <w:t xml:space="preserve">. </w:t>
      </w:r>
      <w:r w:rsidR="00D430E8">
        <w:rPr>
          <w:rFonts w:cstheme="minorHAnsi"/>
        </w:rPr>
        <w:t>One possible explanation is b</w:t>
      </w:r>
      <w:r w:rsidR="00BA5424">
        <w:rPr>
          <w:rFonts w:cstheme="minorHAnsi"/>
        </w:rPr>
        <w:t>ark beetles</w:t>
      </w:r>
      <w:r w:rsidR="00D430E8">
        <w:rPr>
          <w:rFonts w:cstheme="minorHAnsi"/>
        </w:rPr>
        <w:t xml:space="preserve">, which </w:t>
      </w:r>
      <w:r w:rsidR="00BA5424">
        <w:rPr>
          <w:rFonts w:cstheme="minorHAnsi"/>
        </w:rPr>
        <w:t xml:space="preserve">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0630767C" w:rsidR="009B0C1C" w:rsidRPr="00F30BF0" w:rsidRDefault="009B0C1C" w:rsidP="003D3B95">
      <w:pPr>
        <w:spacing w:line="360" w:lineRule="auto"/>
        <w:ind w:firstLine="720"/>
        <w:rPr>
          <w:rFonts w:cstheme="minorHAnsi"/>
        </w:rPr>
      </w:pPr>
      <w:r w:rsidRPr="00F30BF0">
        <w:rPr>
          <w:rFonts w:cstheme="minorHAnsi"/>
        </w:rPr>
        <w:t xml:space="preserve">An important limitation of this study is that we did not test for interaction between stressors in shaping vital rates of sugar pine. </w:t>
      </w:r>
      <w:r w:rsidR="0058682C">
        <w:rPr>
          <w:rFonts w:cstheme="minorHAnsi"/>
        </w:rPr>
        <w:t xml:space="preserve">We did not test for interactions because including numerous three-way interactions between size and two stressors would have resulted in difficult-to-interpret vital rate models. </w:t>
      </w:r>
      <w:r w:rsidRPr="00F30BF0">
        <w:rPr>
          <w:rFonts w:cstheme="minorHAnsi"/>
        </w:rPr>
        <w:t>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68"/>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w:t>
      </w:r>
      <w:r w:rsidR="00D70E5C" w:rsidRPr="00F30BF0">
        <w:rPr>
          <w:rFonts w:cstheme="minorHAnsi"/>
        </w:rPr>
        <w:lastRenderedPageBreak/>
        <w:t xml:space="preserve">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Drought and density both alter the fuelbed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D430E8">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resistance","type":"article-journal","volume":"59"},"uris":["http://www.mendeley.com/documents/?uuid=b5c155df-c555-4ef7-9f91-84c15344a5b7"]}],"mendeley":{"formattedCitation":"(Young &lt;i&gt;et al.&lt;/i&gt;, 2017; Furniss &lt;i&gt;et al.&lt;/i&gt;, 2021; Bradford &lt;i&gt;et al.&lt;/i&gt;, 2022)","plainTextFormattedCitation":"(Young et al., 2017; Furniss et al., 2021; Bradford et al., 2022)","previouslyFormattedCitation":"(Young &lt;i&gt;et al.&lt;/i&gt;, 2017; Bradford &lt;i&gt;et al.&lt;/i&gt;, 2021; Furniss &lt;i&gt;et al.&lt;/i&gt;, 2021)"},"properties":{"noteIndex":0},"schema":"https://github.com/citation-style-language/schema/raw/master/csl-citation.json"}</w:instrText>
      </w:r>
      <w:r w:rsidR="00307D27">
        <w:rPr>
          <w:rFonts w:cstheme="minorHAnsi"/>
        </w:rPr>
        <w:fldChar w:fldCharType="separate"/>
      </w:r>
      <w:r w:rsidR="00D430E8" w:rsidRPr="00D430E8">
        <w:rPr>
          <w:rFonts w:cstheme="minorHAnsi"/>
          <w:noProof/>
        </w:rPr>
        <w:t xml:space="preserve">(Young </w:t>
      </w:r>
      <w:r w:rsidR="00D430E8" w:rsidRPr="00D430E8">
        <w:rPr>
          <w:rFonts w:cstheme="minorHAnsi"/>
          <w:i/>
          <w:noProof/>
        </w:rPr>
        <w:t>et al.</w:t>
      </w:r>
      <w:r w:rsidR="00D430E8" w:rsidRPr="00D430E8">
        <w:rPr>
          <w:rFonts w:cstheme="minorHAnsi"/>
          <w:noProof/>
        </w:rPr>
        <w:t xml:space="preserve">, 2017; Furniss </w:t>
      </w:r>
      <w:r w:rsidR="00D430E8" w:rsidRPr="00D430E8">
        <w:rPr>
          <w:rFonts w:cstheme="minorHAnsi"/>
          <w:i/>
          <w:noProof/>
        </w:rPr>
        <w:t>et al.</w:t>
      </w:r>
      <w:r w:rsidR="00D430E8" w:rsidRPr="00D430E8">
        <w:rPr>
          <w:rFonts w:cstheme="minorHAnsi"/>
          <w:noProof/>
        </w:rPr>
        <w:t xml:space="preserve">, 2021; Bradford </w:t>
      </w:r>
      <w:r w:rsidR="00D430E8" w:rsidRPr="00D430E8">
        <w:rPr>
          <w:rFonts w:cstheme="minorHAnsi"/>
          <w:i/>
          <w:noProof/>
        </w:rPr>
        <w:t>et al.</w:t>
      </w:r>
      <w:r w:rsidR="00D430E8" w:rsidRPr="00D430E8">
        <w:rPr>
          <w:rFonts w:cstheme="minorHAnsi"/>
          <w:noProof/>
        </w:rPr>
        <w:t>, 2022)</w:t>
      </w:r>
      <w:r w:rsidR="00307D27">
        <w:rPr>
          <w:rFonts w:cstheme="minorHAnsi"/>
        </w:rPr>
        <w:fldChar w:fldCharType="end"/>
      </w:r>
      <w:r w:rsidR="00307D27">
        <w:rPr>
          <w:rFonts w:cstheme="minorHAnsi"/>
        </w:rPr>
        <w:t xml:space="preserve">. </w:t>
      </w:r>
      <w:commentRangeStart w:id="6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69"/>
      <w:r w:rsidR="002626E1">
        <w:rPr>
          <w:rStyle w:val="CommentReference"/>
        </w:rPr>
        <w:commentReference w:id="69"/>
      </w:r>
      <w:r w:rsidR="006838F2" w:rsidRPr="00F30BF0">
        <w:rPr>
          <w:rFonts w:cstheme="minorHAnsi"/>
        </w:rPr>
        <w:t xml:space="preserve">Exploring how stressors are likely to interact and shape population dynamics is another goal for future research. </w:t>
      </w:r>
      <w:commentRangeEnd w:id="68"/>
      <w:r w:rsidR="00832E90">
        <w:rPr>
          <w:rStyle w:val="CommentReference"/>
        </w:rPr>
        <w:commentReference w:id="68"/>
      </w:r>
    </w:p>
    <w:p w14:paraId="1734FEBC" w14:textId="0A1C62DC"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0"/>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70"/>
      <w:r w:rsidR="00B13331">
        <w:rPr>
          <w:rStyle w:val="CommentReference"/>
        </w:rPr>
        <w:commentReference w:id="7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71"/>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71"/>
      <w:r w:rsidR="00832E90">
        <w:rPr>
          <w:rStyle w:val="CommentReference"/>
        </w:rPr>
        <w:commentReference w:id="7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72"/>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73"/>
      <w:r w:rsidR="0021575D" w:rsidRPr="00F30BF0">
        <w:rPr>
          <w:rFonts w:cstheme="minorHAnsi"/>
        </w:rPr>
        <w:t>rust</w:t>
      </w:r>
      <w:commentRangeEnd w:id="73"/>
      <w:r w:rsidR="00832E90">
        <w:rPr>
          <w:rStyle w:val="CommentReference"/>
        </w:rPr>
        <w:commentReference w:id="73"/>
      </w:r>
      <w:r w:rsidR="0021575D" w:rsidRPr="00F30BF0">
        <w:rPr>
          <w:rFonts w:cstheme="minorHAnsi"/>
        </w:rPr>
        <w:t>.</w:t>
      </w:r>
      <w:commentRangeEnd w:id="72"/>
      <w:r w:rsidR="002626E1">
        <w:rPr>
          <w:rStyle w:val="CommentReference"/>
        </w:rPr>
        <w:commentReference w:id="72"/>
      </w:r>
    </w:p>
    <w:p w14:paraId="36A15EFE" w14:textId="393E695D" w:rsidR="00EB4A84" w:rsidRDefault="0038352F" w:rsidP="00277ED1">
      <w:pPr>
        <w:spacing w:line="360" w:lineRule="auto"/>
        <w:rPr>
          <w:rFonts w:cstheme="minorHAnsi"/>
          <w:sz w:val="20"/>
          <w:szCs w:val="20"/>
        </w:rPr>
      </w:pPr>
      <w:r>
        <w:rPr>
          <w:rFonts w:cstheme="minorHAnsi"/>
          <w:sz w:val="20"/>
          <w:szCs w:val="20"/>
        </w:rPr>
        <w:lastRenderedPageBreak/>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16286251" w14:textId="436E908D" w:rsidR="00D430E8" w:rsidRPr="00D430E8" w:rsidRDefault="00EB4A84" w:rsidP="00D430E8">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D430E8" w:rsidRPr="00D430E8">
        <w:rPr>
          <w:rFonts w:ascii="Calibri" w:hAnsi="Calibri" w:cs="Calibri"/>
          <w:noProof/>
          <w:szCs w:val="24"/>
        </w:rPr>
        <w:t xml:space="preserve">Abatzoglou, J. T. </w:t>
      </w:r>
      <w:r w:rsidR="00D430E8" w:rsidRPr="00D430E8">
        <w:rPr>
          <w:rFonts w:ascii="Calibri" w:hAnsi="Calibri" w:cs="Calibri"/>
          <w:i/>
          <w:iCs/>
          <w:noProof/>
          <w:szCs w:val="24"/>
        </w:rPr>
        <w:t>et al.</w:t>
      </w:r>
      <w:r w:rsidR="00D430E8" w:rsidRPr="00D430E8">
        <w:rPr>
          <w:rFonts w:ascii="Calibri" w:hAnsi="Calibri" w:cs="Calibri"/>
          <w:noProof/>
          <w:szCs w:val="24"/>
        </w:rPr>
        <w:t xml:space="preserve"> (2018) ‘TerraClimate, a high-resolution global dataset of monthly climate and climatic water balance from 1958-2015’, </w:t>
      </w:r>
      <w:r w:rsidR="00D430E8" w:rsidRPr="00D430E8">
        <w:rPr>
          <w:rFonts w:ascii="Calibri" w:hAnsi="Calibri" w:cs="Calibri"/>
          <w:i/>
          <w:iCs/>
          <w:noProof/>
          <w:szCs w:val="24"/>
        </w:rPr>
        <w:t>Scientific Data</w:t>
      </w:r>
      <w:r w:rsidR="00D430E8" w:rsidRPr="00D430E8">
        <w:rPr>
          <w:rFonts w:ascii="Calibri" w:hAnsi="Calibri" w:cs="Calibri"/>
          <w:noProof/>
          <w:szCs w:val="24"/>
        </w:rPr>
        <w:t>, 5, pp. 1–12. doi: 10.1038/sdata.2017.191.</w:t>
      </w:r>
    </w:p>
    <w:p w14:paraId="26507FE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Aitken, S. N. and Whitlock, M. C. (2013) ‘Assisted Gene Flow to Facilitate Local Adaptation to Climate Change’, </w:t>
      </w:r>
      <w:r w:rsidRPr="00D430E8">
        <w:rPr>
          <w:rFonts w:ascii="Calibri" w:hAnsi="Calibri" w:cs="Calibri"/>
          <w:i/>
          <w:iCs/>
          <w:noProof/>
          <w:szCs w:val="24"/>
        </w:rPr>
        <w:t>Annual Review of Ecology, evolution, and Systematics</w:t>
      </w:r>
      <w:r w:rsidRPr="00D430E8">
        <w:rPr>
          <w:rFonts w:ascii="Calibri" w:hAnsi="Calibri" w:cs="Calibri"/>
          <w:noProof/>
          <w:szCs w:val="24"/>
        </w:rPr>
        <w:t>, 44, pp. 367–88. doi: 10.1146/annurev-ecolsys-110512-135747.</w:t>
      </w:r>
    </w:p>
    <w:p w14:paraId="794705B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Alizadeh, M. R. </w:t>
      </w:r>
      <w:r w:rsidRPr="00D430E8">
        <w:rPr>
          <w:rFonts w:ascii="Calibri" w:hAnsi="Calibri" w:cs="Calibri"/>
          <w:i/>
          <w:iCs/>
          <w:noProof/>
          <w:szCs w:val="24"/>
        </w:rPr>
        <w:t>et al.</w:t>
      </w:r>
      <w:r w:rsidRPr="00D430E8">
        <w:rPr>
          <w:rFonts w:ascii="Calibri" w:hAnsi="Calibri" w:cs="Calibri"/>
          <w:noProof/>
          <w:szCs w:val="24"/>
        </w:rPr>
        <w:t xml:space="preserve"> (2021) ‘Warming enabled upslope advance in western US forest fires’, </w:t>
      </w:r>
      <w:r w:rsidRPr="00D430E8">
        <w:rPr>
          <w:rFonts w:ascii="Calibri" w:hAnsi="Calibri" w:cs="Calibri"/>
          <w:i/>
          <w:iCs/>
          <w:noProof/>
          <w:szCs w:val="24"/>
        </w:rPr>
        <w:t>Proceedings of the National Academy of Sciences of the United States of America</w:t>
      </w:r>
      <w:r w:rsidRPr="00D430E8">
        <w:rPr>
          <w:rFonts w:ascii="Calibri" w:hAnsi="Calibri" w:cs="Calibri"/>
          <w:noProof/>
          <w:szCs w:val="24"/>
        </w:rPr>
        <w:t>, 118(22), pp. 1–14. doi: 10.1073/pnas.2009717118.</w:t>
      </w:r>
    </w:p>
    <w:p w14:paraId="34B3776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Angell, N., Waring, K. M. and Graves, T. A. (2014) ‘Predicting height growth of sugar pine regeneration using stand and individual tree characteristics’, </w:t>
      </w:r>
      <w:r w:rsidRPr="00D430E8">
        <w:rPr>
          <w:rFonts w:ascii="Calibri" w:hAnsi="Calibri" w:cs="Calibri"/>
          <w:i/>
          <w:iCs/>
          <w:noProof/>
          <w:szCs w:val="24"/>
        </w:rPr>
        <w:t>Forestry</w:t>
      </w:r>
      <w:r w:rsidRPr="00D430E8">
        <w:rPr>
          <w:rFonts w:ascii="Calibri" w:hAnsi="Calibri" w:cs="Calibri"/>
          <w:noProof/>
          <w:szCs w:val="24"/>
        </w:rPr>
        <w:t>, 87(1), pp. 85–97. doi: 10.1093/forestry/cpt028.</w:t>
      </w:r>
    </w:p>
    <w:p w14:paraId="63F790B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D430E8">
        <w:rPr>
          <w:rFonts w:ascii="Calibri" w:hAnsi="Calibri" w:cs="Calibri"/>
          <w:i/>
          <w:iCs/>
          <w:noProof/>
          <w:szCs w:val="24"/>
        </w:rPr>
        <w:t>The Journal of the Torrey Botanical Society</w:t>
      </w:r>
      <w:r w:rsidRPr="00D430E8">
        <w:rPr>
          <w:rFonts w:ascii="Calibri" w:hAnsi="Calibri" w:cs="Calibri"/>
          <w:noProof/>
          <w:szCs w:val="24"/>
        </w:rPr>
        <w:t>, 125(4), pp. 297–308.</w:t>
      </w:r>
    </w:p>
    <w:p w14:paraId="2B788DF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Bechtold, W. A. and Patterson, P. L. (2005) ‘The Enhanced Forest Inventory and Analysis Program — National Sampling Design and Estimation Procedures’, </w:t>
      </w:r>
      <w:r w:rsidRPr="00D430E8">
        <w:rPr>
          <w:rFonts w:ascii="Calibri" w:hAnsi="Calibri" w:cs="Calibri"/>
          <w:i/>
          <w:iCs/>
          <w:noProof/>
          <w:szCs w:val="24"/>
        </w:rPr>
        <w:t>USDA General Technical Report</w:t>
      </w:r>
      <w:r w:rsidRPr="00D430E8">
        <w:rPr>
          <w:rFonts w:ascii="Calibri" w:hAnsi="Calibri" w:cs="Calibri"/>
          <w:noProof/>
          <w:szCs w:val="24"/>
        </w:rPr>
        <w:t>, SRS-80, p. 85.</w:t>
      </w:r>
    </w:p>
    <w:p w14:paraId="4AEACE0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D430E8">
        <w:rPr>
          <w:rFonts w:ascii="Calibri" w:hAnsi="Calibri" w:cs="Calibri"/>
          <w:i/>
          <w:iCs/>
          <w:noProof/>
          <w:szCs w:val="24"/>
        </w:rPr>
        <w:t>Global Ecology and Biogeography</w:t>
      </w:r>
      <w:r w:rsidRPr="00D430E8">
        <w:rPr>
          <w:rFonts w:ascii="Calibri" w:hAnsi="Calibri" w:cs="Calibri"/>
          <w:noProof/>
          <w:szCs w:val="24"/>
        </w:rPr>
        <w:t>, 23(2), pp. 168–180. doi: 10.1111/geb.12109.</w:t>
      </w:r>
    </w:p>
    <w:p w14:paraId="2CEF2DE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D430E8">
        <w:rPr>
          <w:rFonts w:ascii="Calibri" w:hAnsi="Calibri" w:cs="Calibri"/>
          <w:i/>
          <w:iCs/>
          <w:noProof/>
          <w:szCs w:val="24"/>
        </w:rPr>
        <w:t>Gen. Tech. Rep. PSW-GTR-273. Albany, CA: US Department of Agriculture, Forest Service, Pacific Southwest Research Station. 146 p.</w:t>
      </w:r>
      <w:r w:rsidRPr="00D430E8">
        <w:rPr>
          <w:rFonts w:ascii="Calibri" w:hAnsi="Calibri" w:cs="Calibri"/>
          <w:noProof/>
          <w:szCs w:val="24"/>
        </w:rPr>
        <w:t>, 273(November).</w:t>
      </w:r>
    </w:p>
    <w:p w14:paraId="6EC0A95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Bohner, T. and Diez, J. (2021) ‘Tree resistance and recovery from drought mediated by multiple abiotic and biotic processes across a large geographic gradient’, </w:t>
      </w:r>
      <w:r w:rsidRPr="00D430E8">
        <w:rPr>
          <w:rFonts w:ascii="Calibri" w:hAnsi="Calibri" w:cs="Calibri"/>
          <w:i/>
          <w:iCs/>
          <w:noProof/>
          <w:szCs w:val="24"/>
        </w:rPr>
        <w:t>Science of The Total Environment</w:t>
      </w:r>
      <w:r w:rsidRPr="00D430E8">
        <w:rPr>
          <w:rFonts w:ascii="Calibri" w:hAnsi="Calibri" w:cs="Calibri"/>
          <w:noProof/>
          <w:szCs w:val="24"/>
        </w:rPr>
        <w:t>, 789, p. 147744. doi: 10.1016/j.scitotenv.2021.147744.</w:t>
      </w:r>
    </w:p>
    <w:p w14:paraId="702D782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Bradford, J. B. </w:t>
      </w:r>
      <w:r w:rsidRPr="00D430E8">
        <w:rPr>
          <w:rFonts w:ascii="Calibri" w:hAnsi="Calibri" w:cs="Calibri"/>
          <w:i/>
          <w:iCs/>
          <w:noProof/>
          <w:szCs w:val="24"/>
        </w:rPr>
        <w:t>et al.</w:t>
      </w:r>
      <w:r w:rsidRPr="00D430E8">
        <w:rPr>
          <w:rFonts w:ascii="Calibri" w:hAnsi="Calibri" w:cs="Calibri"/>
          <w:noProof/>
          <w:szCs w:val="24"/>
        </w:rPr>
        <w:t xml:space="preserve"> (2022) ‘Tree mortality response to drought-density interactions suggests opportunities to enhance drought resistance’, </w:t>
      </w:r>
      <w:r w:rsidRPr="00D430E8">
        <w:rPr>
          <w:rFonts w:ascii="Calibri" w:hAnsi="Calibri" w:cs="Calibri"/>
          <w:i/>
          <w:iCs/>
          <w:noProof/>
          <w:szCs w:val="24"/>
        </w:rPr>
        <w:t>Journal of Applied Ecology</w:t>
      </w:r>
      <w:r w:rsidRPr="00D430E8">
        <w:rPr>
          <w:rFonts w:ascii="Calibri" w:hAnsi="Calibri" w:cs="Calibri"/>
          <w:noProof/>
          <w:szCs w:val="24"/>
        </w:rPr>
        <w:t>, 59(2), pp. 549–559. doi: 10.1111/1365-2664.14073.</w:t>
      </w:r>
    </w:p>
    <w:p w14:paraId="1B681CB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Bronson, J., Petrick, J. and Danchok, R. (2018) ‘Efficacy of Early Pruning to Reduce the Incidence of White Pine Blister Rust on Sugar Pine ( Pinus lambertiana )’, pp. 205–208.</w:t>
      </w:r>
    </w:p>
    <w:p w14:paraId="042214D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Collins, B. M. </w:t>
      </w:r>
      <w:r w:rsidRPr="00D430E8">
        <w:rPr>
          <w:rFonts w:ascii="Calibri" w:hAnsi="Calibri" w:cs="Calibri"/>
          <w:i/>
          <w:iCs/>
          <w:noProof/>
          <w:szCs w:val="24"/>
        </w:rPr>
        <w:t>et al.</w:t>
      </w:r>
      <w:r w:rsidRPr="00D430E8">
        <w:rPr>
          <w:rFonts w:ascii="Calibri" w:hAnsi="Calibri" w:cs="Calibri"/>
          <w:noProof/>
          <w:szCs w:val="24"/>
        </w:rPr>
        <w:t xml:space="preserve"> (2014) ‘Beyond Reducing Fire Hazard’, </w:t>
      </w:r>
      <w:r w:rsidRPr="00D430E8">
        <w:rPr>
          <w:rFonts w:ascii="Calibri" w:hAnsi="Calibri" w:cs="Calibri"/>
          <w:i/>
          <w:iCs/>
          <w:noProof/>
          <w:szCs w:val="24"/>
        </w:rPr>
        <w:t>Ecological Applications</w:t>
      </w:r>
      <w:r w:rsidRPr="00D430E8">
        <w:rPr>
          <w:rFonts w:ascii="Calibri" w:hAnsi="Calibri" w:cs="Calibri"/>
          <w:noProof/>
          <w:szCs w:val="24"/>
        </w:rPr>
        <w:t>, 24(8), pp. 1879–1886. doi: 10.1890/14-0971.1.</w:t>
      </w:r>
    </w:p>
    <w:p w14:paraId="2A8526D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Coop, J. D. </w:t>
      </w:r>
      <w:r w:rsidRPr="00D430E8">
        <w:rPr>
          <w:rFonts w:ascii="Calibri" w:hAnsi="Calibri" w:cs="Calibri"/>
          <w:i/>
          <w:iCs/>
          <w:noProof/>
          <w:szCs w:val="24"/>
        </w:rPr>
        <w:t>et al.</w:t>
      </w:r>
      <w:r w:rsidRPr="00D430E8">
        <w:rPr>
          <w:rFonts w:ascii="Calibri" w:hAnsi="Calibri" w:cs="Calibri"/>
          <w:noProof/>
          <w:szCs w:val="24"/>
        </w:rPr>
        <w:t xml:space="preserve"> (2020) ‘Wildfire-Driven Forest Conversion in Western North American Landscapes’, </w:t>
      </w:r>
      <w:r w:rsidRPr="00D430E8">
        <w:rPr>
          <w:rFonts w:ascii="Calibri" w:hAnsi="Calibri" w:cs="Calibri"/>
          <w:i/>
          <w:iCs/>
          <w:noProof/>
          <w:szCs w:val="24"/>
        </w:rPr>
        <w:t>BioScience</w:t>
      </w:r>
      <w:r w:rsidRPr="00D430E8">
        <w:rPr>
          <w:rFonts w:ascii="Calibri" w:hAnsi="Calibri" w:cs="Calibri"/>
          <w:noProof/>
          <w:szCs w:val="24"/>
        </w:rPr>
        <w:t>, 70(8), pp. 659–673. doi: 10.1093/biosci/biaa061.</w:t>
      </w:r>
    </w:p>
    <w:p w14:paraId="5130A1B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w:t>
      </w:r>
      <w:r w:rsidRPr="00D430E8">
        <w:rPr>
          <w:rFonts w:ascii="Calibri" w:hAnsi="Calibri" w:cs="Calibri"/>
          <w:i/>
          <w:iCs/>
          <w:noProof/>
          <w:szCs w:val="24"/>
        </w:rPr>
        <w:t>et al.</w:t>
      </w:r>
      <w:r w:rsidRPr="00D430E8">
        <w:rPr>
          <w:rFonts w:ascii="Calibri" w:hAnsi="Calibri" w:cs="Calibri"/>
          <w:noProof/>
          <w:szCs w:val="24"/>
        </w:rPr>
        <w:t xml:space="preserve"> (2008) ‘Spatial elements of mortality risk in old-growth forests’, </w:t>
      </w:r>
      <w:r w:rsidRPr="00D430E8">
        <w:rPr>
          <w:rFonts w:ascii="Calibri" w:hAnsi="Calibri" w:cs="Calibri"/>
          <w:i/>
          <w:iCs/>
          <w:noProof/>
          <w:szCs w:val="24"/>
        </w:rPr>
        <w:t>Ecology</w:t>
      </w:r>
      <w:r w:rsidRPr="00D430E8">
        <w:rPr>
          <w:rFonts w:ascii="Calibri" w:hAnsi="Calibri" w:cs="Calibri"/>
          <w:noProof/>
          <w:szCs w:val="24"/>
        </w:rPr>
        <w:t>, 89(6), pp. 1744–1756. doi: 10.1890/07-0524.1.</w:t>
      </w:r>
    </w:p>
    <w:p w14:paraId="51B88A2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(2012) ‘The effect of size and competition on tree growth rate in old-growth coniferous forests’, </w:t>
      </w:r>
      <w:r w:rsidRPr="00D430E8">
        <w:rPr>
          <w:rFonts w:ascii="Calibri" w:hAnsi="Calibri" w:cs="Calibri"/>
          <w:i/>
          <w:iCs/>
          <w:noProof/>
          <w:szCs w:val="24"/>
        </w:rPr>
        <w:lastRenderedPageBreak/>
        <w:t>Canadian Journal of Forest Research</w:t>
      </w:r>
      <w:r w:rsidRPr="00D430E8">
        <w:rPr>
          <w:rFonts w:ascii="Calibri" w:hAnsi="Calibri" w:cs="Calibri"/>
          <w:noProof/>
          <w:szCs w:val="24"/>
        </w:rPr>
        <w:t>, 42(11), pp. 1983–1995. doi: 10.1139/x2012-142.</w:t>
      </w:r>
    </w:p>
    <w:p w14:paraId="2F98B52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J. </w:t>
      </w:r>
      <w:r w:rsidRPr="00D430E8">
        <w:rPr>
          <w:rFonts w:ascii="Calibri" w:hAnsi="Calibri" w:cs="Calibri"/>
          <w:i/>
          <w:iCs/>
          <w:noProof/>
          <w:szCs w:val="24"/>
        </w:rPr>
        <w:t>et al.</w:t>
      </w:r>
      <w:r w:rsidRPr="00D430E8">
        <w:rPr>
          <w:rFonts w:ascii="Calibri" w:hAnsi="Calibri" w:cs="Calibri"/>
          <w:noProof/>
          <w:szCs w:val="24"/>
        </w:rPr>
        <w:t xml:space="preserve"> (2007) ‘The relationship between tree growth patterns and likelihood of mortality: A study of two tree species in the Sierra Nevada’, </w:t>
      </w:r>
      <w:r w:rsidRPr="00D430E8">
        <w:rPr>
          <w:rFonts w:ascii="Calibri" w:hAnsi="Calibri" w:cs="Calibri"/>
          <w:i/>
          <w:iCs/>
          <w:noProof/>
          <w:szCs w:val="24"/>
        </w:rPr>
        <w:t>Canadian Journal of Forest Research</w:t>
      </w:r>
      <w:r w:rsidRPr="00D430E8">
        <w:rPr>
          <w:rFonts w:ascii="Calibri" w:hAnsi="Calibri" w:cs="Calibri"/>
          <w:noProof/>
          <w:szCs w:val="24"/>
        </w:rPr>
        <w:t>, 37(3), pp. 580–597. doi: 10.1139/X06-262.</w:t>
      </w:r>
    </w:p>
    <w:p w14:paraId="1069D7A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J. </w:t>
      </w:r>
      <w:r w:rsidRPr="00D430E8">
        <w:rPr>
          <w:rFonts w:ascii="Calibri" w:hAnsi="Calibri" w:cs="Calibri"/>
          <w:i/>
          <w:iCs/>
          <w:noProof/>
          <w:szCs w:val="24"/>
        </w:rPr>
        <w:t>et al.</w:t>
      </w:r>
      <w:r w:rsidRPr="00D430E8">
        <w:rPr>
          <w:rFonts w:ascii="Calibri" w:hAnsi="Calibri" w:cs="Calibri"/>
          <w:noProof/>
          <w:szCs w:val="24"/>
        </w:rPr>
        <w:t xml:space="preserve"> (2013) ‘Climatic Correlates of Tree Mortality in Water- and Energy-Limited Forests’, </w:t>
      </w:r>
      <w:r w:rsidRPr="00D430E8">
        <w:rPr>
          <w:rFonts w:ascii="Calibri" w:hAnsi="Calibri" w:cs="Calibri"/>
          <w:i/>
          <w:iCs/>
          <w:noProof/>
          <w:szCs w:val="24"/>
        </w:rPr>
        <w:t>PLoS ONE</w:t>
      </w:r>
      <w:r w:rsidRPr="00D430E8">
        <w:rPr>
          <w:rFonts w:ascii="Calibri" w:hAnsi="Calibri" w:cs="Calibri"/>
          <w:noProof/>
          <w:szCs w:val="24"/>
        </w:rPr>
        <w:t>, 8(7). doi: 10.1371/journal.pone.0069917.</w:t>
      </w:r>
    </w:p>
    <w:p w14:paraId="4784117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Davis, K. T. </w:t>
      </w:r>
      <w:r w:rsidRPr="00D430E8">
        <w:rPr>
          <w:rFonts w:ascii="Calibri" w:hAnsi="Calibri" w:cs="Calibri"/>
          <w:i/>
          <w:iCs/>
          <w:noProof/>
          <w:szCs w:val="24"/>
        </w:rPr>
        <w:t>et al.</w:t>
      </w:r>
      <w:r w:rsidRPr="00D430E8">
        <w:rPr>
          <w:rFonts w:ascii="Calibri" w:hAnsi="Calibri" w:cs="Calibri"/>
          <w:noProof/>
          <w:szCs w:val="24"/>
        </w:rPr>
        <w:t xml:space="preserve"> (2019) ‘Wildfires and climate change push low-elevation forests across a critical climate threshold for tree regeneration’, </w:t>
      </w:r>
      <w:r w:rsidRPr="00D430E8">
        <w:rPr>
          <w:rFonts w:ascii="Calibri" w:hAnsi="Calibri" w:cs="Calibri"/>
          <w:i/>
          <w:iCs/>
          <w:noProof/>
          <w:szCs w:val="24"/>
        </w:rPr>
        <w:t>Proceedings of the National Academy of Sciences of the United States of America</w:t>
      </w:r>
      <w:r w:rsidRPr="00D430E8">
        <w:rPr>
          <w:rFonts w:ascii="Calibri" w:hAnsi="Calibri" w:cs="Calibri"/>
          <w:noProof/>
          <w:szCs w:val="24"/>
        </w:rPr>
        <w:t>, 116(13), pp. 6193–6198. doi: 10.1073/pnas.1815107116.</w:t>
      </w:r>
    </w:p>
    <w:p w14:paraId="309FDC1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Davis, R. S., Hood, S. and Bentz, B. J. (2012) ‘Fire-injured ponderosa pine provide a pulsed resource for bark beetles’, </w:t>
      </w:r>
      <w:r w:rsidRPr="00D430E8">
        <w:rPr>
          <w:rFonts w:ascii="Calibri" w:hAnsi="Calibri" w:cs="Calibri"/>
          <w:i/>
          <w:iCs/>
          <w:noProof/>
          <w:szCs w:val="24"/>
        </w:rPr>
        <w:t>Canadian Journal of Forest Research-Revue Canadienne De Recherche Forestiere</w:t>
      </w:r>
      <w:r w:rsidRPr="00D430E8">
        <w:rPr>
          <w:rFonts w:ascii="Calibri" w:hAnsi="Calibri" w:cs="Calibri"/>
          <w:noProof/>
          <w:szCs w:val="24"/>
        </w:rPr>
        <w:t>, 42(12), pp. 2022–2036. doi: 10.1139/x2012-147.</w:t>
      </w:r>
    </w:p>
    <w:p w14:paraId="7FCB964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Dudney, J. </w:t>
      </w:r>
      <w:r w:rsidRPr="00D430E8">
        <w:rPr>
          <w:rFonts w:ascii="Calibri" w:hAnsi="Calibri" w:cs="Calibri"/>
          <w:i/>
          <w:iCs/>
          <w:noProof/>
          <w:szCs w:val="24"/>
        </w:rPr>
        <w:t>et al.</w:t>
      </w:r>
      <w:r w:rsidRPr="00D430E8">
        <w:rPr>
          <w:rFonts w:ascii="Calibri" w:hAnsi="Calibri" w:cs="Calibri"/>
          <w:noProof/>
          <w:szCs w:val="24"/>
        </w:rPr>
        <w:t xml:space="preserve"> (2021) ‘Nonlinear shifts in infectious rust disease due to climate change’, </w:t>
      </w:r>
      <w:r w:rsidRPr="00D430E8">
        <w:rPr>
          <w:rFonts w:ascii="Calibri" w:hAnsi="Calibri" w:cs="Calibri"/>
          <w:i/>
          <w:iCs/>
          <w:noProof/>
          <w:szCs w:val="24"/>
        </w:rPr>
        <w:t>Nature Communications</w:t>
      </w:r>
      <w:r w:rsidRPr="00D430E8">
        <w:rPr>
          <w:rFonts w:ascii="Calibri" w:hAnsi="Calibri" w:cs="Calibri"/>
          <w:noProof/>
          <w:szCs w:val="24"/>
        </w:rPr>
        <w:t>, 12(1). doi: 10.1038/s41467-021-25182-6.</w:t>
      </w:r>
    </w:p>
    <w:p w14:paraId="40520567"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Dudney, J. C. </w:t>
      </w:r>
      <w:r w:rsidRPr="00D430E8">
        <w:rPr>
          <w:rFonts w:ascii="Calibri" w:hAnsi="Calibri" w:cs="Calibri"/>
          <w:i/>
          <w:iCs/>
          <w:noProof/>
          <w:szCs w:val="24"/>
        </w:rPr>
        <w:t>et al.</w:t>
      </w:r>
      <w:r w:rsidRPr="00D430E8">
        <w:rPr>
          <w:rFonts w:ascii="Calibri" w:hAnsi="Calibri" w:cs="Calibri"/>
          <w:noProof/>
          <w:szCs w:val="24"/>
        </w:rPr>
        <w:t xml:space="preserve"> (2020) ‘Compounding effects of white pine blister rust, mountain pine beetle, and fire threaten four white pine species’, </w:t>
      </w:r>
      <w:r w:rsidRPr="00D430E8">
        <w:rPr>
          <w:rFonts w:ascii="Calibri" w:hAnsi="Calibri" w:cs="Calibri"/>
          <w:i/>
          <w:iCs/>
          <w:noProof/>
          <w:szCs w:val="24"/>
        </w:rPr>
        <w:t>Ecosphere</w:t>
      </w:r>
      <w:r w:rsidRPr="00D430E8">
        <w:rPr>
          <w:rFonts w:ascii="Calibri" w:hAnsi="Calibri" w:cs="Calibri"/>
          <w:noProof/>
          <w:szCs w:val="24"/>
        </w:rPr>
        <w:t>, 11(October), p. e03263. doi: 10.1002/ecs2.3263.</w:t>
      </w:r>
    </w:p>
    <w:p w14:paraId="25A61CF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Eitzel, M. </w:t>
      </w:r>
      <w:r w:rsidRPr="00D430E8">
        <w:rPr>
          <w:rFonts w:ascii="Calibri" w:hAnsi="Calibri" w:cs="Calibri"/>
          <w:i/>
          <w:iCs/>
          <w:noProof/>
          <w:szCs w:val="24"/>
        </w:rPr>
        <w:t>et al.</w:t>
      </w:r>
      <w:r w:rsidRPr="00D430E8">
        <w:rPr>
          <w:rFonts w:ascii="Calibri" w:hAnsi="Calibri" w:cs="Calibri"/>
          <w:noProof/>
          <w:szCs w:val="24"/>
        </w:rPr>
        <w:t xml:space="preserve"> (2013) ‘Estimating tree growth from complex forest monitoring data’, </w:t>
      </w:r>
      <w:r w:rsidRPr="00D430E8">
        <w:rPr>
          <w:rFonts w:ascii="Calibri" w:hAnsi="Calibri" w:cs="Calibri"/>
          <w:i/>
          <w:iCs/>
          <w:noProof/>
          <w:szCs w:val="24"/>
        </w:rPr>
        <w:t>Ecological Applications</w:t>
      </w:r>
      <w:r w:rsidRPr="00D430E8">
        <w:rPr>
          <w:rFonts w:ascii="Calibri" w:hAnsi="Calibri" w:cs="Calibri"/>
          <w:noProof/>
          <w:szCs w:val="24"/>
        </w:rPr>
        <w:t>, 23(6), pp. 1288–1296. doi: 10.1890/12-0504.1.</w:t>
      </w:r>
    </w:p>
    <w:p w14:paraId="70B1A2F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Fettig, C. J. </w:t>
      </w:r>
      <w:r w:rsidRPr="00D430E8">
        <w:rPr>
          <w:rFonts w:ascii="Calibri" w:hAnsi="Calibri" w:cs="Calibri"/>
          <w:i/>
          <w:iCs/>
          <w:noProof/>
          <w:szCs w:val="24"/>
        </w:rPr>
        <w:t>et al.</w:t>
      </w:r>
      <w:r w:rsidRPr="00D430E8">
        <w:rPr>
          <w:rFonts w:ascii="Calibri" w:hAnsi="Calibri" w:cs="Calibri"/>
          <w:noProof/>
          <w:szCs w:val="24"/>
        </w:rPr>
        <w:t xml:space="preserve"> (2019) ‘Tree mortality following drought in the central and southern Sierra Nevada, California, U.S.’, </w:t>
      </w:r>
      <w:r w:rsidRPr="00D430E8">
        <w:rPr>
          <w:rFonts w:ascii="Calibri" w:hAnsi="Calibri" w:cs="Calibri"/>
          <w:i/>
          <w:iCs/>
          <w:noProof/>
          <w:szCs w:val="24"/>
        </w:rPr>
        <w:t>Forest Ecology and Management</w:t>
      </w:r>
      <w:r w:rsidRPr="00D430E8">
        <w:rPr>
          <w:rFonts w:ascii="Calibri" w:hAnsi="Calibri" w:cs="Calibri"/>
          <w:noProof/>
          <w:szCs w:val="24"/>
        </w:rPr>
        <w:t>, 432(August 2018), pp. 164–178. doi: 10.1016/j.foreco.2018.09.006.</w:t>
      </w:r>
    </w:p>
    <w:p w14:paraId="69C6C8C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Foster, D. E. </w:t>
      </w:r>
      <w:r w:rsidRPr="00D430E8">
        <w:rPr>
          <w:rFonts w:ascii="Calibri" w:hAnsi="Calibri" w:cs="Calibri"/>
          <w:i/>
          <w:iCs/>
          <w:noProof/>
          <w:szCs w:val="24"/>
        </w:rPr>
        <w:t>et al.</w:t>
      </w:r>
      <w:r w:rsidRPr="00D430E8">
        <w:rPr>
          <w:rFonts w:ascii="Calibri" w:hAnsi="Calibri" w:cs="Calibri"/>
          <w:noProof/>
          <w:szCs w:val="24"/>
        </w:rPr>
        <w:t xml:space="preserve"> (2020) ‘Potential wildfire and carbon stability in frequent-fire forests in the Sierra Nevada: trade-offs from a long-term study’, </w:t>
      </w:r>
      <w:r w:rsidRPr="00D430E8">
        <w:rPr>
          <w:rFonts w:ascii="Calibri" w:hAnsi="Calibri" w:cs="Calibri"/>
          <w:i/>
          <w:iCs/>
          <w:noProof/>
          <w:szCs w:val="24"/>
        </w:rPr>
        <w:t>Ecosphere</w:t>
      </w:r>
      <w:r w:rsidRPr="00D430E8">
        <w:rPr>
          <w:rFonts w:ascii="Calibri" w:hAnsi="Calibri" w:cs="Calibri"/>
          <w:noProof/>
          <w:szCs w:val="24"/>
        </w:rPr>
        <w:t>, 11(8). doi: 10.1002/ecs2.3198.</w:t>
      </w:r>
    </w:p>
    <w:p w14:paraId="0A10964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Fowells, H. A. and Schubert, G. H. (1956) ‘Seed crops of forest trees in the pine region of California’, </w:t>
      </w:r>
      <w:r w:rsidRPr="00D430E8">
        <w:rPr>
          <w:rFonts w:ascii="Calibri" w:hAnsi="Calibri" w:cs="Calibri"/>
          <w:i/>
          <w:iCs/>
          <w:noProof/>
          <w:szCs w:val="24"/>
        </w:rPr>
        <w:t>USDA Technical Bulletin</w:t>
      </w:r>
      <w:r w:rsidRPr="00D430E8">
        <w:rPr>
          <w:rFonts w:ascii="Calibri" w:hAnsi="Calibri" w:cs="Calibri"/>
          <w:noProof/>
          <w:szCs w:val="24"/>
        </w:rPr>
        <w:t>, 1150(1150), pp. 1–48.</w:t>
      </w:r>
    </w:p>
    <w:p w14:paraId="396175B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Furniss, T. J. </w:t>
      </w:r>
      <w:r w:rsidRPr="00D430E8">
        <w:rPr>
          <w:rFonts w:ascii="Calibri" w:hAnsi="Calibri" w:cs="Calibri"/>
          <w:i/>
          <w:iCs/>
          <w:noProof/>
          <w:szCs w:val="24"/>
        </w:rPr>
        <w:t>et al.</w:t>
      </w:r>
      <w:r w:rsidRPr="00D430E8">
        <w:rPr>
          <w:rFonts w:ascii="Calibri" w:hAnsi="Calibri" w:cs="Calibri"/>
          <w:noProof/>
          <w:szCs w:val="24"/>
        </w:rPr>
        <w:t xml:space="preserve"> (2018) ‘Multi-scale assessment of post-fire tree mortality models’, </w:t>
      </w:r>
      <w:r w:rsidRPr="00D430E8">
        <w:rPr>
          <w:rFonts w:ascii="Calibri" w:hAnsi="Calibri" w:cs="Calibri"/>
          <w:i/>
          <w:iCs/>
          <w:noProof/>
          <w:szCs w:val="24"/>
        </w:rPr>
        <w:t>International Journal of Wildland Fire</w:t>
      </w:r>
      <w:r w:rsidRPr="00D430E8">
        <w:rPr>
          <w:rFonts w:ascii="Calibri" w:hAnsi="Calibri" w:cs="Calibri"/>
          <w:noProof/>
          <w:szCs w:val="24"/>
        </w:rPr>
        <w:t>, p. in press. doi: 10.1071/WF18031.</w:t>
      </w:r>
    </w:p>
    <w:p w14:paraId="6AEE8EA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Furniss, T. J. </w:t>
      </w:r>
      <w:r w:rsidRPr="00D430E8">
        <w:rPr>
          <w:rFonts w:ascii="Calibri" w:hAnsi="Calibri" w:cs="Calibri"/>
          <w:i/>
          <w:iCs/>
          <w:noProof/>
          <w:szCs w:val="24"/>
        </w:rPr>
        <w:t>et al.</w:t>
      </w:r>
      <w:r w:rsidRPr="00D430E8">
        <w:rPr>
          <w:rFonts w:ascii="Calibri" w:hAnsi="Calibri" w:cs="Calibri"/>
          <w:noProof/>
          <w:szCs w:val="24"/>
        </w:rPr>
        <w:t xml:space="preserve"> (2021) ‘Crowding, climate, and the case for social distancing among trees’, </w:t>
      </w:r>
      <w:r w:rsidRPr="00D430E8">
        <w:rPr>
          <w:rFonts w:ascii="Calibri" w:hAnsi="Calibri" w:cs="Calibri"/>
          <w:i/>
          <w:iCs/>
          <w:noProof/>
          <w:szCs w:val="24"/>
        </w:rPr>
        <w:t>Ecological Applications</w:t>
      </w:r>
      <w:r w:rsidRPr="00D430E8">
        <w:rPr>
          <w:rFonts w:ascii="Calibri" w:hAnsi="Calibri" w:cs="Calibri"/>
          <w:noProof/>
          <w:szCs w:val="24"/>
        </w:rPr>
        <w:t>, (June 2021), pp. 1–14. doi: 10.1002/eap.2507.</w:t>
      </w:r>
    </w:p>
    <w:p w14:paraId="5CE28E7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Geils, B. W., Hummer, K. E. and Hunt, R. S. (2010) ‘White pines, Ribes, and blister rust: A review and synthesis’, </w:t>
      </w:r>
      <w:r w:rsidRPr="00D430E8">
        <w:rPr>
          <w:rFonts w:ascii="Calibri" w:hAnsi="Calibri" w:cs="Calibri"/>
          <w:i/>
          <w:iCs/>
          <w:noProof/>
          <w:szCs w:val="24"/>
        </w:rPr>
        <w:t>Forest Pathology</w:t>
      </w:r>
      <w:r w:rsidRPr="00D430E8">
        <w:rPr>
          <w:rFonts w:ascii="Calibri" w:hAnsi="Calibri" w:cs="Calibri"/>
          <w:noProof/>
          <w:szCs w:val="24"/>
        </w:rPr>
        <w:t>, 40(3–4), pp. 147–185. doi: 10.1111/j.1439-0329.2010.00654.x.</w:t>
      </w:r>
    </w:p>
    <w:p w14:paraId="7A7FDB9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Harry, D. E., Jenkinson, J. L. and Kinloch, B. B. (1983) ‘Early Growth of Sugar Pine from an Elevational Transect’, </w:t>
      </w:r>
      <w:r w:rsidRPr="00D430E8">
        <w:rPr>
          <w:rFonts w:ascii="Calibri" w:hAnsi="Calibri" w:cs="Calibri"/>
          <w:i/>
          <w:iCs/>
          <w:noProof/>
          <w:szCs w:val="24"/>
        </w:rPr>
        <w:t>Forest Science</w:t>
      </w:r>
      <w:r w:rsidRPr="00D430E8">
        <w:rPr>
          <w:rFonts w:ascii="Calibri" w:hAnsi="Calibri" w:cs="Calibri"/>
          <w:noProof/>
          <w:szCs w:val="24"/>
        </w:rPr>
        <w:t>, 29(3), pp. 660–669. Available at: http://www.ingentaconnect.com/content/saf/fs/1983/00000029/00000003/art00027.</w:t>
      </w:r>
    </w:p>
    <w:p w14:paraId="16174B4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Hessburg, P. F. </w:t>
      </w:r>
      <w:r w:rsidRPr="00D430E8">
        <w:rPr>
          <w:rFonts w:ascii="Calibri" w:hAnsi="Calibri" w:cs="Calibri"/>
          <w:i/>
          <w:iCs/>
          <w:noProof/>
          <w:szCs w:val="24"/>
        </w:rPr>
        <w:t>et al.</w:t>
      </w:r>
      <w:r w:rsidRPr="00D430E8">
        <w:rPr>
          <w:rFonts w:ascii="Calibri" w:hAnsi="Calibri" w:cs="Calibri"/>
          <w:noProof/>
          <w:szCs w:val="24"/>
        </w:rPr>
        <w:t xml:space="preserve"> (2016) ‘Tamm Review: Management of mixed-severity fire regime forests in Oregon, Washington, and Northern California’, </w:t>
      </w:r>
      <w:r w:rsidRPr="00D430E8">
        <w:rPr>
          <w:rFonts w:ascii="Calibri" w:hAnsi="Calibri" w:cs="Calibri"/>
          <w:i/>
          <w:iCs/>
          <w:noProof/>
          <w:szCs w:val="24"/>
        </w:rPr>
        <w:t>Forest Ecology and Management</w:t>
      </w:r>
      <w:r w:rsidRPr="00D430E8">
        <w:rPr>
          <w:rFonts w:ascii="Calibri" w:hAnsi="Calibri" w:cs="Calibri"/>
          <w:noProof/>
          <w:szCs w:val="24"/>
        </w:rPr>
        <w:t>, 366, pp. 221–250. doi: 10.1016/j.foreco.2016.01.034.</w:t>
      </w:r>
    </w:p>
    <w:p w14:paraId="16B0AC1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Hessburg, P. F. </w:t>
      </w:r>
      <w:r w:rsidRPr="00D430E8">
        <w:rPr>
          <w:rFonts w:ascii="Calibri" w:hAnsi="Calibri" w:cs="Calibri"/>
          <w:i/>
          <w:iCs/>
          <w:noProof/>
          <w:szCs w:val="24"/>
        </w:rPr>
        <w:t>et al.</w:t>
      </w:r>
      <w:r w:rsidRPr="00D430E8">
        <w:rPr>
          <w:rFonts w:ascii="Calibri" w:hAnsi="Calibri" w:cs="Calibri"/>
          <w:noProof/>
          <w:szCs w:val="24"/>
        </w:rPr>
        <w:t xml:space="preserve"> (2021) ‘Wildfire and climate change adaptation of western North American forests: </w:t>
      </w:r>
      <w:r w:rsidRPr="00D430E8">
        <w:rPr>
          <w:rFonts w:ascii="Calibri" w:hAnsi="Calibri" w:cs="Calibri"/>
          <w:noProof/>
          <w:szCs w:val="24"/>
        </w:rPr>
        <w:lastRenderedPageBreak/>
        <w:t xml:space="preserve">a case for intentional management’, </w:t>
      </w:r>
      <w:r w:rsidRPr="00D430E8">
        <w:rPr>
          <w:rFonts w:ascii="Calibri" w:hAnsi="Calibri" w:cs="Calibri"/>
          <w:i/>
          <w:iCs/>
          <w:noProof/>
          <w:szCs w:val="24"/>
        </w:rPr>
        <w:t>Ecological Applications</w:t>
      </w:r>
      <w:r w:rsidRPr="00D430E8">
        <w:rPr>
          <w:rFonts w:ascii="Calibri" w:hAnsi="Calibri" w:cs="Calibri"/>
          <w:noProof/>
          <w:szCs w:val="24"/>
        </w:rPr>
        <w:t>, 0(0). doi: 10.1002/eap.2432.</w:t>
      </w:r>
    </w:p>
    <w:p w14:paraId="12C7473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Hicke, J. A. </w:t>
      </w:r>
      <w:r w:rsidRPr="00D430E8">
        <w:rPr>
          <w:rFonts w:ascii="Calibri" w:hAnsi="Calibri" w:cs="Calibri"/>
          <w:i/>
          <w:iCs/>
          <w:noProof/>
          <w:szCs w:val="24"/>
        </w:rPr>
        <w:t>et al.</w:t>
      </w:r>
      <w:r w:rsidRPr="00D430E8">
        <w:rPr>
          <w:rFonts w:ascii="Calibri" w:hAnsi="Calibri" w:cs="Calibri"/>
          <w:noProof/>
          <w:szCs w:val="24"/>
        </w:rPr>
        <w:t xml:space="preserve"> (2012) ‘Effects of bark beetle-caused tree mortality on wildfire’, </w:t>
      </w:r>
      <w:r w:rsidRPr="00D430E8">
        <w:rPr>
          <w:rFonts w:ascii="Calibri" w:hAnsi="Calibri" w:cs="Calibri"/>
          <w:i/>
          <w:iCs/>
          <w:noProof/>
          <w:szCs w:val="24"/>
        </w:rPr>
        <w:t>Forest Ecology and Management</w:t>
      </w:r>
      <w:r w:rsidRPr="00D430E8">
        <w:rPr>
          <w:rFonts w:ascii="Calibri" w:hAnsi="Calibri" w:cs="Calibri"/>
          <w:noProof/>
          <w:szCs w:val="24"/>
        </w:rPr>
        <w:t>, 271, pp. 81–90. doi: 10.1016/j.foreco.2012.02.005.</w:t>
      </w:r>
    </w:p>
    <w:p w14:paraId="02033CA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Hood, S. M., Smith, S. L. and Cluck, D. R. (2010) ‘Predicting mortality for five California conifers following wildfire’, </w:t>
      </w:r>
      <w:r w:rsidRPr="00D430E8">
        <w:rPr>
          <w:rFonts w:ascii="Calibri" w:hAnsi="Calibri" w:cs="Calibri"/>
          <w:i/>
          <w:iCs/>
          <w:noProof/>
          <w:szCs w:val="24"/>
        </w:rPr>
        <w:t>Forest Ecology and Management</w:t>
      </w:r>
      <w:r w:rsidRPr="00D430E8">
        <w:rPr>
          <w:rFonts w:ascii="Calibri" w:hAnsi="Calibri" w:cs="Calibri"/>
          <w:noProof/>
          <w:szCs w:val="24"/>
        </w:rPr>
        <w:t>, 260(5), pp. 750–762. doi: 10.1016/j.foreco.2010.05.033.</w:t>
      </w:r>
    </w:p>
    <w:p w14:paraId="5139C2C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Kinloch, B. B. </w:t>
      </w:r>
      <w:r w:rsidRPr="00D430E8">
        <w:rPr>
          <w:rFonts w:ascii="Calibri" w:hAnsi="Calibri" w:cs="Calibri"/>
          <w:i/>
          <w:iCs/>
          <w:noProof/>
          <w:szCs w:val="24"/>
        </w:rPr>
        <w:t>et al.</w:t>
      </w:r>
      <w:r w:rsidRPr="00D430E8">
        <w:rPr>
          <w:rFonts w:ascii="Calibri" w:hAnsi="Calibri" w:cs="Calibri"/>
          <w:noProof/>
          <w:szCs w:val="24"/>
        </w:rPr>
        <w:t xml:space="preserve"> (2018) ‘Patterns of Variation in Blister Rust Resistance in Sugar Pine ( Pinus lambertiana )’, in </w:t>
      </w:r>
      <w:r w:rsidRPr="00D430E8">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D430E8">
        <w:rPr>
          <w:rFonts w:ascii="Calibri" w:hAnsi="Calibri" w:cs="Calibri"/>
          <w:noProof/>
          <w:szCs w:val="24"/>
        </w:rPr>
        <w:t>, pp. 124–128.</w:t>
      </w:r>
    </w:p>
    <w:p w14:paraId="2FF33C4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Kinloch, B. B. and Scheuner, W. H. (1990) ‘Pinus lambertiana Dougl.’, in </w:t>
      </w:r>
      <w:r w:rsidRPr="00D430E8">
        <w:rPr>
          <w:rFonts w:ascii="Calibri" w:hAnsi="Calibri" w:cs="Calibri"/>
          <w:i/>
          <w:iCs/>
          <w:noProof/>
          <w:szCs w:val="24"/>
        </w:rPr>
        <w:t>Silvics of North America 1</w:t>
      </w:r>
      <w:r w:rsidRPr="00D430E8">
        <w:rPr>
          <w:rFonts w:ascii="Calibri" w:hAnsi="Calibri" w:cs="Calibri"/>
          <w:noProof/>
          <w:szCs w:val="24"/>
        </w:rPr>
        <w:t>, pp. 370–380.</w:t>
      </w:r>
    </w:p>
    <w:p w14:paraId="215BEEF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5EEB7A0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Latham, P. and Tappeiner, J. (2002) ‘Response of old-growth conifers to reduction in stand density in western Oregon forests’, </w:t>
      </w:r>
      <w:r w:rsidRPr="00D430E8">
        <w:rPr>
          <w:rFonts w:ascii="Calibri" w:hAnsi="Calibri" w:cs="Calibri"/>
          <w:i/>
          <w:iCs/>
          <w:noProof/>
          <w:szCs w:val="24"/>
        </w:rPr>
        <w:t>Tree Physiology</w:t>
      </w:r>
      <w:r w:rsidRPr="00D430E8">
        <w:rPr>
          <w:rFonts w:ascii="Calibri" w:hAnsi="Calibri" w:cs="Calibri"/>
          <w:noProof/>
          <w:szCs w:val="24"/>
        </w:rPr>
        <w:t>, 22(2–3), pp. 137–146. doi: 10.1093/treephys/22.2-3.137.</w:t>
      </w:r>
    </w:p>
    <w:p w14:paraId="0AB4775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Levine, C. R. </w:t>
      </w:r>
      <w:r w:rsidRPr="00D430E8">
        <w:rPr>
          <w:rFonts w:ascii="Calibri" w:hAnsi="Calibri" w:cs="Calibri"/>
          <w:i/>
          <w:iCs/>
          <w:noProof/>
          <w:szCs w:val="24"/>
        </w:rPr>
        <w:t>et al.</w:t>
      </w:r>
      <w:r w:rsidRPr="00D430E8">
        <w:rPr>
          <w:rFonts w:ascii="Calibri" w:hAnsi="Calibri" w:cs="Calibri"/>
          <w:noProof/>
          <w:szCs w:val="24"/>
        </w:rPr>
        <w:t xml:space="preserve"> (2016) ‘Long-term demographic trends in a fire-suppressed mixed-conifer forest’, </w:t>
      </w:r>
      <w:r w:rsidRPr="00D430E8">
        <w:rPr>
          <w:rFonts w:ascii="Calibri" w:hAnsi="Calibri" w:cs="Calibri"/>
          <w:i/>
          <w:iCs/>
          <w:noProof/>
          <w:szCs w:val="24"/>
        </w:rPr>
        <w:t>Canadian Journal of Forest Research</w:t>
      </w:r>
      <w:r w:rsidRPr="00D430E8">
        <w:rPr>
          <w:rFonts w:ascii="Calibri" w:hAnsi="Calibri" w:cs="Calibri"/>
          <w:noProof/>
          <w:szCs w:val="24"/>
        </w:rPr>
        <w:t>, 46(5), pp. 745–752. doi: 10.1139/cjfr-2015-0406.</w:t>
      </w:r>
    </w:p>
    <w:p w14:paraId="4854266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(2013) ‘The importance of large-diameter trees to forest structural heterogeneity’, </w:t>
      </w:r>
      <w:r w:rsidRPr="00D430E8">
        <w:rPr>
          <w:rFonts w:ascii="Calibri" w:hAnsi="Calibri" w:cs="Calibri"/>
          <w:i/>
          <w:iCs/>
          <w:noProof/>
          <w:szCs w:val="24"/>
        </w:rPr>
        <w:t>PLoS ONE</w:t>
      </w:r>
      <w:r w:rsidRPr="00D430E8">
        <w:rPr>
          <w:rFonts w:ascii="Calibri" w:hAnsi="Calibri" w:cs="Calibri"/>
          <w:noProof/>
          <w:szCs w:val="24"/>
        </w:rPr>
        <w:t>, 8(12). doi: 10.1371/journal.pone.0082784.</w:t>
      </w:r>
    </w:p>
    <w:p w14:paraId="5F52A57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(2018) ‘Global importance of large-diameter trees’, </w:t>
      </w:r>
      <w:r w:rsidRPr="00D430E8">
        <w:rPr>
          <w:rFonts w:ascii="Calibri" w:hAnsi="Calibri" w:cs="Calibri"/>
          <w:i/>
          <w:iCs/>
          <w:noProof/>
          <w:szCs w:val="24"/>
        </w:rPr>
        <w:t>Global Ecology and Biogeography</w:t>
      </w:r>
      <w:r w:rsidRPr="00D430E8">
        <w:rPr>
          <w:rFonts w:ascii="Calibri" w:hAnsi="Calibri" w:cs="Calibri"/>
          <w:noProof/>
          <w:szCs w:val="24"/>
        </w:rPr>
        <w:t>, 27(7), pp. 849–864. doi: 10.1111/geb.12747.</w:t>
      </w:r>
    </w:p>
    <w:p w14:paraId="00A2DB3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(2020) ‘Large-diameter trees dominate snag and surface biomass following reintroduced fire’, </w:t>
      </w:r>
      <w:r w:rsidRPr="00D430E8">
        <w:rPr>
          <w:rFonts w:ascii="Calibri" w:hAnsi="Calibri" w:cs="Calibri"/>
          <w:i/>
          <w:iCs/>
          <w:noProof/>
          <w:szCs w:val="24"/>
        </w:rPr>
        <w:t>Ecological Processes</w:t>
      </w:r>
      <w:r w:rsidRPr="00D430E8">
        <w:rPr>
          <w:rFonts w:ascii="Calibri" w:hAnsi="Calibri" w:cs="Calibri"/>
          <w:noProof/>
          <w:szCs w:val="24"/>
        </w:rPr>
        <w:t>, 9(1). doi: 10.1186/s13717-020-00243-8.</w:t>
      </w:r>
    </w:p>
    <w:p w14:paraId="02BF9E2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Mahalovich, M. and Stritch, L. (2013) ‘Pinus albicaulis. The IUCN Red List of Threatened Species 2013’. Available at: https://dx.doi.org/10.2305/IUCN.UK.2013-1.RLTS.T39049A2885918.en.</w:t>
      </w:r>
    </w:p>
    <w:p w14:paraId="0C23E0B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(2011) ‘Incidence and distribution of white pine blister rust in the high-elevation forests of California’, </w:t>
      </w:r>
      <w:r w:rsidRPr="00D430E8">
        <w:rPr>
          <w:rFonts w:ascii="Calibri" w:hAnsi="Calibri" w:cs="Calibri"/>
          <w:i/>
          <w:iCs/>
          <w:noProof/>
          <w:szCs w:val="24"/>
        </w:rPr>
        <w:t>Forest Pathology</w:t>
      </w:r>
      <w:r w:rsidRPr="00D430E8">
        <w:rPr>
          <w:rFonts w:ascii="Calibri" w:hAnsi="Calibri" w:cs="Calibri"/>
          <w:noProof/>
          <w:szCs w:val="24"/>
        </w:rPr>
        <w:t>, 41(4), pp. 308–316. doi: 10.1111/j.1439-0329.2011.00732.x.</w:t>
      </w:r>
    </w:p>
    <w:p w14:paraId="5771A76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w:t>
      </w:r>
      <w:r w:rsidRPr="00D430E8">
        <w:rPr>
          <w:rFonts w:ascii="Calibri" w:hAnsi="Calibri" w:cs="Calibri"/>
          <w:i/>
          <w:iCs/>
          <w:noProof/>
          <w:szCs w:val="24"/>
        </w:rPr>
        <w:t>et al.</w:t>
      </w:r>
      <w:r w:rsidRPr="00D430E8">
        <w:rPr>
          <w:rFonts w:ascii="Calibri" w:hAnsi="Calibri" w:cs="Calibri"/>
          <w:noProof/>
          <w:szCs w:val="24"/>
        </w:rPr>
        <w:t xml:space="preserve"> (2011) ‘Population biology of sugar pine (Pinus lambertiana Dougl.) with reference to historical disturbances in the Lake Tahoe Basin: Implications for restoration’, </w:t>
      </w:r>
      <w:r w:rsidRPr="00D430E8">
        <w:rPr>
          <w:rFonts w:ascii="Calibri" w:hAnsi="Calibri" w:cs="Calibri"/>
          <w:i/>
          <w:iCs/>
          <w:noProof/>
          <w:szCs w:val="24"/>
        </w:rPr>
        <w:t>Forest Ecology and Management</w:t>
      </w:r>
      <w:r w:rsidRPr="00D430E8">
        <w:rPr>
          <w:rFonts w:ascii="Calibri" w:hAnsi="Calibri" w:cs="Calibri"/>
          <w:noProof/>
          <w:szCs w:val="24"/>
        </w:rPr>
        <w:t>, 262(5), pp. 770–779. doi: 10.1016/j.foreco.2011.05.011.</w:t>
      </w:r>
    </w:p>
    <w:p w14:paraId="3E3126B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(2014) ‘The multivariate underpinnings of recruitment for three Pinus species in montane forests of the Sierra Nevada, USA’, </w:t>
      </w:r>
      <w:r w:rsidRPr="00D430E8">
        <w:rPr>
          <w:rFonts w:ascii="Calibri" w:hAnsi="Calibri" w:cs="Calibri"/>
          <w:i/>
          <w:iCs/>
          <w:noProof/>
          <w:szCs w:val="24"/>
        </w:rPr>
        <w:t>Plant Ecology</w:t>
      </w:r>
      <w:r w:rsidRPr="00D430E8">
        <w:rPr>
          <w:rFonts w:ascii="Calibri" w:hAnsi="Calibri" w:cs="Calibri"/>
          <w:noProof/>
          <w:szCs w:val="24"/>
        </w:rPr>
        <w:t>, 215(2), pp. 261–274. doi: 10.1007/s11258-013-0295-6.</w:t>
      </w:r>
    </w:p>
    <w:p w14:paraId="7EA5F4B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(2011) ‘Long-term effects of prescribed fire on mixed conifer forest structure in the Sierra Nevada, California’, </w:t>
      </w:r>
      <w:r w:rsidRPr="00D430E8">
        <w:rPr>
          <w:rFonts w:ascii="Calibri" w:hAnsi="Calibri" w:cs="Calibri"/>
          <w:i/>
          <w:iCs/>
          <w:noProof/>
          <w:szCs w:val="24"/>
        </w:rPr>
        <w:t>Forest Ecology and Management</w:t>
      </w:r>
      <w:r w:rsidRPr="00D430E8">
        <w:rPr>
          <w:rFonts w:ascii="Calibri" w:hAnsi="Calibri" w:cs="Calibri"/>
          <w:noProof/>
          <w:szCs w:val="24"/>
        </w:rPr>
        <w:t>, 261(6), pp. 989–994. doi: 10.1016/j.foreco.2010.12.013.</w:t>
      </w:r>
    </w:p>
    <w:p w14:paraId="3FAB0FD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(2016) ‘Does Prescribed Fire Promote Resistance To Drought in Low Elevation Forests of the Sierra Nevada, California, Usa?’, </w:t>
      </w:r>
      <w:r w:rsidRPr="00D430E8">
        <w:rPr>
          <w:rFonts w:ascii="Calibri" w:hAnsi="Calibri" w:cs="Calibri"/>
          <w:i/>
          <w:iCs/>
          <w:noProof/>
          <w:szCs w:val="24"/>
        </w:rPr>
        <w:t>Fire Ecology</w:t>
      </w:r>
      <w:r w:rsidRPr="00D430E8">
        <w:rPr>
          <w:rFonts w:ascii="Calibri" w:hAnsi="Calibri" w:cs="Calibri"/>
          <w:noProof/>
          <w:szCs w:val="24"/>
        </w:rPr>
        <w:t xml:space="preserve">, 12(1), pp. 5–15. doi: </w:t>
      </w:r>
      <w:r w:rsidRPr="00D430E8">
        <w:rPr>
          <w:rFonts w:ascii="Calibri" w:hAnsi="Calibri" w:cs="Calibri"/>
          <w:noProof/>
          <w:szCs w:val="24"/>
        </w:rPr>
        <w:lastRenderedPageBreak/>
        <w:t>10.4996/fireecology.1201013.</w:t>
      </w:r>
    </w:p>
    <w:p w14:paraId="208A82E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(2018) ‘Pre-fire drought and competition mediate post-fire conifer mortality in western U.S. National Parks’, </w:t>
      </w:r>
      <w:r w:rsidRPr="00D430E8">
        <w:rPr>
          <w:rFonts w:ascii="Calibri" w:hAnsi="Calibri" w:cs="Calibri"/>
          <w:i/>
          <w:iCs/>
          <w:noProof/>
          <w:szCs w:val="24"/>
        </w:rPr>
        <w:t>Ecological Applications</w:t>
      </w:r>
      <w:r w:rsidRPr="00D430E8">
        <w:rPr>
          <w:rFonts w:ascii="Calibri" w:hAnsi="Calibri" w:cs="Calibri"/>
          <w:noProof/>
          <w:szCs w:val="24"/>
        </w:rPr>
        <w:t>, 28(7), pp. 1730–1739. doi: 10.1002/eap.1778.</w:t>
      </w:r>
    </w:p>
    <w:p w14:paraId="7CCC46F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(2004) ‘Effects of an introduced pathogen and fire exclusion on the demography of sugar pine’, </w:t>
      </w:r>
      <w:r w:rsidRPr="00D430E8">
        <w:rPr>
          <w:rFonts w:ascii="Calibri" w:hAnsi="Calibri" w:cs="Calibri"/>
          <w:i/>
          <w:iCs/>
          <w:noProof/>
          <w:szCs w:val="24"/>
        </w:rPr>
        <w:t>Ecological Applications</w:t>
      </w:r>
      <w:r w:rsidRPr="00D430E8">
        <w:rPr>
          <w:rFonts w:ascii="Calibri" w:hAnsi="Calibri" w:cs="Calibri"/>
          <w:noProof/>
          <w:szCs w:val="24"/>
        </w:rPr>
        <w:t>, 14(5), pp. 1590–1602. doi: 10.1890/03-5109.</w:t>
      </w:r>
    </w:p>
    <w:p w14:paraId="43CC097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(2020) ‘The influence of pre-fire growth patterns on post-fire tree mortality for common conifers in western US parks’, </w:t>
      </w:r>
      <w:r w:rsidRPr="00D430E8">
        <w:rPr>
          <w:rFonts w:ascii="Calibri" w:hAnsi="Calibri" w:cs="Calibri"/>
          <w:i/>
          <w:iCs/>
          <w:noProof/>
          <w:szCs w:val="24"/>
        </w:rPr>
        <w:t>International Journal of Wildland Fire</w:t>
      </w:r>
      <w:r w:rsidRPr="00D430E8">
        <w:rPr>
          <w:rFonts w:ascii="Calibri" w:hAnsi="Calibri" w:cs="Calibri"/>
          <w:noProof/>
          <w:szCs w:val="24"/>
        </w:rPr>
        <w:t>, 29(6), pp. 513–518. doi: 10.1071/WF19020.</w:t>
      </w:r>
    </w:p>
    <w:p w14:paraId="0592EA1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and Stephenson, N. L. (2007) ‘Apparent climatically induced increase of tree mortality rates in a temperate forest’, </w:t>
      </w:r>
      <w:r w:rsidRPr="00D430E8">
        <w:rPr>
          <w:rFonts w:ascii="Calibri" w:hAnsi="Calibri" w:cs="Calibri"/>
          <w:i/>
          <w:iCs/>
          <w:noProof/>
          <w:szCs w:val="24"/>
        </w:rPr>
        <w:t>Ecology Letters</w:t>
      </w:r>
      <w:r w:rsidRPr="00D430E8">
        <w:rPr>
          <w:rFonts w:ascii="Calibri" w:hAnsi="Calibri" w:cs="Calibri"/>
          <w:noProof/>
          <w:szCs w:val="24"/>
        </w:rPr>
        <w:t>, 10(10), pp. 909–916. doi: 10.1111/j.1461-0248.2007.01080.x.</w:t>
      </w:r>
    </w:p>
    <w:p w14:paraId="702AB35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Stephenson, N. L. and Keeley, J. E. (2006) ‘Forest reproduction along a climatic gradient in the Sierra Nevada, California’, </w:t>
      </w:r>
      <w:r w:rsidRPr="00D430E8">
        <w:rPr>
          <w:rFonts w:ascii="Calibri" w:hAnsi="Calibri" w:cs="Calibri"/>
          <w:i/>
          <w:iCs/>
          <w:noProof/>
          <w:szCs w:val="24"/>
        </w:rPr>
        <w:t>Forest Ecology and Management</w:t>
      </w:r>
      <w:r w:rsidRPr="00D430E8">
        <w:rPr>
          <w:rFonts w:ascii="Calibri" w:hAnsi="Calibri" w:cs="Calibri"/>
          <w:noProof/>
          <w:szCs w:val="24"/>
        </w:rPr>
        <w:t>, 225(1–3), pp. 391–399. doi: 10.1016/j.foreco.2006.01.015.</w:t>
      </w:r>
    </w:p>
    <w:p w14:paraId="312E1127"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McCauley, L. A. </w:t>
      </w:r>
      <w:r w:rsidRPr="00D430E8">
        <w:rPr>
          <w:rFonts w:ascii="Calibri" w:hAnsi="Calibri" w:cs="Calibri"/>
          <w:i/>
          <w:iCs/>
          <w:noProof/>
          <w:szCs w:val="24"/>
        </w:rPr>
        <w:t>et al.</w:t>
      </w:r>
      <w:r w:rsidRPr="00D430E8">
        <w:rPr>
          <w:rFonts w:ascii="Calibri" w:hAnsi="Calibri" w:cs="Calibri"/>
          <w:noProof/>
          <w:szCs w:val="24"/>
        </w:rPr>
        <w:t xml:space="preserve"> (2022) ‘Landscape-scale forest restoration decreases vulnerability to drought mortality under climate change in southwest USA ponderosa forest’, </w:t>
      </w:r>
      <w:r w:rsidRPr="00D430E8">
        <w:rPr>
          <w:rFonts w:ascii="Calibri" w:hAnsi="Calibri" w:cs="Calibri"/>
          <w:i/>
          <w:iCs/>
          <w:noProof/>
          <w:szCs w:val="24"/>
        </w:rPr>
        <w:t>Forest Ecology and Management</w:t>
      </w:r>
      <w:r w:rsidRPr="00D430E8">
        <w:rPr>
          <w:rFonts w:ascii="Calibri" w:hAnsi="Calibri" w:cs="Calibri"/>
          <w:noProof/>
          <w:szCs w:val="24"/>
        </w:rPr>
        <w:t>, 509(February), p. 120088. doi: 10.1016/j.foreco.2022.120088.</w:t>
      </w:r>
    </w:p>
    <w:p w14:paraId="4F54E03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Millar, C. I. and Stephenson, N. L. (2015) ‘Temperate forest health in an era of emerging megadisturbance’, </w:t>
      </w:r>
      <w:r w:rsidRPr="00D430E8">
        <w:rPr>
          <w:rFonts w:ascii="Calibri" w:hAnsi="Calibri" w:cs="Calibri"/>
          <w:i/>
          <w:iCs/>
          <w:noProof/>
          <w:szCs w:val="24"/>
        </w:rPr>
        <w:t>Science</w:t>
      </w:r>
      <w:r w:rsidRPr="00D430E8">
        <w:rPr>
          <w:rFonts w:ascii="Calibri" w:hAnsi="Calibri" w:cs="Calibri"/>
          <w:noProof/>
          <w:szCs w:val="24"/>
        </w:rPr>
        <w:t>, 349(6250), pp. 823–826. doi: 10.1126/science.aaa9933.</w:t>
      </w:r>
    </w:p>
    <w:p w14:paraId="062A1F5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Moran, E. V. </w:t>
      </w:r>
      <w:r w:rsidRPr="00D430E8">
        <w:rPr>
          <w:rFonts w:ascii="Calibri" w:hAnsi="Calibri" w:cs="Calibri"/>
          <w:i/>
          <w:iCs/>
          <w:noProof/>
          <w:szCs w:val="24"/>
        </w:rPr>
        <w:t>et al.</w:t>
      </w:r>
      <w:r w:rsidRPr="00D430E8">
        <w:rPr>
          <w:rFonts w:ascii="Calibri" w:hAnsi="Calibri" w:cs="Calibri"/>
          <w:noProof/>
          <w:szCs w:val="24"/>
        </w:rPr>
        <w:t xml:space="preserve"> (2019) ‘Negative impacts of summer heat on Sierra Nevada tree seedlings’, </w:t>
      </w:r>
      <w:r w:rsidRPr="00D430E8">
        <w:rPr>
          <w:rFonts w:ascii="Calibri" w:hAnsi="Calibri" w:cs="Calibri"/>
          <w:i/>
          <w:iCs/>
          <w:noProof/>
          <w:szCs w:val="24"/>
        </w:rPr>
        <w:t>Ecosphere</w:t>
      </w:r>
      <w:r w:rsidRPr="00D430E8">
        <w:rPr>
          <w:rFonts w:ascii="Calibri" w:hAnsi="Calibri" w:cs="Calibri"/>
          <w:noProof/>
          <w:szCs w:val="24"/>
        </w:rPr>
        <w:t>, 10(6). doi: 10.1002/ecs2.2776.</w:t>
      </w:r>
    </w:p>
    <w:p w14:paraId="1900BDB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Murray, M. P. and Tomback, D. F. (2010) ‘Clark’s nutcrackers harvest sugar pine seeds from cones’, </w:t>
      </w:r>
      <w:r w:rsidRPr="00D430E8">
        <w:rPr>
          <w:rFonts w:ascii="Calibri" w:hAnsi="Calibri" w:cs="Calibri"/>
          <w:i/>
          <w:iCs/>
          <w:noProof/>
          <w:szCs w:val="24"/>
        </w:rPr>
        <w:t>Western North American Naturalist</w:t>
      </w:r>
      <w:r w:rsidRPr="00D430E8">
        <w:rPr>
          <w:rFonts w:ascii="Calibri" w:hAnsi="Calibri" w:cs="Calibri"/>
          <w:noProof/>
          <w:szCs w:val="24"/>
        </w:rPr>
        <w:t>, 70(3), pp. 413–414. doi: 10.3398/064.070.0314.</w:t>
      </w:r>
    </w:p>
    <w:p w14:paraId="4C7A29E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Nesmith, J. C. B. </w:t>
      </w:r>
      <w:r w:rsidRPr="00D430E8">
        <w:rPr>
          <w:rFonts w:ascii="Calibri" w:hAnsi="Calibri" w:cs="Calibri"/>
          <w:i/>
          <w:iCs/>
          <w:noProof/>
          <w:szCs w:val="24"/>
        </w:rPr>
        <w:t>et al.</w:t>
      </w:r>
      <w:r w:rsidRPr="00D430E8">
        <w:rPr>
          <w:rFonts w:ascii="Calibri" w:hAnsi="Calibri" w:cs="Calibri"/>
          <w:noProof/>
          <w:szCs w:val="24"/>
        </w:rPr>
        <w:t xml:space="preserve"> (2010) ‘The effects of raking on sugar pine mortality following prescribed fire in sequoia and kings canyon national parks, California, USA’, </w:t>
      </w:r>
      <w:r w:rsidRPr="00D430E8">
        <w:rPr>
          <w:rFonts w:ascii="Calibri" w:hAnsi="Calibri" w:cs="Calibri"/>
          <w:i/>
          <w:iCs/>
          <w:noProof/>
          <w:szCs w:val="24"/>
        </w:rPr>
        <w:t>Fire Ecology</w:t>
      </w:r>
      <w:r w:rsidRPr="00D430E8">
        <w:rPr>
          <w:rFonts w:ascii="Calibri" w:hAnsi="Calibri" w:cs="Calibri"/>
          <w:noProof/>
          <w:szCs w:val="24"/>
        </w:rPr>
        <w:t>, 6(3), pp. 97–116. doi: 10.4996/fireecology.0603097.</w:t>
      </w:r>
    </w:p>
    <w:p w14:paraId="05A5A33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Nesmith, J. C. B. </w:t>
      </w:r>
      <w:r w:rsidRPr="00D430E8">
        <w:rPr>
          <w:rFonts w:ascii="Calibri" w:hAnsi="Calibri" w:cs="Calibri"/>
          <w:i/>
          <w:iCs/>
          <w:noProof/>
          <w:szCs w:val="24"/>
        </w:rPr>
        <w:t>et al.</w:t>
      </w:r>
      <w:r w:rsidRPr="00D430E8">
        <w:rPr>
          <w:rFonts w:ascii="Calibri" w:hAnsi="Calibri" w:cs="Calibri"/>
          <w:noProof/>
          <w:szCs w:val="24"/>
        </w:rPr>
        <w:t xml:space="preserve"> (2015) ‘The influence of prefire tree growth and crown condition on postfire mortality of sugar pine following prescribed fire in Sequoia National Park’, </w:t>
      </w:r>
      <w:r w:rsidRPr="00D430E8">
        <w:rPr>
          <w:rFonts w:ascii="Calibri" w:hAnsi="Calibri" w:cs="Calibri"/>
          <w:i/>
          <w:iCs/>
          <w:noProof/>
          <w:szCs w:val="24"/>
        </w:rPr>
        <w:t>Canadian Journal of Forest Research</w:t>
      </w:r>
      <w:r w:rsidRPr="00D430E8">
        <w:rPr>
          <w:rFonts w:ascii="Calibri" w:hAnsi="Calibri" w:cs="Calibri"/>
          <w:noProof/>
          <w:szCs w:val="24"/>
        </w:rPr>
        <w:t>, 45(7), pp. 910–919. doi: 10.1139/cjfr-2014-0449.</w:t>
      </w:r>
    </w:p>
    <w:p w14:paraId="3E74105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w:t>
      </w:r>
      <w:r w:rsidRPr="00D430E8">
        <w:rPr>
          <w:rFonts w:ascii="Calibri" w:hAnsi="Calibri" w:cs="Calibri"/>
          <w:i/>
          <w:iCs/>
          <w:noProof/>
          <w:szCs w:val="24"/>
        </w:rPr>
        <w:t>et al.</w:t>
      </w:r>
      <w:r w:rsidRPr="00D430E8">
        <w:rPr>
          <w:rFonts w:ascii="Calibri" w:hAnsi="Calibri" w:cs="Calibri"/>
          <w:noProof/>
          <w:szCs w:val="24"/>
        </w:rPr>
        <w:t xml:space="preserve"> (2009) ‘An ecosystem management strategy for Sierran mixed- conifer forests’, </w:t>
      </w:r>
      <w:r w:rsidRPr="00D430E8">
        <w:rPr>
          <w:rFonts w:ascii="Calibri" w:hAnsi="Calibri" w:cs="Calibri"/>
          <w:i/>
          <w:iCs/>
          <w:noProof/>
          <w:szCs w:val="24"/>
        </w:rPr>
        <w:t>USDA Forest Service, Pacific Southwest Research Station, General Technical Report</w:t>
      </w:r>
      <w:r w:rsidRPr="00D430E8">
        <w:rPr>
          <w:rFonts w:ascii="Calibri" w:hAnsi="Calibri" w:cs="Calibri"/>
          <w:noProof/>
          <w:szCs w:val="24"/>
        </w:rPr>
        <w:t>, (March), p. PSW-GTR-220.</w:t>
      </w:r>
    </w:p>
    <w:p w14:paraId="05A471E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(2019) ‘Tamm Review: Reforestation for resilience in dry western U.S. forests’, </w:t>
      </w:r>
      <w:r w:rsidRPr="00D430E8">
        <w:rPr>
          <w:rFonts w:ascii="Calibri" w:hAnsi="Calibri" w:cs="Calibri"/>
          <w:i/>
          <w:iCs/>
          <w:noProof/>
          <w:szCs w:val="24"/>
        </w:rPr>
        <w:t>Forest Ecology and Management</w:t>
      </w:r>
      <w:r w:rsidRPr="00D430E8">
        <w:rPr>
          <w:rFonts w:ascii="Calibri" w:hAnsi="Calibri" w:cs="Calibri"/>
          <w:noProof/>
          <w:szCs w:val="24"/>
        </w:rPr>
        <w:t>, 432(July 2018), pp. 209–224. doi: 10.1016/j.foreco.2018.09.007.</w:t>
      </w:r>
    </w:p>
    <w:p w14:paraId="10B2E55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(2021) ‘Pyrosilviculture needed for landscape resilience of dry western United States forests’, </w:t>
      </w:r>
      <w:r w:rsidRPr="00D430E8">
        <w:rPr>
          <w:rFonts w:ascii="Calibri" w:hAnsi="Calibri" w:cs="Calibri"/>
          <w:i/>
          <w:iCs/>
          <w:noProof/>
          <w:szCs w:val="24"/>
        </w:rPr>
        <w:t>Journal of Forestry</w:t>
      </w:r>
      <w:r w:rsidRPr="00D430E8">
        <w:rPr>
          <w:rFonts w:ascii="Calibri" w:hAnsi="Calibri" w:cs="Calibri"/>
          <w:noProof/>
          <w:szCs w:val="24"/>
        </w:rPr>
        <w:t>, pp. 1–25. doi: 10.1093/jofore/fvab026.</w:t>
      </w:r>
    </w:p>
    <w:p w14:paraId="3A15117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(2022) ‘Operational resilience in western US frequent-fire forests’, </w:t>
      </w:r>
      <w:r w:rsidRPr="00D430E8">
        <w:rPr>
          <w:rFonts w:ascii="Calibri" w:hAnsi="Calibri" w:cs="Calibri"/>
          <w:i/>
          <w:iCs/>
          <w:noProof/>
          <w:szCs w:val="24"/>
        </w:rPr>
        <w:t>Forest Ecology and Management</w:t>
      </w:r>
      <w:r w:rsidRPr="00D430E8">
        <w:rPr>
          <w:rFonts w:ascii="Calibri" w:hAnsi="Calibri" w:cs="Calibri"/>
          <w:noProof/>
          <w:szCs w:val="24"/>
        </w:rPr>
        <w:t>, 507(November 2021), p. 120004. doi: 10.1016/j.foreco.2021.120004.</w:t>
      </w:r>
    </w:p>
    <w:p w14:paraId="554B304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Panek, J. A. </w:t>
      </w:r>
      <w:r w:rsidRPr="00D430E8">
        <w:rPr>
          <w:rFonts w:ascii="Calibri" w:hAnsi="Calibri" w:cs="Calibri"/>
          <w:i/>
          <w:iCs/>
          <w:noProof/>
          <w:szCs w:val="24"/>
        </w:rPr>
        <w:t>et al.</w:t>
      </w:r>
      <w:r w:rsidRPr="00D430E8">
        <w:rPr>
          <w:rFonts w:ascii="Calibri" w:hAnsi="Calibri" w:cs="Calibri"/>
          <w:noProof/>
          <w:szCs w:val="24"/>
        </w:rPr>
        <w:t xml:space="preserve"> (2012) ‘A natural resource condition assessment for Sequoia and Kings Canyon </w:t>
      </w:r>
      <w:r w:rsidRPr="00D430E8">
        <w:rPr>
          <w:rFonts w:ascii="Calibri" w:hAnsi="Calibri" w:cs="Calibri"/>
          <w:noProof/>
          <w:szCs w:val="24"/>
        </w:rPr>
        <w:lastRenderedPageBreak/>
        <w:t xml:space="preserve">National Parks’, </w:t>
      </w:r>
      <w:r w:rsidRPr="00D430E8">
        <w:rPr>
          <w:rFonts w:ascii="Calibri" w:hAnsi="Calibri" w:cs="Calibri"/>
          <w:i/>
          <w:iCs/>
          <w:noProof/>
          <w:szCs w:val="24"/>
        </w:rPr>
        <w:t>Natural Resource Report NPS/SEKI/NRR—2012</w:t>
      </w:r>
      <w:r w:rsidRPr="00D430E8">
        <w:rPr>
          <w:rFonts w:ascii="Calibri" w:hAnsi="Calibri" w:cs="Calibri"/>
          <w:noProof/>
          <w:szCs w:val="24"/>
        </w:rPr>
        <w:t>.</w:t>
      </w:r>
    </w:p>
    <w:p w14:paraId="408738C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Parks, S. A. and Abatzoglou, J. T. (2020) ‘Warmer and Drier Fire Seasons Contribute to Increases in Area Burned at High Severity in Western US Forests From 1985 to 2017’, </w:t>
      </w:r>
      <w:r w:rsidRPr="00D430E8">
        <w:rPr>
          <w:rFonts w:ascii="Calibri" w:hAnsi="Calibri" w:cs="Calibri"/>
          <w:i/>
          <w:iCs/>
          <w:noProof/>
          <w:szCs w:val="24"/>
        </w:rPr>
        <w:t>Geophysical Research Letters</w:t>
      </w:r>
      <w:r w:rsidRPr="00D430E8">
        <w:rPr>
          <w:rFonts w:ascii="Calibri" w:hAnsi="Calibri" w:cs="Calibri"/>
          <w:noProof/>
          <w:szCs w:val="24"/>
        </w:rPr>
        <w:t>, 47(22), pp. 1–10. doi: 10.1029/2020GL089858.</w:t>
      </w:r>
    </w:p>
    <w:p w14:paraId="1E9929B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Paz-Kagan, T. </w:t>
      </w:r>
      <w:r w:rsidRPr="00D430E8">
        <w:rPr>
          <w:rFonts w:ascii="Calibri" w:hAnsi="Calibri" w:cs="Calibri"/>
          <w:i/>
          <w:iCs/>
          <w:noProof/>
          <w:szCs w:val="24"/>
        </w:rPr>
        <w:t>et al.</w:t>
      </w:r>
      <w:r w:rsidRPr="00D430E8">
        <w:rPr>
          <w:rFonts w:ascii="Calibri" w:hAnsi="Calibri" w:cs="Calibri"/>
          <w:noProof/>
          <w:szCs w:val="24"/>
        </w:rPr>
        <w:t xml:space="preserve"> (2017) ‘What mediates tree mortality during drought in the southern Sierra Nevada’, </w:t>
      </w:r>
      <w:r w:rsidRPr="00D430E8">
        <w:rPr>
          <w:rFonts w:ascii="Calibri" w:hAnsi="Calibri" w:cs="Calibri"/>
          <w:i/>
          <w:iCs/>
          <w:noProof/>
          <w:szCs w:val="24"/>
        </w:rPr>
        <w:t>Ecological Applications</w:t>
      </w:r>
      <w:r w:rsidRPr="00D430E8">
        <w:rPr>
          <w:rFonts w:ascii="Calibri" w:hAnsi="Calibri" w:cs="Calibri"/>
          <w:noProof/>
          <w:szCs w:val="24"/>
        </w:rPr>
        <w:t>, 27(8), pp. 2443–2457. doi: 10.1002/eap.1620.</w:t>
      </w:r>
    </w:p>
    <w:p w14:paraId="74E2370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Restaino, C. </w:t>
      </w:r>
      <w:r w:rsidRPr="00D430E8">
        <w:rPr>
          <w:rFonts w:ascii="Calibri" w:hAnsi="Calibri" w:cs="Calibri"/>
          <w:i/>
          <w:iCs/>
          <w:noProof/>
          <w:szCs w:val="24"/>
        </w:rPr>
        <w:t>et al.</w:t>
      </w:r>
      <w:r w:rsidRPr="00D430E8">
        <w:rPr>
          <w:rFonts w:ascii="Calibri" w:hAnsi="Calibri" w:cs="Calibri"/>
          <w:noProof/>
          <w:szCs w:val="24"/>
        </w:rPr>
        <w:t xml:space="preserve"> (2019) ‘Forest structure and climate mediate drought-induced tree mortality in forests of the Sierra Nevada , USA’, </w:t>
      </w:r>
      <w:r w:rsidRPr="00D430E8">
        <w:rPr>
          <w:rFonts w:ascii="Calibri" w:hAnsi="Calibri" w:cs="Calibri"/>
          <w:i/>
          <w:iCs/>
          <w:noProof/>
          <w:szCs w:val="24"/>
        </w:rPr>
        <w:t>Ecological Applications</w:t>
      </w:r>
      <w:r w:rsidRPr="00D430E8">
        <w:rPr>
          <w:rFonts w:ascii="Calibri" w:hAnsi="Calibri" w:cs="Calibri"/>
          <w:noProof/>
          <w:szCs w:val="24"/>
        </w:rPr>
        <w:t>, 29(December 2017), pp. 1–14. doi: 10.1002/eap.1902.</w:t>
      </w:r>
    </w:p>
    <w:p w14:paraId="2565264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D430E8">
        <w:rPr>
          <w:rFonts w:ascii="Calibri" w:hAnsi="Calibri" w:cs="Calibri"/>
          <w:i/>
          <w:iCs/>
          <w:noProof/>
          <w:szCs w:val="24"/>
        </w:rPr>
        <w:t>Gen. Tech. Rep. PSW-GTR-2562</w:t>
      </w:r>
      <w:r w:rsidRPr="00D430E8">
        <w:rPr>
          <w:rFonts w:ascii="Calibri" w:hAnsi="Calibri" w:cs="Calibri"/>
          <w:noProof/>
          <w:szCs w:val="24"/>
        </w:rPr>
        <w:t>, (October), pp. 1–151.</w:t>
      </w:r>
    </w:p>
    <w:p w14:paraId="347AA15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Schubert, G. H. (1956) </w:t>
      </w:r>
      <w:r w:rsidRPr="00D430E8">
        <w:rPr>
          <w:rFonts w:ascii="Calibri" w:hAnsi="Calibri" w:cs="Calibri"/>
          <w:i/>
          <w:iCs/>
          <w:noProof/>
          <w:szCs w:val="24"/>
        </w:rPr>
        <w:t>Effect of fertilizer on cone production of sugar pine</w:t>
      </w:r>
      <w:r w:rsidRPr="00D430E8">
        <w:rPr>
          <w:rFonts w:ascii="Calibri" w:hAnsi="Calibri" w:cs="Calibri"/>
          <w:noProof/>
          <w:szCs w:val="24"/>
        </w:rPr>
        <w:t>.</w:t>
      </w:r>
    </w:p>
    <w:p w14:paraId="5F8CC39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D430E8">
        <w:rPr>
          <w:rFonts w:ascii="Calibri" w:hAnsi="Calibri" w:cs="Calibri"/>
          <w:i/>
          <w:iCs/>
          <w:noProof/>
          <w:szCs w:val="24"/>
        </w:rPr>
        <w:t>Oikos</w:t>
      </w:r>
      <w:r w:rsidRPr="00D430E8">
        <w:rPr>
          <w:rFonts w:ascii="Calibri" w:hAnsi="Calibri" w:cs="Calibri"/>
          <w:noProof/>
          <w:szCs w:val="24"/>
        </w:rPr>
        <w:t>, 94, pp. 326–336.</w:t>
      </w:r>
    </w:p>
    <w:p w14:paraId="3637BBF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Shive, K. L. </w:t>
      </w:r>
      <w:r w:rsidRPr="00D430E8">
        <w:rPr>
          <w:rFonts w:ascii="Calibri" w:hAnsi="Calibri" w:cs="Calibri"/>
          <w:i/>
          <w:iCs/>
          <w:noProof/>
          <w:szCs w:val="24"/>
        </w:rPr>
        <w:t>et al.</w:t>
      </w:r>
      <w:r w:rsidRPr="00D430E8">
        <w:rPr>
          <w:rFonts w:ascii="Calibri" w:hAnsi="Calibri" w:cs="Calibri"/>
          <w:noProof/>
          <w:szCs w:val="24"/>
        </w:rPr>
        <w:t xml:space="preserve"> (2018) ‘From the stand scale to the landscape scale: predicting the spatial patterns of forest regeneration after disturbance’, </w:t>
      </w:r>
      <w:r w:rsidRPr="00D430E8">
        <w:rPr>
          <w:rFonts w:ascii="Calibri" w:hAnsi="Calibri" w:cs="Calibri"/>
          <w:i/>
          <w:iCs/>
          <w:noProof/>
          <w:szCs w:val="24"/>
        </w:rPr>
        <w:t>Ecological Applications</w:t>
      </w:r>
      <w:r w:rsidRPr="00D430E8">
        <w:rPr>
          <w:rFonts w:ascii="Calibri" w:hAnsi="Calibri" w:cs="Calibri"/>
          <w:noProof/>
          <w:szCs w:val="24"/>
        </w:rPr>
        <w:t>, 28(6), pp. 1626–1639. doi: 10.1002/eap.1756.</w:t>
      </w:r>
    </w:p>
    <w:p w14:paraId="1333ADB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Shriver, R. K. </w:t>
      </w:r>
      <w:r w:rsidRPr="00D430E8">
        <w:rPr>
          <w:rFonts w:ascii="Calibri" w:hAnsi="Calibri" w:cs="Calibri"/>
          <w:i/>
          <w:iCs/>
          <w:noProof/>
          <w:szCs w:val="24"/>
        </w:rPr>
        <w:t>et al.</w:t>
      </w:r>
      <w:r w:rsidRPr="00D430E8">
        <w:rPr>
          <w:rFonts w:ascii="Calibri" w:hAnsi="Calibri" w:cs="Calibri"/>
          <w:noProof/>
          <w:szCs w:val="24"/>
        </w:rPr>
        <w:t xml:space="preserve"> (2019) ‘Transient population dynamics impede restoration and may promote ecosystem transformation after disturbance’, </w:t>
      </w:r>
      <w:r w:rsidRPr="00D430E8">
        <w:rPr>
          <w:rFonts w:ascii="Calibri" w:hAnsi="Calibri" w:cs="Calibri"/>
          <w:i/>
          <w:iCs/>
          <w:noProof/>
          <w:szCs w:val="24"/>
        </w:rPr>
        <w:t>Ecology Letters</w:t>
      </w:r>
      <w:r w:rsidRPr="00D430E8">
        <w:rPr>
          <w:rFonts w:ascii="Calibri" w:hAnsi="Calibri" w:cs="Calibri"/>
          <w:noProof/>
          <w:szCs w:val="24"/>
        </w:rPr>
        <w:t>, 22(9), pp. 1357–1366. doi: 10.1111/ele.13291.</w:t>
      </w:r>
    </w:p>
    <w:p w14:paraId="409CAA1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Shriver, R. K. </w:t>
      </w:r>
      <w:r w:rsidRPr="00D430E8">
        <w:rPr>
          <w:rFonts w:ascii="Calibri" w:hAnsi="Calibri" w:cs="Calibri"/>
          <w:i/>
          <w:iCs/>
          <w:noProof/>
          <w:szCs w:val="24"/>
        </w:rPr>
        <w:t>et al.</w:t>
      </w:r>
      <w:r w:rsidRPr="00D430E8">
        <w:rPr>
          <w:rFonts w:ascii="Calibri" w:hAnsi="Calibri" w:cs="Calibri"/>
          <w:noProof/>
          <w:szCs w:val="24"/>
        </w:rPr>
        <w:t xml:space="preserve"> (2021) ‘Quantifying the demographic vulnerabilities of dry woodlands to climate and competition using range‐wide monitoring data’, </w:t>
      </w:r>
      <w:r w:rsidRPr="00D430E8">
        <w:rPr>
          <w:rFonts w:ascii="Calibri" w:hAnsi="Calibri" w:cs="Calibri"/>
          <w:i/>
          <w:iCs/>
          <w:noProof/>
          <w:szCs w:val="24"/>
        </w:rPr>
        <w:t>Ecology</w:t>
      </w:r>
      <w:r w:rsidRPr="00D430E8">
        <w:rPr>
          <w:rFonts w:ascii="Calibri" w:hAnsi="Calibri" w:cs="Calibri"/>
          <w:noProof/>
          <w:szCs w:val="24"/>
        </w:rPr>
        <w:t>, 0(0), pp. 1–12. doi: 10.1002/ecy.3425.</w:t>
      </w:r>
    </w:p>
    <w:p w14:paraId="5535EEF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D430E8">
        <w:rPr>
          <w:rFonts w:ascii="Calibri" w:hAnsi="Calibri" w:cs="Calibri"/>
          <w:i/>
          <w:iCs/>
          <w:noProof/>
          <w:szCs w:val="24"/>
        </w:rPr>
        <w:t>Trees</w:t>
      </w:r>
      <w:r w:rsidRPr="00D430E8">
        <w:rPr>
          <w:rFonts w:ascii="Calibri" w:hAnsi="Calibri" w:cs="Calibri"/>
          <w:noProof/>
          <w:szCs w:val="24"/>
        </w:rPr>
        <w:t>, (0123456789). doi: 10.1007/s00468-021-02098-8.</w:t>
      </w:r>
    </w:p>
    <w:p w14:paraId="111CBBC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Steel, Z. </w:t>
      </w:r>
      <w:r w:rsidRPr="00D430E8">
        <w:rPr>
          <w:rFonts w:ascii="Calibri" w:hAnsi="Calibri" w:cs="Calibri"/>
          <w:i/>
          <w:iCs/>
          <w:noProof/>
          <w:szCs w:val="24"/>
        </w:rPr>
        <w:t>et al.</w:t>
      </w:r>
      <w:r w:rsidRPr="00D430E8">
        <w:rPr>
          <w:rFonts w:ascii="Calibri" w:hAnsi="Calibri" w:cs="Calibri"/>
          <w:noProof/>
          <w:szCs w:val="24"/>
        </w:rPr>
        <w:t xml:space="preserve"> (2021) ‘Do Forest Fuel Reduction Treatments Confer Resistance to Beetle Infestation and Drought Mortality?’, </w:t>
      </w:r>
      <w:r w:rsidRPr="00D430E8">
        <w:rPr>
          <w:rFonts w:ascii="Calibri" w:hAnsi="Calibri" w:cs="Calibri"/>
          <w:i/>
          <w:iCs/>
          <w:noProof/>
          <w:szCs w:val="24"/>
        </w:rPr>
        <w:t>Ecosphere</w:t>
      </w:r>
      <w:r w:rsidRPr="00D430E8">
        <w:rPr>
          <w:rFonts w:ascii="Calibri" w:hAnsi="Calibri" w:cs="Calibri"/>
          <w:noProof/>
          <w:szCs w:val="24"/>
        </w:rPr>
        <w:t>, 12(January). doi: 10.1002/ecs2.3344.</w:t>
      </w:r>
    </w:p>
    <w:p w14:paraId="165C1FB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D430E8">
        <w:rPr>
          <w:rFonts w:ascii="Calibri" w:hAnsi="Calibri" w:cs="Calibri"/>
          <w:i/>
          <w:iCs/>
          <w:noProof/>
          <w:szCs w:val="24"/>
        </w:rPr>
        <w:t>Ecosphere</w:t>
      </w:r>
      <w:r w:rsidRPr="00D430E8">
        <w:rPr>
          <w:rFonts w:ascii="Calibri" w:hAnsi="Calibri" w:cs="Calibri"/>
          <w:noProof/>
          <w:szCs w:val="24"/>
        </w:rPr>
        <w:t>, 6(1). doi: 10.1890/ES14-00224.1.</w:t>
      </w:r>
    </w:p>
    <w:p w14:paraId="6739EE0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C. L. S. </w:t>
      </w:r>
      <w:r w:rsidRPr="00D430E8">
        <w:rPr>
          <w:rFonts w:ascii="Calibri" w:hAnsi="Calibri" w:cs="Calibri"/>
          <w:i/>
          <w:iCs/>
          <w:noProof/>
          <w:szCs w:val="24"/>
        </w:rPr>
        <w:t>et al.</w:t>
      </w:r>
      <w:r w:rsidRPr="00D430E8">
        <w:rPr>
          <w:rFonts w:ascii="Calibri" w:hAnsi="Calibri" w:cs="Calibri"/>
          <w:noProof/>
          <w:szCs w:val="24"/>
        </w:rPr>
        <w:t xml:space="preserve"> (2015) ‘Historical and current landscape-scale ponderosa pine and mixed conifer forest structure in the Southern Sierra Nevada’, </w:t>
      </w:r>
      <w:r w:rsidRPr="00D430E8">
        <w:rPr>
          <w:rFonts w:ascii="Calibri" w:hAnsi="Calibri" w:cs="Calibri"/>
          <w:i/>
          <w:iCs/>
          <w:noProof/>
          <w:szCs w:val="24"/>
        </w:rPr>
        <w:t>Ecosphere</w:t>
      </w:r>
      <w:r w:rsidRPr="00D430E8">
        <w:rPr>
          <w:rFonts w:ascii="Calibri" w:hAnsi="Calibri" w:cs="Calibri"/>
          <w:noProof/>
          <w:szCs w:val="24"/>
        </w:rPr>
        <w:t>, 6(May), pp. 1–63.</w:t>
      </w:r>
    </w:p>
    <w:p w14:paraId="346D32A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w:t>
      </w:r>
      <w:r w:rsidRPr="00D430E8">
        <w:rPr>
          <w:rFonts w:ascii="Calibri" w:hAnsi="Calibri" w:cs="Calibri"/>
          <w:i/>
          <w:iCs/>
          <w:noProof/>
          <w:szCs w:val="24"/>
        </w:rPr>
        <w:t>et al.</w:t>
      </w:r>
      <w:r w:rsidRPr="00D430E8">
        <w:rPr>
          <w:rFonts w:ascii="Calibri" w:hAnsi="Calibri" w:cs="Calibri"/>
          <w:noProof/>
          <w:szCs w:val="24"/>
        </w:rPr>
        <w:t xml:space="preserve"> (2009) ‘Fire Treatment Effects on Vegetation Structure , Fuels , and Potential Fire Severity in Western U . S . Forests’, </w:t>
      </w:r>
      <w:r w:rsidRPr="00D430E8">
        <w:rPr>
          <w:rFonts w:ascii="Calibri" w:hAnsi="Calibri" w:cs="Calibri"/>
          <w:i/>
          <w:iCs/>
          <w:noProof/>
          <w:szCs w:val="24"/>
        </w:rPr>
        <w:t>Ecological Applications</w:t>
      </w:r>
      <w:r w:rsidRPr="00D430E8">
        <w:rPr>
          <w:rFonts w:ascii="Calibri" w:hAnsi="Calibri" w:cs="Calibri"/>
          <w:noProof/>
          <w:szCs w:val="24"/>
        </w:rPr>
        <w:t>, 19(2), pp. 305–320. doi: 10.1890/07-1755.1.</w:t>
      </w:r>
    </w:p>
    <w:p w14:paraId="5C3CD54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w:t>
      </w:r>
      <w:r w:rsidRPr="00D430E8">
        <w:rPr>
          <w:rFonts w:ascii="Calibri" w:hAnsi="Calibri" w:cs="Calibri"/>
          <w:i/>
          <w:iCs/>
          <w:noProof/>
          <w:szCs w:val="24"/>
        </w:rPr>
        <w:t>et al.</w:t>
      </w:r>
      <w:r w:rsidRPr="00D430E8">
        <w:rPr>
          <w:rFonts w:ascii="Calibri" w:hAnsi="Calibri" w:cs="Calibri"/>
          <w:noProof/>
          <w:szCs w:val="24"/>
        </w:rPr>
        <w:t xml:space="preserve"> (2018) ‘Drought, Tree Mortality, and Wildfire in Forests Adapted to Frequent Fire’, </w:t>
      </w:r>
      <w:r w:rsidRPr="00D430E8">
        <w:rPr>
          <w:rFonts w:ascii="Calibri" w:hAnsi="Calibri" w:cs="Calibri"/>
          <w:i/>
          <w:iCs/>
          <w:noProof/>
          <w:szCs w:val="24"/>
        </w:rPr>
        <w:t>BioScience</w:t>
      </w:r>
      <w:r w:rsidRPr="00D430E8">
        <w:rPr>
          <w:rFonts w:ascii="Calibri" w:hAnsi="Calibri" w:cs="Calibri"/>
          <w:noProof/>
          <w:szCs w:val="24"/>
        </w:rPr>
        <w:t>, XX(X), pp. 1–12. doi: 10.1093/biosci/bix146.</w:t>
      </w:r>
    </w:p>
    <w:p w14:paraId="24D00AB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and Moghaddas, J. J. (2005) ‘Experimental fuel treatment impacts on forest structure, </w:t>
      </w:r>
      <w:r w:rsidRPr="00D430E8">
        <w:rPr>
          <w:rFonts w:ascii="Calibri" w:hAnsi="Calibri" w:cs="Calibri"/>
          <w:noProof/>
          <w:szCs w:val="24"/>
        </w:rPr>
        <w:lastRenderedPageBreak/>
        <w:t xml:space="preserve">potential fire behavior, and predicted tree mortality in a California mixed conifer forest’, </w:t>
      </w:r>
      <w:r w:rsidRPr="00D430E8">
        <w:rPr>
          <w:rFonts w:ascii="Calibri" w:hAnsi="Calibri" w:cs="Calibri"/>
          <w:i/>
          <w:iCs/>
          <w:noProof/>
          <w:szCs w:val="24"/>
        </w:rPr>
        <w:t>Forest Ecology and Management</w:t>
      </w:r>
      <w:r w:rsidRPr="00D430E8">
        <w:rPr>
          <w:rFonts w:ascii="Calibri" w:hAnsi="Calibri" w:cs="Calibri"/>
          <w:noProof/>
          <w:szCs w:val="24"/>
        </w:rPr>
        <w:t>, 215(1–3), pp. 21–36. doi: 10.1016/j.foreco.2005.03.070.</w:t>
      </w:r>
    </w:p>
    <w:p w14:paraId="5C38189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Stephenson, N. L. (1998) ‘Actual evapotranspiration and deficit: Biologically meaningful correlates of vegetation distribution across spatial scales’, </w:t>
      </w:r>
      <w:r w:rsidRPr="00D430E8">
        <w:rPr>
          <w:rFonts w:ascii="Calibri" w:hAnsi="Calibri" w:cs="Calibri"/>
          <w:i/>
          <w:iCs/>
          <w:noProof/>
          <w:szCs w:val="24"/>
        </w:rPr>
        <w:t>Journal of Biogeography</w:t>
      </w:r>
      <w:r w:rsidRPr="00D430E8">
        <w:rPr>
          <w:rFonts w:ascii="Calibri" w:hAnsi="Calibri" w:cs="Calibri"/>
          <w:noProof/>
          <w:szCs w:val="24"/>
        </w:rPr>
        <w:t>, 25(5), pp. 855–870. doi: 10.1046/j.1365-2699.1998.00233.x.</w:t>
      </w:r>
    </w:p>
    <w:p w14:paraId="6F13902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Stephenson, N. L. </w:t>
      </w:r>
      <w:r w:rsidRPr="00D430E8">
        <w:rPr>
          <w:rFonts w:ascii="Calibri" w:hAnsi="Calibri" w:cs="Calibri"/>
          <w:i/>
          <w:iCs/>
          <w:noProof/>
          <w:szCs w:val="24"/>
        </w:rPr>
        <w:t>et al.</w:t>
      </w:r>
      <w:r w:rsidRPr="00D430E8">
        <w:rPr>
          <w:rFonts w:ascii="Calibri" w:hAnsi="Calibri" w:cs="Calibri"/>
          <w:noProof/>
          <w:szCs w:val="24"/>
        </w:rPr>
        <w:t xml:space="preserve"> (2019) ‘Which trees die during drought? The key role of insect host-tree selection’, </w:t>
      </w:r>
      <w:r w:rsidRPr="00D430E8">
        <w:rPr>
          <w:rFonts w:ascii="Calibri" w:hAnsi="Calibri" w:cs="Calibri"/>
          <w:i/>
          <w:iCs/>
          <w:noProof/>
          <w:szCs w:val="24"/>
        </w:rPr>
        <w:t>Journal of Ecology</w:t>
      </w:r>
      <w:r w:rsidRPr="00D430E8">
        <w:rPr>
          <w:rFonts w:ascii="Calibri" w:hAnsi="Calibri" w:cs="Calibri"/>
          <w:noProof/>
          <w:szCs w:val="24"/>
        </w:rPr>
        <w:t>, 107(5), pp. 2383–2401. doi: 10.1111/1365-2745.13176.</w:t>
      </w:r>
    </w:p>
    <w:p w14:paraId="5C8EE0D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Stevens, J. T. </w:t>
      </w:r>
      <w:r w:rsidRPr="00D430E8">
        <w:rPr>
          <w:rFonts w:ascii="Calibri" w:hAnsi="Calibri" w:cs="Calibri"/>
          <w:i/>
          <w:iCs/>
          <w:noProof/>
          <w:szCs w:val="24"/>
        </w:rPr>
        <w:t>et al.</w:t>
      </w:r>
      <w:r w:rsidRPr="00D430E8">
        <w:rPr>
          <w:rFonts w:ascii="Calibri" w:hAnsi="Calibri" w:cs="Calibri"/>
          <w:noProof/>
          <w:szCs w:val="24"/>
        </w:rPr>
        <w:t xml:space="preserve"> (2017) ‘Changing spatial patterns of stand-replacing fire in California conifer forests’, </w:t>
      </w:r>
      <w:r w:rsidRPr="00D430E8">
        <w:rPr>
          <w:rFonts w:ascii="Calibri" w:hAnsi="Calibri" w:cs="Calibri"/>
          <w:i/>
          <w:iCs/>
          <w:noProof/>
          <w:szCs w:val="24"/>
        </w:rPr>
        <w:t>Forest Ecology and Management</w:t>
      </w:r>
      <w:r w:rsidRPr="00D430E8">
        <w:rPr>
          <w:rFonts w:ascii="Calibri" w:hAnsi="Calibri" w:cs="Calibri"/>
          <w:noProof/>
          <w:szCs w:val="24"/>
        </w:rPr>
        <w:t>, 406(August), pp. 28–36. doi: 10.1016/j.foreco.2017.08.051.</w:t>
      </w:r>
    </w:p>
    <w:p w14:paraId="705497D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Stewart, J. A. E. </w:t>
      </w:r>
      <w:r w:rsidRPr="00D430E8">
        <w:rPr>
          <w:rFonts w:ascii="Calibri" w:hAnsi="Calibri" w:cs="Calibri"/>
          <w:i/>
          <w:iCs/>
          <w:noProof/>
          <w:szCs w:val="24"/>
        </w:rPr>
        <w:t>et al.</w:t>
      </w:r>
      <w:r w:rsidRPr="00D430E8">
        <w:rPr>
          <w:rFonts w:ascii="Calibri" w:hAnsi="Calibri" w:cs="Calibri"/>
          <w:noProof/>
          <w:szCs w:val="24"/>
        </w:rPr>
        <w:t xml:space="preserve"> (2021) ‘Effects of postfire climate and seed availability on postfire conifer regeneration’, </w:t>
      </w:r>
      <w:r w:rsidRPr="00D430E8">
        <w:rPr>
          <w:rFonts w:ascii="Calibri" w:hAnsi="Calibri" w:cs="Calibri"/>
          <w:i/>
          <w:iCs/>
          <w:noProof/>
          <w:szCs w:val="24"/>
        </w:rPr>
        <w:t>Ecological Applications</w:t>
      </w:r>
      <w:r w:rsidRPr="00D430E8">
        <w:rPr>
          <w:rFonts w:ascii="Calibri" w:hAnsi="Calibri" w:cs="Calibri"/>
          <w:noProof/>
          <w:szCs w:val="24"/>
        </w:rPr>
        <w:t>, 31(3), pp. 1–14. doi: 10.1002/eap.2280.</w:t>
      </w:r>
    </w:p>
    <w:p w14:paraId="7852A12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Voelker, S. L. </w:t>
      </w:r>
      <w:r w:rsidRPr="00D430E8">
        <w:rPr>
          <w:rFonts w:ascii="Calibri" w:hAnsi="Calibri" w:cs="Calibri"/>
          <w:i/>
          <w:iCs/>
          <w:noProof/>
          <w:szCs w:val="24"/>
        </w:rPr>
        <w:t>et al.</w:t>
      </w:r>
      <w:r w:rsidRPr="00D430E8">
        <w:rPr>
          <w:rFonts w:ascii="Calibri" w:hAnsi="Calibri" w:cs="Calibri"/>
          <w:noProof/>
          <w:szCs w:val="24"/>
        </w:rPr>
        <w:t xml:space="preserve"> (2019) ‘Fire deficits have increased drought sensitivity in dry conifer forests: Fire frequency and tree-ring carbon isotope evidence from Central Oregon’, </w:t>
      </w:r>
      <w:r w:rsidRPr="00D430E8">
        <w:rPr>
          <w:rFonts w:ascii="Calibri" w:hAnsi="Calibri" w:cs="Calibri"/>
          <w:i/>
          <w:iCs/>
          <w:noProof/>
          <w:szCs w:val="24"/>
        </w:rPr>
        <w:t>Global Change Biology</w:t>
      </w:r>
      <w:r w:rsidRPr="00D430E8">
        <w:rPr>
          <w:rFonts w:ascii="Calibri" w:hAnsi="Calibri" w:cs="Calibri"/>
          <w:noProof/>
          <w:szCs w:val="24"/>
        </w:rPr>
        <w:t>, 25(4), pp. 1247–1262. doi: 10.1111/gcb.14543.</w:t>
      </w:r>
    </w:p>
    <w:p w14:paraId="14FCFA8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Wayman, R. B. and Safford, H. D. (2021) ‘Recent bark beetle outbreaks influence wildfire severity in mixed-conifer forests of the Sierra Nevada, California, USA’, </w:t>
      </w:r>
      <w:r w:rsidRPr="00D430E8">
        <w:rPr>
          <w:rFonts w:ascii="Calibri" w:hAnsi="Calibri" w:cs="Calibri"/>
          <w:i/>
          <w:iCs/>
          <w:noProof/>
          <w:szCs w:val="24"/>
        </w:rPr>
        <w:t>Ecological Applications</w:t>
      </w:r>
      <w:r w:rsidRPr="00D430E8">
        <w:rPr>
          <w:rFonts w:ascii="Calibri" w:hAnsi="Calibri" w:cs="Calibri"/>
          <w:noProof/>
          <w:szCs w:val="24"/>
        </w:rPr>
        <w:t>, 31(3), pp. 1–19. doi: 10.1002/eap.2287.</w:t>
      </w:r>
    </w:p>
    <w:p w14:paraId="48250C0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504A43D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Yeaton, R. I. (1984) ‘Aspects of the Population Biology of Sugar Pine ( Pinus lambertiana Dougl .) on an Elevational Gradient in the Sierra Nevada of Central California’, </w:t>
      </w:r>
      <w:r w:rsidRPr="00D430E8">
        <w:rPr>
          <w:rFonts w:ascii="Calibri" w:hAnsi="Calibri" w:cs="Calibri"/>
          <w:i/>
          <w:iCs/>
          <w:noProof/>
          <w:szCs w:val="24"/>
        </w:rPr>
        <w:t>The American Midland Naturalist</w:t>
      </w:r>
      <w:r w:rsidRPr="00D430E8">
        <w:rPr>
          <w:rFonts w:ascii="Calibri" w:hAnsi="Calibri" w:cs="Calibri"/>
          <w:noProof/>
          <w:szCs w:val="24"/>
        </w:rPr>
        <w:t>, 111(1), pp. 126–137. Available at: https://www.jstor.org/stable/2425550.</w:t>
      </w:r>
    </w:p>
    <w:p w14:paraId="4C19D29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York, R. A. </w:t>
      </w:r>
      <w:r w:rsidRPr="00D430E8">
        <w:rPr>
          <w:rFonts w:ascii="Calibri" w:hAnsi="Calibri" w:cs="Calibri"/>
          <w:i/>
          <w:iCs/>
          <w:noProof/>
          <w:szCs w:val="24"/>
        </w:rPr>
        <w:t>et al.</w:t>
      </w:r>
      <w:r w:rsidRPr="00D430E8">
        <w:rPr>
          <w:rFonts w:ascii="Calibri" w:hAnsi="Calibri" w:cs="Calibri"/>
          <w:noProof/>
          <w:szCs w:val="24"/>
        </w:rPr>
        <w:t xml:space="preserve"> (2004) ‘Group selection management in conifer forests: Relationships between opening size and tree growth’, </w:t>
      </w:r>
      <w:r w:rsidRPr="00D430E8">
        <w:rPr>
          <w:rFonts w:ascii="Calibri" w:hAnsi="Calibri" w:cs="Calibri"/>
          <w:i/>
          <w:iCs/>
          <w:noProof/>
          <w:szCs w:val="24"/>
        </w:rPr>
        <w:t>Canadian Journal of Forest Research</w:t>
      </w:r>
      <w:r w:rsidRPr="00D430E8">
        <w:rPr>
          <w:rFonts w:ascii="Calibri" w:hAnsi="Calibri" w:cs="Calibri"/>
          <w:noProof/>
          <w:szCs w:val="24"/>
        </w:rPr>
        <w:t>, 34(3), pp. 630–641. doi: 10.1139/x03-222.</w:t>
      </w:r>
    </w:p>
    <w:p w14:paraId="15B0E73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York, R. A. </w:t>
      </w:r>
      <w:r w:rsidRPr="00D430E8">
        <w:rPr>
          <w:rFonts w:ascii="Calibri" w:hAnsi="Calibri" w:cs="Calibri"/>
          <w:i/>
          <w:iCs/>
          <w:noProof/>
          <w:szCs w:val="24"/>
        </w:rPr>
        <w:t>et al.</w:t>
      </w:r>
      <w:r w:rsidRPr="00D430E8">
        <w:rPr>
          <w:rFonts w:ascii="Calibri" w:hAnsi="Calibri" w:cs="Calibri"/>
          <w:noProof/>
          <w:szCs w:val="24"/>
        </w:rPr>
        <w:t xml:space="preserve"> (2012) ‘A gap-based approach for regenerating pine species and reducing surface fuels in multi-aged mixed conifer stands in the Sierra Nevada, California’, </w:t>
      </w:r>
      <w:r w:rsidRPr="00D430E8">
        <w:rPr>
          <w:rFonts w:ascii="Calibri" w:hAnsi="Calibri" w:cs="Calibri"/>
          <w:i/>
          <w:iCs/>
          <w:noProof/>
          <w:szCs w:val="24"/>
        </w:rPr>
        <w:t>Forestry</w:t>
      </w:r>
      <w:r w:rsidRPr="00D430E8">
        <w:rPr>
          <w:rFonts w:ascii="Calibri" w:hAnsi="Calibri" w:cs="Calibri"/>
          <w:noProof/>
          <w:szCs w:val="24"/>
        </w:rPr>
        <w:t>, 85(2), pp. 203–213. doi: 10.1093/forestry/cpr058.</w:t>
      </w:r>
    </w:p>
    <w:p w14:paraId="3EA3D6B8" w14:textId="77777777" w:rsidR="00D430E8" w:rsidRPr="00D430E8" w:rsidRDefault="00D430E8" w:rsidP="00D430E8">
      <w:pPr>
        <w:widowControl w:val="0"/>
        <w:autoSpaceDE w:val="0"/>
        <w:autoSpaceDN w:val="0"/>
        <w:adjustRightInd w:val="0"/>
        <w:spacing w:line="240" w:lineRule="auto"/>
        <w:rPr>
          <w:rFonts w:ascii="Calibri" w:hAnsi="Calibri" w:cs="Calibri"/>
          <w:noProof/>
        </w:rPr>
      </w:pPr>
      <w:r w:rsidRPr="00D430E8">
        <w:rPr>
          <w:rFonts w:ascii="Calibri" w:hAnsi="Calibri" w:cs="Calibri"/>
          <w:noProof/>
          <w:szCs w:val="24"/>
        </w:rPr>
        <w:t xml:space="preserve">Young, D. J. N. </w:t>
      </w:r>
      <w:r w:rsidRPr="00D430E8">
        <w:rPr>
          <w:rFonts w:ascii="Calibri" w:hAnsi="Calibri" w:cs="Calibri"/>
          <w:i/>
          <w:iCs/>
          <w:noProof/>
          <w:szCs w:val="24"/>
        </w:rPr>
        <w:t>et al.</w:t>
      </w:r>
      <w:r w:rsidRPr="00D430E8">
        <w:rPr>
          <w:rFonts w:ascii="Calibri" w:hAnsi="Calibri" w:cs="Calibri"/>
          <w:noProof/>
          <w:szCs w:val="24"/>
        </w:rPr>
        <w:t xml:space="preserve"> (2017) ‘Long-term climate and competition explain forest mortality patterns under extreme drought’, </w:t>
      </w:r>
      <w:r w:rsidRPr="00D430E8">
        <w:rPr>
          <w:rFonts w:ascii="Calibri" w:hAnsi="Calibri" w:cs="Calibri"/>
          <w:i/>
          <w:iCs/>
          <w:noProof/>
          <w:szCs w:val="24"/>
        </w:rPr>
        <w:t>Ecology Letters</w:t>
      </w:r>
      <w:r w:rsidRPr="00D430E8">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r w:rsidRPr="00514011">
              <w:rPr>
                <w:rFonts w:ascii="Calibri" w:hAnsi="Calibri" w:cs="Calibri"/>
                <w:b/>
                <w:bCs/>
                <w:color w:val="000000"/>
              </w:rPr>
              <w:t>StDev</w:t>
            </w:r>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r w:rsidRPr="00514011">
              <w:rPr>
                <w:rFonts w:ascii="Calibri" w:hAnsi="Calibri" w:cs="Calibri"/>
                <w:b/>
                <w:bCs/>
                <w:color w:val="000000"/>
              </w:rPr>
              <w:t>rhat</w:t>
            </w:r>
          </w:p>
        </w:tc>
        <w:tc>
          <w:tcPr>
            <w:tcW w:w="1008" w:type="dxa"/>
            <w:noWrap/>
            <w:vAlign w:val="bottom"/>
            <w:hideMark/>
          </w:tcPr>
          <w:p w14:paraId="486539A0" w14:textId="77777777" w:rsidR="00E92F0B" w:rsidRPr="008727D0" w:rsidRDefault="00E92F0B" w:rsidP="00514011">
            <w:pPr>
              <w:rPr>
                <w:b/>
                <w:bCs/>
              </w:rPr>
            </w:pPr>
            <w:r w:rsidRPr="00514011">
              <w:rPr>
                <w:rFonts w:ascii="Calibri" w:hAnsi="Calibri" w:cs="Calibri"/>
                <w:b/>
                <w:bCs/>
                <w:color w:val="000000"/>
              </w:rPr>
              <w:t>ess_bulk</w:t>
            </w:r>
          </w:p>
        </w:tc>
        <w:tc>
          <w:tcPr>
            <w:tcW w:w="960" w:type="dxa"/>
            <w:noWrap/>
            <w:vAlign w:val="bottom"/>
            <w:hideMark/>
          </w:tcPr>
          <w:p w14:paraId="6E607DB9" w14:textId="77777777" w:rsidR="00E92F0B" w:rsidRPr="008727D0" w:rsidRDefault="00E92F0B" w:rsidP="00514011">
            <w:pPr>
              <w:rPr>
                <w:b/>
                <w:bCs/>
              </w:rPr>
            </w:pPr>
            <w:r w:rsidRPr="00514011">
              <w:rPr>
                <w:rFonts w:ascii="Calibri" w:hAnsi="Calibri" w:cs="Calibri"/>
                <w:b/>
                <w:bCs/>
                <w:color w:val="000000"/>
              </w:rPr>
              <w:t>ess_tail</w:t>
            </w:r>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74" w:name="_Ref104545123"/>
      <w:r>
        <w:t xml:space="preserve">Table </w:t>
      </w:r>
      <w:fldSimple w:instr=" SEQ Table \* ARABIC ">
        <w:r>
          <w:rPr>
            <w:noProof/>
          </w:rPr>
          <w:t>1</w:t>
        </w:r>
      </w:fldSimple>
      <w:bookmarkEnd w:id="74"/>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r w:rsidRPr="00870621">
              <w:rPr>
                <w:b/>
                <w:bCs/>
              </w:rPr>
              <w:t>StDev</w:t>
            </w:r>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r w:rsidRPr="00870621">
              <w:rPr>
                <w:b/>
                <w:bCs/>
              </w:rPr>
              <w:t>rhat</w:t>
            </w:r>
          </w:p>
        </w:tc>
        <w:tc>
          <w:tcPr>
            <w:tcW w:w="1285" w:type="dxa"/>
            <w:noWrap/>
            <w:hideMark/>
          </w:tcPr>
          <w:p w14:paraId="6C097373" w14:textId="77777777" w:rsidR="00245CBF" w:rsidRPr="00870621" w:rsidRDefault="00245CBF" w:rsidP="00514011">
            <w:pPr>
              <w:rPr>
                <w:b/>
                <w:bCs/>
              </w:rPr>
            </w:pPr>
            <w:r w:rsidRPr="00870621">
              <w:rPr>
                <w:b/>
                <w:bCs/>
              </w:rPr>
              <w:t>ess_bulk</w:t>
            </w:r>
          </w:p>
        </w:tc>
        <w:tc>
          <w:tcPr>
            <w:tcW w:w="1285" w:type="dxa"/>
            <w:noWrap/>
            <w:hideMark/>
          </w:tcPr>
          <w:p w14:paraId="419EF56B" w14:textId="77777777" w:rsidR="00245CBF" w:rsidRPr="00870621" w:rsidRDefault="00245CBF" w:rsidP="00514011">
            <w:pPr>
              <w:rPr>
                <w:b/>
                <w:bCs/>
              </w:rPr>
            </w:pPr>
            <w:r w:rsidRPr="00870621">
              <w:rPr>
                <w:b/>
                <w:bCs/>
              </w:rPr>
              <w:t>ess_tail</w:t>
            </w:r>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75" w:name="_Ref94609644"/>
      <w:r>
        <w:t xml:space="preserve">Table </w:t>
      </w:r>
      <w:r w:rsidR="00FF39FD">
        <w:fldChar w:fldCharType="begin"/>
      </w:r>
      <w:r w:rsidR="00FF39FD">
        <w:instrText xml:space="preserve"> SEQ Table \* ARABIC </w:instrText>
      </w:r>
      <w:r w:rsidR="00FF39FD">
        <w:fldChar w:fldCharType="separate"/>
      </w:r>
      <w:r>
        <w:rPr>
          <w:noProof/>
        </w:rPr>
        <w:t>2</w:t>
      </w:r>
      <w:r w:rsidR="00FF39FD">
        <w:rPr>
          <w:noProof/>
        </w:rPr>
        <w:fldChar w:fldCharType="end"/>
      </w:r>
      <w:bookmarkEnd w:id="7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r w:rsidRPr="00E92F0B">
              <w:rPr>
                <w:rFonts w:ascii="Calibri" w:hAnsi="Calibri" w:cs="Calibri"/>
                <w:b/>
                <w:bCs/>
                <w:color w:val="000000"/>
              </w:rPr>
              <w:t>StDev</w:t>
            </w:r>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r w:rsidRPr="00E92F0B">
              <w:rPr>
                <w:rFonts w:ascii="Calibri" w:hAnsi="Calibri" w:cs="Calibri"/>
                <w:b/>
                <w:bCs/>
                <w:color w:val="000000"/>
              </w:rPr>
              <w:t>rhat</w:t>
            </w:r>
          </w:p>
        </w:tc>
        <w:tc>
          <w:tcPr>
            <w:tcW w:w="1008" w:type="dxa"/>
            <w:noWrap/>
            <w:vAlign w:val="bottom"/>
            <w:hideMark/>
          </w:tcPr>
          <w:p w14:paraId="69F89ABD" w14:textId="77777777" w:rsidR="00245CBF" w:rsidRPr="008727D0" w:rsidRDefault="00245CBF" w:rsidP="00514011">
            <w:pPr>
              <w:rPr>
                <w:b/>
                <w:bCs/>
              </w:rPr>
            </w:pPr>
            <w:r w:rsidRPr="00E92F0B">
              <w:rPr>
                <w:rFonts w:ascii="Calibri" w:hAnsi="Calibri" w:cs="Calibri"/>
                <w:b/>
                <w:bCs/>
                <w:color w:val="000000"/>
              </w:rPr>
              <w:t>ess_bulk</w:t>
            </w:r>
          </w:p>
        </w:tc>
        <w:tc>
          <w:tcPr>
            <w:tcW w:w="960" w:type="dxa"/>
            <w:noWrap/>
            <w:vAlign w:val="bottom"/>
            <w:hideMark/>
          </w:tcPr>
          <w:p w14:paraId="01552ED6" w14:textId="77777777" w:rsidR="00245CBF" w:rsidRPr="008727D0" w:rsidRDefault="00245CBF" w:rsidP="00514011">
            <w:pPr>
              <w:rPr>
                <w:b/>
                <w:bCs/>
              </w:rPr>
            </w:pPr>
            <w:r w:rsidRPr="00E92F0B">
              <w:rPr>
                <w:rFonts w:ascii="Calibri" w:hAnsi="Calibri" w:cs="Calibri"/>
                <w:b/>
                <w:bCs/>
                <w:color w:val="000000"/>
              </w:rPr>
              <w:t>ess_tail</w:t>
            </w:r>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76" w:name="_Ref94613081"/>
      <w:r>
        <w:t xml:space="preserve">Table </w:t>
      </w:r>
      <w:r w:rsidR="00FF39FD">
        <w:fldChar w:fldCharType="begin"/>
      </w:r>
      <w:r w:rsidR="00FF39FD">
        <w:instrText xml:space="preserve"> SEQ Table \* ARABIC </w:instrText>
      </w:r>
      <w:r w:rsidR="00FF39FD">
        <w:fldChar w:fldCharType="separate"/>
      </w:r>
      <w:r>
        <w:rPr>
          <w:noProof/>
        </w:rPr>
        <w:t>3</w:t>
      </w:r>
      <w:r w:rsidR="00FF39FD">
        <w:rPr>
          <w:noProof/>
        </w:rPr>
        <w:fldChar w:fldCharType="end"/>
      </w:r>
      <w:bookmarkEnd w:id="7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19737D5F">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4A8D1746" w:rsidR="003E0B60" w:rsidRDefault="003E0B60" w:rsidP="008400A4">
      <w:pPr>
        <w:pStyle w:val="Caption"/>
      </w:pPr>
      <w:bookmarkStart w:id="77" w:name="_Ref94877166"/>
      <w:r>
        <w:t xml:space="preserve">Figure </w:t>
      </w:r>
      <w:r w:rsidR="00FF39FD">
        <w:fldChar w:fldCharType="begin"/>
      </w:r>
      <w:r w:rsidR="00FF39FD">
        <w:instrText xml:space="preserve"> SEQ Figure \* ARABIC </w:instrText>
      </w:r>
      <w:r w:rsidR="00FF39FD">
        <w:fldChar w:fldCharType="separate"/>
      </w:r>
      <w:r w:rsidR="006A10AA">
        <w:rPr>
          <w:noProof/>
        </w:rPr>
        <w:t>1</w:t>
      </w:r>
      <w:r w:rsidR="00FF39FD">
        <w:rPr>
          <w:noProof/>
        </w:rPr>
        <w:fldChar w:fldCharType="end"/>
      </w:r>
      <w:bookmarkEnd w:id="77"/>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491D7C4A">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36B8F7FB" w:rsidR="006A10AA" w:rsidRDefault="006A10AA" w:rsidP="006A10AA">
      <w:pPr>
        <w:pStyle w:val="Caption"/>
      </w:pPr>
      <w:bookmarkStart w:id="78" w:name="_Ref104988009"/>
      <w:r>
        <w:t xml:space="preserve">Figure </w:t>
      </w:r>
      <w:fldSimple w:instr=" SEQ Figure \* ARABIC ">
        <w:r>
          <w:rPr>
            <w:noProof/>
          </w:rPr>
          <w:t>2</w:t>
        </w:r>
      </w:fldSimple>
      <w:bookmarkEnd w:id="78"/>
      <w:r>
        <w:t>: Changes in plot-level basal area and stems per hectare for</w:t>
      </w:r>
      <w:r w:rsidR="00E45F15">
        <w:t xml:space="preserve"> </w:t>
      </w:r>
      <w:r w:rsidR="007C34D3">
        <w:t>822</w:t>
      </w:r>
      <w:r>
        <w:t xml:space="preserve"> plots where sugar pine was present at initial measurement (20</w:t>
      </w:r>
      <w:r w:rsidR="00331DA8">
        <w:t>04</w:t>
      </w:r>
      <w:r>
        <w:t>-2009) or remeasurement (20</w:t>
      </w:r>
      <w:r w:rsidR="00331DA8">
        <w:t>14</w:t>
      </w:r>
      <w:r>
        <w:t>-2019)</w:t>
      </w:r>
      <w:r w:rsidR="007C34D3">
        <w:t xml:space="preserve"> and seedlings were consistently tallied</w:t>
      </w:r>
      <w:r>
        <w:t xml:space="preserve">. Points are means and error bars are +/- one standard error across </w:t>
      </w:r>
      <w:r w:rsidR="00E45F15">
        <w:t>plots.</w:t>
      </w:r>
      <w:r w:rsidR="00102552">
        <w:t xml:space="preserve"> Basal area totals include only stems greater than or equal to 2.54 cm DBH, while stem density includes all stems greater than </w:t>
      </w:r>
      <w:r w:rsidR="00A76BD8">
        <w:t xml:space="preserve">0.15 m height. </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051BD0F" w:rsidR="007E3804" w:rsidRDefault="007E3804" w:rsidP="007E3804">
      <w:pPr>
        <w:pStyle w:val="Caption"/>
        <w:rPr>
          <w:noProof/>
        </w:rPr>
      </w:pPr>
      <w:bookmarkStart w:id="79" w:name="_Ref93744929"/>
      <w:commentRangeStart w:id="80"/>
      <w:r>
        <w:t xml:space="preserve">Figure </w:t>
      </w:r>
      <w:r w:rsidR="00FF39FD">
        <w:fldChar w:fldCharType="begin"/>
      </w:r>
      <w:r w:rsidR="00FF39FD">
        <w:instrText xml:space="preserve"> SEQ Figure \* ARABIC </w:instrText>
      </w:r>
      <w:r w:rsidR="00FF39FD">
        <w:fldChar w:fldCharType="separate"/>
      </w:r>
      <w:r w:rsidR="006A10AA">
        <w:rPr>
          <w:noProof/>
        </w:rPr>
        <w:t>3</w:t>
      </w:r>
      <w:r w:rsidR="00FF39FD">
        <w:rPr>
          <w:noProof/>
        </w:rPr>
        <w:fldChar w:fldCharType="end"/>
      </w:r>
      <w:bookmarkEnd w:id="79"/>
      <w:r w:rsidR="008400A4">
        <w:rPr>
          <w:noProof/>
        </w:rPr>
        <w:t xml:space="preserve">: </w:t>
      </w:r>
      <w:commentRangeEnd w:id="80"/>
      <w:r w:rsidR="00090276">
        <w:rPr>
          <w:rStyle w:val="CommentReference"/>
          <w:i w:val="0"/>
          <w:iCs w:val="0"/>
          <w:color w:val="auto"/>
        </w:rPr>
        <w:commentReference w:id="80"/>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81"/>
      <w:commentRangeStart w:id="82"/>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commentRangeEnd w:id="81"/>
      <w:r w:rsidR="00D750DC">
        <w:rPr>
          <w:rStyle w:val="CommentReference"/>
        </w:rPr>
        <w:commentReference w:id="81"/>
      </w:r>
      <w:commentRangeEnd w:id="82"/>
      <w:r w:rsidR="00D750DC">
        <w:rPr>
          <w:rStyle w:val="CommentReference"/>
        </w:rPr>
        <w:commentReference w:id="82"/>
      </w:r>
    </w:p>
    <w:p w14:paraId="45744BE9" w14:textId="1036B518" w:rsidR="007E3804" w:rsidRDefault="007E3804" w:rsidP="007E3804">
      <w:pPr>
        <w:pStyle w:val="Caption"/>
        <w:rPr>
          <w:noProof/>
        </w:rPr>
      </w:pPr>
      <w:bookmarkStart w:id="83" w:name="_Ref94611931"/>
      <w:r>
        <w:t xml:space="preserve">Figure </w:t>
      </w:r>
      <w:r w:rsidR="00FF39FD">
        <w:fldChar w:fldCharType="begin"/>
      </w:r>
      <w:r w:rsidR="00FF39FD">
        <w:instrText xml:space="preserve"> SEQ Figure \* ARABIC </w:instrText>
      </w:r>
      <w:r w:rsidR="00FF39FD">
        <w:fldChar w:fldCharType="separate"/>
      </w:r>
      <w:r w:rsidR="006A10AA">
        <w:rPr>
          <w:noProof/>
        </w:rPr>
        <w:t>4</w:t>
      </w:r>
      <w:r w:rsidR="00FF39FD">
        <w:rPr>
          <w:noProof/>
        </w:rPr>
        <w:fldChar w:fldCharType="end"/>
      </w:r>
      <w:bookmarkEnd w:id="83"/>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w:t>
      </w:r>
      <w:r w:rsidR="00143E5F">
        <w:rPr>
          <w:noProof/>
        </w:rPr>
        <w:lastRenderedPageBreak/>
        <w:t>the median predicted survival, darker ribbons show a 50% credible interval, and lighter ribbons show a 95% credible interval.</w:t>
      </w:r>
      <w:r w:rsidR="00F23E3D">
        <w:rPr>
          <w:noProof/>
        </w:rPr>
        <w:t xml:space="preserve"> Random effects were held at 0.</w:t>
      </w:r>
    </w:p>
    <w:p w14:paraId="69A252AD" w14:textId="134AA991" w:rsidR="00F365CE" w:rsidRDefault="00F365CE">
      <w:r>
        <w:br w:type="page"/>
      </w:r>
    </w:p>
    <w:p w14:paraId="3257D6AD" w14:textId="77777777" w:rsidR="00F365CE" w:rsidRPr="00F365CE" w:rsidRDefault="00F365CE" w:rsidP="00F365CE"/>
    <w:p w14:paraId="7A90CA33" w14:textId="77777777" w:rsidR="007E3804" w:rsidRDefault="007E3804" w:rsidP="008400A4">
      <w:pPr>
        <w:keepNext/>
      </w:pPr>
      <w:commentRangeStart w:id="84"/>
      <w:commentRangeStart w:id="85"/>
      <w:commentRangeStart w:id="86"/>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commentRangeEnd w:id="84"/>
      <w:r w:rsidR="00D750DC">
        <w:rPr>
          <w:rStyle w:val="CommentReference"/>
        </w:rPr>
        <w:commentReference w:id="84"/>
      </w:r>
      <w:commentRangeEnd w:id="85"/>
      <w:r w:rsidR="00D750DC">
        <w:rPr>
          <w:rStyle w:val="CommentReference"/>
        </w:rPr>
        <w:commentReference w:id="85"/>
      </w:r>
      <w:commentRangeEnd w:id="86"/>
      <w:r w:rsidR="00427DBC">
        <w:rPr>
          <w:rStyle w:val="CommentReference"/>
        </w:rPr>
        <w:commentReference w:id="86"/>
      </w:r>
    </w:p>
    <w:p w14:paraId="6DB62EB3" w14:textId="3297A5F2" w:rsidR="007E3804" w:rsidRDefault="007E3804" w:rsidP="007E3804">
      <w:pPr>
        <w:pStyle w:val="Caption"/>
        <w:rPr>
          <w:noProof/>
        </w:rPr>
      </w:pPr>
      <w:bookmarkStart w:id="87" w:name="_Ref94613276"/>
      <w:r>
        <w:t xml:space="preserve">Figure </w:t>
      </w:r>
      <w:r w:rsidR="00FF39FD">
        <w:fldChar w:fldCharType="begin"/>
      </w:r>
      <w:r w:rsidR="00FF39FD">
        <w:instrText xml:space="preserve"> SEQ Figure \* ARABIC </w:instrText>
      </w:r>
      <w:r w:rsidR="00FF39FD">
        <w:fldChar w:fldCharType="separate"/>
      </w:r>
      <w:r w:rsidR="006A10AA">
        <w:rPr>
          <w:noProof/>
        </w:rPr>
        <w:t>5</w:t>
      </w:r>
      <w:r w:rsidR="00FF39FD">
        <w:rPr>
          <w:noProof/>
        </w:rPr>
        <w:fldChar w:fldCharType="end"/>
      </w:r>
      <w:bookmarkEnd w:id="87"/>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w:t>
      </w:r>
      <w:r w:rsidR="00143E5F">
        <w:rPr>
          <w:noProof/>
        </w:rPr>
        <w:lastRenderedPageBreak/>
        <w:t>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9A0F6D6" w14:textId="6F2A5006" w:rsidR="00211000" w:rsidRDefault="00211000">
      <w:r>
        <w:br w:type="page"/>
      </w:r>
    </w:p>
    <w:p w14:paraId="454CDFAE" w14:textId="77777777" w:rsidR="00211000" w:rsidRPr="00211000" w:rsidRDefault="00211000" w:rsidP="00211000"/>
    <w:p w14:paraId="33A71862" w14:textId="77777777" w:rsidR="001161D9" w:rsidRDefault="001161D9" w:rsidP="001161D9">
      <w:pPr>
        <w:keepNext/>
      </w:pPr>
      <w:r>
        <w:rPr>
          <w:noProof/>
        </w:rPr>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068DD948" w:rsidR="001161D9" w:rsidRDefault="001161D9" w:rsidP="001161D9">
      <w:pPr>
        <w:pStyle w:val="Caption"/>
      </w:pPr>
      <w:bookmarkStart w:id="88" w:name="_Ref94616225"/>
      <w:r>
        <w:t xml:space="preserve">Figure </w:t>
      </w:r>
      <w:r w:rsidR="00FF39FD">
        <w:fldChar w:fldCharType="begin"/>
      </w:r>
      <w:r w:rsidR="00FF39FD">
        <w:instrText xml:space="preserve"> SEQ Figure \* ARABIC </w:instrText>
      </w:r>
      <w:r w:rsidR="00FF39FD">
        <w:fldChar w:fldCharType="separate"/>
      </w:r>
      <w:r w:rsidR="006A10AA">
        <w:rPr>
          <w:noProof/>
        </w:rPr>
        <w:t>6</w:t>
      </w:r>
      <w:r w:rsidR="00FF39FD">
        <w:rPr>
          <w:noProof/>
        </w:rPr>
        <w:fldChar w:fldCharType="end"/>
      </w:r>
      <w:bookmarkEnd w:id="88"/>
      <w:r>
        <w:t>: Posterior distribution of asymptotic population growth rate (</w:t>
      </w:r>
      <m:oMath>
        <m: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FB33984" w14:textId="77777777" w:rsidR="00F94B8B" w:rsidRDefault="00F94B8B" w:rsidP="00F94B8B">
      <w:r>
        <w:br w:type="page"/>
      </w:r>
    </w:p>
    <w:p w14:paraId="4A917602" w14:textId="5FC06DA3" w:rsidR="008F25B6" w:rsidRDefault="008F25B6" w:rsidP="008F25B6">
      <w:pPr>
        <w:pStyle w:val="Heading1"/>
      </w:pPr>
      <w:bookmarkStart w:id="89" w:name="_Ref93658815"/>
      <w:r>
        <w:lastRenderedPageBreak/>
        <w:t>Supplementary Materials</w:t>
      </w:r>
      <w:bookmarkEnd w:id="89"/>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90" w:name="_Ref93658573"/>
      <w:r>
        <w:t xml:space="preserve">Supplementary Figure </w:t>
      </w:r>
      <w:r w:rsidR="00FF39FD">
        <w:fldChar w:fldCharType="begin"/>
      </w:r>
      <w:r w:rsidR="00FF39FD">
        <w:instrText xml:space="preserve"> SEQ Supplementary_Figure \* ARABIC </w:instrText>
      </w:r>
      <w:r w:rsidR="00FF39FD">
        <w:fldChar w:fldCharType="separate"/>
      </w:r>
      <w:r w:rsidR="003E04A3">
        <w:rPr>
          <w:noProof/>
        </w:rPr>
        <w:t>1</w:t>
      </w:r>
      <w:r w:rsidR="00FF39FD">
        <w:rPr>
          <w:noProof/>
        </w:rPr>
        <w:fldChar w:fldCharType="end"/>
      </w:r>
      <w:bookmarkEnd w:id="90"/>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91" w:name="_Ref93658580"/>
      <w:r>
        <w:t xml:space="preserve">Supplementary Figure </w:t>
      </w:r>
      <w:r w:rsidR="00FF39FD">
        <w:fldChar w:fldCharType="begin"/>
      </w:r>
      <w:r w:rsidR="00FF39FD">
        <w:instrText xml:space="preserve"> SEQ Supplementary_Figure \* ARABIC </w:instrText>
      </w:r>
      <w:r w:rsidR="00FF39FD">
        <w:fldChar w:fldCharType="separate"/>
      </w:r>
      <w:r w:rsidR="003E04A3">
        <w:rPr>
          <w:noProof/>
        </w:rPr>
        <w:t>2</w:t>
      </w:r>
      <w:r w:rsidR="00FF39FD">
        <w:rPr>
          <w:noProof/>
        </w:rPr>
        <w:fldChar w:fldCharType="end"/>
      </w:r>
      <w:bookmarkEnd w:id="91"/>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92" w:name="_Ref93658585"/>
      <w:r>
        <w:t xml:space="preserve">Supplementary Figure </w:t>
      </w:r>
      <w:r w:rsidR="00FF39FD">
        <w:fldChar w:fldCharType="begin"/>
      </w:r>
      <w:r w:rsidR="00FF39FD">
        <w:instrText xml:space="preserve"> SEQ Supplementary_Figure \* ARABIC </w:instrText>
      </w:r>
      <w:r w:rsidR="00FF39FD">
        <w:fldChar w:fldCharType="separate"/>
      </w:r>
      <w:r w:rsidR="003E04A3">
        <w:rPr>
          <w:noProof/>
        </w:rPr>
        <w:t>3</w:t>
      </w:r>
      <w:r w:rsidR="00FF39FD">
        <w:rPr>
          <w:noProof/>
        </w:rPr>
        <w:fldChar w:fldCharType="end"/>
      </w:r>
      <w:bookmarkEnd w:id="92"/>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93" w:name="_Ref93658594"/>
      <w:r>
        <w:t xml:space="preserve">Supplementary Figure </w:t>
      </w:r>
      <w:r w:rsidR="00FF39FD">
        <w:fldChar w:fldCharType="begin"/>
      </w:r>
      <w:r w:rsidR="00FF39FD">
        <w:instrText xml:space="preserve"> SEQ Supplementary_Figure \* ARABIC </w:instrText>
      </w:r>
      <w:r w:rsidR="00FF39FD">
        <w:fldChar w:fldCharType="separate"/>
      </w:r>
      <w:r w:rsidR="003E04A3">
        <w:rPr>
          <w:noProof/>
        </w:rPr>
        <w:t>4</w:t>
      </w:r>
      <w:r w:rsidR="00FF39FD">
        <w:rPr>
          <w:noProof/>
        </w:rPr>
        <w:fldChar w:fldCharType="end"/>
      </w:r>
      <w:bookmarkEnd w:id="93"/>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94" w:name="_Ref93658597"/>
      <w:r>
        <w:t xml:space="preserve">Supplementary Figure </w:t>
      </w:r>
      <w:r w:rsidR="00FF39FD">
        <w:fldChar w:fldCharType="begin"/>
      </w:r>
      <w:r w:rsidR="00FF39FD">
        <w:instrText xml:space="preserve"> SEQ Supplementary_Figure \* ARABIC </w:instrText>
      </w:r>
      <w:r w:rsidR="00FF39FD">
        <w:fldChar w:fldCharType="separate"/>
      </w:r>
      <w:r w:rsidR="003E04A3">
        <w:rPr>
          <w:noProof/>
        </w:rPr>
        <w:t>5</w:t>
      </w:r>
      <w:r w:rsidR="00FF39FD">
        <w:rPr>
          <w:noProof/>
        </w:rPr>
        <w:fldChar w:fldCharType="end"/>
      </w:r>
      <w:bookmarkEnd w:id="94"/>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95"/>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95"/>
      <w:r w:rsidR="001C02F2">
        <w:rPr>
          <w:rStyle w:val="CommentReference"/>
        </w:rPr>
        <w:commentReference w:id="95"/>
      </w:r>
    </w:p>
    <w:p w14:paraId="725CAA6F" w14:textId="633B505C" w:rsidR="00C45A1A" w:rsidRDefault="00C45A1A" w:rsidP="00C45A1A">
      <w:pPr>
        <w:pStyle w:val="Caption"/>
      </w:pPr>
      <w:bookmarkStart w:id="96" w:name="_Ref93658599"/>
      <w:r>
        <w:t xml:space="preserve">Supplementary Figure </w:t>
      </w:r>
      <w:r w:rsidR="00FF39FD">
        <w:fldChar w:fldCharType="begin"/>
      </w:r>
      <w:r w:rsidR="00FF39FD">
        <w:instrText xml:space="preserve"> SEQ Supplementary_Figure \* ARABIC </w:instrText>
      </w:r>
      <w:r w:rsidR="00FF39FD">
        <w:fldChar w:fldCharType="separate"/>
      </w:r>
      <w:r w:rsidR="003E04A3">
        <w:rPr>
          <w:noProof/>
        </w:rPr>
        <w:t>6</w:t>
      </w:r>
      <w:r w:rsidR="00FF39FD">
        <w:rPr>
          <w:noProof/>
        </w:rPr>
        <w:fldChar w:fldCharType="end"/>
      </w:r>
      <w:bookmarkEnd w:id="96"/>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FF39FD">
        <w:fldChar w:fldCharType="begin"/>
      </w:r>
      <w:r w:rsidR="00FF39FD">
        <w:instrText xml:space="preserve"> SEQ Supplementary_Figure \* ARABIC </w:instrText>
      </w:r>
      <w:r w:rsidR="00FF39FD">
        <w:fldChar w:fldCharType="separate"/>
      </w:r>
      <w:r w:rsidR="003E04A3">
        <w:rPr>
          <w:noProof/>
        </w:rPr>
        <w:t>7</w:t>
      </w:r>
      <w:r w:rsidR="00FF39FD">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FF39FD">
        <w:fldChar w:fldCharType="begin"/>
      </w:r>
      <w:r w:rsidR="00FF39FD">
        <w:instrText xml:space="preserve"> SEQ Supplementary_Figure \* ARABIC </w:instrText>
      </w:r>
      <w:r w:rsidR="00FF39FD">
        <w:fldChar w:fldCharType="separate"/>
      </w:r>
      <w:r w:rsidR="003E04A3">
        <w:rPr>
          <w:noProof/>
        </w:rPr>
        <w:t>8</w:t>
      </w:r>
      <w:r w:rsidR="00FF39FD">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FF39FD">
        <w:fldChar w:fldCharType="begin"/>
      </w:r>
      <w:r w:rsidR="00FF39FD">
        <w:instrText xml:space="preserve"> SEQ Su</w:instrText>
      </w:r>
      <w:r w:rsidR="00FF39FD">
        <w:instrText xml:space="preserve">pplementary_Figure \* ARABIC </w:instrText>
      </w:r>
      <w:r w:rsidR="00FF39FD">
        <w:fldChar w:fldCharType="separate"/>
      </w:r>
      <w:r w:rsidR="003E04A3">
        <w:rPr>
          <w:noProof/>
        </w:rPr>
        <w:t>9</w:t>
      </w:r>
      <w:r w:rsidR="00FF39FD">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FF39FD">
        <w:fldChar w:fldCharType="begin"/>
      </w:r>
      <w:r w:rsidR="00FF39FD">
        <w:instrText xml:space="preserve"> SEQ Supplementary_Figure \* ARAB</w:instrText>
      </w:r>
      <w:r w:rsidR="00FF39FD">
        <w:instrText xml:space="preserve">IC </w:instrText>
      </w:r>
      <w:r w:rsidR="00FF39FD">
        <w:fldChar w:fldCharType="separate"/>
      </w:r>
      <w:r w:rsidR="003E04A3">
        <w:rPr>
          <w:noProof/>
        </w:rPr>
        <w:t>10</w:t>
      </w:r>
      <w:r w:rsidR="00FF39FD">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FF39FD">
        <w:fldChar w:fldCharType="begin"/>
      </w:r>
      <w:r w:rsidR="00FF39FD">
        <w:instrText xml:space="preserve"> SEQ Supplementary_Figure \* ARABIC </w:instrText>
      </w:r>
      <w:r w:rsidR="00FF39FD">
        <w:fldChar w:fldCharType="separate"/>
      </w:r>
      <w:r w:rsidR="003E04A3">
        <w:rPr>
          <w:noProof/>
        </w:rPr>
        <w:t>11</w:t>
      </w:r>
      <w:r w:rsidR="00FF39FD">
        <w:rPr>
          <w:noProof/>
        </w:rPr>
        <w:fldChar w:fldCharType="end"/>
      </w:r>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FF39FD">
        <w:fldChar w:fldCharType="begin"/>
      </w:r>
      <w:r w:rsidR="00FF39FD">
        <w:instrText xml:space="preserve"> SEQ Supplementary_Figure \* ARABIC </w:instrText>
      </w:r>
      <w:r w:rsidR="00FF39FD">
        <w:fldChar w:fldCharType="separate"/>
      </w:r>
      <w:r>
        <w:rPr>
          <w:noProof/>
        </w:rPr>
        <w:t>12</w:t>
      </w:r>
      <w:r w:rsidR="00FF39FD">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F26ABAD" w14:textId="5204CE27" w:rsidR="00E16782" w:rsidRDefault="00E16782">
      <w:r>
        <w:lastRenderedPageBreak/>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349B66E5" w:rsidR="002D364A" w:rsidRPr="002D364A" w:rsidRDefault="007E7CA6" w:rsidP="002D364A">
      <w:pPr>
        <w:pStyle w:val="Caption"/>
      </w:pPr>
      <w:bookmarkStart w:id="97" w:name="_Ref94619410"/>
      <w:r>
        <w:t xml:space="preserve">Supplementary </w:t>
      </w:r>
      <w:r w:rsidR="00245CBF">
        <w:t>Table</w:t>
      </w:r>
      <w:r w:rsidR="002D364A">
        <w:t xml:space="preserve"> </w:t>
      </w:r>
      <w:bookmarkEnd w:id="97"/>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6"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7"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8"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59"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0"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1"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2"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3"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4"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6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6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6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68"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1" w:author="j battles" w:date="2022-02-14T08:42:00Z" w:initials="jjb">
    <w:p w14:paraId="27EAFBC6" w14:textId="77777777" w:rsidR="00832E90" w:rsidRDefault="00832E90" w:rsidP="004D63AB">
      <w:pPr>
        <w:pStyle w:val="CommentText"/>
      </w:pPr>
      <w:r>
        <w:rPr>
          <w:rStyle w:val="CommentReference"/>
        </w:rPr>
        <w:annotationRef/>
      </w:r>
      <w:r>
        <w:t>Huh?</w:t>
      </w:r>
    </w:p>
  </w:comment>
  <w:comment w:id="7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7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80"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81"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82"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84" w:author="Daniel Foster" w:date="2022-06-01T09:51:00Z" w:initials="DF">
    <w:p w14:paraId="3464CB31" w14:textId="68505784" w:rsidR="00D750DC" w:rsidRDefault="00D750DC" w:rsidP="005C5735">
      <w:pPr>
        <w:pStyle w:val="CommentText"/>
      </w:pPr>
      <w:r>
        <w:rPr>
          <w:rStyle w:val="CommentReference"/>
        </w:rPr>
        <w:annotationRef/>
      </w:r>
      <w:r>
        <w:t>Standardize scales</w:t>
      </w:r>
    </w:p>
  </w:comment>
  <w:comment w:id="85" w:author="Daniel Foster" w:date="2022-06-01T09:55:00Z" w:initials="DF">
    <w:p w14:paraId="3BEAB2E0" w14:textId="77777777" w:rsidR="00D750DC" w:rsidRDefault="00D750DC" w:rsidP="00F4286A">
      <w:pPr>
        <w:pStyle w:val="CommentText"/>
      </w:pPr>
      <w:r>
        <w:rPr>
          <w:rStyle w:val="CommentReference"/>
        </w:rPr>
        <w:annotationRef/>
      </w:r>
      <w:r>
        <w:t>Per capita replacement rate over a decade</w:t>
      </w:r>
    </w:p>
  </w:comment>
  <w:comment w:id="86" w:author="Daniel Foster" w:date="2022-06-01T09:58:00Z" w:initials="DF">
    <w:p w14:paraId="144835F8" w14:textId="77777777" w:rsidR="00427DBC" w:rsidRDefault="00427DBC" w:rsidP="00DA39B1">
      <w:pPr>
        <w:pStyle w:val="CommentText"/>
      </w:pPr>
      <w:r>
        <w:rPr>
          <w:rStyle w:val="CommentReference"/>
        </w:rPr>
        <w:annotationRef/>
      </w:r>
      <w:r>
        <w:t>Repeatedly interpret rates for a small (20cm) and a big (100cm) tree</w:t>
      </w:r>
    </w:p>
  </w:comment>
  <w:comment w:id="95"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1"/>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28858193" w15:done="1"/>
  <w15:commentEx w15:paraId="54BCD148" w15:done="1"/>
  <w15:commentEx w15:paraId="31782CEE" w15:done="0"/>
  <w15:commentEx w15:paraId="484A4806" w15:done="1"/>
  <w15:commentEx w15:paraId="185E502C" w15:paraIdParent="484A4806" w15:done="1"/>
  <w15:commentEx w15:paraId="4EA188E8" w15:done="1"/>
  <w15:commentEx w15:paraId="43179952" w15:done="0"/>
  <w15:commentEx w15:paraId="4F850460" w15:done="1"/>
  <w15:commentEx w15:paraId="023A6CC2" w15:done="1"/>
  <w15:commentEx w15:paraId="65CB9711" w15:done="1"/>
  <w15:commentEx w15:paraId="6880F7FC" w15:done="1"/>
  <w15:commentEx w15:paraId="01E2B449" w15:done="1"/>
  <w15:commentEx w15:paraId="524881A6" w15:done="1"/>
  <w15:commentEx w15:paraId="049AA384" w15:done="1"/>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28535D48"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3464CB31" w15:done="0"/>
  <w15:commentEx w15:paraId="3BEAB2E0" w15:paraIdParent="3464CB31" w15:done="0"/>
  <w15:commentEx w15:paraId="144835F8" w15:paraIdParent="3464CB31"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641B507" w16cex:dateUtc="2022-06-01T16:51:00Z"/>
  <w16cex:commentExtensible w16cex:durableId="2641B608" w16cex:dateUtc="2022-06-01T16:55:00Z"/>
  <w16cex:commentExtensible w16cex:durableId="2641B6C9" w16cex:dateUtc="2022-06-01T16:58: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185E502C" w16cid:durableId="2640A800"/>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3464CB31" w16cid:durableId="2641B507"/>
  <w16cid:commentId w16cid:paraId="3BEAB2E0" w16cid:durableId="2641B608"/>
  <w16cid:commentId w16cid:paraId="144835F8" w16cid:durableId="2641B6C9"/>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95A07" w14:textId="77777777" w:rsidR="00FF39FD" w:rsidRDefault="00FF39FD" w:rsidP="00912F9C">
      <w:pPr>
        <w:spacing w:after="0" w:line="240" w:lineRule="auto"/>
      </w:pPr>
      <w:r>
        <w:separator/>
      </w:r>
    </w:p>
  </w:endnote>
  <w:endnote w:type="continuationSeparator" w:id="0">
    <w:p w14:paraId="5D404990" w14:textId="77777777" w:rsidR="00FF39FD" w:rsidRDefault="00FF39FD"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2A5D4" w14:textId="77777777" w:rsidR="00FF39FD" w:rsidRDefault="00FF39FD" w:rsidP="00912F9C">
      <w:pPr>
        <w:spacing w:after="0" w:line="240" w:lineRule="auto"/>
      </w:pPr>
      <w:r>
        <w:separator/>
      </w:r>
    </w:p>
  </w:footnote>
  <w:footnote w:type="continuationSeparator" w:id="0">
    <w:p w14:paraId="0129730F" w14:textId="77777777" w:rsidR="00FF39FD" w:rsidRDefault="00FF39FD"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014E"/>
    <w:rsid w:val="00021D10"/>
    <w:rsid w:val="00022E40"/>
    <w:rsid w:val="00030856"/>
    <w:rsid w:val="00035CCB"/>
    <w:rsid w:val="00036010"/>
    <w:rsid w:val="000451DF"/>
    <w:rsid w:val="00047C53"/>
    <w:rsid w:val="00052104"/>
    <w:rsid w:val="00054C5F"/>
    <w:rsid w:val="000624D9"/>
    <w:rsid w:val="00065C38"/>
    <w:rsid w:val="00070BD5"/>
    <w:rsid w:val="000711D9"/>
    <w:rsid w:val="0007640A"/>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2552"/>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2E71"/>
    <w:rsid w:val="001957F1"/>
    <w:rsid w:val="00197ED8"/>
    <w:rsid w:val="001A3E0B"/>
    <w:rsid w:val="001A40BC"/>
    <w:rsid w:val="001A4E05"/>
    <w:rsid w:val="001C02F2"/>
    <w:rsid w:val="001C27C2"/>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5B"/>
    <w:rsid w:val="00206D93"/>
    <w:rsid w:val="00211000"/>
    <w:rsid w:val="0021304E"/>
    <w:rsid w:val="00213912"/>
    <w:rsid w:val="00213CB6"/>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38CC"/>
    <w:rsid w:val="002F78E4"/>
    <w:rsid w:val="00304447"/>
    <w:rsid w:val="0030686A"/>
    <w:rsid w:val="00307D27"/>
    <w:rsid w:val="00307FC1"/>
    <w:rsid w:val="003103FA"/>
    <w:rsid w:val="00311911"/>
    <w:rsid w:val="00312174"/>
    <w:rsid w:val="003204E3"/>
    <w:rsid w:val="00323628"/>
    <w:rsid w:val="00323FA0"/>
    <w:rsid w:val="00331DA8"/>
    <w:rsid w:val="00334F13"/>
    <w:rsid w:val="0033554D"/>
    <w:rsid w:val="00342BA1"/>
    <w:rsid w:val="00346542"/>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3A0"/>
    <w:rsid w:val="003B4431"/>
    <w:rsid w:val="003B72CD"/>
    <w:rsid w:val="003C1D45"/>
    <w:rsid w:val="003C2EB4"/>
    <w:rsid w:val="003D3B95"/>
    <w:rsid w:val="003D564A"/>
    <w:rsid w:val="003E04A3"/>
    <w:rsid w:val="003E0B60"/>
    <w:rsid w:val="003E41BD"/>
    <w:rsid w:val="003E5D44"/>
    <w:rsid w:val="003E6FCE"/>
    <w:rsid w:val="003F0D40"/>
    <w:rsid w:val="003F5372"/>
    <w:rsid w:val="00400795"/>
    <w:rsid w:val="00403C76"/>
    <w:rsid w:val="00407119"/>
    <w:rsid w:val="00420927"/>
    <w:rsid w:val="00422EF5"/>
    <w:rsid w:val="004230C7"/>
    <w:rsid w:val="00427DBC"/>
    <w:rsid w:val="00430D45"/>
    <w:rsid w:val="00433AEF"/>
    <w:rsid w:val="0044137D"/>
    <w:rsid w:val="004438A3"/>
    <w:rsid w:val="00445077"/>
    <w:rsid w:val="004501B5"/>
    <w:rsid w:val="00461C54"/>
    <w:rsid w:val="0046219E"/>
    <w:rsid w:val="00462B96"/>
    <w:rsid w:val="004639A9"/>
    <w:rsid w:val="0047208D"/>
    <w:rsid w:val="00472F0C"/>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0755"/>
    <w:rsid w:val="00542DB6"/>
    <w:rsid w:val="005441D3"/>
    <w:rsid w:val="00545F95"/>
    <w:rsid w:val="00561760"/>
    <w:rsid w:val="00565CA7"/>
    <w:rsid w:val="00566DC3"/>
    <w:rsid w:val="00573E2C"/>
    <w:rsid w:val="00574C47"/>
    <w:rsid w:val="00581B9B"/>
    <w:rsid w:val="00582802"/>
    <w:rsid w:val="00583A63"/>
    <w:rsid w:val="00584886"/>
    <w:rsid w:val="00585CCB"/>
    <w:rsid w:val="0058682C"/>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623"/>
    <w:rsid w:val="0061208B"/>
    <w:rsid w:val="00613A4B"/>
    <w:rsid w:val="006144D6"/>
    <w:rsid w:val="006152D3"/>
    <w:rsid w:val="00620936"/>
    <w:rsid w:val="00625B40"/>
    <w:rsid w:val="006271C9"/>
    <w:rsid w:val="006456A1"/>
    <w:rsid w:val="00675AA0"/>
    <w:rsid w:val="00677CDB"/>
    <w:rsid w:val="006807F0"/>
    <w:rsid w:val="006838F2"/>
    <w:rsid w:val="006A10AA"/>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488A"/>
    <w:rsid w:val="00785480"/>
    <w:rsid w:val="00787085"/>
    <w:rsid w:val="00790CD7"/>
    <w:rsid w:val="007934A7"/>
    <w:rsid w:val="00796EDF"/>
    <w:rsid w:val="007A371B"/>
    <w:rsid w:val="007B296F"/>
    <w:rsid w:val="007B3DC9"/>
    <w:rsid w:val="007B4248"/>
    <w:rsid w:val="007B6647"/>
    <w:rsid w:val="007C34D3"/>
    <w:rsid w:val="007E3804"/>
    <w:rsid w:val="007E7CA6"/>
    <w:rsid w:val="0080786A"/>
    <w:rsid w:val="00807967"/>
    <w:rsid w:val="00812F3F"/>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572F"/>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2844"/>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6728B"/>
    <w:rsid w:val="00972A59"/>
    <w:rsid w:val="00975E51"/>
    <w:rsid w:val="0097720B"/>
    <w:rsid w:val="00980556"/>
    <w:rsid w:val="009824D0"/>
    <w:rsid w:val="009917FF"/>
    <w:rsid w:val="00991CC2"/>
    <w:rsid w:val="00996B72"/>
    <w:rsid w:val="009971A5"/>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27C02"/>
    <w:rsid w:val="00A302ED"/>
    <w:rsid w:val="00A320BF"/>
    <w:rsid w:val="00A354E8"/>
    <w:rsid w:val="00A37AF9"/>
    <w:rsid w:val="00A41A84"/>
    <w:rsid w:val="00A47588"/>
    <w:rsid w:val="00A63A59"/>
    <w:rsid w:val="00A70058"/>
    <w:rsid w:val="00A708CE"/>
    <w:rsid w:val="00A76BD8"/>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147AB"/>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469B"/>
    <w:rsid w:val="00C56685"/>
    <w:rsid w:val="00C57012"/>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4EC"/>
    <w:rsid w:val="00CB38F8"/>
    <w:rsid w:val="00CB550D"/>
    <w:rsid w:val="00CC6F71"/>
    <w:rsid w:val="00CD4F3D"/>
    <w:rsid w:val="00CE6534"/>
    <w:rsid w:val="00CF75E9"/>
    <w:rsid w:val="00D06053"/>
    <w:rsid w:val="00D070A9"/>
    <w:rsid w:val="00D10804"/>
    <w:rsid w:val="00D23103"/>
    <w:rsid w:val="00D2760D"/>
    <w:rsid w:val="00D312C0"/>
    <w:rsid w:val="00D430E8"/>
    <w:rsid w:val="00D45C6F"/>
    <w:rsid w:val="00D4629E"/>
    <w:rsid w:val="00D46E1C"/>
    <w:rsid w:val="00D54D68"/>
    <w:rsid w:val="00D60BA1"/>
    <w:rsid w:val="00D617E7"/>
    <w:rsid w:val="00D67D58"/>
    <w:rsid w:val="00D70E5C"/>
    <w:rsid w:val="00D71062"/>
    <w:rsid w:val="00D73B16"/>
    <w:rsid w:val="00D750DC"/>
    <w:rsid w:val="00D80EA7"/>
    <w:rsid w:val="00D8211E"/>
    <w:rsid w:val="00D93CCF"/>
    <w:rsid w:val="00D95337"/>
    <w:rsid w:val="00D96875"/>
    <w:rsid w:val="00DA141A"/>
    <w:rsid w:val="00DA5840"/>
    <w:rsid w:val="00DB0132"/>
    <w:rsid w:val="00DB4861"/>
    <w:rsid w:val="00DB4E95"/>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24887"/>
    <w:rsid w:val="00E304D0"/>
    <w:rsid w:val="00E32098"/>
    <w:rsid w:val="00E358D9"/>
    <w:rsid w:val="00E45F15"/>
    <w:rsid w:val="00E51EB0"/>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C0367"/>
    <w:rsid w:val="00EE5D6E"/>
    <w:rsid w:val="00EF6399"/>
    <w:rsid w:val="00F067F3"/>
    <w:rsid w:val="00F214FC"/>
    <w:rsid w:val="00F23E3D"/>
    <w:rsid w:val="00F25243"/>
    <w:rsid w:val="00F30BF0"/>
    <w:rsid w:val="00F30DE4"/>
    <w:rsid w:val="00F35683"/>
    <w:rsid w:val="00F365CE"/>
    <w:rsid w:val="00F4015B"/>
    <w:rsid w:val="00F40C3D"/>
    <w:rsid w:val="00F479B6"/>
    <w:rsid w:val="00F47B1D"/>
    <w:rsid w:val="00F50DFD"/>
    <w:rsid w:val="00F72294"/>
    <w:rsid w:val="00F73E88"/>
    <w:rsid w:val="00F91D2B"/>
    <w:rsid w:val="00F94B8B"/>
    <w:rsid w:val="00FA20C3"/>
    <w:rsid w:val="00FA7F23"/>
    <w:rsid w:val="00FB1E1F"/>
    <w:rsid w:val="00FC4865"/>
    <w:rsid w:val="00FC5A10"/>
    <w:rsid w:val="00FD714B"/>
    <w:rsid w:val="00FE1095"/>
    <w:rsid w:val="00FE2333"/>
    <w:rsid w:val="00FF38BC"/>
    <w:rsid w:val="00FF3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49</Pages>
  <Words>73863</Words>
  <Characters>421025</Characters>
  <Application>Microsoft Office Word</Application>
  <DocSecurity>0</DocSecurity>
  <Lines>3508</Lines>
  <Paragraphs>987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7</cp:revision>
  <dcterms:created xsi:type="dcterms:W3CDTF">2022-06-01T22:29:00Z</dcterms:created>
  <dcterms:modified xsi:type="dcterms:W3CDTF">2022-06-04T05:09:00Z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