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2194C" w14:textId="04F921A8" w:rsidR="00F40C3D" w:rsidRPr="00105668" w:rsidRDefault="00912F9C" w:rsidP="002739B1">
      <w:pPr>
        <w:pStyle w:val="Title"/>
      </w:pPr>
      <w:commentRangeStart w:id="0"/>
      <w:r>
        <w:t>Demographic</w:t>
      </w:r>
      <w:commentRangeEnd w:id="0"/>
      <w:r w:rsidR="000B15A1">
        <w:rPr>
          <w:rStyle w:val="CommentReference"/>
          <w:rFonts w:asciiTheme="minorHAnsi" w:eastAsiaTheme="minorHAnsi" w:hAnsiTheme="minorHAnsi" w:cstheme="minorBidi"/>
          <w:spacing w:val="0"/>
          <w:kern w:val="0"/>
        </w:rPr>
        <w:commentReference w:id="0"/>
      </w:r>
      <w:r>
        <w:t xml:space="preserve"> status, trajectory, and stressors</w:t>
      </w:r>
      <w:r w:rsidR="002435DE">
        <w:t xml:space="preserve"> of </w:t>
      </w:r>
      <w:r w:rsidR="002435DE" w:rsidRPr="00912F9C">
        <w:rPr>
          <w:i/>
          <w:iCs/>
        </w:rPr>
        <w:t>Pinus lambertiana</w:t>
      </w:r>
      <w:r w:rsidR="00105668">
        <w:t xml:space="preserve"> across the western USA</w:t>
      </w:r>
    </w:p>
    <w:p w14:paraId="4FC52404" w14:textId="59038CFC" w:rsidR="002435DE" w:rsidRDefault="002435DE" w:rsidP="00E01957">
      <w:pPr>
        <w:spacing w:line="360" w:lineRule="auto"/>
      </w:pPr>
    </w:p>
    <w:p w14:paraId="2F37AD4C" w14:textId="460F6C0A" w:rsidR="002B0C18" w:rsidRDefault="002B0C18" w:rsidP="00E01957">
      <w:pPr>
        <w:pStyle w:val="Heading1"/>
        <w:spacing w:line="360" w:lineRule="auto"/>
      </w:pPr>
      <w:r>
        <w:t>Abstract</w:t>
      </w:r>
    </w:p>
    <w:p w14:paraId="58B08609" w14:textId="6475CC4F" w:rsidR="002B0C18" w:rsidRPr="002B0C18" w:rsidRDefault="002B0C18" w:rsidP="009D1E6E">
      <w:pPr>
        <w:spacing w:line="360" w:lineRule="auto"/>
      </w:pPr>
      <w:r w:rsidRPr="002B0C18">
        <w:t>Sugar pine (</w:t>
      </w:r>
      <w:r w:rsidRPr="009D1E6E">
        <w:rPr>
          <w:i/>
          <w:iCs/>
        </w:rPr>
        <w:t>Pinus lambertiana</w:t>
      </w:r>
      <w:r w:rsidRPr="002B0C18">
        <w:t>) is the largest Pinus species, an important timber species, and a component of several dry conifer forest types of western North America, in particular the extensive Sierra Nevada mixed conifer forest. The species faces several challenges in the Anthropocene, including a disrupted fire regime, an invasive pathogen, forest structure changes, and drought with ensuing bark beetle epidemics. Managers are concerned about the conservation outlook for sugar pine, but it is unclear where and how to best invest conservation resources. In this study, we use data from the US Forest Service's Forest Inventory and Analysis dataset to assess how these various stressors shape the vital rates (survival, growth, and fecundity) of sugar pine across the vast majority of its range. We synthesize the vital rate functions by constructing an integral projection model which predicts the effects of various stressors on the asymptotic population growth rate. The analysis reveals that wildfire and forest density are key drivers of the demographic rates of sugar pine across its range. Fire has strong negative effects on survival (particularly of small individuals) and reduces the growth of surviving large trees, resulting in a negative asymptotic population growth rate on burned sites. Conversely, lower than average forest density (neighborhood basal area) results in a strongly positive population growth rate via beneficial effects on growth and fecundity.</w:t>
      </w:r>
      <w:r w:rsidR="008469C9">
        <w:t xml:space="preserve"> </w:t>
      </w:r>
      <w:r w:rsidR="008469C9" w:rsidRPr="008469C9">
        <w:t>These results highlight the value of fire hazard mitigation, particularly where it also reduces forest density, in the conservation of this important species.</w:t>
      </w:r>
    </w:p>
    <w:p w14:paraId="5D418BAA" w14:textId="5A63516D" w:rsidR="002435DE" w:rsidRDefault="002435DE" w:rsidP="00E01957">
      <w:pPr>
        <w:pStyle w:val="Heading1"/>
        <w:spacing w:line="360" w:lineRule="auto"/>
      </w:pPr>
      <w:commentRangeStart w:id="1"/>
      <w:r>
        <w:t>Introduction</w:t>
      </w:r>
      <w:commentRangeEnd w:id="1"/>
      <w:r w:rsidR="00A95BB0">
        <w:rPr>
          <w:rStyle w:val="CommentReference"/>
          <w:rFonts w:asciiTheme="minorHAnsi" w:eastAsiaTheme="minorHAnsi" w:hAnsiTheme="minorHAnsi" w:cstheme="minorBidi"/>
          <w:color w:val="auto"/>
        </w:rPr>
        <w:commentReference w:id="1"/>
      </w:r>
    </w:p>
    <w:p w14:paraId="09EC2B23" w14:textId="7BE88DCE" w:rsidR="00C76CEE" w:rsidRDefault="00C76CEE" w:rsidP="00C76CEE">
      <w:pPr>
        <w:pStyle w:val="ListParagraph"/>
        <w:numPr>
          <w:ilvl w:val="0"/>
          <w:numId w:val="8"/>
        </w:numPr>
        <w:spacing w:line="360" w:lineRule="auto"/>
      </w:pPr>
      <w:r>
        <w:t>This study as an example of using national inventory data to build demographic models which inform management decisions about anthropogenic stressors</w:t>
      </w:r>
    </w:p>
    <w:p w14:paraId="55C5CAB3" w14:textId="5237214D" w:rsidR="00C76CEE" w:rsidRDefault="00C76CEE" w:rsidP="00E92F0B">
      <w:pPr>
        <w:pStyle w:val="ListParagraph"/>
        <w:numPr>
          <w:ilvl w:val="1"/>
          <w:numId w:val="8"/>
        </w:numPr>
        <w:spacing w:line="360" w:lineRule="auto"/>
      </w:pPr>
      <w:r>
        <w:t>Novel Anthropogenic stressors threaten species, but may be amenable to management</w:t>
      </w:r>
    </w:p>
    <w:p w14:paraId="4E6C5733" w14:textId="40BA0C31" w:rsidR="0019268D" w:rsidRDefault="00C76CEE" w:rsidP="0019268D">
      <w:pPr>
        <w:pStyle w:val="ListParagraph"/>
        <w:numPr>
          <w:ilvl w:val="1"/>
          <w:numId w:val="8"/>
        </w:numPr>
        <w:spacing w:line="360" w:lineRule="auto"/>
      </w:pPr>
      <w:r>
        <w:t>They may be amenable to management, but conservation resources are scarce</w:t>
      </w:r>
      <w:r w:rsidR="0019268D">
        <w:t>, so is often necessary to prioritize some stressors over others</w:t>
      </w:r>
    </w:p>
    <w:p w14:paraId="4960E55F" w14:textId="44F9E377" w:rsidR="00C76CEE" w:rsidRDefault="00C76CEE" w:rsidP="00C76CEE">
      <w:pPr>
        <w:pStyle w:val="ListParagraph"/>
        <w:numPr>
          <w:ilvl w:val="1"/>
          <w:numId w:val="8"/>
        </w:numPr>
        <w:spacing w:line="360" w:lineRule="auto"/>
      </w:pPr>
      <w:r>
        <w:lastRenderedPageBreak/>
        <w:t>Demographic models</w:t>
      </w:r>
      <w:r w:rsidR="0019268D">
        <w:t xml:space="preserve"> built around large-scale longitudinal datasets (such as FIA)</w:t>
      </w:r>
      <w:r>
        <w:t xml:space="preserve"> can provide detailed insight how stressors impact species of concern</w:t>
      </w:r>
      <w:r w:rsidR="0019268D">
        <w:t xml:space="preserve"> across wide geographic ranges. </w:t>
      </w:r>
    </w:p>
    <w:p w14:paraId="4283D8D5" w14:textId="57B9D42A" w:rsidR="0019268D" w:rsidRDefault="00C76CEE" w:rsidP="0019268D">
      <w:pPr>
        <w:pStyle w:val="ListParagraph"/>
        <w:numPr>
          <w:ilvl w:val="1"/>
          <w:numId w:val="8"/>
        </w:numPr>
        <w:spacing w:line="360" w:lineRule="auto"/>
      </w:pPr>
      <w:r>
        <w:t>By including multiple stressors in the model and comparing their effects on vital rates and demographic summary statistics (such as the asymptotic population growth rate), we can assess the relative importance of the stressors and the highlight the mechanisms by which they influence the population trajectory.</w:t>
      </w:r>
    </w:p>
    <w:p w14:paraId="0F0D2787" w14:textId="38FE642D" w:rsidR="0019268D" w:rsidRDefault="0019268D" w:rsidP="00E92F0B">
      <w:pPr>
        <w:pStyle w:val="ListParagraph"/>
        <w:numPr>
          <w:ilvl w:val="1"/>
          <w:numId w:val="8"/>
        </w:numPr>
        <w:spacing w:line="360" w:lineRule="auto"/>
      </w:pPr>
      <w:r>
        <w:t>Findings from these analyses can provide crucial information about how best to prioritize varied stressors in making management decisions.</w:t>
      </w:r>
    </w:p>
    <w:p w14:paraId="7B9D2987" w14:textId="592E009E" w:rsidR="002435DE" w:rsidRDefault="002435DE" w:rsidP="00E01957">
      <w:pPr>
        <w:spacing w:line="360" w:lineRule="auto"/>
        <w:ind w:firstLine="360"/>
      </w:pPr>
      <w:commentRangeStart w:id="2"/>
      <w:r>
        <w:t>Sugar pine (</w:t>
      </w:r>
      <w:r w:rsidRPr="00F701A7">
        <w:rPr>
          <w:i/>
          <w:iCs/>
        </w:rPr>
        <w:t>Pinus lambertiana</w:t>
      </w:r>
      <w:r>
        <w:t>) is the largest Pinus species, an important timber species, and a component of several dry western conifer forest types, in particular the extensive Sierra Nevada Mixed Conifer forest</w:t>
      </w:r>
      <w:r w:rsidR="00533EAF">
        <w:t>,</w:t>
      </w:r>
      <w:r>
        <w:t xml:space="preserve"> where </w:t>
      </w:r>
      <w:r w:rsidR="00533EAF">
        <w:t>sugar pine</w:t>
      </w:r>
      <w:r>
        <w:t xml:space="preserve"> typically composes 5-25% of basal area </w:t>
      </w:r>
      <w:r w:rsidR="00420927">
        <w:fldChar w:fldCharType="begin" w:fldLock="1"/>
      </w:r>
      <w:r w:rsidR="002C19B3">
        <w:instrText>ADDIN CSL_CITATION {"citationItems":[{"id":"ITEM-1","itemData":{"author":[{"dropping-particle":"","family":"Kinloch","given":"Bohun B","non-dropping-particle":"","parse-names":false,"suffix":""},{"dropping-particle":"","family":"Scheuner","given":"William H","non-dropping-particle":"","parse-names":false,"suffix":""}],"container-title":"Silvics of North America 1","id":"ITEM-1","issued":{"date-parts":[["1990"]]},"page":"370-380","title":"Pinus lambertiana Dougl.","type":"chapter"},"uris":["http://www.mendeley.com/documents/?uuid=5479eee3-07f9-42cf-896b-73906ebcc0a6"]},{"id":"ITEM-2","itemData":{"author":[{"dropping-particle":"","family":"Safford","given":"Hugh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Oregon","type":"article-journal","volume":"273"},"uris":["http://www.mendeley.com/documents/?uuid=57513bd6-50dd-45ab-81a2-2f825c133caf"]}],"mendeley":{"formattedCitation":"(Kinloch and Scheuner, 1990; Safford and Stevens, 2017; Bohlman, Safford and Skinner, 2021)","plainTextFormattedCitation":"(Kinloch and Scheuner, 1990; Safford and Stevens, 2017; Bohlman, Safford and Skinner, 2021)","previouslyFormattedCitation":"(Kinloch and Scheuner, 1990; Safford and Stevens, 2017; Bohlman, Safford and Skinner, 2021)"},"properties":{"noteIndex":0},"schema":"https://github.com/citation-style-language/schema/raw/master/csl-citation.json"}</w:instrText>
      </w:r>
      <w:r w:rsidR="00420927">
        <w:fldChar w:fldCharType="separate"/>
      </w:r>
      <w:r w:rsidR="00EB4A84" w:rsidRPr="00EB4A84">
        <w:rPr>
          <w:noProof/>
        </w:rPr>
        <w:t>(Kinloch and Scheuner, 1990; Safford and Stevens, 2017; Bohlman, Safford and Skinner, 2021)</w:t>
      </w:r>
      <w:r w:rsidR="00420927">
        <w:fldChar w:fldCharType="end"/>
      </w:r>
      <w:commentRangeEnd w:id="2"/>
      <w:r w:rsidR="00105668">
        <w:rPr>
          <w:rStyle w:val="CommentReference"/>
        </w:rPr>
        <w:commentReference w:id="2"/>
      </w:r>
      <w:r>
        <w:t>. Its range extends through much of the North American Mediterranean zone throughout mountain ranges in California</w:t>
      </w:r>
      <w:r w:rsidR="00105668">
        <w:t>,</w:t>
      </w:r>
      <w:r>
        <w:t xml:space="preserve"> central Oregon, </w:t>
      </w:r>
      <w:r w:rsidR="00105668">
        <w:t>and a small population in northwestern Mexico but</w:t>
      </w:r>
      <w:r>
        <w:t xml:space="preserve"> most of the </w:t>
      </w:r>
      <w:commentRangeStart w:id="3"/>
      <w:r>
        <w:t xml:space="preserve">growing stock </w:t>
      </w:r>
      <w:commentRangeEnd w:id="3"/>
      <w:r w:rsidR="00A95BB0">
        <w:rPr>
          <w:rStyle w:val="CommentReference"/>
        </w:rPr>
        <w:commentReference w:id="3"/>
      </w:r>
      <w:r>
        <w:t xml:space="preserve">located in California. </w:t>
      </w:r>
      <w:r w:rsidR="008D1390">
        <w:t xml:space="preserve">Sugar pine seeds are an important food source for animal species </w:t>
      </w:r>
      <w:r w:rsidR="002C19B3">
        <w:fldChar w:fldCharType="begin" w:fldLock="1"/>
      </w:r>
      <w:r w:rsidR="00BC1636">
        <w:instrText>ADDIN CSL_CITATION {"citationItems":[{"id":"ITEM-1","itemData":{"DOI":"10.3398/064.070.0314","ISSN":"15270904","abstract":"This is the first report of Clark's Nutcrackers (Nucifraga columbiana) harvesting seeds from the cones of sugar pine (Pinus lambertiana), based on observations over several years in Crater Lake National Park, Oregon. The harvesting period in late September corresponded to peak cone-opening dates. Nutcrackers placed harvested seeds in their throat pouches, a behavior associated with seed caching. © 2010 Western North American Naturalist.","author":[{"dropping-particle":"","family":"Murray","given":"Michael P.","non-dropping-particle":"","parse-names":false,"suffix":""},{"dropping-particle":"","family":"Tomback","given":"Diana F.","non-dropping-particle":"","parse-names":false,"suffix":""}],"container-title":"Western North American Naturalist","id":"ITEM-1","issue":"3","issued":{"date-parts":[["2010"]]},"page":"413-414","title":"Clark's nutcrackers harvest sugar pine seeds from cones","type":"article-journal","volume":"70"},"uris":["http://www.mendeley.com/documents/?uuid=eab07144-f38e-44e6-bb50-47e8edfb932c"]}],"mendeley":{"formattedCitation":"(Murray and Tomback, 2010)","plainTextFormattedCitation":"(Murray and Tomback, 2010)","previouslyFormattedCitation":"(Murray and Tomback, 2010)"},"properties":{"noteIndex":0},"schema":"https://github.com/citation-style-language/schema/raw/master/csl-citation.json"}</w:instrText>
      </w:r>
      <w:r w:rsidR="002C19B3">
        <w:fldChar w:fldCharType="separate"/>
      </w:r>
      <w:r w:rsidR="002C19B3" w:rsidRPr="002C19B3">
        <w:rPr>
          <w:noProof/>
        </w:rPr>
        <w:t>(Murray and Tomback, 2010)</w:t>
      </w:r>
      <w:r w:rsidR="002C19B3">
        <w:fldChar w:fldCharType="end"/>
      </w:r>
      <w:r w:rsidR="002C19B3">
        <w:t xml:space="preserve">, and </w:t>
      </w:r>
      <w:r w:rsidR="008611C1">
        <w:t>mature sugar pines are large-diameter trees which</w:t>
      </w:r>
      <w:r w:rsidR="002C19B3">
        <w:t xml:space="preserve"> play </w:t>
      </w:r>
      <w:commentRangeStart w:id="4"/>
      <w:r w:rsidR="00BC1636">
        <w:t xml:space="preserve">a key role </w:t>
      </w:r>
      <w:commentRangeEnd w:id="4"/>
      <w:r w:rsidR="002626E1">
        <w:rPr>
          <w:rStyle w:val="CommentReference"/>
        </w:rPr>
        <w:commentReference w:id="4"/>
      </w:r>
      <w:r w:rsidR="00BC1636">
        <w:t xml:space="preserve">in the structure and function of ecosystems they occur in </w:t>
      </w:r>
      <w:r w:rsidR="00BC1636">
        <w:fldChar w:fldCharType="begin" w:fldLock="1"/>
      </w:r>
      <w:r w:rsidR="00AE693D">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BC1636">
        <w:fldChar w:fldCharType="separate"/>
      </w:r>
      <w:r w:rsidR="00BC1636" w:rsidRPr="00BC1636">
        <w:rPr>
          <w:noProof/>
        </w:rPr>
        <w:t xml:space="preserve">(Lutz </w:t>
      </w:r>
      <w:r w:rsidR="00BC1636" w:rsidRPr="00BC1636">
        <w:rPr>
          <w:i/>
          <w:noProof/>
        </w:rPr>
        <w:t>et al.</w:t>
      </w:r>
      <w:r w:rsidR="00BC1636" w:rsidRPr="00BC1636">
        <w:rPr>
          <w:noProof/>
        </w:rPr>
        <w:t>, 2018)</w:t>
      </w:r>
      <w:r w:rsidR="00BC1636">
        <w:fldChar w:fldCharType="end"/>
      </w:r>
      <w:r w:rsidR="00BC1636">
        <w:t xml:space="preserve">. </w:t>
      </w:r>
      <w:commentRangeStart w:id="5"/>
      <w:r>
        <w:t>Like many other plant and animal species, Sugar pine faces numerous challenges in the Anthropocene</w:t>
      </w:r>
      <w:commentRangeEnd w:id="5"/>
      <w:r w:rsidR="00A95BB0">
        <w:rPr>
          <w:rStyle w:val="CommentReference"/>
        </w:rPr>
        <w:commentReference w:id="5"/>
      </w:r>
      <w:r>
        <w:t>, and managers and policymakers are concerned about the future status of the species</w:t>
      </w:r>
      <w:r w:rsidR="00420927">
        <w:t xml:space="preserve"> </w:t>
      </w:r>
      <w:r w:rsidR="00420927">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420927">
        <w:fldChar w:fldCharType="separate"/>
      </w:r>
      <w:r w:rsidR="00EB4A84" w:rsidRPr="00EB4A84">
        <w:rPr>
          <w:noProof/>
        </w:rPr>
        <w:t>(Kinloch Jr., Marosy and Huddleston, 1996)</w:t>
      </w:r>
      <w:r w:rsidR="00420927">
        <w:fldChar w:fldCharType="end"/>
      </w:r>
      <w:r>
        <w:t>.</w:t>
      </w:r>
      <w:r w:rsidR="008611C1">
        <w:t xml:space="preserve"> </w:t>
      </w:r>
    </w:p>
    <w:p w14:paraId="0720B5B8" w14:textId="1A9DA8FE" w:rsidR="00DB0132" w:rsidRDefault="008611C1" w:rsidP="00105668">
      <w:pPr>
        <w:spacing w:line="360" w:lineRule="auto"/>
        <w:ind w:firstLine="360"/>
      </w:pPr>
      <w:commentRangeStart w:id="6"/>
      <w:r>
        <w:t xml:space="preserve">First, </w:t>
      </w:r>
      <w:commentRangeEnd w:id="6"/>
      <w:r w:rsidR="00105668">
        <w:rPr>
          <w:rStyle w:val="CommentReference"/>
        </w:rPr>
        <w:commentReference w:id="6"/>
      </w:r>
      <w:r>
        <w:t xml:space="preserve">disruptions to the fire </w:t>
      </w:r>
      <w:r w:rsidR="00B23450">
        <w:t xml:space="preserve">regime have challenged sugar pine. Sugar pine is a fire-tolerant species with moderate shade intolerance </w:t>
      </w:r>
      <w:r w:rsidR="00B23450">
        <w:fldChar w:fldCharType="begin" w:fldLock="1"/>
      </w:r>
      <w:r w:rsidR="00B23450">
        <w:instrText>ADDIN CSL_CITATION {"citationItems":[{"id":"ITEM-1","itemData":{"author":[{"dropping-particle":"","family":"Yeaton","given":"Richard I","non-dropping-particle":"","parse-names":false,"suffix":""}],"id":"ITEM-1","issue":"3","issued":{"date-parts":[["1983"]]},"page":"292-297","title":"The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","type":"article-journal","volume":"110"},"uris":["http://www.mendeley.com/documents/?uuid=906b2319-be0e-41d8-8a45-ebff3d65f29a"]},{"id":"ITEM-2","itemData":{"author":[{"dropping-particle":"","family":"Yeaton","given":"Richard I.","non-dropping-particle":"","parse-names":false,"suffix":""}],"container-title":"The American Midland Naturalist","id":"ITEM-2","issue":"1","issued":{"date-parts":[["1984"]]},"page":"126-137","title":"Aspects of the Population Biology of Sugar Pine ( Pinus lambertiana Dougl .) on an Elevational Gradient in the Sierra Nevada of Central California","type":"article-journal","volume":"111"},"uris":["http://www.mendeley.com/documents/?uuid=2ec4908c-3817-4f06-b070-42c88909b87a"]},{"id":"ITEM-3","itemData":{"author":[{"dropping-particle":"","family":"Bohlman","given":"Gabrielle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Oregon","type":"article-journal","volume":"273"},"uris":["http://www.mendeley.com/documents/?uuid=57513bd6-50dd-45ab-81a2-2f825c133caf"]}],"mendeley":{"formattedCitation":"(Yeaton, 1983, 1984; Bohlman, Safford and Skinner, 2021)","plainTextFormattedCitation":"(Yeaton, 1983, 1984; Bohlman, Safford and Skinner, 2021)","previouslyFormattedCitation":"(Yeaton, 1983, 1984; Bohlman, Safford and Skinner, 2021)"},"properties":{"noteIndex":0},"schema":"https://github.com/citation-style-language/schema/raw/master/csl-citation.json"}</w:instrText>
      </w:r>
      <w:r w:rsidR="00B23450">
        <w:fldChar w:fldCharType="separate"/>
      </w:r>
      <w:r w:rsidR="00B23450" w:rsidRPr="00EB4A84">
        <w:rPr>
          <w:noProof/>
        </w:rPr>
        <w:t>(Yeaton, 1983, 1984; Bohlman, Safford and Skinner, 2021)</w:t>
      </w:r>
      <w:r w:rsidR="00B23450">
        <w:fldChar w:fldCharType="end"/>
      </w:r>
      <w:r w:rsidR="00B23450">
        <w:t xml:space="preserve"> and persisted in frequent fire forest types with mean fire return intervals of at most 11-16 years </w:t>
      </w:r>
      <w:r w:rsidR="00B23450">
        <w:fldChar w:fldCharType="begin" w:fldLock="1"/>
      </w:r>
      <w:r w:rsidR="00B23450">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Forests","type":"article-journal"},"uris":["http://www.mendeley.com/documents/?uuid=865d47ce-7aba-4ed2-802c-803bb9610f75"]},{"id":"ITEM-2","itemData":{"author":[{"dropping-particle":"","family":"Bohlman","given":"Gabrielle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p.","id":"ITEM-2","issue":"November","issued":{"date-parts":[["2021"]]},"title":"Natural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Bohlman, Safford and Skinner, 2021)","plainTextFormattedCitation":"(Safford and Stevens, 2017; Bohlman, Safford and Skinner, 2021)","previouslyFormattedCitation":"(Safford and Stevens, 2017; Bohlman, Safford and Skinner, 2021)"},"properties":{"noteIndex":0},"schema":"https://github.com/citation-style-language/schema/raw/master/csl-citation.json"}</w:instrText>
      </w:r>
      <w:r w:rsidR="00B23450">
        <w:fldChar w:fldCharType="separate"/>
      </w:r>
      <w:r w:rsidR="00B23450" w:rsidRPr="00EB4A84">
        <w:rPr>
          <w:noProof/>
        </w:rPr>
        <w:t>(Safford and Stevens, 2017; Bohlman, Safford and Skinner, 2021)</w:t>
      </w:r>
      <w:r w:rsidR="00B23450">
        <w:fldChar w:fldCharType="end"/>
      </w:r>
      <w:r w:rsidR="00B23450">
        <w:t xml:space="preserve">. Sugar pine has traits associated </w:t>
      </w:r>
      <w:r w:rsidR="00A95BB0">
        <w:t xml:space="preserve">with </w:t>
      </w:r>
      <w:r w:rsidR="00B23450">
        <w:t xml:space="preserve">a fire-surviving strategy </w:t>
      </w:r>
      <w:r w:rsidR="00B23450">
        <w:fldChar w:fldCharType="begin" w:fldLock="1"/>
      </w:r>
      <w:r w:rsidR="0020010E">
        <w:instrText>ADDIN CSL_CITATION {"citationItems":[{"id":"ITEM-1","itemData":{"author":[{"dropping-particle":"","family":"Schwilk","given":"Dylan W","non-dropping-particle":"","parse-names":false,"suffix":""},{"dropping-particle":"","family":"Ackerly","given":"David D.","non-dropping-particle":"","parse-names":false,"suffix":""}],"container-title":"Oikos","id":"ITEM-1","issued":{"date-parts":[["2001"]]},"page":"326-336","title":"Flammability and Serotiny as Strategies : Correlated Evolution in Pines evolution correlated as strategies : and serotiny Flammability in pines","type":"article-journal","volume":"94"},"uris":["http://www.mendeley.com/documents/?uuid=4e11b3ff-c24a-4850-9031-31200fcfce8d"]}],"mendeley":{"formattedCitation":"(Schwilk and Ackerly, 2001)","plainTextFormattedCitation":"(Schwilk and Ackerly, 2001)","previouslyFormattedCitation":"(Schwilk and Ackerly, 2001)"},"properties":{"noteIndex":0},"schema":"https://github.com/citation-style-language/schema/raw/master/csl-citation.json"}</w:instrText>
      </w:r>
      <w:r w:rsidR="00B23450">
        <w:fldChar w:fldCharType="separate"/>
      </w:r>
      <w:r w:rsidR="00B23450" w:rsidRPr="00B23450">
        <w:rPr>
          <w:noProof/>
        </w:rPr>
        <w:t>(Schwilk and Ackerly, 2001)</w:t>
      </w:r>
      <w:r w:rsidR="00B23450">
        <w:fldChar w:fldCharType="end"/>
      </w:r>
      <w:r w:rsidR="00B23450">
        <w:t xml:space="preserve">, whereby large adults survive wildfires and provide offspring that can take advantage of reduced competition for light and water in the postfire environment. </w:t>
      </w:r>
      <w:r w:rsidR="0020010E">
        <w:t>However, intensive historical logging and fire suppression in the 20</w:t>
      </w:r>
      <w:r w:rsidR="0020010E" w:rsidRPr="0020010E">
        <w:rPr>
          <w:vertAlign w:val="superscript"/>
        </w:rPr>
        <w:t>th</w:t>
      </w:r>
      <w:r w:rsidR="0020010E">
        <w:t xml:space="preserve"> century have altered forest structure and a warming climate </w:t>
      </w:r>
      <w:r w:rsidR="00105668">
        <w:t>have increased</w:t>
      </w:r>
      <w:r w:rsidR="0020010E">
        <w:t xml:space="preserve"> the area affected by high severity fire within sugar pine’s range </w:t>
      </w:r>
      <w:r w:rsidR="0020010E">
        <w:fldChar w:fldCharType="begin" w:fldLock="1"/>
      </w:r>
      <w:r w:rsidR="00DB0132">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2017","type":"article-journal","volume":"47"},"uris":["http://www.mendeley.com/documents/?uuid=c62781ce-2164-4b01-b721-ce147287a476"]},{"id":"ITEM-2","itemData":{"DOI":"10.1016/j.foreco.2017.08.051","ISSN":"03781127","abstract":"Stand-replacing fire has profound ecological impacts in conifer forests, yet there is continued uncertainty over how best to describe the scale of stand-replacing effects within individual fires, and how these effects are changing over time. In forests where regeneration following stand-replacing fire depends on seed dispersal from surviving trees, the size and shape of stand-replacing patches are critical metrics that are difficult to describe and often overlooked. We used a novel, recently-developed metric that describes the amount of stand-replacing area within a given distance of a live-tree patch edge, in order to compare fires that may be otherwise similar in fire size or the percentage of stand-replacing effects. Specifically, we analyzed 477 fires in California pine, fir, and mixed-conifer forests between 1984 and 2015 and asked whether this metric, the stand-replacing decay coefficient (SDC), has changed over time, whether it is affected by fire management, and how it responds to extreme weather conditions at the time of the fire. Mean annual SDC became smaller over time (significantly so in the Sierra Nevada region), indicating that stand-replacing patches became larger and more regularly shaped. The decrease in SDC was particularly pronounced in the years since 2011. While SDC is correlated with percent high-severity, it is able to distinguish fires of comparable percent high-severity but different spatial pattern, with fires managed for suppression having smaller SDC than fires managed for resource benefit. Similarly, fires managed by the US Forest Service had smaller SDC than fires managed by the National Park Service. Fire weather also played an important role, with higher maximum temperatures generally associated with smaller SDC values. SDC is useful for comparing fires because it is associated with more conventional metrics such as percent high-severity, but also incorporates a measure of regeneration potential – distance to surviving trees at stand-replacement patch edges – which is a biological legacy that directly affects the resilience of forests to increasingly frequent and severe fire disturbances. We estimate that from 1984 to 2015, over 80,000 ha of forestland burned with stand-replacing effects greater than 120 m in from patch edges, denoting areas vulnerable to extended conifer forest loss due to dispersal limitation. Managing unplanned ignitions under less extreme weather conditions can achieve beneficial “fine-grained” effec…","author":[{"dropping-particle":"","family":"Stevens","given":"Jens T.","non-dropping-particle":"","parse-names":false,"suffix":""},{"dropping-particle":"","family":"Collins","given":"Brandon M.","non-dropping-particle":"","parse-names":false,"suffix":""},{"dropping-particle":"","family":"Miller","given":"Jay D.","non-dropping-particle":"","parse-names":false,"suffix":""},{"dropping-particle":"","family":"North","given":"Malcolm P.","non-dropping-particle":"","parse-names":false,"suffix":""},{"dropping-particle":"","family":"Stephens","given":"Scott L.","non-dropping-particle":"","parse-names":false,"suffix":""}],"container-title":"Forest Ecology and Management","id":"ITEM-2","issue":"August","issued":{"date-parts":[["2017"]]},"page":"28-36","publisher":"Elsevier","title":"Changing spatial patterns of stand-replacing fire in California conifer forests","type":"article-journal","volume":"406"},"uris":["http://www.mendeley.com/documents/?uuid=7e44a2bb-e159-4d15-bf4d-4f61f9dce42f"]},{"id":"ITEM-3","itemData":{"author":[{"dropping-particle":"","family":"Safford","given":"Hugh D.","non-dropping-particle":"","parse-names":false,"suffix":""},{"dropping-particle":"","family":"Stevens","given":"Jens T.","non-dropping-particle":"","parse-names":false,"suffix":""}],"container-title":"Gen. Tech. Rep. PSW-GTR-2562","id":"ITEM-3","issue":"October","issued":{"date-parts":[["2017"]]},"page":"1-151","title":"Natural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Forests","type":"article-journal"},"uris":["http://www.mendeley.com/documents/?uuid=865d47ce-7aba-4ed2-802c-803bb9610f75"]},{"id":"ITEM-4","itemData":{"author":[{"dropping-particle":"","family":"Bohlman","given":"Gabrielle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p.","id":"ITEM-4","issue":"November","issued":{"date-parts":[["2021"]]},"title":"Natural range of variation for yellow pine and mixed-conifer forests in northwestern California and southwestern Oregon","type":"article-journal","volume":"273"},"uris":["http://www.mendeley.com/documents/?uuid=57513bd6-50dd-45ab-81a2-2f825c133caf"]}],"mendeley":{"formattedCitation":"(Safford and Stevens, 2017; Stevens &lt;i&gt;et al.&lt;/i&gt;, 2017; Parks and Abatzoglou, 2020; Bohlman, Safford and Skinner, 2021)","plainTextFormattedCitation":"(Safford and Stevens, 2017; Stevens et al., 2017; Parks and Abatzoglou, 2020; Bohlman, Safford and Skinner, 2021)","previouslyFormattedCitation":"(Safford and Stevens, 2017; Stevens &lt;i&gt;et al.&lt;/i&gt;, 2017; Parks and Abatzoglou, 2020; Bohlman, Safford and Skinner, 2021)"},"properties":{"noteIndex":0},"schema":"https://github.com/citation-style-language/schema/raw/master/csl-citation.json"}</w:instrText>
      </w:r>
      <w:r w:rsidR="0020010E">
        <w:fldChar w:fldCharType="separate"/>
      </w:r>
      <w:r w:rsidR="000624D9" w:rsidRPr="000624D9">
        <w:rPr>
          <w:noProof/>
        </w:rPr>
        <w:t xml:space="preserve">(Safford and Stevens, 2017; Stevens </w:t>
      </w:r>
      <w:r w:rsidR="000624D9" w:rsidRPr="000624D9">
        <w:rPr>
          <w:i/>
          <w:noProof/>
        </w:rPr>
        <w:t>et al.</w:t>
      </w:r>
      <w:r w:rsidR="000624D9" w:rsidRPr="000624D9">
        <w:rPr>
          <w:noProof/>
        </w:rPr>
        <w:t>, 2017; Parks and Abatzoglou, 2020; Bohlman, Safford and Skinner, 2021)</w:t>
      </w:r>
      <w:r w:rsidR="0020010E">
        <w:fldChar w:fldCharType="end"/>
      </w:r>
      <w:r w:rsidR="000624D9">
        <w:t xml:space="preserve">. This novel fire regime has increased the proportion of the sugar pine’s range where </w:t>
      </w:r>
      <w:r w:rsidR="0020010E">
        <w:t>there are no surviving adult</w:t>
      </w:r>
      <w:r w:rsidR="00DB0132">
        <w:t xml:space="preserve"> conifers </w:t>
      </w:r>
      <w:r w:rsidR="0020010E">
        <w:t>to produce the next generation</w:t>
      </w:r>
      <w:r w:rsidR="000624D9">
        <w:t xml:space="preserve">, threatening not </w:t>
      </w:r>
      <w:r w:rsidR="000624D9">
        <w:lastRenderedPageBreak/>
        <w:t>just sugar pine but the mixed conifer forest type as a whole</w:t>
      </w:r>
      <w:r w:rsidR="0020010E">
        <w:t xml:space="preserve"> </w:t>
      </w:r>
      <w:r w:rsidR="0020010E">
        <w:fldChar w:fldCharType="begin" w:fldLock="1"/>
      </w:r>
      <w:r w:rsidR="000624D9">
        <w:instrText>ADDIN CSL_CITATION {"citationItems":[{"id":"ITEM-1","itemData":{"DOI":"10.1890/ES14-00224.1","ISSN":"21508925","abstract":"© 2015 Steel et al.Fire is one of the most important natural disturbance processes in the western United States and ecosystems differ markedly with respect to their ecological and evolutionary relationships with fire. Reference fire regimes in forested ecosystems can be categorized along a gradient ranging from \"fuellimited\" to \"climate-limited\" where the former types are often characterized by frequent, lower-severity wildfires and the latter by infrequent, more severe wildfires. Using spatial data on fire severity from 1984- 2011 and metrics related to fire frequency, we tested how divergence from historic (pre-Euroamerican settlement) fire frequencies due to a century of fire suppression influences rates of high-severity fire in five forest types in California. With some variation among bioregions, our results suggest that fires in forest types characterized by fuel-limited fire regimes (e.g., yellow pine and mixed conifer forest) tend to burn with greater proportions of high-severity fire as either time since last fire or the mean modern fire return interval (FRI) increases. Two intermediate fire regime types (mixed evergreen and bigcone Douglas-fir) showed a similar relationship between fire frequency and fire severity. However, red fir and redwood forests, which are characterized by more climate-limited fire regimes, did not show significant positive relationships between FRI and fire severity. This analysis provides strong evidence that for fuel-limited fire regimes, lack of fire leads to increasing rates of high-severity burning. Our study also substantiates the general validity of \"fuel-limited\" vs. \"climate-limited\" explanations of differing patterns of fire effects and response in forest types of the western US.","author":[{"dropping-particle":"","family":"Steel","given":"Zachary L.","non-dropping-particle":"","parse-names":false,"suffix":""},{"dropping-particle":"","family":"Safford","given":"Hugh D.","non-dropping-particle":"","parse-names":false,"suffix":""},{"dropping-particle":"","family":"Viers","given":"Joshua H.","non-dropping-particle":"","parse-names":false,"suffix":""}],"container-title":"Ecosphere","id":"ITEM-1","issue":"1","issued":{"date-parts":[["2015"]]},"title":"The fire frequency-severity relationship and the legacy of fire suppression in California forests http://www.esajournals.org/doi/pdf/10.1890/ES14-00224.1","type":"article-journal","volume":"6"},"uris":["http://www.mendeley.com/documents/?uuid=1ab7e8c2-3339-4847-aec1-5a74446758ee"]},{"id":"ITEM-2","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C.","non-dropping-particle":"","parse-names":false,"suffix":""}],"container-title":"BioScience","id":"ITEM-2","issue":"8","issued":{"date-parts":[["2020"]]},"page":"659-673","title":"Wildfire-Driven Forest Conversion in Western North American Landscapes","type":"article-journal","volume":"70"},"uris":["http://www.mendeley.com/documents/?uuid=4c19d33d-7ce8-44c4-b892-af9da5f5c49d"]},{"id":"ITEM-3","itemData":{"DOI":"10.1002/eap.1756","ISSN":"10510761","author":[{"dropping-particle":"","family":"Shive","given":"Kristen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Applications","id":"ITEM-3","issue":"6","issued":{"date-parts":[["2018"]]},"page":"1626-1639","title":"From the stand scale to the landscape scale: predicting the spatial patterns of forest regeneration after disturbance","type":"article-journal","volume":"28"},"uris":["http://www.mendeley.com/documents/?uuid=088a8267-0133-4892-9fb1-7380b3beadc5"]}],"mendeley":{"formattedCitation":"(Steel, Safford and Viers, 2015; Shive &lt;i&gt;et al.&lt;/i&gt;, 2018; Coop &lt;i&gt;et al.&lt;/i&gt;, 2020)","plainTextFormattedCitation":"(Steel, Safford and Viers, 2015; Shive et al., 2018; Coop et al., 2020)","previouslyFormattedCitation":"(Steel, Safford and Viers, 2015; Shive &lt;i&gt;et al.&lt;/i&gt;, 2018; Coop &lt;i&gt;et al.&lt;/i&gt;, 2020)"},"properties":{"noteIndex":0},"schema":"https://github.com/citation-style-language/schema/raw/master/csl-citation.json"}</w:instrText>
      </w:r>
      <w:r w:rsidR="0020010E">
        <w:fldChar w:fldCharType="separate"/>
      </w:r>
      <w:r w:rsidR="000624D9" w:rsidRPr="000624D9">
        <w:rPr>
          <w:noProof/>
        </w:rPr>
        <w:t xml:space="preserve">(Steel, Safford and Viers, 2015; Shive </w:t>
      </w:r>
      <w:r w:rsidR="000624D9" w:rsidRPr="000624D9">
        <w:rPr>
          <w:i/>
          <w:noProof/>
        </w:rPr>
        <w:t>et al.</w:t>
      </w:r>
      <w:r w:rsidR="000624D9" w:rsidRPr="000624D9">
        <w:rPr>
          <w:noProof/>
        </w:rPr>
        <w:t xml:space="preserve">, 2018; Coop </w:t>
      </w:r>
      <w:r w:rsidR="000624D9" w:rsidRPr="000624D9">
        <w:rPr>
          <w:i/>
          <w:noProof/>
        </w:rPr>
        <w:t>et al.</w:t>
      </w:r>
      <w:r w:rsidR="000624D9" w:rsidRPr="000624D9">
        <w:rPr>
          <w:noProof/>
        </w:rPr>
        <w:t>, 2020)</w:t>
      </w:r>
      <w:r w:rsidR="0020010E">
        <w:fldChar w:fldCharType="end"/>
      </w:r>
      <w:r w:rsidR="0020010E">
        <w:t>.</w:t>
      </w:r>
      <w:r w:rsidR="00DB0132">
        <w:t xml:space="preserve"> </w:t>
      </w:r>
    </w:p>
    <w:p w14:paraId="2610385A" w14:textId="75AC3661" w:rsidR="008611C1" w:rsidRPr="00E005FB" w:rsidRDefault="00DB0132" w:rsidP="00E01957">
      <w:pPr>
        <w:spacing w:line="360" w:lineRule="auto"/>
        <w:ind w:firstLine="360"/>
      </w:pPr>
      <w:commentRangeStart w:id="7"/>
      <w:r>
        <w:t xml:space="preserve">Second, an invasive fungal pathogen, </w:t>
      </w:r>
      <w:r w:rsidRPr="00F701A7">
        <w:rPr>
          <w:i/>
          <w:iCs/>
        </w:rPr>
        <w:t>Cronartium ribicola</w:t>
      </w:r>
      <w:r>
        <w:t xml:space="preserve"> (white pine blister rust; WPBR)</w:t>
      </w:r>
      <w:commentRangeEnd w:id="7"/>
      <w:r w:rsidR="002626E1">
        <w:rPr>
          <w:rStyle w:val="CommentReference"/>
        </w:rPr>
        <w:commentReference w:id="7"/>
      </w:r>
      <w:r>
        <w:t xml:space="preserve"> has spread across much of sugar pine’s range since its introduction</w:t>
      </w:r>
      <w:r w:rsidR="0084014F">
        <w:t xml:space="preserve"> to North America in the early 20</w:t>
      </w:r>
      <w:r w:rsidR="0084014F" w:rsidRPr="0084014F">
        <w:rPr>
          <w:vertAlign w:val="superscript"/>
        </w:rPr>
        <w:t>th</w:t>
      </w:r>
      <w:r w:rsidR="0084014F">
        <w:t xml:space="preserve"> century </w:t>
      </w:r>
      <w:r>
        <w:t xml:space="preserve">and has caused substantial mortality </w:t>
      </w:r>
      <w:r>
        <w:fldChar w:fldCharType="begin" w:fldLock="1"/>
      </w:r>
      <w:r w:rsidR="00030856">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species","type":"article-journal","volume":"11"},"uris":["http://www.mendeley.com/documents/?uuid=54eba3d7-5ed4-4e44-a51e-b1150e7c2215"]},{"id":"ITEM-3","itemData":{"DOI":"10.1016/j.foreco.2011.05.011","ISSN":"03781127","abstract":"Historical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Management","id":"ITEM-3","issue":"5","issued":{"date-parts":[["2011"]]},"page":"770-779","publisher":"Elsevier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restoration","type":"article-journal","volume":"262"},"uris":["http://www.mendeley.com/documents/?uuid=9a0c821b-c50c-45fc-9062-b98c1d978b4e"]}],"mendeley":{"formattedCitation":"(Van Mantgem &lt;i&gt;et al.&lt;/i&gt;, 2004; Maloney &lt;i&gt;et al.&lt;/i&gt;, 2011; Dudney &lt;i&gt;et al.&lt;/i&gt;, 2020)","plainTextFormattedCitation":"(Van Mantgem et al., 2004; Maloney et al., 2011; Dudney et al., 2020)","previouslyFormattedCitation":"(Van Mantgem &lt;i&gt;et al.&lt;/i&gt;, 2004; Maloney &lt;i&gt;et al.&lt;/i&gt;, 2011; Dudney &lt;i&gt;et al.&lt;/i&gt;, 2020)"},"properties":{"noteIndex":0},"schema":"https://github.com/citation-style-language/schema/raw/master/csl-citation.json"}</w:instrText>
      </w:r>
      <w:r>
        <w:fldChar w:fldCharType="separate"/>
      </w:r>
      <w:r w:rsidRPr="00DB0132">
        <w:rPr>
          <w:noProof/>
        </w:rPr>
        <w:t xml:space="preserve">(Van Mantgem </w:t>
      </w:r>
      <w:r w:rsidRPr="00DB0132">
        <w:rPr>
          <w:i/>
          <w:noProof/>
        </w:rPr>
        <w:t>et al.</w:t>
      </w:r>
      <w:r w:rsidRPr="00DB0132">
        <w:rPr>
          <w:noProof/>
        </w:rPr>
        <w:t xml:space="preserve">, 2004; Maloney </w:t>
      </w:r>
      <w:r w:rsidRPr="00DB0132">
        <w:rPr>
          <w:i/>
          <w:noProof/>
        </w:rPr>
        <w:t>et al.</w:t>
      </w:r>
      <w:r w:rsidRPr="00DB0132">
        <w:rPr>
          <w:noProof/>
        </w:rPr>
        <w:t xml:space="preserve">, 2011; Dudney </w:t>
      </w:r>
      <w:r w:rsidRPr="00DB0132">
        <w:rPr>
          <w:i/>
          <w:noProof/>
        </w:rPr>
        <w:t>et al.</w:t>
      </w:r>
      <w:r w:rsidRPr="00DB0132">
        <w:rPr>
          <w:noProof/>
        </w:rPr>
        <w:t>, 2020)</w:t>
      </w:r>
      <w:r>
        <w:fldChar w:fldCharType="end"/>
      </w:r>
      <w:r>
        <w:t xml:space="preserve">. </w:t>
      </w:r>
      <w:r w:rsidR="00E07EF6">
        <w:t xml:space="preserve">WPBR affects white pines (subgenus </w:t>
      </w:r>
      <w:r w:rsidR="00E07EF6">
        <w:rPr>
          <w:i/>
          <w:iCs/>
        </w:rPr>
        <w:t>Strobus</w:t>
      </w:r>
      <w:r w:rsidR="009B4725">
        <w:t xml:space="preserve">, excluding the pinyon pines in subsection </w:t>
      </w:r>
      <w:r w:rsidR="009B4725">
        <w:rPr>
          <w:i/>
          <w:iCs/>
        </w:rPr>
        <w:t>Cembroides</w:t>
      </w:r>
      <w:r w:rsidR="00E07EF6">
        <w:t xml:space="preserve">) </w:t>
      </w:r>
      <w:r w:rsidR="00030856">
        <w:t xml:space="preserve">by parasitizing foliage, shoots, inner bark, and outer xylem, causing the formation of cankers which can reduce vigor and kill outright by girdling the stem </w:t>
      </w:r>
      <w:r w:rsidR="00030856">
        <w:fldChar w:fldCharType="begin" w:fldLock="1"/>
      </w:r>
      <w:r w:rsidR="00E005FB">
        <w:instrText>ADDIN CSL_CITATION {"citationItems":[{"id":"ITEM-1","itemData":{"DOI":"10.1111/j.1439-0329.2010.00654.x","ISSN":"14374781","abstract":"For over a century, white pine blister rust (Cronartium ribicola) has linked white pines (Strobus) with currants and gooseberries (Ribes) in a complex and serious disease epidemic in Asia, Europe, and North America. Because of ongoing changes in climate, societal demands for forests and their amenities, and scientific advances in genetics and proteomics, our current understanding and management of the white pine blister rust pathosystem has become outdated. Here, we present a review and synthesis of international scope on the biology and management of blister rust, white pines, Ribes, and other hosts. In this article, we provide a geographical and historical background, describe the taxonomy and life cycle of the rust, discuss pathology and ecology, and introduce a series of invited papers. These review articles summarize the literature on white pines, Ribes, and blister rust with respect to their status, threats, and management through genetics and silviculture. Although the principal focus is on North America, the different epidemics in Europe and Asia are also described. In the final article, we discuss several of the key observations and conclusions from the preceding review articles and identify prudent actions for research and management of white pine blister rust. © 2010 Blackwell Verlag GmbH and Crown in the right of Canada.","author":[{"dropping-particle":"","family":"Geils","given":"Brian W.","non-dropping-particle":"","parse-names":false,"suffix":""},{"dropping-particle":"","family":"Hummer","given":"Kim E.","non-dropping-particle":"","parse-names":false,"suffix":""},{"dropping-particle":"","family":"Hunt","given":"Richard S.","non-dropping-particle":"","parse-names":false,"suffix":""}],"container-title":"Forest Pathology","id":"ITEM-1","issue":"3-4","issued":{"date-parts":[["2010"]]},"page":"147-185","title":"White pines, Ribes, and blister rust: A review and synthesis","type":"article-journal","volume":"40"},"uris":["http://www.mendeley.com/documents/?uuid=fc76315d-a4b3-404f-9576-b260cb172979"]}],"mendeley":{"formattedCitation":"(Geils, Hummer and Hunt, 2010)","plainTextFormattedCitation":"(Geils, Hummer and Hunt, 2010)","previouslyFormattedCitation":"(Geils, Hummer and Hunt, 2010)"},"properties":{"noteIndex":0},"schema":"https://github.com/citation-style-language/schema/raw/master/csl-citation.json"}</w:instrText>
      </w:r>
      <w:r w:rsidR="00030856">
        <w:fldChar w:fldCharType="separate"/>
      </w:r>
      <w:r w:rsidR="00030856" w:rsidRPr="00030856">
        <w:rPr>
          <w:noProof/>
        </w:rPr>
        <w:t>(Geils, Hummer and Hunt, 2010)</w:t>
      </w:r>
      <w:r w:rsidR="00030856">
        <w:fldChar w:fldCharType="end"/>
      </w:r>
      <w:r w:rsidR="00030856">
        <w:t xml:space="preserve">. </w:t>
      </w:r>
      <w:commentRangeStart w:id="8"/>
      <w:r w:rsidR="00E005FB">
        <w:t>The epidemic in the western United States has been severe enough to cause the related species</w:t>
      </w:r>
      <w:r w:rsidR="00105668">
        <w:t>,</w:t>
      </w:r>
      <w:r w:rsidR="00E005FB">
        <w:t xml:space="preserve"> </w:t>
      </w:r>
      <w:r w:rsidR="00E005FB">
        <w:rPr>
          <w:i/>
          <w:iCs/>
        </w:rPr>
        <w:t>Pinus albicaulis</w:t>
      </w:r>
      <w:r w:rsidR="00105668">
        <w:t>,</w:t>
      </w:r>
      <w:r w:rsidR="00E005FB">
        <w:t xml:space="preserve"> to be listed as endangered </w:t>
      </w:r>
      <w:r w:rsidR="00E005FB">
        <w:fldChar w:fldCharType="begin" w:fldLock="1"/>
      </w:r>
      <w:r w:rsidR="00E005FB">
        <w:instrText>ADDIN CSL_CITATION {"citationItems":[{"id":"ITEM-1","itemData":{"author":[{"dropping-particle":"","family":"Mahalovich","given":"M.","non-dropping-particle":"","parse-names":false,"suffix":""},{"dropping-particle":"","family":"Stritch","given":"L.","non-dropping-particle":"","parse-names":false,"suffix":""}],"id":"ITEM-1","issued":{"date-parts":[["2013"]]},"title":"Pinus albicaulis. The IUCN Red List of Threatened Species 2013","type":"article"},"uris":["http://www.mendeley.com/documents/?uuid=01c5c33e-f405-4ec0-b7ef-fe493d548c6e"]}],"mendeley":{"formattedCitation":"(Mahalovich and Stritch, 2013)","plainTextFormattedCitation":"(Mahalovich and Stritch, 2013)","previouslyFormattedCitation":"(Mahalovich and Stritch, 2013)"},"properties":{"noteIndex":0},"schema":"https://github.com/citation-style-language/schema/raw/master/csl-citation.json"}</w:instrText>
      </w:r>
      <w:r w:rsidR="00E005FB">
        <w:fldChar w:fldCharType="separate"/>
      </w:r>
      <w:r w:rsidR="00E005FB" w:rsidRPr="00E005FB">
        <w:rPr>
          <w:noProof/>
        </w:rPr>
        <w:t>(Mahalovich and Stritch, 2013)</w:t>
      </w:r>
      <w:r w:rsidR="00E005FB">
        <w:fldChar w:fldCharType="end"/>
      </w:r>
      <w:r w:rsidR="00E005FB">
        <w:t xml:space="preserve">, </w:t>
      </w:r>
      <w:commentRangeEnd w:id="8"/>
      <w:r w:rsidR="00A95BB0">
        <w:rPr>
          <w:rStyle w:val="CommentReference"/>
        </w:rPr>
        <w:commentReference w:id="8"/>
      </w:r>
      <w:r w:rsidR="00E005FB">
        <w:t xml:space="preserve">and there has been considerable concern about the outlook for sugar pine as well </w:t>
      </w:r>
      <w:r w:rsidR="00E005FB">
        <w:fldChar w:fldCharType="begin" w:fldLock="1"/>
      </w:r>
      <w:r w:rsidR="00542DB6">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E005FB">
        <w:fldChar w:fldCharType="separate"/>
      </w:r>
      <w:r w:rsidR="00E005FB" w:rsidRPr="00E005FB">
        <w:rPr>
          <w:noProof/>
        </w:rPr>
        <w:t>(Kinloch Jr., Marosy and Huddleston, 1996)</w:t>
      </w:r>
      <w:r w:rsidR="00E005FB">
        <w:fldChar w:fldCharType="end"/>
      </w:r>
      <w:r w:rsidR="00E005FB">
        <w:t xml:space="preserve">. </w:t>
      </w:r>
    </w:p>
    <w:p w14:paraId="439F6345" w14:textId="2D68D8A3" w:rsidR="008611C1" w:rsidRPr="005B4308" w:rsidRDefault="00542DB6" w:rsidP="00E01957">
      <w:pPr>
        <w:spacing w:line="360" w:lineRule="auto"/>
        <w:ind w:firstLine="360"/>
      </w:pPr>
      <w:commentRangeStart w:id="9"/>
      <w:r>
        <w:t>Third</w:t>
      </w:r>
      <w:commentRangeEnd w:id="9"/>
      <w:r w:rsidR="00A95BB0">
        <w:rPr>
          <w:rStyle w:val="CommentReference"/>
        </w:rPr>
        <w:commentReference w:id="9"/>
      </w:r>
      <w:r>
        <w:t>, there is evidence that the modern densified forest structure threatens sugar pine in numerous ways. Effective fire suppression, which was instituted across much of sugar pine’s range in the 20</w:t>
      </w:r>
      <w:r w:rsidRPr="003B39CC">
        <w:rPr>
          <w:vertAlign w:val="superscript"/>
        </w:rPr>
        <w:t>th</w:t>
      </w:r>
      <w:r>
        <w:t xml:space="preserve"> century, has resulted in an overall densification of these forests </w:t>
      </w:r>
      <w:r>
        <w:fldChar w:fldCharType="begin" w:fldLock="1"/>
      </w:r>
      <w:r>
        <w:instrText>ADDIN CSL_CITATION {"citationItems":[{"id":"ITEM-1","itemData":{"author":[{"dropping-particle":"","family":"Stephens","given":"S Cott L S","non-dropping-particle":"","parse-names":false,"suffix":""},{"dropping-particle":"","family":"Ydersen","given":"J Amie M L","non-dropping-particle":"","parse-names":false,"suffix":""},{"dropping-particle":"","family":"Ollins","given":"B Randon M C","non-dropping-particle":"","parse-names":false,"suffix":""},{"dropping-particle":"","family":"Ry","given":"D Anny L F","non-dropping-particle":"","parse-names":false,"suffix":""}],"container-title":"Ecosphere","id":"ITEM-1","issue":"May","issued":{"date-parts":[["2015"]]},"note":"Has the actual surveyor's notes in the appendix, would be an interesting thing to poke at with language-processing","page":"1-63","title":"Historical and current landscape-scale ponderosa pine and mixed conifer forest structure in the Southern Sierra Nevada","type":"article-journal","volume":"6"},"uris":["http://www.mendeley.com/documents/?uuid=391ec200-2601-4bef-8a9b-b6d1e45be8c8"]},{"id":"ITEM-2","itemData":{"author":[{"dropping-particle":"","family":"Safford","given":"Hugh D.","non-dropping-particle":"","parse-names":false,"suffix":""},{"dropping-particle":"","family":"Stevens","given":"Jens T.","non-dropping-particle":"","parse-names":false,"suffix":""}],"container-title":"Gen. Tech. Rep. PSW-GTR-2562","id":"ITEM-2","issue":"October","issued":{"date-parts":[["2017"]]},"page":"1-151","title":"Natural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Forests","type":"article-journal"},"uris":["http://www.mendeley.com/documents/?uuid=865d47ce-7aba-4ed2-802c-803bb9610f75"]},{"id":"ITEM-3","itemData":{"author":[{"dropping-particle":"","family":"Bohlman","given":"Gabrielle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p.","id":"ITEM-3","issue":"November","issued":{"date-parts":[["2021"]]},"title":"Natural range of variation for yellow pine and mixed-conifer forests in northwestern California and southwestern Oregon","type":"article-journal","volume":"273"},"uris":["http://www.mendeley.com/documents/?uuid=57513bd6-50dd-45ab-81a2-2f825c133caf"]},{"id":"ITEM-4","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Management","id":"ITEM-4","issue":"November 2021","issued":{"date-parts":[["2022"]]},"page":"120004","publisher":"Elsevier B.V.","title":"Operational resilience in western US frequent-fire forests","type":"article-journal","volume":"507"},"uris":["http://www.mendeley.com/documents/?uuid=465230a6-1d96-4a43-8dec-1e3c5870286d"]}],"mendeley":{"formattedCitation":"(Stephens &lt;i&gt;et al.&lt;/i&gt;, 2015; Safford and Stevens, 2017; Bohlman, Safford and Skinner, 2021; North &lt;i&gt;et al.&lt;/i&gt;, 2022)","plainTextFormattedCitation":"(Stephens et al., 2015; Safford and Stevens, 2017; Bohlman, Safford and Skinner, 2021; North et al., 2022)","previouslyFormattedCitation":"(Stephens &lt;i&gt;et al.&lt;/i&gt;, 2015; Safford and Stevens, 2017; Bohlman, Safford and Skinner, 2021; North &lt;i&gt;et al.&lt;/i&gt;, 2022)"},"properties":{"noteIndex":0},"schema":"https://github.com/citation-style-language/schema/raw/master/csl-citation.json"}</w:instrText>
      </w:r>
      <w:r>
        <w:fldChar w:fldCharType="separate"/>
      </w:r>
      <w:r w:rsidRPr="00542DB6">
        <w:rPr>
          <w:noProof/>
        </w:rPr>
        <w:t xml:space="preserve">(Stephens </w:t>
      </w:r>
      <w:r w:rsidRPr="00542DB6">
        <w:rPr>
          <w:i/>
          <w:noProof/>
        </w:rPr>
        <w:t>et al.</w:t>
      </w:r>
      <w:r w:rsidRPr="00542DB6">
        <w:rPr>
          <w:noProof/>
        </w:rPr>
        <w:t xml:space="preserve">, 2015; Safford and Stevens, 2017; Bohlman, Safford and Skinner, 2021; North </w:t>
      </w:r>
      <w:r w:rsidRPr="00542DB6">
        <w:rPr>
          <w:i/>
          <w:noProof/>
        </w:rPr>
        <w:t>et al.</w:t>
      </w:r>
      <w:r w:rsidRPr="00542DB6">
        <w:rPr>
          <w:noProof/>
        </w:rPr>
        <w:t>, 2022)</w:t>
      </w:r>
      <w:r>
        <w:fldChar w:fldCharType="end"/>
      </w:r>
      <w:r>
        <w:t xml:space="preserve">. </w:t>
      </w:r>
      <w:r w:rsidR="005B4308" w:rsidRPr="005B4308">
        <w:t xml:space="preserve">Sugar pine is only moderately shade tolerant </w:t>
      </w:r>
      <w:r w:rsidR="005B4308">
        <w:fldChar w:fldCharType="begin" w:fldLock="1"/>
      </w:r>
      <w:r w:rsidR="005B4308">
        <w:instrText>ADDIN CSL_CITATION {"citationItems":[{"id":"ITEM-1","itemData":{"author":[{"dropping-particle":"","family":"Bohlman","given":"Gabrielle N.","non-dropping-particle":"","parse-names":false,"suffix":""},{"dropping-particle":"","family":"Safford","given":"Hugh D.","non-dropping-particle":"","parse-names":false,"suffix":""},{"dropping-particle":"","family":"Skinner","given":"Carl N.","non-dropping-particle":"","parse-names":false,"suffix":""}],"container-title":"Gen. Tech. Rep. PSW-GTR-273. Albany, CA: US Department of Agriculture, Forest Service, Pacific Southwest Research Station. 146 p.","id":"ITEM-1","issue":"November","issued":{"date-parts":[["2021"]]},"title":"Natural range of variation for yellow pine and mixed-conifer forests in northwestern California and southwestern Oregon","type":"article-journal","volume":"273"},"uris":["http://www.mendeley.com/documents/?uuid=57513bd6-50dd-45ab-81a2-2f825c133caf"]},{"id":"ITEM-2","itemData":{"author":[{"dropping-particle":"","family":"Yeaton","given":"Richard I","non-dropping-particle":"","parse-names":false,"suffix":""}],"id":"ITEM-2","issue":"3","issued":{"date-parts":[["1983"]]},"page":"292-297","title":"The Successional Replacement of Ponderosa Pine by Sugar Pine in the Sierra Nevada Author ( s ): Richard I . Yeaton Source : Bulletin of the Torrey Botanical Club , Jul . - Sep ., 1983 , Vol . 110 , No . 3 ( Jul . - Published by : Torrey Botanical Society ","type":"article-journal","volume":"110"},"uris":["http://www.mendeley.com/documents/?uuid=906b2319-be0e-41d8-8a45-ebff3d65f29a"]}],"mendeley":{"formattedCitation":"(Yeaton, 1983; Bohlman, Safford and Skinner, 2021)","plainTextFormattedCitation":"(Yeaton, 1983; Bohlman, Safford and Skinner, 2021)","previouslyFormattedCitation":"(Yeaton, 1983; Bohlman, Safford and Skinner, 2021)"},"properties":{"noteIndex":0},"schema":"https://github.com/citation-style-language/schema/raw/master/csl-citation.json"}</w:instrText>
      </w:r>
      <w:r w:rsidR="005B4308">
        <w:fldChar w:fldCharType="separate"/>
      </w:r>
      <w:r w:rsidR="005B4308" w:rsidRPr="005B4308">
        <w:rPr>
          <w:noProof/>
        </w:rPr>
        <w:t>(Yeaton, 1983; Bohlman, Safford and Skinner, 2021)</w:t>
      </w:r>
      <w:r w:rsidR="005B4308">
        <w:fldChar w:fldCharType="end"/>
      </w:r>
      <w:r w:rsidR="005B4308">
        <w:t xml:space="preserve"> </w:t>
      </w:r>
      <w:r w:rsidR="005B4308" w:rsidRPr="005B4308">
        <w:t xml:space="preserve">and there is evidence that it is outcompeted by species such as </w:t>
      </w:r>
      <w:r w:rsidR="005B4308" w:rsidRPr="005B4308">
        <w:rPr>
          <w:i/>
          <w:iCs/>
        </w:rPr>
        <w:t xml:space="preserve">Abies concolor </w:t>
      </w:r>
      <w:r w:rsidR="005B4308" w:rsidRPr="005B4308">
        <w:t xml:space="preserve">and </w:t>
      </w:r>
      <w:r w:rsidR="005B4308" w:rsidRPr="005B4308">
        <w:rPr>
          <w:i/>
          <w:iCs/>
        </w:rPr>
        <w:t>Calodecrus decurrens</w:t>
      </w:r>
      <w:r w:rsidR="005B4308" w:rsidRPr="005B4308">
        <w:t xml:space="preserve"> under modern dense canopies</w:t>
      </w:r>
      <w:r w:rsidR="00105668">
        <w:t>.</w:t>
      </w:r>
      <w:r w:rsidR="005B4308" w:rsidRPr="005B4308">
        <w:t xml:space="preserve"> </w:t>
      </w:r>
      <w:r>
        <w:t xml:space="preserve">Species composition (especially of younger cohorts) has shifted towards shade-tolerant firs and incense-cedar </w:t>
      </w:r>
      <w:r>
        <w:fldChar w:fldCharType="begin" w:fldLock="1"/>
      </w:r>
      <w:r w:rsidR="005B4308">
        <w:instrText>ADDIN CSL_CITATION {"citationItems":[{"id":"ITEM-1","itemData":{"DOI":"10.1139/cjfr-2015-0406","ISBN":"0045-5067","ISSN":"0045-5067","abstract":"In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Research","id":"ITEM-1","issue":"5","issued":{"date-parts":[["2016"]]},"page":"745-752","title":"Long-term demographic trends in a fire-suppressed mixed-conifer forest","type":"article-journal","volume":"46"},"uris":["http://www.mendeley.com/documents/?uuid=d23a6c87-7bd8-4d6f-9854-d1b054b6fd88"]},{"id":"ITEM-2","itemData":{"author":[{"dropping-particle":"","family":"Ansley","given":"Jolie-Ann S.","non-dropping-particle":"","parse-names":false,"suffix":""},{"dropping-particle":"","family":"Battles","given":"John J.","non-dropping-particle":"","parse-names":false,"suffix":""}],"container-title":"The Journal of the Torrey Botanical Society","id":"ITEM-2","issue":"4","issued":{"date-parts":[["1998"]]},"page":"297-308","title":"Forest Composition , Structure , and Change in an Old-Growth Mixed Conifer Forest in the Northern Sierra Nevada Author ( s ): Jolie-Anne S . Ansley and John J . Battles Published by : Torrey Botanical Society Stable URL : http://www.jstor.org/stable/29972","type":"article-journal","volume":"125"},"uris":["http://www.mendeley.com/documents/?uuid=34dda059-28a1-4cb6-892b-71b3a0a5079a"]}],"mendeley":{"formattedCitation":"(Ansley and Battles, 1998; Levine &lt;i&gt;et al.&lt;/i&gt;, 2016)","plainTextFormattedCitation":"(Ansley and Battles, 1998; Levine et al., 2016)","previouslyFormattedCitation":"(Ansley and Battles, 1998; Levine &lt;i&gt;et al.&lt;/i&gt;, 2016)"},"properties":{"noteIndex":0},"schema":"https://github.com/citation-style-language/schema/raw/master/csl-citation.json"}</w:instrText>
      </w:r>
      <w:r>
        <w:fldChar w:fldCharType="separate"/>
      </w:r>
      <w:r w:rsidRPr="00542DB6">
        <w:rPr>
          <w:noProof/>
        </w:rPr>
        <w:t xml:space="preserve">(Ansley and Battles, 1998; Levine </w:t>
      </w:r>
      <w:r w:rsidRPr="00542DB6">
        <w:rPr>
          <w:i/>
          <w:noProof/>
        </w:rPr>
        <w:t>et al.</w:t>
      </w:r>
      <w:r w:rsidRPr="00542DB6">
        <w:rPr>
          <w:noProof/>
        </w:rPr>
        <w:t>, 2016)</w:t>
      </w:r>
      <w:r>
        <w:fldChar w:fldCharType="end"/>
      </w:r>
      <w:r>
        <w:t xml:space="preserve">. </w:t>
      </w:r>
      <w:r w:rsidR="005B4308">
        <w:t xml:space="preserve">There is also evidence that the densified forest structure has reduced the vigor of adult sugar pines, thus reducing their ability to resist other stresses </w:t>
      </w:r>
      <w:commentRangeStart w:id="10"/>
      <w:commentRangeStart w:id="11"/>
      <w:r w:rsidR="005B4308">
        <w:fldChar w:fldCharType="begin" w:fldLock="1"/>
      </w:r>
      <w:r w:rsidR="00105668">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USA","type":"article-journal","volume":"29"},"uris":["http://www.mendeley.com/documents/?uuid=fab20f86-8948-4d2c-85ba-9a0ff200ff1e"]},{"id":"ITEM-3","itemData":{"DOI":"10.1111/ele.12711","ISSN":"1461023X","author":[{"dropping-particle":"","family":"Young","given":"Derek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Letters","id":"ITEM-3","issue":"1","issued":{"date-parts":[["2017"]]},"page":"78-86","title":"Long-term climate and competition explain forest mortality patterns under extreme drought","type":"article-journal","volume":"20"},"uris":["http://www.mendeley.com/documents/?uuid=11db3a96-5a65-4eb7-b92a-5cde2681bbb2"]}],"mendeley":{"formattedCitation":"(Young &lt;i&gt;et al.&lt;/i&gt;, 2017; Restaino &lt;i&gt;et al.&lt;/i&gt;, 2019; Furniss &lt;i&gt;et al.&lt;/i&gt;, 2021)","plainTextFormattedCitation":"(Young et al., 2017; Restaino et al., 2019; Furniss et al., 2021)","previouslyFormattedCitation":"(Young &lt;i&gt;et al.&lt;/i&gt;, 2017; Restaino &lt;i&gt;et al.&lt;/i&gt;, 2019; Furniss &lt;i&gt;et al.&lt;/i&gt;, 2021)"},"properties":{"noteIndex":0},"schema":"https://github.com/citation-style-language/schema/raw/master/csl-citation.json"}</w:instrText>
      </w:r>
      <w:r w:rsidR="005B4308">
        <w:fldChar w:fldCharType="separate"/>
      </w:r>
      <w:r w:rsidR="005B06F2" w:rsidRPr="005B06F2">
        <w:rPr>
          <w:noProof/>
        </w:rPr>
        <w:t xml:space="preserve">(Young </w:t>
      </w:r>
      <w:r w:rsidR="005B06F2" w:rsidRPr="005B06F2">
        <w:rPr>
          <w:i/>
          <w:noProof/>
        </w:rPr>
        <w:t>et al.</w:t>
      </w:r>
      <w:r w:rsidR="005B06F2" w:rsidRPr="005B06F2">
        <w:rPr>
          <w:noProof/>
        </w:rPr>
        <w:t xml:space="preserve">, 2017; Restaino </w:t>
      </w:r>
      <w:r w:rsidR="005B06F2" w:rsidRPr="005B06F2">
        <w:rPr>
          <w:i/>
          <w:noProof/>
        </w:rPr>
        <w:t>et al.</w:t>
      </w:r>
      <w:r w:rsidR="005B06F2" w:rsidRPr="005B06F2">
        <w:rPr>
          <w:noProof/>
        </w:rPr>
        <w:t xml:space="preserve">, 2019; Furniss </w:t>
      </w:r>
      <w:r w:rsidR="005B06F2" w:rsidRPr="005B06F2">
        <w:rPr>
          <w:i/>
          <w:noProof/>
        </w:rPr>
        <w:t>et al.</w:t>
      </w:r>
      <w:r w:rsidR="005B06F2" w:rsidRPr="005B06F2">
        <w:rPr>
          <w:noProof/>
        </w:rPr>
        <w:t>, 2021)</w:t>
      </w:r>
      <w:r w:rsidR="005B4308">
        <w:fldChar w:fldCharType="end"/>
      </w:r>
      <w:r w:rsidR="005B4308">
        <w:t>.</w:t>
      </w:r>
      <w:commentRangeEnd w:id="10"/>
      <w:r w:rsidR="00105668">
        <w:rPr>
          <w:rStyle w:val="CommentReference"/>
        </w:rPr>
        <w:commentReference w:id="10"/>
      </w:r>
      <w:commentRangeEnd w:id="11"/>
      <w:r w:rsidR="002F78E4">
        <w:rPr>
          <w:rStyle w:val="CommentReference"/>
        </w:rPr>
        <w:commentReference w:id="11"/>
      </w:r>
      <w:r w:rsidR="005B06F2">
        <w:t xml:space="preserve"> </w:t>
      </w:r>
    </w:p>
    <w:p w14:paraId="36249CCE" w14:textId="394D9B51" w:rsidR="008611C1" w:rsidRDefault="005B06F2" w:rsidP="00E01957">
      <w:pPr>
        <w:spacing w:line="360" w:lineRule="auto"/>
        <w:ind w:firstLine="360"/>
      </w:pPr>
      <w:r>
        <w:t xml:space="preserve">Finally, the changing climate may increase the duration and severity of droughts and associated bark beetle epidemics, which are already causing mass mortality events in sugar pine’s range </w:t>
      </w:r>
      <w:r>
        <w:fldChar w:fldCharType="begin" w:fldLock="1"/>
      </w:r>
      <w: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Ecology","id":"ITEM-2","issue":"5","issued":{"date-parts":[["2019"]]},"note":"followup: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-3","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D.","non-dropping-particle":"","parse-names":false,"suffix":""}],"container-title":"Ecosphere","id":"ITEM-3","issue":"January","issued":{"date-parts":[["2021"]]},"title":"Do Forest Fuel Reduction Treatments Confer Resistance to Beetle Infestation and Drought Mortality?","type":"article-journal","volume":"12"},"uris":["http://www.mendeley.com/documents/?uuid=27f300f3-6aa3-4e67-9ff2-302a5568e9e8"]}],"mendeley":{"formattedCitation":"(Fettig &lt;i&gt;et al.&lt;/i&gt;, 2019; Stephenson &lt;i&gt;et al.&lt;/i&gt;, 2019; Steel &lt;i&gt;et al.&lt;/i&gt;, 2021)","plainTextFormattedCitation":"(Fettig et al., 2019; Stephenson et al., 2019; Steel et al., 2021)","previouslyFormattedCitation":"(Fettig &lt;i&gt;et al.&lt;/i&gt;, 2019; Stephenson &lt;i&gt;et al.&lt;/i&gt;, 2019; Steel &lt;i&gt;et al.&lt;/i&gt;, 2021)"},"properties":{"noteIndex":0},"schema":"https://github.com/citation-style-language/schema/raw/master/csl-citation.json"}</w:instrText>
      </w:r>
      <w:r>
        <w:fldChar w:fldCharType="separate"/>
      </w:r>
      <w:r w:rsidRPr="00021D10">
        <w:rPr>
          <w:noProof/>
        </w:rPr>
        <w:t xml:space="preserve">(Fettig </w:t>
      </w:r>
      <w:r w:rsidRPr="00021D10">
        <w:rPr>
          <w:i/>
          <w:noProof/>
        </w:rPr>
        <w:t>et al.</w:t>
      </w:r>
      <w:r w:rsidRPr="00021D10">
        <w:rPr>
          <w:noProof/>
        </w:rPr>
        <w:t xml:space="preserve">, 2019; Stephenson </w:t>
      </w:r>
      <w:r w:rsidRPr="00021D10">
        <w:rPr>
          <w:i/>
          <w:noProof/>
        </w:rPr>
        <w:t>et al.</w:t>
      </w:r>
      <w:r w:rsidRPr="00021D10">
        <w:rPr>
          <w:noProof/>
        </w:rPr>
        <w:t xml:space="preserve">, 2019; Steel </w:t>
      </w:r>
      <w:r w:rsidRPr="00021D10">
        <w:rPr>
          <w:i/>
          <w:noProof/>
        </w:rPr>
        <w:t>et al.</w:t>
      </w:r>
      <w:r w:rsidRPr="00021D10">
        <w:rPr>
          <w:noProof/>
        </w:rPr>
        <w:t>, 2021)</w:t>
      </w:r>
      <w:r>
        <w:fldChar w:fldCharType="end"/>
      </w:r>
      <w:r>
        <w:t xml:space="preserve">. Once these epidemics are underway, bark beetles tend to preferentially target large and reproductively-valuable sugar pines, independent of individuals’ stress </w:t>
      </w:r>
      <w:r>
        <w:fldChar w:fldCharType="begin" w:fldLock="1"/>
      </w:r>
      <w: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fldChar w:fldCharType="separate"/>
      </w:r>
      <w:r w:rsidRPr="00EB4A84">
        <w:rPr>
          <w:noProof/>
        </w:rPr>
        <w:t xml:space="preserve">(Stephenson </w:t>
      </w:r>
      <w:r w:rsidRPr="00EB4A84">
        <w:rPr>
          <w:i/>
          <w:noProof/>
        </w:rPr>
        <w:t>et al.</w:t>
      </w:r>
      <w:r w:rsidRPr="00EB4A84">
        <w:rPr>
          <w:noProof/>
        </w:rPr>
        <w:t>, 2019)</w:t>
      </w:r>
      <w:r>
        <w:fldChar w:fldCharType="end"/>
      </w:r>
      <w:r w:rsidR="009F6E8A">
        <w:t xml:space="preserve">, exacerbating the impact of this stressor on the demographic outlook for sugar pine. Drought can also kill trees, especially small individuals, more directly via </w:t>
      </w:r>
      <w:r w:rsidR="00243B4B">
        <w:t xml:space="preserve">hydraulic failure and/or carbon starvation </w:t>
      </w:r>
      <w:commentRangeStart w:id="12"/>
      <w:r w:rsidR="009F6E8A">
        <w:fldChar w:fldCharType="begin" w:fldLock="1"/>
      </w:r>
      <w:r w:rsidR="00A41A84">
        <w:instrText>ADDIN CSL_CITATION {"citationItems":[{"id":"ITEM-1","itemData":{"DOI":"10.1002/ecs2.2776","ISSN":"21508925","abstract":"Understanding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L.","non-dropping-particle":"","parse-names":false,"suffix":""}],"container-title":"Ecosphere","id":"ITEM-1","issue":"6","issued":{"date-parts":[["2019"]]},"title":"Negative impacts of summer heat on Sierra Nevada tree seedlings","type":"article-journal","volume":"10"},"uris":["http://www.mendeley.com/documents/?uuid=52ae7f69-ba42-496d-827f-0c3f1dd1fb27"]}],"mendeley":{"formattedCitation":"(Moran &lt;i&gt;et al.&lt;/i&gt;, 2019)","plainTextFormattedCitation":"(Moran et al., 2019)","previouslyFormattedCitation":"(Moran &lt;i&gt;et al.&lt;/i&gt;, 2019)"},"properties":{"noteIndex":0},"schema":"https://github.com/citation-style-language/schema/raw/master/csl-citation.json"}</w:instrText>
      </w:r>
      <w:r w:rsidR="009F6E8A">
        <w:fldChar w:fldCharType="separate"/>
      </w:r>
      <w:r w:rsidR="009F6E8A" w:rsidRPr="009F6E8A">
        <w:rPr>
          <w:noProof/>
        </w:rPr>
        <w:t xml:space="preserve">(Moran </w:t>
      </w:r>
      <w:r w:rsidR="009F6E8A" w:rsidRPr="009F6E8A">
        <w:rPr>
          <w:i/>
          <w:noProof/>
        </w:rPr>
        <w:t>et al.</w:t>
      </w:r>
      <w:r w:rsidR="009F6E8A" w:rsidRPr="009F6E8A">
        <w:rPr>
          <w:noProof/>
        </w:rPr>
        <w:t>, 2019)</w:t>
      </w:r>
      <w:r w:rsidR="009F6E8A">
        <w:fldChar w:fldCharType="end"/>
      </w:r>
      <w:commentRangeEnd w:id="12"/>
      <w:r w:rsidR="00BD0EC9">
        <w:rPr>
          <w:rStyle w:val="CommentReference"/>
        </w:rPr>
        <w:commentReference w:id="12"/>
      </w:r>
      <w:r w:rsidR="009F6E8A">
        <w:t>.</w:t>
      </w:r>
    </w:p>
    <w:p w14:paraId="78BF1187" w14:textId="366CA98D" w:rsidR="002435DE" w:rsidRDefault="002435DE" w:rsidP="00DB0132">
      <w:pPr>
        <w:spacing w:line="360" w:lineRule="auto"/>
        <w:ind w:firstLine="360"/>
      </w:pPr>
      <w:r>
        <w:t>Given these numerous challenges, there are widespread concerns about the future of the species</w:t>
      </w:r>
      <w:r w:rsidR="0035131C">
        <w:t xml:space="preserve"> </w:t>
      </w:r>
      <w:r w:rsidR="0035131C">
        <w:fldChar w:fldCharType="begin" w:fldLock="1"/>
      </w:r>
      <w:r w:rsidR="002C19B3">
        <w:instrText>ADDIN CSL_CITATION {"citationItems":[{"id":"ITEM-1","itemData":{"author":[{"dropping-particle":"","family":"Kinloch Jr.","given":"Bohun B","non-dropping-particle":"","parse-names":false,"suffix":""},{"dropping-particle":"","family":"Marosy","given":"Melissa","non-dropping-particle":"","parse-names":false,"suffix":""},{"dropping-particle":"","family":"Huddleston","given":"May E","non-dropping-particle":"","parse-names":false,"suffix":""}],"id":"ITEM-1","issued":{"date-parts":[["1996"]]},"page":"225","title":"Sugar pine: status, values, and roles in ecosystems: Proceedings of a symposium presented by the California Sugar Pine Management Committee","type":"article-journal"},"uris":["http://www.mendeley.com/documents/?uuid=25eadf9e-152e-437e-8e17-a18a8a652e02"]}],"mendeley":{"formattedCitation":"(Kinloch Jr., Marosy and Huddleston, 1996)","plainTextFormattedCitation":"(Kinloch Jr., Marosy and Huddleston, 1996)","previouslyFormattedCitation":"(Kinloch Jr., Marosy and Huddleston, 1996)"},"properties":{"noteIndex":0},"schema":"https://github.com/citation-style-language/schema/raw/master/csl-citation.json"}</w:instrText>
      </w:r>
      <w:r w:rsidR="0035131C">
        <w:fldChar w:fldCharType="separate"/>
      </w:r>
      <w:r w:rsidR="00EB4A84" w:rsidRPr="00EB4A84">
        <w:rPr>
          <w:noProof/>
        </w:rPr>
        <w:t>(Kinloch Jr., Marosy and Huddleston, 1996)</w:t>
      </w:r>
      <w:r w:rsidR="0035131C">
        <w:fldChar w:fldCharType="end"/>
      </w:r>
      <w:r w:rsidR="0035131C">
        <w:t xml:space="preserve">. </w:t>
      </w:r>
      <w:r>
        <w:t xml:space="preserve">Management options to benefit sugar pine are available, </w:t>
      </w:r>
      <w:r>
        <w:lastRenderedPageBreak/>
        <w:t xml:space="preserve">ranging from restoration thinning and prescribed fire to restore forest structure </w:t>
      </w:r>
      <w:commentRangeStart w:id="13"/>
      <w:r w:rsidR="0035131C">
        <w:fldChar w:fldCharType="begin" w:fldLock="1"/>
      </w:r>
      <w:r w:rsidR="00021D10">
        <w:instrText>ADDIN CSL_CITATION {"citationItems":[{"id":"ITEM-1","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D.","non-dropping-particle":"","parse-names":false,"suffix":""}],"container-title":"Ecosphere","id":"ITEM-1","issue":"January","issued":{"date-parts":[["2021"]]},"title":"Do Forest Fuel Reduction Treatments Confer Resistance to Beetle Infestation and Drought Mortality?","type":"article-journal","volume":"12"},"uris":["http://www.mendeley.com/documents/?uuid=27f300f3-6aa3-4e67-9ff2-302a5568e9e8"]},{"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USA","type":"article-journal","volume":"29"},"uris":["http://www.mendeley.com/documents/?uuid=fab20f86-8948-4d2c-85ba-9a0ff200ff1e"]}],"mendeley":{"formattedCitation":"(Restaino &lt;i&gt;et al.&lt;/i&gt;, 2019; Steel &lt;i&gt;et al.&lt;/i&gt;, 2021)","plainTextFormattedCitation":"(Restaino et al., 2019; Steel et al., 2021)","previouslyFormattedCitation":"(Restaino &lt;i&gt;et al.&lt;/i&gt;, 2019; Steel &lt;i&gt;et al.&lt;/i&gt;, 2021)"},"properties":{"noteIndex":0},"schema":"https://github.com/citation-style-language/schema/raw/master/csl-citation.json"}</w:instrText>
      </w:r>
      <w:r w:rsidR="0035131C">
        <w:fldChar w:fldCharType="separate"/>
      </w:r>
      <w:r w:rsidR="00021D10" w:rsidRPr="00021D10">
        <w:rPr>
          <w:noProof/>
        </w:rPr>
        <w:t xml:space="preserve">(Restaino </w:t>
      </w:r>
      <w:r w:rsidR="00021D10" w:rsidRPr="00021D10">
        <w:rPr>
          <w:i/>
          <w:noProof/>
        </w:rPr>
        <w:t>et al.</w:t>
      </w:r>
      <w:r w:rsidR="00021D10" w:rsidRPr="00021D10">
        <w:rPr>
          <w:noProof/>
        </w:rPr>
        <w:t xml:space="preserve">, 2019; Steel </w:t>
      </w:r>
      <w:r w:rsidR="00021D10" w:rsidRPr="00021D10">
        <w:rPr>
          <w:i/>
          <w:noProof/>
        </w:rPr>
        <w:t>et al.</w:t>
      </w:r>
      <w:r w:rsidR="00021D10" w:rsidRPr="00021D10">
        <w:rPr>
          <w:noProof/>
        </w:rPr>
        <w:t>, 2021)</w:t>
      </w:r>
      <w:r w:rsidR="0035131C">
        <w:fldChar w:fldCharType="end"/>
      </w:r>
      <w:r>
        <w:t xml:space="preserve"> </w:t>
      </w:r>
      <w:commentRangeEnd w:id="13"/>
      <w:r w:rsidR="007108F6">
        <w:rPr>
          <w:rStyle w:val="CommentReference"/>
        </w:rPr>
        <w:commentReference w:id="13"/>
      </w:r>
      <w:r>
        <w:t>to out</w:t>
      </w:r>
      <w:r w:rsidR="008C4383">
        <w:t xml:space="preserve"> </w:t>
      </w:r>
      <w:r>
        <w:t xml:space="preserve">planting seedlings with genetic resistance to WPBR </w:t>
      </w:r>
      <w:r w:rsidR="0097720B">
        <w:fldChar w:fldCharType="begin" w:fldLock="1"/>
      </w:r>
      <w:r w:rsidR="002C19B3">
        <w:instrText>ADDIN CSL_CITATION {"citationItems":[{"id":"ITEM-1","itemData":{"DOI":"10.1146/annurev-ecolsys-110512-135747","author":[{"dropping-particle":"","family":"Aitken","given":"Sally N","non-dropping-particle":"","parse-names":false,"suffix":""},{"dropping-particle":"","family":"Whitlock","given":"Michael C","non-dropping-particle":"","parse-names":false,"suffix":""}],"container-title":"Annual Review of Ecology, evolution, and Systematics","id":"ITEM-1","issued":{"date-parts":[["2013"]]},"page":"367-88","title":"Assisted Gene Flow to Facilitate Local Adaptation to Climate Change","type":"article-journal","volume":"44"},"uris":["http://www.mendeley.com/documents/?uuid=14f238d5-06eb-4428-9f86-0be8558a45fa"]},{"id":"ITEM-2","itemData":{"DOI":"10.1016/j.foreco.2018.09.007","ISBN":"9781594770913","ISSN":"03781127","abstract":"The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forests","type":"article-journal","volume":"432"},"uris":["http://www.mendeley.com/documents/?uuid=4ca71152-bbb4-4682-9438-f468bbf36faf"]}],"mendeley":{"formattedCitation":"(Aitken and Whitlock, 2013; North &lt;i&gt;et al.&lt;/i&gt;, 2019)","plainTextFormattedCitation":"(Aitken and Whitlock, 2013; North et al., 2019)","previouslyFormattedCitation":"(Aitken and Whitlock, 2013; North &lt;i&gt;et al.&lt;/i&gt;, 2019)"},"properties":{"noteIndex":0},"schema":"https://github.com/citation-style-language/schema/raw/master/csl-citation.json"}</w:instrText>
      </w:r>
      <w:r w:rsidR="0097720B">
        <w:fldChar w:fldCharType="separate"/>
      </w:r>
      <w:r w:rsidR="00EB4A84" w:rsidRPr="00EB4A84">
        <w:rPr>
          <w:noProof/>
        </w:rPr>
        <w:t xml:space="preserve">(Aitken and Whitlock, 2013; North </w:t>
      </w:r>
      <w:r w:rsidR="00EB4A84" w:rsidRPr="00EB4A84">
        <w:rPr>
          <w:i/>
          <w:noProof/>
        </w:rPr>
        <w:t>et al.</w:t>
      </w:r>
      <w:r w:rsidR="00EB4A84" w:rsidRPr="00EB4A84">
        <w:rPr>
          <w:noProof/>
        </w:rPr>
        <w:t>, 2019)</w:t>
      </w:r>
      <w:r w:rsidR="0097720B">
        <w:fldChar w:fldCharType="end"/>
      </w:r>
      <w:r>
        <w:t xml:space="preserve">. However, many of these options are expensive. </w:t>
      </w:r>
      <w:commentRangeStart w:id="14"/>
      <w:r>
        <w:t>In a context where natural resource management funding is constrained, it is important to understand the status and demographic outlook for sugar pine as a species</w:t>
      </w:r>
      <w:commentRangeEnd w:id="14"/>
      <w:r w:rsidR="002626E1">
        <w:rPr>
          <w:rStyle w:val="CommentReference"/>
        </w:rPr>
        <w:commentReference w:id="14"/>
      </w:r>
      <w:r>
        <w:t xml:space="preserve">. This study seeks to inform decisions about when and where to prioritize management actions to conserve sugar pine. To that end, </w:t>
      </w:r>
      <w:r w:rsidR="0097720B">
        <w:t>we</w:t>
      </w:r>
      <w:r>
        <w:t xml:space="preserve"> address t</w:t>
      </w:r>
      <w:r w:rsidR="00D312C0">
        <w:t>wo</w:t>
      </w:r>
      <w:r>
        <w:t xml:space="preserve"> questions:</w:t>
      </w:r>
    </w:p>
    <w:p w14:paraId="6176F413" w14:textId="6FB2CC4A" w:rsidR="00D312C0" w:rsidRDefault="00D312C0" w:rsidP="00E01957">
      <w:pPr>
        <w:numPr>
          <w:ilvl w:val="0"/>
          <w:numId w:val="1"/>
        </w:numPr>
        <w:spacing w:line="360" w:lineRule="auto"/>
      </w:pPr>
      <w:r>
        <w:t>What is the relative importance of the various stressors acting on sugar pine?</w:t>
      </w:r>
    </w:p>
    <w:p w14:paraId="39543004" w14:textId="5D074D66" w:rsidR="007553FB" w:rsidRDefault="007553FB" w:rsidP="007553FB">
      <w:pPr>
        <w:numPr>
          <w:ilvl w:val="0"/>
          <w:numId w:val="1"/>
        </w:numPr>
        <w:spacing w:line="360" w:lineRule="auto"/>
      </w:pPr>
      <w:r>
        <w:t xml:space="preserve">What </w:t>
      </w:r>
      <w:r>
        <w:t>are the current population dynamics across</w:t>
      </w:r>
      <w:r>
        <w:t xml:space="preserve"> the</w:t>
      </w:r>
      <w:r>
        <w:t xml:space="preserve"> range-wide</w:t>
      </w:r>
      <w:r>
        <w:t xml:space="preserve"> ensemble of sugar pine populations?</w:t>
      </w:r>
    </w:p>
    <w:p w14:paraId="0EE8B572" w14:textId="576D148D" w:rsidR="00D312C0" w:rsidRDefault="009B22BB" w:rsidP="00E01957">
      <w:pPr>
        <w:pStyle w:val="Heading1"/>
        <w:spacing w:line="360" w:lineRule="auto"/>
      </w:pPr>
      <w:r>
        <w:t>Methods</w:t>
      </w:r>
    </w:p>
    <w:p w14:paraId="0EBA3FF7" w14:textId="7F3D8189" w:rsidR="009B22BB" w:rsidRDefault="00EE5D6E" w:rsidP="00E01957">
      <w:pPr>
        <w:pStyle w:val="Heading2"/>
        <w:spacing w:line="360" w:lineRule="auto"/>
      </w:pPr>
      <w:r>
        <w:t>Study Area</w:t>
      </w:r>
    </w:p>
    <w:p w14:paraId="63A4B2DE" w14:textId="1ECE5FFC" w:rsidR="007847A0" w:rsidRDefault="00AC69CD" w:rsidP="00E358D9">
      <w:pPr>
        <w:spacing w:line="360" w:lineRule="auto"/>
        <w:ind w:firstLine="720"/>
      </w:pPr>
      <w:r>
        <w:t>The area of interest for this study is that part of the range of sugar pine which is within the contiguous United States</w:t>
      </w:r>
      <w:r w:rsidR="007847A0">
        <w:t xml:space="preserve"> </w:t>
      </w:r>
      <w:r w:rsidR="0097720B">
        <w:t>(</w:t>
      </w:r>
      <w:r w:rsidR="0097720B">
        <w:fldChar w:fldCharType="begin"/>
      </w:r>
      <w:r w:rsidR="0097720B">
        <w:instrText xml:space="preserve"> REF _Ref94877166 \h </w:instrText>
      </w:r>
      <w:r w:rsidR="0097720B">
        <w:fldChar w:fldCharType="separate"/>
      </w:r>
      <w:r w:rsidR="0097720B">
        <w:t xml:space="preserve">Figure </w:t>
      </w:r>
      <w:r w:rsidR="0097720B">
        <w:rPr>
          <w:noProof/>
        </w:rPr>
        <w:t>1</w:t>
      </w:r>
      <w:r w:rsidR="0097720B">
        <w:fldChar w:fldCharType="end"/>
      </w:r>
      <w:r w:rsidR="0097720B">
        <w:t>)</w:t>
      </w:r>
      <w:r>
        <w:t>, which is the vast majority of the species’ range</w:t>
      </w:r>
      <w:r w:rsidR="0097720B">
        <w:t xml:space="preserve"> (exclud</w:t>
      </w:r>
      <w:r w:rsidR="00A41A84">
        <w:t>ing only</w:t>
      </w:r>
      <w:r w:rsidR="0097720B">
        <w:t xml:space="preserve"> an isolated population in Baja California)</w:t>
      </w:r>
      <w:r>
        <w:t>.</w:t>
      </w:r>
      <w:r w:rsidR="007847A0">
        <w:t xml:space="preserve"> </w:t>
      </w:r>
      <w:r>
        <w:t xml:space="preserve"> </w:t>
      </w:r>
      <w:r w:rsidR="007847A0">
        <w:t xml:space="preserve">The range of sugar pine </w:t>
      </w:r>
      <w:r w:rsidR="00C125F1">
        <w:t xml:space="preserve">in the United States </w:t>
      </w:r>
      <w:r w:rsidR="007847A0">
        <w:t>extends</w:t>
      </w:r>
      <w:r w:rsidR="00C125F1">
        <w:t xml:space="preserve"> </w:t>
      </w:r>
      <w:r w:rsidR="005400AE">
        <w:t xml:space="preserve">from </w:t>
      </w:r>
      <w:r w:rsidR="0097720B">
        <w:t>33.7</w:t>
      </w:r>
      <w:r w:rsidR="00C125F1">
        <w:rPr>
          <w:rFonts w:cstheme="minorHAnsi"/>
        </w:rPr>
        <w:t>°N to 45.3°N</w:t>
      </w:r>
      <w:r w:rsidR="005400AE">
        <w:t xml:space="preserve"> throughout much of the Sierra Nevada and Klamath mountain</w:t>
      </w:r>
      <w:r w:rsidR="00FF38BC">
        <w:t>s, and parts of the Transverse</w:t>
      </w:r>
      <w:r w:rsidR="007108F6">
        <w:t>, Peninsular,</w:t>
      </w:r>
      <w:r w:rsidR="00FF38BC">
        <w:t xml:space="preserve"> and Southern Cascades ranges in the US states of California and Oregon. Sugar pine is widely distributed throughout this range as an important element of the mixed conifer forest belt at elevations ranging from </w:t>
      </w:r>
      <w:r w:rsidR="00AD7299">
        <w:t>1000 m</w:t>
      </w:r>
      <w:r w:rsidR="00FF38BC">
        <w:t xml:space="preserve"> to </w:t>
      </w:r>
      <w:r w:rsidR="00AD7299">
        <w:t xml:space="preserve">2700 m, depending on latitude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FF38BC">
        <w:t>. The climate throughout this range is Mediterranean, with</w:t>
      </w:r>
      <w:r w:rsidR="00323628">
        <w:t xml:space="preserve"> a </w:t>
      </w:r>
      <w:r w:rsidR="00AD7299">
        <w:t xml:space="preserve">cool-wet season and a warm-dry season </w:t>
      </w:r>
      <w:r w:rsidR="00AD7299">
        <w:fldChar w:fldCharType="begin" w:fldLock="1"/>
      </w:r>
      <w:r w:rsidR="002C19B3">
        <w:instrText>ADDIN CSL_CITATION {"citationItems":[{"id":"ITEM-1","itemData":{"author":[{"dropping-particle":"","family":"Safford","given":"Hugh D.","non-dropping-particle":"","parse-names":false,"suffix":""},{"dropping-particle":"","family":"Stevens","given":"Jens T.","non-dropping-particle":"","parse-names":false,"suffix":""}],"container-title":"Gen. Tech. Rep. PSW-GTR-2562","id":"ITEM-1","issue":"October","issued":{"date-parts":[["2017"]]},"page":"1-151","title":"Natural Range of Variation (NRV) for yellow pine and mixed conifer forests in the bioregional assessment area, including the Sierra Nevada, southern Cascades, and Modoc and Inyo National Forests","type":"article-journal"},"uris":["http://www.mendeley.com/documents/?uuid=865d47ce-7aba-4ed2-802c-803bb9610f75"]}],"mendeley":{"formattedCitation":"(Safford and Stevens, 2017)","plainTextFormattedCitation":"(Safford and Stevens, 2017)","previouslyFormattedCitation":"(Safford and Stevens, 2017)"},"properties":{"noteIndex":0},"schema":"https://github.com/citation-style-language/schema/raw/master/csl-citation.json"}</w:instrText>
      </w:r>
      <w:r w:rsidR="00AD7299">
        <w:fldChar w:fldCharType="separate"/>
      </w:r>
      <w:r w:rsidR="00EB4A84" w:rsidRPr="00EB4A84">
        <w:rPr>
          <w:noProof/>
        </w:rPr>
        <w:t>(Safford and Stevens, 2017)</w:t>
      </w:r>
      <w:r w:rsidR="00AD7299">
        <w:fldChar w:fldCharType="end"/>
      </w:r>
      <w:r w:rsidR="00323628">
        <w:t xml:space="preserve">. </w:t>
      </w:r>
    </w:p>
    <w:p w14:paraId="145C8BAB" w14:textId="7C8DAD7C" w:rsidR="00EE5D6E" w:rsidRDefault="00EE5D6E" w:rsidP="00E01957">
      <w:pPr>
        <w:pStyle w:val="Heading2"/>
        <w:spacing w:line="360" w:lineRule="auto"/>
      </w:pPr>
      <w:commentRangeStart w:id="15"/>
      <w:commentRangeStart w:id="16"/>
      <w:r>
        <w:t>Inventory</w:t>
      </w:r>
      <w:commentRangeEnd w:id="15"/>
      <w:r w:rsidR="000B15A1">
        <w:rPr>
          <w:rStyle w:val="CommentReference"/>
          <w:rFonts w:asciiTheme="minorHAnsi" w:eastAsiaTheme="minorHAnsi" w:hAnsiTheme="minorHAnsi" w:cstheme="minorBidi"/>
          <w:color w:val="auto"/>
        </w:rPr>
        <w:commentReference w:id="15"/>
      </w:r>
      <w:commentRangeEnd w:id="16"/>
      <w:r w:rsidR="000B15A1">
        <w:rPr>
          <w:rStyle w:val="CommentReference"/>
          <w:rFonts w:asciiTheme="minorHAnsi" w:eastAsiaTheme="minorHAnsi" w:hAnsiTheme="minorHAnsi" w:cstheme="minorBidi"/>
          <w:color w:val="auto"/>
        </w:rPr>
        <w:commentReference w:id="16"/>
      </w:r>
      <w:r>
        <w:t xml:space="preserve"> </w:t>
      </w:r>
      <w:commentRangeStart w:id="17"/>
      <w:commentRangeStart w:id="18"/>
      <w:r>
        <w:t>Data</w:t>
      </w:r>
      <w:commentRangeEnd w:id="17"/>
      <w:r w:rsidR="000B15A1">
        <w:rPr>
          <w:rStyle w:val="CommentReference"/>
          <w:rFonts w:asciiTheme="minorHAnsi" w:eastAsiaTheme="minorHAnsi" w:hAnsiTheme="minorHAnsi" w:cstheme="minorBidi"/>
          <w:color w:val="auto"/>
        </w:rPr>
        <w:commentReference w:id="17"/>
      </w:r>
      <w:commentRangeEnd w:id="18"/>
      <w:r w:rsidR="00BD15C5">
        <w:rPr>
          <w:rStyle w:val="CommentReference"/>
          <w:rFonts w:asciiTheme="minorHAnsi" w:eastAsiaTheme="minorHAnsi" w:hAnsiTheme="minorHAnsi" w:cstheme="minorBidi"/>
          <w:color w:val="auto"/>
        </w:rPr>
        <w:commentReference w:id="18"/>
      </w:r>
    </w:p>
    <w:p w14:paraId="537500C6" w14:textId="27114107" w:rsidR="00877029" w:rsidRDefault="00197ED8" w:rsidP="00361DD5">
      <w:pPr>
        <w:spacing w:line="360" w:lineRule="auto"/>
        <w:ind w:firstLine="720"/>
      </w:pPr>
      <w:r>
        <w:t>The</w:t>
      </w:r>
      <w:r w:rsidR="009E5157">
        <w:t xml:space="preserve"> Forest Inventory and Analysis</w:t>
      </w:r>
      <w:r>
        <w:t xml:space="preserve"> </w:t>
      </w:r>
      <w:r w:rsidR="009E5157">
        <w:t>(</w:t>
      </w:r>
      <w:commentRangeStart w:id="19"/>
      <w:r>
        <w:t>F</w:t>
      </w:r>
      <w:r w:rsidR="00D8211E">
        <w:t>IA</w:t>
      </w:r>
      <w:commentRangeEnd w:id="19"/>
      <w:r w:rsidR="009E5157">
        <w:rPr>
          <w:rStyle w:val="CommentReference"/>
        </w:rPr>
        <w:commentReference w:id="19"/>
      </w:r>
      <w:r w:rsidR="009E5157">
        <w:t>)</w:t>
      </w:r>
      <w:r>
        <w:t xml:space="preserve"> </w:t>
      </w:r>
      <w:commentRangeStart w:id="20"/>
      <w:r>
        <w:t>plots</w:t>
      </w:r>
      <w:commentRangeEnd w:id="20"/>
      <w:r w:rsidR="009E5157">
        <w:rPr>
          <w:rStyle w:val="CommentReference"/>
        </w:rPr>
        <w:commentReference w:id="20"/>
      </w:r>
      <w:r>
        <w:t xml:space="preserve"> are part of a US Forest Service-run nationwide inventory network operating in its current</w:t>
      </w:r>
      <w:r w:rsidR="00D8211E">
        <w:t xml:space="preserve"> </w:t>
      </w:r>
      <w:r>
        <w:t xml:space="preserve">form since 2001 </w:t>
      </w:r>
      <w:r w:rsidR="006E0CA4">
        <w:fldChar w:fldCharType="begin" w:fldLock="1"/>
      </w:r>
      <w:r w:rsidR="002C19B3">
        <w:instrText>ADDIN CSL_CITATION {"citationItems":[{"id":"ITEM-1","itemData":{"abstract":"The Forest Inventory and Analysis (FIA) Program of the U.S. Department of Agriculture Forest Service is in the process of moving from a system of quasiindependent, regional, periodic inventories to an enhanced program featuring greater national consistency, annual measurement of a proportion of plots in each State, new reporting requirements, and integration with the ground sampling component of the Forest Health Monitoring Program. This documentation presents an overview of the conceptual changes, explains the three phases of FIA's sampling design, describes the sampling frame and plot configuration, presents the estimators that form the basis of FIA's National Information Management System (NIMS), and shows how annual data are combined for analysis. It also references a number of Web-based supplementary documents that provide greater detail about some of the more obscure aspects of the sampling and estimation system, as well as examples of calculations for most of the common estimators produced by FIA.","author":[{"dropping-particle":"","family":"Bechtold","given":"William A","non-dropping-particle":"","parse-names":false,"suffix":""},{"dropping-particle":"","family":"Patterson","given":"Paul L","non-dropping-particle":"","parse-names":false,"suffix":""}],"container-title":"USDA General Technical Report","id":"ITEM-1","issued":{"date-parts":[["2005"]]},"page":"85","title":"The Enhanced Forest Inventory and Analysis Program — National Sampling Design and Estimation Procedures","type":"article-journal","volume":"SRS-80"},"uris":["http://www.mendeley.com/documents/?uuid=416b6508-82c4-4780-bbc6-e971eafd5bf6"]}],"mendeley":{"formattedCitation":"(Bechtold and Patterson, 2005)","plainTextFormattedCitation":"(Bechtold and Patterson, 2005)","previouslyFormattedCitation":"(Bechtold and Patterson, 2005)"},"properties":{"noteIndex":0},"schema":"https://github.com/citation-style-language/schema/raw/master/csl-citation.json"}</w:instrText>
      </w:r>
      <w:r w:rsidR="006E0CA4">
        <w:fldChar w:fldCharType="separate"/>
      </w:r>
      <w:r w:rsidR="00EB4A84" w:rsidRPr="00EB4A84">
        <w:rPr>
          <w:noProof/>
        </w:rPr>
        <w:t>(Bechtold and Patterson, 2005)</w:t>
      </w:r>
      <w:r w:rsidR="006E0CA4">
        <w:fldChar w:fldCharType="end"/>
      </w:r>
      <w:r>
        <w:t xml:space="preserve">. Here, </w:t>
      </w:r>
      <w:r w:rsidR="006E0CA4">
        <w:t>we</w:t>
      </w:r>
      <w:r w:rsidR="00D96875">
        <w:t xml:space="preserve"> use </w:t>
      </w:r>
      <w:r w:rsidR="001D0752">
        <w:t>1,</w:t>
      </w:r>
      <w:r w:rsidR="004769F7">
        <w:t>102</w:t>
      </w:r>
      <w:r w:rsidR="001D0752">
        <w:t xml:space="preserve"> </w:t>
      </w:r>
      <w:r w:rsidR="00D96875">
        <w:t>FIA plots</w:t>
      </w:r>
      <w:r>
        <w:t xml:space="preserve"> from California</w:t>
      </w:r>
      <w:r w:rsidR="009B5B45">
        <w:t xml:space="preserve"> and Oregon</w:t>
      </w:r>
      <w:r>
        <w:t xml:space="preserve"> </w:t>
      </w:r>
      <w:r w:rsidR="009E5157">
        <w:t xml:space="preserve">where </w:t>
      </w:r>
      <w:r w:rsidR="004769F7">
        <w:t>live sugar pine was present at initial measurement from 2001-2010</w:t>
      </w:r>
      <w:r w:rsidR="001D0752">
        <w:t xml:space="preserve"> (</w:t>
      </w:r>
      <w:r w:rsidR="004769F7">
        <w:t>we used</w:t>
      </w:r>
      <w:r w:rsidR="001D0752">
        <w:t xml:space="preserve"> version number 1.8.0.03</w:t>
      </w:r>
      <w:r w:rsidR="004769F7">
        <w:t xml:space="preserve"> of the FIA database</w:t>
      </w:r>
      <w:r w:rsidR="001D0752">
        <w:t>)</w:t>
      </w:r>
      <w:r>
        <w:t xml:space="preserve">. </w:t>
      </w:r>
      <w:commentRangeStart w:id="21"/>
      <w:r>
        <w:t xml:space="preserve">The geographic coordinates listed for the FIA plots are not exact; </w:t>
      </w:r>
      <w:r w:rsidR="00361DD5">
        <w:t>to</w:t>
      </w:r>
      <w:r>
        <w:t xml:space="preserve"> preserve plot </w:t>
      </w:r>
      <w:r w:rsidR="00361DD5">
        <w:t>integrity,</w:t>
      </w:r>
      <w:r>
        <w:t xml:space="preserve"> the plot coordinates are randomly perturbed, and some plot locations</w:t>
      </w:r>
      <w:r w:rsidR="00D8211E">
        <w:t xml:space="preserve"> </w:t>
      </w:r>
      <w:r>
        <w:t>are swapped. Most perturbations are to a random location within 0.8</w:t>
      </w:r>
      <w:r w:rsidR="006E0CA4">
        <w:t xml:space="preserve"> </w:t>
      </w:r>
      <w:r>
        <w:t>km of the true location, and all</w:t>
      </w:r>
      <w:r w:rsidR="00D8211E">
        <w:t xml:space="preserve"> </w:t>
      </w:r>
      <w:r>
        <w:t>perturbations are to within 1.6 km of the actual location. Between 0 and 10 percent of plot locations are</w:t>
      </w:r>
      <w:r w:rsidR="00D8211E">
        <w:t xml:space="preserve"> </w:t>
      </w:r>
      <w:r>
        <w:t>swapped with a similar plot in the same county</w:t>
      </w:r>
      <w:commentRangeEnd w:id="21"/>
      <w:r w:rsidR="001854A2">
        <w:rPr>
          <w:rStyle w:val="CommentReference"/>
        </w:rPr>
        <w:commentReference w:id="21"/>
      </w:r>
      <w:r w:rsidR="00D8211E">
        <w:t xml:space="preserve">. </w:t>
      </w:r>
      <w:r>
        <w:t xml:space="preserve">FIA plots are placed </w:t>
      </w:r>
      <w:r>
        <w:lastRenderedPageBreak/>
        <w:t>on a hexagonal grid</w:t>
      </w:r>
      <w:r w:rsidR="00D8211E">
        <w:t xml:space="preserve"> </w:t>
      </w:r>
      <w:r>
        <w:t xml:space="preserve">with a density of approximately 1 plot per 2429 ha. Each plot is revisited </w:t>
      </w:r>
      <w:r w:rsidR="00BD15C5">
        <w:t>approximately once every 10 years</w:t>
      </w:r>
      <w:r w:rsidR="000451DF">
        <w:t>, which we treat as the census interval for the purpose of calculating vital rates and constructing an IPM</w:t>
      </w:r>
      <w:r w:rsidR="00BD15C5">
        <w:t xml:space="preserve">. Of the </w:t>
      </w:r>
      <w:r w:rsidR="000451DF">
        <w:t>1,</w:t>
      </w:r>
      <w:r w:rsidR="00E9506F">
        <w:t>102</w:t>
      </w:r>
      <w:r w:rsidR="000451DF">
        <w:t xml:space="preserve"> plots used for this study, 90% had an inventory interval from 9.</w:t>
      </w:r>
      <w:r w:rsidR="00E9506F">
        <w:t>6</w:t>
      </w:r>
      <w:r w:rsidR="000451DF">
        <w:t xml:space="preserve"> to 10.</w:t>
      </w:r>
      <w:r w:rsidR="00E9506F">
        <w:t>3</w:t>
      </w:r>
      <w:r w:rsidR="000451DF">
        <w:t xml:space="preserve"> years, with a mean interval of 10.0 years, a minimum interval of 7.9 years, and a maximum interval of 12.3 years</w:t>
      </w:r>
      <w:r>
        <w:t xml:space="preserve">. </w:t>
      </w:r>
      <w:r w:rsidR="00374BD9">
        <w:t>Each included plot was remeasured one time in this study, so we have one census interval per plot</w:t>
      </w:r>
      <w:r w:rsidR="00996B72">
        <w:t>, with the initial censuses taking place from 2001-2009 and the remeasurements from 2011-2019</w:t>
      </w:r>
      <w:r w:rsidR="00374BD9">
        <w:t xml:space="preserve">. </w:t>
      </w:r>
      <w:r>
        <w:t>On each</w:t>
      </w:r>
      <w:r w:rsidR="00D8211E">
        <w:t xml:space="preserve"> </w:t>
      </w:r>
      <w:r>
        <w:t xml:space="preserve">FIA plot, trees &gt;= 12.7 cm </w:t>
      </w:r>
      <w:r w:rsidR="00D8211E">
        <w:t>diameter at breast height (1.37</w:t>
      </w:r>
      <w:r w:rsidR="00E638E5">
        <w:t xml:space="preserve"> </w:t>
      </w:r>
      <w:r w:rsidR="00D8211E">
        <w:t xml:space="preserve">m, </w:t>
      </w:r>
      <w:r>
        <w:t>DBH</w:t>
      </w:r>
      <w:r w:rsidR="00D8211E">
        <w:t>)</w:t>
      </w:r>
      <w:r>
        <w:t xml:space="preserve"> are inventoried on four 168</w:t>
      </w:r>
      <w:r w:rsidR="00E638E5">
        <w:t xml:space="preserve"> </w:t>
      </w:r>
      <w:r>
        <w:t>m</w:t>
      </w:r>
      <w:r w:rsidR="006E0CA4">
        <w:rPr>
          <w:vertAlign w:val="superscript"/>
        </w:rPr>
        <w:t>2</w:t>
      </w:r>
      <w:r>
        <w:t xml:space="preserve"> permanent subplots. Small trees from 2.54-12.7</w:t>
      </w:r>
      <w:r w:rsidR="00E638E5">
        <w:t xml:space="preserve"> </w:t>
      </w:r>
      <w:r>
        <w:t xml:space="preserve">cm DBH are </w:t>
      </w:r>
      <w:r w:rsidR="00D8211E">
        <w:t>inventoried</w:t>
      </w:r>
      <w:r>
        <w:t xml:space="preserve"> on </w:t>
      </w:r>
      <w:r w:rsidR="001D0752">
        <w:t>four</w:t>
      </w:r>
      <w:r>
        <w:t xml:space="preserve"> 13.5</w:t>
      </w:r>
      <w:r w:rsidR="00E638E5">
        <w:t xml:space="preserve"> </w:t>
      </w:r>
      <w:r>
        <w:t>m</w:t>
      </w:r>
      <w:r w:rsidR="006E0CA4">
        <w:rPr>
          <w:vertAlign w:val="superscript"/>
        </w:rPr>
        <w:t>2</w:t>
      </w:r>
      <w:r>
        <w:t xml:space="preserve"> microplot</w:t>
      </w:r>
      <w:r w:rsidR="001D0752">
        <w:t>s</w:t>
      </w:r>
      <w:r>
        <w:t>, and large trees</w:t>
      </w:r>
      <w:r w:rsidR="001D0752">
        <w:t xml:space="preserve"> (&gt;= 70.0 cm or &gt;= </w:t>
      </w:r>
      <w:r w:rsidR="003735F2">
        <w:t>91.4 cm DBH, depending on the plot)</w:t>
      </w:r>
      <w:r>
        <w:t xml:space="preserve"> on </w:t>
      </w:r>
      <w:r w:rsidR="001D0752">
        <w:t>four</w:t>
      </w:r>
      <w:r>
        <w:t xml:space="preserve"> 1012</w:t>
      </w:r>
      <w:r w:rsidR="00E638E5">
        <w:t xml:space="preserve"> </w:t>
      </w:r>
      <w:r>
        <w:t>m</w:t>
      </w:r>
      <w:r w:rsidR="006E0CA4">
        <w:rPr>
          <w:vertAlign w:val="superscript"/>
        </w:rPr>
        <w:t>2</w:t>
      </w:r>
      <w:r>
        <w:t xml:space="preserve"> macroplot</w:t>
      </w:r>
      <w:r w:rsidR="003735F2">
        <w:t>s</w:t>
      </w:r>
      <w:r>
        <w:t>.</w:t>
      </w:r>
      <w:r w:rsidR="00E638E5">
        <w:t xml:space="preserve"> Data inventoried for each individual stem include the species, live/dead status, DBH, and a “damage agent” code indicating whether some agent (e.g. white pine blister rust) is visibly affecting the individual’s health.</w:t>
      </w:r>
      <w:r>
        <w:t xml:space="preserve"> </w:t>
      </w:r>
      <w:r w:rsidR="009F5DED">
        <w:t xml:space="preserve">Trees which are individually inventoried (all stems </w:t>
      </w:r>
      <w:r w:rsidR="006E0CA4">
        <w:rPr>
          <w:rFonts w:cstheme="minorHAnsi"/>
        </w:rPr>
        <w:t>≥</w:t>
      </w:r>
      <w:r w:rsidR="009F5DED">
        <w:t xml:space="preserve"> 2.54 cm DBH) are physically tagged to facilitate relocation of specific individuals at remeasurement. </w:t>
      </w:r>
      <w:r w:rsidR="000451DF">
        <w:t xml:space="preserve">The </w:t>
      </w:r>
      <w:r w:rsidR="00070BD5">
        <w:t>survival or death of 3,</w:t>
      </w:r>
      <w:r w:rsidR="00CC6F71">
        <w:t>530</w:t>
      </w:r>
      <w:r w:rsidR="00070BD5">
        <w:t xml:space="preserve"> sugar pine individuals was tracked to estimate the parameters of the survival function, and growth of the </w:t>
      </w:r>
      <w:r w:rsidR="00CC6F71">
        <w:t>2,821</w:t>
      </w:r>
      <w:r w:rsidR="00070BD5">
        <w:t xml:space="preserve"> surviving individuals was used to estimate the parameters of the growth function.</w:t>
      </w:r>
      <w:r w:rsidR="00CC6F71">
        <w:t xml:space="preserve"> </w:t>
      </w:r>
      <w:r w:rsidR="00B31E6F">
        <w:t>We included harvested trees as mortalities in the survival data for two reasons. First, our goal is to understand the actual population dynamics of sugar pine across its range, inclusive of mortality caused by harvests. Second, the prevalence of salvage harvests on some</w:t>
      </w:r>
      <w:r w:rsidR="008E28B3">
        <w:t xml:space="preserve"> land ownerships across the range of sugar pine make it likely that some mortalities caused by fire, drought, or disease were later harvested. </w:t>
      </w:r>
      <w:r w:rsidR="00B31E6F">
        <w:t xml:space="preserve"> </w:t>
      </w:r>
    </w:p>
    <w:p w14:paraId="45A3136F" w14:textId="4343EC2E" w:rsidR="004F3A49" w:rsidRDefault="00D8211E" w:rsidP="00361DD5">
      <w:pPr>
        <w:spacing w:line="360" w:lineRule="auto"/>
        <w:ind w:firstLine="720"/>
      </w:pPr>
      <w:r>
        <w:t xml:space="preserve">The smallest stems surveyed (height </w:t>
      </w:r>
      <w:r w:rsidR="006E0CA4">
        <w:rPr>
          <w:rFonts w:cstheme="minorHAnsi"/>
        </w:rPr>
        <w:t>≥</w:t>
      </w:r>
      <w:r>
        <w:t xml:space="preserve"> 0.15</w:t>
      </w:r>
      <w:r w:rsidR="00E638E5">
        <w:t xml:space="preserve"> </w:t>
      </w:r>
      <w:r>
        <w:t>m and DBH</w:t>
      </w:r>
      <w:r w:rsidR="00E638E5">
        <w:t xml:space="preserve"> &lt; 2.54 cm) are not inventoried as individuals but tallied by species</w:t>
      </w:r>
      <w:r w:rsidR="009F5DED">
        <w:t xml:space="preserve"> and remain untagged</w:t>
      </w:r>
      <w:r w:rsidR="00E638E5">
        <w:t xml:space="preserve">. </w:t>
      </w:r>
      <w:r w:rsidR="006E0CA4">
        <w:t>Thus, the individuals which are untagged at the time of the second census are</w:t>
      </w:r>
      <w:r w:rsidR="009F5DED">
        <w:t xml:space="preserve"> </w:t>
      </w:r>
      <w:commentRangeStart w:id="22"/>
      <w:r w:rsidR="009F5DED">
        <w:t xml:space="preserve">either new recruits </w:t>
      </w:r>
      <w:r w:rsidR="0044137D">
        <w:t xml:space="preserve">(i.e., they were not present at the initial measurement) </w:t>
      </w:r>
      <w:r w:rsidR="009F5DED">
        <w:t>or were not tagged due to small size at initial measurement</w:t>
      </w:r>
      <w:r w:rsidR="0044137D">
        <w:t xml:space="preserve"> (i.e., they were present at the initial measurement)</w:t>
      </w:r>
      <w:r w:rsidR="009F5DED">
        <w:t xml:space="preserve">. </w:t>
      </w:r>
      <w:commentRangeEnd w:id="22"/>
      <w:r w:rsidR="001854A2">
        <w:rPr>
          <w:rStyle w:val="CommentReference"/>
        </w:rPr>
        <w:commentReference w:id="22"/>
      </w:r>
      <w:r w:rsidR="00CC6F71">
        <w:t xml:space="preserve"> </w:t>
      </w:r>
      <w:r w:rsidR="00A12463">
        <w:t>An embedded integral projection model, described below, allowed us to use t</w:t>
      </w:r>
      <w:r w:rsidR="00070BD5">
        <w:t xml:space="preserve">he counts of untagged individuals </w:t>
      </w:r>
      <w:r w:rsidR="0044137D">
        <w:t xml:space="preserve">&lt; 2.54 cm DBH </w:t>
      </w:r>
      <w:r w:rsidR="00070BD5">
        <w:t xml:space="preserve">on </w:t>
      </w:r>
      <w:r w:rsidR="00CC6F71">
        <w:t xml:space="preserve">each </w:t>
      </w:r>
      <w:r w:rsidR="00E81A5D">
        <w:t xml:space="preserve">plot </w:t>
      </w:r>
      <w:r w:rsidR="00A12463">
        <w:t>to</w:t>
      </w:r>
      <w:r w:rsidR="00E81A5D">
        <w:t xml:space="preserve"> estimate the parameters of the fecundity function</w:t>
      </w:r>
      <w:r w:rsidR="00A12463">
        <w:t xml:space="preserve"> despite fecundity being only indirectly observed through these counts</w:t>
      </w:r>
      <w:r w:rsidR="00E81A5D">
        <w:t>.</w:t>
      </w:r>
      <w:r w:rsidR="00877029">
        <w:t xml:space="preserve"> Only 379 plots were used to estimate the fecundity parameters, because the sampling protocol for tallying</w:t>
      </w:r>
      <w:r w:rsidR="00AD7841">
        <w:t xml:space="preserve"> seedlings</w:t>
      </w:r>
      <w:r w:rsidR="00877029">
        <w:t xml:space="preserve"> </w:t>
      </w:r>
      <w:r w:rsidR="00AD7841">
        <w:t>(</w:t>
      </w:r>
      <w:r w:rsidR="00877029">
        <w:t>individuals &lt; 2.54 cm DBH</w:t>
      </w:r>
      <w:r w:rsidR="00AD7841">
        <w:t>)</w:t>
      </w:r>
      <w:r w:rsidR="00877029">
        <w:t xml:space="preserve"> has changed over time, and we restricted analysis to plots where both initial and remeasurement observations use the latest protocol</w:t>
      </w:r>
      <w:r w:rsidR="00A12463">
        <w:t xml:space="preserve"> (FIA manual version &gt;= 2.0).</w:t>
      </w:r>
    </w:p>
    <w:p w14:paraId="7C6AB7C0" w14:textId="22078E48" w:rsidR="00E638E5" w:rsidRDefault="00E638E5" w:rsidP="00361DD5">
      <w:pPr>
        <w:spacing w:line="360" w:lineRule="auto"/>
        <w:ind w:firstLine="720"/>
      </w:pPr>
      <w:r>
        <w:lastRenderedPageBreak/>
        <w:t>In a</w:t>
      </w:r>
      <w:r w:rsidR="00361DD5">
        <w:t>ddition to the tree-level data collected, the FIA program also records information about forest conditions, including the presence of significant disturbances (e.g., fire)</w:t>
      </w:r>
      <w:r w:rsidR="00877029">
        <w:t>,</w:t>
      </w:r>
      <w:r w:rsidR="00361DD5">
        <w:t xml:space="preserve"> the ecological subsection the plot is located within</w:t>
      </w:r>
      <w:r w:rsidR="004F3A49">
        <w:t>, and the nominal GPS coordinates of the plot center.</w:t>
      </w:r>
    </w:p>
    <w:p w14:paraId="6D2A800F" w14:textId="7291FBC8" w:rsidR="004F3A49" w:rsidRDefault="004F3A49" w:rsidP="004F3A49">
      <w:pPr>
        <w:pStyle w:val="Heading2"/>
      </w:pPr>
      <w:r>
        <w:t>Climate Data</w:t>
      </w:r>
    </w:p>
    <w:p w14:paraId="3D48E8C0" w14:textId="009F1DBC" w:rsidR="00E638E5" w:rsidRDefault="004F3A49" w:rsidP="00304447">
      <w:pPr>
        <w:spacing w:line="360" w:lineRule="auto"/>
      </w:pPr>
      <w:r>
        <w:tab/>
        <w:t xml:space="preserve">To </w:t>
      </w:r>
      <w:r w:rsidR="002739B1">
        <w:t xml:space="preserve">assess the level of drought sugar pine individuals were exposed to, </w:t>
      </w:r>
      <w:r w:rsidR="00B064C4">
        <w:t>we</w:t>
      </w:r>
      <w:r w:rsidR="009509EA">
        <w:t xml:space="preserve"> extracted monthly </w:t>
      </w:r>
      <w:commentRangeStart w:id="23"/>
      <w:r w:rsidR="009509EA">
        <w:t>climatic water deficit (CWD</w:t>
      </w:r>
      <w:commentRangeEnd w:id="23"/>
      <w:r w:rsidR="002626E1">
        <w:rPr>
          <w:rStyle w:val="CommentReference"/>
        </w:rPr>
        <w:commentReference w:id="23"/>
      </w:r>
      <w:r w:rsidR="009509EA">
        <w:t>) estimates for each nominal plot location from the TerraClimate dataset</w:t>
      </w:r>
      <w:r w:rsidR="00B064C4">
        <w:t xml:space="preserve"> </w:t>
      </w:r>
      <w:r w:rsidR="00B064C4">
        <w:fldChar w:fldCharType="begin" w:fldLock="1"/>
      </w:r>
      <w:r w:rsidR="002C19B3">
        <w:instrText xml:space="preserve">ADDIN CSL_CITATION {"citationItems":[{"id":"ITEM-1","itemData":{"DOI":"10.1038/sdata.2017.191","ISSN":"20524463","PMID":"29313841","abstract":"We present TerraClimate, a dataset of high-spatial resolution (1/24°, </w:instrText>
      </w:r>
      <w:r w:rsidR="002C19B3">
        <w:rPr>
          <w:rFonts w:ascii="Cambria Math" w:hAnsi="Cambria Math" w:cs="Cambria Math"/>
        </w:rPr>
        <w:instrText>∼</w:instrText>
      </w:r>
      <w:r w:rsidR="002C19B3">
        <w:instrText>4-km) monthly climate and climatic water balance for global terrestrial surfaces from 1958-2015. TerraClimate uses climatically aided interpolation, combining high-spatial resolution climatological normals from the WorldClim dataset, with coarser resolution time varying (i.e., monthly) data from other sources to produce a monthly dataset of precipitation, maximum and minimum temperature, wind speed, vapor pressure, and solar radiation. TerraClimate additionally produces monthly surface water balance datasets using a water balance model that incorporates reference evapotranspiration, precipitation, temperature, and interpolated plant extractable soil water capacity. These data provide important inputs for ecological and hydrological studies at global scales that require high spatial resolution and time varying climate and climatic water balance data. We validated spatiotemporal aspects of TerraClimate using annual temperature, precipitation, and calculated reference evapotranspiration from station data, as well as annual runoff from streamflow gauges. TerraClimate datasets showed noted improvement in overall mean absolute error and increased spatial realism relative to coarser resolution gridded datasets.","author":[{"dropping-particle":"","family":"Abatzoglou","given":"John T.","non-dropping-particle":"","parse-names":false,"suffix":""},{"dropping-particle":"","family":"Dobrowski","given":"Solomon Z.","non-dropping-particle":"","parse-names":false,"suffix":""},{"dropping-particle":"","family":"Parks","given":"Sean A.","non-dropping-particle":"","parse-names":false,"suffix":""},{"dropping-particle":"","family":"Hegewisch","given":"Katherine C.","non-dropping-particle":"","parse-names":false,"suffix":""}],"container-title":"Scientific Data","id":"ITEM-1","issued":{"date-parts":[["2018"]]},"page":"1-12","title":"TerraClimate, a high-resolution global dataset of monthly climate and climatic water balance from 1958-2015","type":"article-journal","volume":"5"},"uris":["http://www.mendeley.com/documents/?uuid=d0abf9a4-3770-4f16-9007-bf83109deb79"]}],"mendeley":{"formattedCitation":"(Abatzoglou &lt;i&gt;et al.&lt;/i&gt;, 2018)","plainTextFormattedCitation":"(Abatzoglou et al., 2018)","previouslyFormattedCitation":"(Abatzoglou &lt;i&gt;et al.&lt;/i&gt;, 2018)"},"properties":{"noteIndex":0},"schema":"https://github.com/citation-style-language/schema/raw/master/csl-citation.json"}</w:instrText>
      </w:r>
      <w:r w:rsidR="00B064C4">
        <w:fldChar w:fldCharType="separate"/>
      </w:r>
      <w:r w:rsidR="00EB4A84" w:rsidRPr="00EB4A84">
        <w:rPr>
          <w:noProof/>
        </w:rPr>
        <w:t xml:space="preserve">(Abatzoglou </w:t>
      </w:r>
      <w:r w:rsidR="00EB4A84" w:rsidRPr="00EB4A84">
        <w:rPr>
          <w:i/>
          <w:noProof/>
        </w:rPr>
        <w:t>et al.</w:t>
      </w:r>
      <w:r w:rsidR="00EB4A84" w:rsidRPr="00EB4A84">
        <w:rPr>
          <w:noProof/>
        </w:rPr>
        <w:t>, 2018)</w:t>
      </w:r>
      <w:r w:rsidR="00B064C4">
        <w:fldChar w:fldCharType="end"/>
      </w:r>
      <w:r w:rsidR="009509EA">
        <w:t xml:space="preserve">. </w:t>
      </w:r>
      <w:r w:rsidR="00D2760D">
        <w:t xml:space="preserve">CWD is a measure of evaporative demand not met by available water </w:t>
      </w:r>
      <w:r w:rsidR="00D2760D">
        <w:fldChar w:fldCharType="begin" w:fldLock="1"/>
      </w:r>
      <w:r w:rsidR="00A37AF9">
        <w:instrText>ADDIN CSL_CITATION {"citationItems":[{"id":"ITEM-1","itemData":{"DOI":"10.1046/j.1365-2699.1998.00233.x","ISSN":"03050270","abstract":"Correlative approaches to understanding the climatic controls of vegetation distribution have exhibited at least two important weaknesses: they have been conceptually divorced across spatial scales, and their climatic parameters have not necessarily represented aspects of climate of broad physiological importance to plants. Using examples from the literature and from the Sierra Nevada of California, I argue that two water balance parameters-actual evapotranspiration (AET) and deficit (D)-are biologically meaningful, are well correlated with the distribution of vegetation types, and exhibit these qualities over several orders of magnitude of spatial scale (continental to local). I reach four additional conclusions. (1) Some pairs of climatic parameters presently in use are functionally similar to AET and D; however, AET and D may be easier to interpret biologically. (2) Several well-known climatic parameters are biologically less meaningful or less important than AET and D, and consequently are poorer correlates of the distribution of vegetation types. Of particular interest, AET is a much better correlate of the distributions of coniferous and deciduous forests than minimum temperature. (3) The effects of evaporative demand and water availability on a site's water balance are intrinsically different. For example, the 'dry' experienced by plants on sunward slopes (high evaporative demand) is not comparable to the 'dry' experienced by plants on soils with low water-holding capacities (low water availability), and these differences are reflected in vegetation patterns. (4) Many traditional topographic moisture scalars-those that additively combine measures related to evaporative demand and water availability are not necessarily meaningful for describing site conditions as sensed by plants; the same holds for measured soil moisture. However, using AET and D in place of moisture scalars and measured soil moisture can solve these problems.","author":[{"dropping-particle":"","family":"Stephenson","given":"Nathan L.","non-dropping-particle":"","parse-names":false,"suffix":""}],"container-title":"Journal of Biogeography","id":"ITEM-1","issue":"5","issued":{"date-parts":[["1998"]]},"page":"855-870","title":"Actual evapotranspiration and deficit: Biologically meaningful correlates of vegetation distribution across spatial scales","type":"article-journal","volume":"25"},"uris":["http://www.mendeley.com/documents/?uuid=70ad6197-a8e8-4d4e-9c09-4bdc1536d577"]}],"mendeley":{"formattedCitation":"(Stephenson, 1998)","plainTextFormattedCitation":"(Stephenson, 1998)","previouslyFormattedCitation":"(Stephenson, 1998)"},"properties":{"noteIndex":0},"schema":"https://github.com/citation-style-language/schema/raw/master/csl-citation.json"}</w:instrText>
      </w:r>
      <w:r w:rsidR="00D2760D">
        <w:fldChar w:fldCharType="separate"/>
      </w:r>
      <w:r w:rsidR="00D2760D" w:rsidRPr="00D2760D">
        <w:rPr>
          <w:noProof/>
        </w:rPr>
        <w:t>(Stephenson, 1998)</w:t>
      </w:r>
      <w:r w:rsidR="00D2760D">
        <w:fldChar w:fldCharType="end"/>
      </w:r>
      <w:r w:rsidR="00D2760D">
        <w:t xml:space="preserve">. </w:t>
      </w:r>
      <w:r w:rsidR="009509EA">
        <w:t xml:space="preserve">The TerraClimate dataset provides modeled estimates of CWD at approximately 4km resolution for years 1958-2020. </w:t>
      </w:r>
      <w:r w:rsidR="003C1D45">
        <w:t xml:space="preserve">The 4 km resolution approximately matches the degree of fuzzing associated with the nominal FIA plot locations, so that fuzzing is unlikely to add substantial error in the estimation of CWD experienced at the true plot location. </w:t>
      </w:r>
      <w:r w:rsidR="009509EA">
        <w:t>Mean growing season (May-October) CWD estimates for each year between a plot’s initial measurement and its revisit provide a proxy for the droug</w:t>
      </w:r>
      <w:r w:rsidR="001A4E05">
        <w:t>ht</w:t>
      </w:r>
      <w:r w:rsidR="009509EA">
        <w:t xml:space="preserve"> stress experienced by individuals</w:t>
      </w:r>
      <w:r w:rsidR="003C1D45">
        <w:t xml:space="preserve"> between the two censuses. The annual mean growing season CWD estimates were summarized in two ways</w:t>
      </w:r>
      <w:commentRangeStart w:id="24"/>
      <w:r w:rsidR="003C1D45">
        <w:t xml:space="preserve">: First, the </w:t>
      </w:r>
      <w:r w:rsidR="00092713">
        <w:t>2</w:t>
      </w:r>
      <w:r w:rsidR="003C1D45">
        <w:t xml:space="preserve">0-year mean of the annual CWD estimates provides a measure of the usual </w:t>
      </w:r>
      <w:r w:rsidR="00092713">
        <w:t>climatic dryness characteristic of each site</w:t>
      </w:r>
      <w:r w:rsidR="003C1D45">
        <w:t>, enabling the comparison of typically-wetter vs. typically-drier locations across space. Second, the 90</w:t>
      </w:r>
      <w:r w:rsidR="003C1D45" w:rsidRPr="003C1D45">
        <w:rPr>
          <w:vertAlign w:val="superscript"/>
        </w:rPr>
        <w:t>th</w:t>
      </w:r>
      <w:r w:rsidR="003C1D45">
        <w:t xml:space="preserve"> percentile of the annual departures from the </w:t>
      </w:r>
      <w:r w:rsidR="00092713">
        <w:t xml:space="preserve">site-specific </w:t>
      </w:r>
      <w:r w:rsidR="003C1D45">
        <w:t xml:space="preserve">mean CWD provide a measure of the most severe drought (departure from usual climatic conditions) </w:t>
      </w:r>
      <w:r w:rsidR="00304447">
        <w:t>experienced by each plot location</w:t>
      </w:r>
      <w:r w:rsidR="00092713">
        <w:t xml:space="preserve"> between the initial </w:t>
      </w:r>
      <w:r w:rsidR="009567E4">
        <w:t>observation and the remeasurement</w:t>
      </w:r>
      <w:r w:rsidR="00304447">
        <w:t xml:space="preserve">. </w:t>
      </w:r>
      <w:commentRangeEnd w:id="24"/>
      <w:r w:rsidR="00565CA7">
        <w:rPr>
          <w:rStyle w:val="CommentReference"/>
        </w:rPr>
        <w:commentReference w:id="24"/>
      </w:r>
    </w:p>
    <w:p w14:paraId="679C1310" w14:textId="670E94E5" w:rsidR="00EE5D6E" w:rsidRDefault="00EE5D6E" w:rsidP="00E01957">
      <w:pPr>
        <w:pStyle w:val="Heading2"/>
        <w:spacing w:line="360" w:lineRule="auto"/>
      </w:pPr>
      <w:r>
        <w:t>Vital Rate</w:t>
      </w:r>
      <w:r w:rsidR="00272B03">
        <w:t>s</w:t>
      </w:r>
      <w:r>
        <w:t xml:space="preserve"> </w:t>
      </w:r>
      <w:commentRangeStart w:id="25"/>
      <w:r w:rsidR="00272B03">
        <w:t>Model</w:t>
      </w:r>
      <w:commentRangeEnd w:id="25"/>
      <w:r w:rsidR="00FE1095">
        <w:rPr>
          <w:rStyle w:val="CommentReference"/>
          <w:rFonts w:asciiTheme="minorHAnsi" w:eastAsiaTheme="minorHAnsi" w:hAnsiTheme="minorHAnsi" w:cstheme="minorBidi"/>
          <w:color w:val="auto"/>
        </w:rPr>
        <w:commentReference w:id="25"/>
      </w:r>
    </w:p>
    <w:p w14:paraId="67C1CCE9" w14:textId="0452B8F0" w:rsidR="008F329F" w:rsidRDefault="00304447" w:rsidP="00E01957">
      <w:pPr>
        <w:spacing w:line="360" w:lineRule="auto"/>
      </w:pPr>
      <w:r>
        <w:tab/>
        <w:t xml:space="preserve">The modelling approach for this study broadly follows that described in </w:t>
      </w:r>
      <w:commentRangeStart w:id="26"/>
      <w:r w:rsidR="00B064C4">
        <w:fldChar w:fldCharType="begin" w:fldLock="1"/>
      </w:r>
      <w:r w:rsidR="002C19B3">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fldChar w:fldCharType="separate"/>
      </w:r>
      <w:r w:rsidR="00EB4A84" w:rsidRPr="00EB4A84">
        <w:rPr>
          <w:noProof/>
        </w:rPr>
        <w:t xml:space="preserve">(Shriver </w:t>
      </w:r>
      <w:r w:rsidR="00EB4A84" w:rsidRPr="00EB4A84">
        <w:rPr>
          <w:i/>
          <w:noProof/>
        </w:rPr>
        <w:t>et al.</w:t>
      </w:r>
      <w:r w:rsidR="00EB4A84" w:rsidRPr="00EB4A84">
        <w:rPr>
          <w:noProof/>
        </w:rPr>
        <w:t>, 2021)</w:t>
      </w:r>
      <w:r w:rsidR="00B064C4">
        <w:fldChar w:fldCharType="end"/>
      </w:r>
      <w:commentRangeEnd w:id="26"/>
      <w:r w:rsidR="007108F6">
        <w:rPr>
          <w:rStyle w:val="CommentReference"/>
        </w:rPr>
        <w:commentReference w:id="26"/>
      </w:r>
      <w:r w:rsidR="00D96875">
        <w:t xml:space="preserve">. </w:t>
      </w:r>
      <w:r w:rsidR="009B5737">
        <w:t>In short, t</w:t>
      </w:r>
      <w:r w:rsidR="00D96875">
        <w:t>his study models three vital demographic rates for sugar pine as functions of individual states and environmental covariates. The vital rates modeled are s</w:t>
      </w:r>
      <w:r w:rsidR="000B2974">
        <w:t xml:space="preserve">urvival, growth, and </w:t>
      </w:r>
      <w:r w:rsidR="009B5737">
        <w:t>fecundity</w:t>
      </w:r>
      <w:r w:rsidR="00B81610">
        <w:t xml:space="preserve">. </w:t>
      </w:r>
      <w:r w:rsidR="00CA7A32">
        <w:t xml:space="preserve">Survival and growth of individuals </w:t>
      </w:r>
      <w:r w:rsidR="008206D4">
        <w:t>are</w:t>
      </w:r>
      <w:r w:rsidR="00CA7A32">
        <w:t xml:space="preserve"> directly observed as data, but fecundity is only indirectly observed through the count of </w:t>
      </w:r>
      <w:r w:rsidR="00B66F59">
        <w:t xml:space="preserve">untagged individuals at remeasurement (which includes both new recruits and small survivors). </w:t>
      </w:r>
      <w:commentRangeStart w:id="27"/>
      <w:r w:rsidR="0090133B">
        <w:rPr>
          <w:rFonts w:eastAsiaTheme="minorEastAsia"/>
        </w:rPr>
        <w:t>The three sub models were analyzed as a single model, so that the findings of the survival and growth sub models could inform the fecundity model</w:t>
      </w:r>
      <w:commentRangeEnd w:id="27"/>
      <w:r w:rsidR="0090133B">
        <w:rPr>
          <w:rStyle w:val="CommentReference"/>
        </w:rPr>
        <w:commentReference w:id="27"/>
      </w:r>
      <w:r w:rsidR="008206D4">
        <w:t>; see below for details</w:t>
      </w:r>
      <w:r w:rsidR="008F329F">
        <w:t>.</w:t>
      </w:r>
    </w:p>
    <w:p w14:paraId="4D73A20D" w14:textId="44309F3C" w:rsidR="00D96875" w:rsidRDefault="00B81610" w:rsidP="00E92F0B">
      <w:pPr>
        <w:spacing w:line="360" w:lineRule="auto"/>
        <w:ind w:firstLine="720"/>
      </w:pPr>
      <w:r>
        <w:t xml:space="preserve">The </w:t>
      </w:r>
      <w:r w:rsidR="00BC7D86">
        <w:t>sub</w:t>
      </w:r>
      <w:r w:rsidR="00826123">
        <w:t xml:space="preserve"> </w:t>
      </w:r>
      <w:r w:rsidR="000B2974">
        <w:t>model for survival is:</w:t>
      </w:r>
      <w:r>
        <w:t xml:space="preserve"> </w:t>
      </w:r>
    </w:p>
    <w:p w14:paraId="2CA2532D" w14:textId="503E6FF4" w:rsidR="00EB1B4C" w:rsidRDefault="00EB1B4C" w:rsidP="00EB1B4C">
      <w:pPr>
        <w:pStyle w:val="Caption"/>
        <w:keepNext/>
      </w:pPr>
      <w:bookmarkStart w:id="28" w:name="_Ref93659669"/>
      <w:r>
        <w:t xml:space="preserve">Equation </w:t>
      </w:r>
      <w:r w:rsidR="00A302ED">
        <w:fldChar w:fldCharType="begin"/>
      </w:r>
      <w:r w:rsidR="00A302ED">
        <w:instrText xml:space="preserve"> SEQ Equation \* ARABIC </w:instrText>
      </w:r>
      <w:r w:rsidR="00A302ED">
        <w:fldChar w:fldCharType="separate"/>
      </w:r>
      <w:r w:rsidR="00D73B16">
        <w:rPr>
          <w:noProof/>
        </w:rPr>
        <w:t>1</w:t>
      </w:r>
      <w:r w:rsidR="00A302ED">
        <w:rPr>
          <w:noProof/>
        </w:rPr>
        <w:fldChar w:fldCharType="end"/>
      </w:r>
      <w:bookmarkEnd w:id="28"/>
    </w:p>
    <w:p w14:paraId="17EAD06B" w14:textId="11CC2B26" w:rsidR="000B2974" w:rsidRPr="000B2974" w:rsidRDefault="001D3356"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
            <m:rPr>
              <m:nor/>
            </m:rPr>
            <w:rPr>
              <w:rFonts w:ascii="Cambria Math" w:hAnsi="Cambria Math"/>
            </w:rPr>
            <m:t>Bernoulli</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3A410EEC" w14:textId="63DCC49B" w:rsidR="00EB1B4C" w:rsidRDefault="00EB1B4C" w:rsidP="00EB1B4C">
      <w:pPr>
        <w:pStyle w:val="Caption"/>
        <w:keepNext/>
      </w:pPr>
      <w:bookmarkStart w:id="29" w:name="_Ref93579342"/>
      <w:r>
        <w:lastRenderedPageBreak/>
        <w:t xml:space="preserve">Equation </w:t>
      </w:r>
      <w:r w:rsidR="00A302ED">
        <w:fldChar w:fldCharType="begin"/>
      </w:r>
      <w:r w:rsidR="00A302ED">
        <w:instrText xml:space="preserve"> SEQ Equation \* ARABIC </w:instrText>
      </w:r>
      <w:r w:rsidR="00A302ED">
        <w:fldChar w:fldCharType="separate"/>
      </w:r>
      <w:r w:rsidR="00D73B16">
        <w:rPr>
          <w:noProof/>
        </w:rPr>
        <w:t>2</w:t>
      </w:r>
      <w:r w:rsidR="00A302ED">
        <w:rPr>
          <w:noProof/>
        </w:rPr>
        <w:fldChar w:fldCharType="end"/>
      </w:r>
      <w:bookmarkEnd w:id="29"/>
    </w:p>
    <w:p w14:paraId="33C7DBC4" w14:textId="24BA2673" w:rsidR="000B2974" w:rsidRPr="00A06CE3" w:rsidRDefault="000B2974" w:rsidP="00E01957">
      <w:pPr>
        <w:spacing w:line="360" w:lineRule="auto"/>
        <w:rPr>
          <w:rFonts w:eastAsiaTheme="minorEastAsia"/>
        </w:rPr>
      </w:pPr>
      <m:oMathPara>
        <m:oMath>
          <m:r>
            <m:rPr>
              <m:nor/>
            </m:rPr>
            <w:rPr>
              <w:rFonts w:ascii="Cambria Math" w:hAnsi="Cambria Math"/>
            </w:rPr>
            <m:t>logit(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(s)k</m:t>
              </m:r>
            </m:sub>
          </m:sSub>
        </m:oMath>
      </m:oMathPara>
    </w:p>
    <w:p w14:paraId="3425D74A" w14:textId="786A00E8" w:rsidR="00A06CE3" w:rsidRDefault="00A06CE3"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Pr>
          <w:rFonts w:eastAsiaTheme="minorEastAsia"/>
        </w:rPr>
        <w:t xml:space="preserve"> is an integer indicating the live/dead status (1 if live, 0 if dead) of individual </w:t>
      </w:r>
      <m:oMath>
        <m:r>
          <w:rPr>
            <w:rFonts w:ascii="Cambria Math" w:eastAsiaTheme="minorEastAsia" w:hAnsi="Cambria Math"/>
          </w:rPr>
          <m:t>i</m:t>
        </m:r>
      </m:oMath>
      <w:r>
        <w:rPr>
          <w:rFonts w:eastAsiaTheme="minorEastAsia"/>
        </w:rPr>
        <w:t xml:space="preserve"> at the revisit measurement, approximately 10 years after initial measurement)</w:t>
      </w:r>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BC7D86">
        <w:rPr>
          <w:rFonts w:eastAsiaTheme="minorEastAsia"/>
        </w:rPr>
        <w:t xml:space="preserve"> is the probability of survival from</w:t>
      </w:r>
      <w:r w:rsidR="008206D4">
        <w:rPr>
          <w:rFonts w:eastAsiaTheme="minorEastAsia"/>
        </w:rPr>
        <w:t xml:space="preserve"> initial measurement to remeasurement</w:t>
      </w:r>
      <w:r w:rsidR="00BC7D86">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sidR="00BC7D86">
        <w:rPr>
          <w:rFonts w:eastAsiaTheme="minorEastAsia"/>
        </w:rPr>
        <w:t xml:space="preserve"> is a </w:t>
      </w:r>
      <w:r w:rsidR="004F6CE4">
        <w:rPr>
          <w:rFonts w:eastAsiaTheme="minorEastAsia"/>
        </w:rPr>
        <w:t xml:space="preserve">row </w:t>
      </w:r>
      <w:r w:rsidR="00BC7D86">
        <w:rPr>
          <w:rFonts w:eastAsiaTheme="minorEastAsia"/>
        </w:rPr>
        <w:t xml:space="preserve">vector of covariates (described below) for individual </w:t>
      </w:r>
      <m:oMath>
        <m:r>
          <w:rPr>
            <w:rFonts w:ascii="Cambria Math" w:eastAsiaTheme="minorEastAsia" w:hAnsi="Cambria Math"/>
          </w:rPr>
          <m:t>i</m:t>
        </m:r>
      </m:oMath>
      <w:r w:rsidR="00BC7D8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oMath>
      <w:r w:rsidR="00BC7D86">
        <w:rPr>
          <w:rFonts w:eastAsiaTheme="minorEastAsia"/>
        </w:rPr>
        <w:t xml:space="preserve"> is a column vector of fixed effect coefficients for the survival </w:t>
      </w:r>
      <w:r w:rsidR="00826123">
        <w:rPr>
          <w:rFonts w:eastAsiaTheme="minorEastAsia"/>
        </w:rPr>
        <w:t xml:space="preserve">sub model,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sub>
        </m:sSub>
      </m:oMath>
      <w:r w:rsidR="00826123">
        <w:rPr>
          <w:rFonts w:eastAsiaTheme="minorEastAsia"/>
        </w:rPr>
        <w:t xml:space="preserve"> </w:t>
      </w:r>
      <w:r w:rsidR="00296C3D">
        <w:rPr>
          <w:rFonts w:eastAsiaTheme="minorEastAsia"/>
        </w:rPr>
        <w:t xml:space="preserve">is </w:t>
      </w:r>
      <w:r w:rsidR="00826123">
        <w:rPr>
          <w:rFonts w:eastAsiaTheme="minorEastAsia"/>
        </w:rPr>
        <w:t xml:space="preserve">a vector of plot-level random effects indexed by the plot </w:t>
      </w:r>
      <m:oMath>
        <m:r>
          <w:rPr>
            <w:rFonts w:ascii="Cambria Math" w:eastAsiaTheme="minorEastAsia" w:hAnsi="Cambria Math"/>
          </w:rPr>
          <m:t>j</m:t>
        </m:r>
      </m:oMath>
      <w:r w:rsidR="00826123">
        <w:rPr>
          <w:rFonts w:eastAsiaTheme="minorEastAsia"/>
        </w:rPr>
        <w:t xml:space="preserve"> for individual </w:t>
      </w:r>
      <m:oMath>
        <m:r>
          <w:rPr>
            <w:rFonts w:ascii="Cambria Math" w:eastAsiaTheme="minorEastAsia" w:hAnsi="Cambria Math"/>
          </w:rPr>
          <m:t>i</m:t>
        </m:r>
      </m:oMath>
      <w:r w:rsidR="00826123">
        <w:rPr>
          <w:rFonts w:eastAsiaTheme="minorEastAsia"/>
        </w:rPr>
        <w:t xml:space="preserve"> </w:t>
      </w:r>
      <w:r w:rsidR="00296C3D">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j</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γ</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296C3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(s)</m:t>
            </m:r>
          </m:sub>
        </m:sSub>
      </m:oMath>
      <w:r w:rsidR="00296C3D">
        <w:rPr>
          <w:rFonts w:eastAsiaTheme="minorEastAsia"/>
        </w:rPr>
        <w:t xml:space="preserve"> is a </w:t>
      </w:r>
      <w:commentRangeStart w:id="30"/>
      <w:r w:rsidR="00296C3D">
        <w:rPr>
          <w:rFonts w:eastAsiaTheme="minorEastAsia"/>
        </w:rPr>
        <w:t xml:space="preserve">vector of ecoregion subsection-level random effects indexed by the ecoregion subsection </w:t>
      </w:r>
      <m:oMath>
        <m:r>
          <w:rPr>
            <w:rFonts w:ascii="Cambria Math" w:eastAsiaTheme="minorEastAsia" w:hAnsi="Cambria Math"/>
          </w:rPr>
          <m:t>k</m:t>
        </m:r>
      </m:oMath>
      <w:r w:rsidR="00296C3D">
        <w:rPr>
          <w:rFonts w:eastAsiaTheme="minorEastAsia"/>
        </w:rPr>
        <w:t xml:space="preserve"> for </w:t>
      </w:r>
      <w:commentRangeEnd w:id="30"/>
      <w:r w:rsidR="00A22F02">
        <w:rPr>
          <w:rStyle w:val="CommentReference"/>
        </w:rPr>
        <w:commentReference w:id="30"/>
      </w:r>
      <w:r w:rsidR="00296C3D">
        <w:rPr>
          <w:rFonts w:eastAsiaTheme="minorEastAsia"/>
        </w:rPr>
        <w:t xml:space="preserve">individual </w:t>
      </w:r>
      <m:oMath>
        <m:r>
          <w:rPr>
            <w:rFonts w:ascii="Cambria Math" w:eastAsiaTheme="minorEastAsia" w:hAnsi="Cambria Math"/>
          </w:rPr>
          <m:t>i</m:t>
        </m:r>
      </m:oMath>
      <w:r w:rsidR="009A3AF4">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δ</m:t>
            </m:r>
          </m:e>
          <m: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sub>
        </m:sSub>
        <m:r>
          <w:rPr>
            <w:rFonts w:ascii="Cambria Math" w:eastAsiaTheme="minorEastAsia" w:hAnsi="Cambria Math"/>
          </w:rPr>
          <m:t>~</m:t>
        </m:r>
        <m:r>
          <m:rPr>
            <m:nor/>
          </m:rPr>
          <w:rPr>
            <w:rFonts w:ascii="Cambria Math" w:eastAsiaTheme="minorEastAsia" w:hAnsi="Cambria Math"/>
          </w:rPr>
          <m:t>N</m:t>
        </m:r>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m:t>
                </m:r>
              </m:e>
            </m:d>
          </m:sub>
          <m:sup>
            <m:r>
              <w:rPr>
                <w:rFonts w:ascii="Cambria Math" w:eastAsiaTheme="minorEastAsia" w:hAnsi="Cambria Math"/>
              </w:rPr>
              <m:t>2</m:t>
            </m:r>
          </m:sup>
        </m:sSubSup>
        <m:r>
          <w:rPr>
            <w:rFonts w:ascii="Cambria Math" w:eastAsiaTheme="minorEastAsia" w:hAnsi="Cambria Math"/>
          </w:rPr>
          <m:t>)</m:t>
        </m:r>
      </m:oMath>
      <w:r w:rsidR="009A3AF4">
        <w:rPr>
          <w:rFonts w:eastAsiaTheme="minorEastAsia"/>
        </w:rPr>
        <w:t xml:space="preserve">. </w:t>
      </w:r>
    </w:p>
    <w:p w14:paraId="7E6E8045" w14:textId="1F529543" w:rsidR="009A3AF4" w:rsidRDefault="009A3AF4" w:rsidP="00E01957">
      <w:pPr>
        <w:spacing w:line="360" w:lineRule="auto"/>
        <w:rPr>
          <w:rFonts w:eastAsiaTheme="minorEastAsia"/>
        </w:rPr>
      </w:pPr>
      <w:r>
        <w:rPr>
          <w:rFonts w:eastAsiaTheme="minorEastAsia"/>
        </w:rPr>
        <w:tab/>
        <w:t xml:space="preserve">The fixed effects covariates for each individual </w:t>
      </w:r>
      <m:oMath>
        <m:r>
          <w:rPr>
            <w:rFonts w:ascii="Cambria Math" w:eastAsiaTheme="minorEastAsia" w:hAnsi="Cambria Math"/>
          </w:rPr>
          <m:t>i</m:t>
        </m:r>
      </m:oMath>
      <w:r>
        <w:rPr>
          <w:rFonts w:eastAsiaTheme="minorEastAsia"/>
        </w:rPr>
        <w:t xml:space="preserve"> in the </w:t>
      </w:r>
      <w:r w:rsidR="006E26D2">
        <w:rPr>
          <w:rFonts w:eastAsiaTheme="minorEastAsia"/>
        </w:rPr>
        <w:t xml:space="preserve">row </w:t>
      </w:r>
      <w:r>
        <w:rPr>
          <w:rFonts w:eastAsiaTheme="minorEastAsia"/>
        </w:rPr>
        <w:t xml:space="preserve">vector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are: </w:t>
      </w:r>
      <w:r w:rsidR="0030686A">
        <w:rPr>
          <w:rFonts w:eastAsiaTheme="minorEastAsia"/>
        </w:rPr>
        <w:t>T</w:t>
      </w:r>
      <w:r>
        <w:rPr>
          <w:rFonts w:eastAsiaTheme="minorEastAsia"/>
        </w:rPr>
        <w:t>he intercept</w:t>
      </w:r>
      <w:r w:rsidR="00C34525">
        <w:rPr>
          <w:rFonts w:eastAsiaTheme="minorEastAsia"/>
        </w:rPr>
        <w:t xml:space="preserve"> (</w:t>
      </w:r>
      <m:oMath>
        <m:r>
          <w:rPr>
            <w:rFonts w:ascii="Cambria Math" w:eastAsiaTheme="minorEastAsia" w:hAnsi="Cambria Math"/>
          </w:rPr>
          <m:t>INTERCEPT</m:t>
        </m:r>
      </m:oMath>
      <w:r w:rsidR="00C34525">
        <w:rPr>
          <w:rFonts w:eastAsiaTheme="minorEastAsia"/>
        </w:rPr>
        <w:t>)</w:t>
      </w:r>
      <w:r w:rsidR="0030686A">
        <w:rPr>
          <w:rFonts w:eastAsiaTheme="minorEastAsia"/>
        </w:rPr>
        <w:t>,</w:t>
      </w:r>
      <w:r>
        <w:rPr>
          <w:rFonts w:eastAsiaTheme="minorEastAsia"/>
        </w:rPr>
        <w:t xml:space="preserve"> the DBH in meters at</w:t>
      </w:r>
      <w:r w:rsidR="006E26D2">
        <w:rPr>
          <w:rFonts w:eastAsiaTheme="minorEastAsia"/>
        </w:rPr>
        <w:t xml:space="preserve"> initial measurement</w:t>
      </w:r>
      <w:r w:rsidR="0030686A">
        <w:rPr>
          <w:rFonts w:eastAsiaTheme="minorEastAsia"/>
        </w:rPr>
        <w:t xml:space="preserve"> (</w:t>
      </w:r>
      <m:oMath>
        <m:r>
          <w:rPr>
            <w:rFonts w:ascii="Cambria Math" w:eastAsiaTheme="minorEastAsia" w:hAnsi="Cambria Math"/>
          </w:rPr>
          <m:t>DBH</m:t>
        </m:r>
      </m:oMath>
      <w:r w:rsidR="00C34525">
        <w:rPr>
          <w:rFonts w:eastAsiaTheme="minorEastAsia"/>
        </w:rPr>
        <w:t>)</w:t>
      </w:r>
      <w:r>
        <w:rPr>
          <w:rFonts w:eastAsiaTheme="minorEastAsia"/>
        </w:rPr>
        <w:t>,</w:t>
      </w:r>
      <w:r w:rsidR="006E26D2">
        <w:rPr>
          <w:rFonts w:eastAsiaTheme="minorEastAsia"/>
        </w:rPr>
        <w:t xml:space="preserve"> the squared DBH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6E26D2">
        <w:rPr>
          <w:rFonts w:eastAsiaTheme="minorEastAsia"/>
        </w:rPr>
        <w:t>)</w:t>
      </w:r>
      <w:r w:rsidR="00171F10">
        <w:rPr>
          <w:rFonts w:eastAsiaTheme="minorEastAsia"/>
        </w:rPr>
        <w:t>,</w:t>
      </w:r>
      <w:r>
        <w:rPr>
          <w:rFonts w:eastAsiaTheme="minorEastAsia"/>
        </w:rPr>
        <w:t xml:space="preserve"> </w:t>
      </w:r>
      <w:r w:rsidR="0030686A">
        <w:rPr>
          <w:rFonts w:eastAsiaTheme="minorEastAsia"/>
        </w:rPr>
        <w:t xml:space="preserve">a binary flag indicating whether the individual’s plot experienced a fire at least </w:t>
      </w:r>
      <w:r w:rsidR="008F0ED0">
        <w:rPr>
          <w:rFonts w:eastAsiaTheme="minorEastAsia"/>
        </w:rPr>
        <w:t>0.404 ha</w:t>
      </w:r>
      <w:r w:rsidR="0030686A">
        <w:rPr>
          <w:rFonts w:eastAsiaTheme="minorEastAsia"/>
        </w:rPr>
        <w:t xml:space="preserve"> in size that killed or damaged at least 25% of trees</w:t>
      </w:r>
      <w:r w:rsidR="00C34525">
        <w:rPr>
          <w:rFonts w:eastAsiaTheme="minorEastAsia"/>
        </w:rPr>
        <w:t xml:space="preserve"> </w:t>
      </w:r>
      <w:r w:rsidR="006E26D2">
        <w:rPr>
          <w:rFonts w:eastAsiaTheme="minorEastAsia"/>
        </w:rPr>
        <w:t xml:space="preserve">between initial measurement and remeasurement </w:t>
      </w:r>
      <w:r w:rsidR="00C34525">
        <w:rPr>
          <w:rFonts w:eastAsiaTheme="minorEastAsia"/>
        </w:rPr>
        <w:t>(</w:t>
      </w:r>
      <m:oMath>
        <m:r>
          <w:rPr>
            <w:rFonts w:ascii="Cambria Math" w:eastAsiaTheme="minorEastAsia" w:hAnsi="Cambria Math"/>
          </w:rPr>
          <m:t>FIRE</m:t>
        </m:r>
      </m:oMath>
      <w:r w:rsidR="00C34525">
        <w:rPr>
          <w:rFonts w:eastAsiaTheme="minorEastAsia"/>
        </w:rPr>
        <w:t>)</w:t>
      </w:r>
      <w:r w:rsidR="0030686A">
        <w:rPr>
          <w:rFonts w:eastAsiaTheme="minorEastAsia"/>
        </w:rPr>
        <w:t xml:space="preserve">, a binary flag indicating whether any trees in the individual’s plot displayed signs of white pine blister rust infection at </w:t>
      </w:r>
      <w:r w:rsidR="006E26D2">
        <w:rPr>
          <w:rFonts w:eastAsiaTheme="minorEastAsia"/>
        </w:rPr>
        <w:t xml:space="preserve">initial measurement </w:t>
      </w:r>
      <w:r w:rsidR="00C34525">
        <w:rPr>
          <w:rFonts w:eastAsiaTheme="minorEastAsia"/>
        </w:rPr>
        <w:t>(</w:t>
      </w:r>
      <m:oMath>
        <m:r>
          <w:rPr>
            <w:rFonts w:ascii="Cambria Math" w:eastAsiaTheme="minorEastAsia" w:hAnsi="Cambria Math"/>
          </w:rPr>
          <m:t>WPBR</m:t>
        </m:r>
      </m:oMath>
      <w:r w:rsidR="00C34525">
        <w:rPr>
          <w:rFonts w:eastAsiaTheme="minorEastAsia"/>
        </w:rPr>
        <w:t>)</w:t>
      </w:r>
      <w:r w:rsidR="0030686A">
        <w:rPr>
          <w:rFonts w:eastAsiaTheme="minorEastAsia"/>
        </w:rPr>
        <w:t xml:space="preserve">, </w:t>
      </w:r>
      <w:r w:rsidR="00C34525">
        <w:rPr>
          <w:rFonts w:eastAsiaTheme="minorEastAsia"/>
        </w:rPr>
        <w:t xml:space="preserve">the plot-level basal area at </w:t>
      </w:r>
      <w:r w:rsidR="006E26D2">
        <w:rPr>
          <w:rFonts w:eastAsiaTheme="minorEastAsia"/>
        </w:rPr>
        <w:t>initial measurement</w:t>
      </w:r>
      <w:r w:rsidR="00C34525">
        <w:rPr>
          <w:rFonts w:eastAsiaTheme="minorEastAsia"/>
        </w:rPr>
        <w:t xml:space="preserve"> (</w:t>
      </w:r>
      <m:oMath>
        <m:r>
          <w:rPr>
            <w:rFonts w:ascii="Cambria Math" w:eastAsiaTheme="minorEastAsia" w:hAnsi="Cambria Math"/>
          </w:rPr>
          <m:t>BA</m:t>
        </m:r>
      </m:oMath>
      <w:r w:rsidR="00C34525">
        <w:rPr>
          <w:rFonts w:eastAsiaTheme="minorEastAsia"/>
        </w:rPr>
        <w:t xml:space="preserve">), </w:t>
      </w:r>
      <w:r w:rsidR="00B95D6C">
        <w:rPr>
          <w:rFonts w:eastAsiaTheme="minorEastAsia"/>
        </w:rPr>
        <w:t>the plot-level 90</w:t>
      </w:r>
      <w:r w:rsidR="00B95D6C" w:rsidRPr="00B95D6C">
        <w:rPr>
          <w:rFonts w:eastAsiaTheme="minorEastAsia"/>
          <w:vertAlign w:val="superscript"/>
        </w:rPr>
        <w:t>th</w:t>
      </w:r>
      <w:r w:rsidR="00B95D6C">
        <w:rPr>
          <w:rFonts w:eastAsiaTheme="minorEastAsia"/>
        </w:rPr>
        <w:t xml:space="preserve"> percentile </w:t>
      </w:r>
      <w:r w:rsidR="00092713">
        <w:rPr>
          <w:rFonts w:eastAsiaTheme="minorEastAsia"/>
        </w:rPr>
        <w:t xml:space="preserve">of growing season </w:t>
      </w:r>
      <w:r w:rsidR="00B95D6C">
        <w:rPr>
          <w:rFonts w:eastAsiaTheme="minorEastAsia"/>
        </w:rPr>
        <w:t>departure from mean climatic water deficit (</w:t>
      </w:r>
      <m:oMath>
        <m:r>
          <w:rPr>
            <w:rFonts w:ascii="Cambria Math" w:eastAsiaTheme="minorEastAsia" w:hAnsi="Cambria Math"/>
          </w:rPr>
          <m:t>DROUGHT</m:t>
        </m:r>
      </m:oMath>
      <w:r w:rsidR="00B95D6C">
        <w:rPr>
          <w:rFonts w:eastAsiaTheme="minorEastAsia"/>
        </w:rPr>
        <w:t>)</w:t>
      </w:r>
      <w:r w:rsidR="006E26D2">
        <w:rPr>
          <w:rFonts w:eastAsiaTheme="minorEastAsia"/>
        </w:rPr>
        <w:t xml:space="preserve"> between initial measurement and remeasurement</w:t>
      </w:r>
      <w:r w:rsidR="00B95D6C">
        <w:rPr>
          <w:rFonts w:eastAsiaTheme="minorEastAsia"/>
        </w:rPr>
        <w:t xml:space="preserve">, the plot-level </w:t>
      </w:r>
      <w:r w:rsidR="00092713">
        <w:rPr>
          <w:rFonts w:eastAsiaTheme="minorEastAsia"/>
        </w:rPr>
        <w:t xml:space="preserve">growing season </w:t>
      </w:r>
      <w:r w:rsidR="00B95D6C">
        <w:rPr>
          <w:rFonts w:eastAsiaTheme="minorEastAsia"/>
        </w:rPr>
        <w:t xml:space="preserve">mean climatic water deficit </w:t>
      </w:r>
      <w:r w:rsidR="00092713">
        <w:rPr>
          <w:rFonts w:eastAsiaTheme="minorEastAsia"/>
        </w:rPr>
        <w:t xml:space="preserve">over the period 2000-2020 </w:t>
      </w:r>
      <w:r w:rsidR="00B95D6C">
        <w:rPr>
          <w:rFonts w:eastAsiaTheme="minorEastAsia"/>
        </w:rPr>
        <w:t>(</w:t>
      </w:r>
      <m:oMath>
        <m:r>
          <w:rPr>
            <w:rFonts w:ascii="Cambria Math" w:eastAsiaTheme="minorEastAsia" w:hAnsi="Cambria Math"/>
          </w:rPr>
          <m:t>DRYNESS</m:t>
        </m:r>
      </m:oMath>
      <w:r w:rsidR="00B95D6C">
        <w:rPr>
          <w:rFonts w:eastAsiaTheme="minorEastAsia"/>
        </w:rPr>
        <w:t xml:space="preserve">), and interactions between </w:t>
      </w:r>
      <m:oMath>
        <m:r>
          <w:rPr>
            <w:rFonts w:ascii="Cambria Math" w:eastAsiaTheme="minorEastAsia" w:hAnsi="Cambria Math"/>
          </w:rPr>
          <m:t>DBH</m:t>
        </m:r>
      </m:oMath>
      <w:r w:rsidR="00B95D6C">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w:r w:rsidR="00B95D6C">
        <w:rPr>
          <w:rFonts w:eastAsiaTheme="minorEastAsia"/>
        </w:rPr>
        <w:t>and all other variables (</w:t>
      </w:r>
      <m:oMath>
        <m:r>
          <w:rPr>
            <w:rFonts w:ascii="Cambria Math" w:eastAsiaTheme="minorEastAsia" w:hAnsi="Cambria Math"/>
          </w:rPr>
          <m:t>DBH×FIRE</m:t>
        </m:r>
      </m:oMath>
      <w:r w:rsidR="00B95D6C">
        <w:rPr>
          <w:rFonts w:eastAsiaTheme="minorEastAsia"/>
        </w:rPr>
        <w:t>,</w:t>
      </w:r>
      <w:r w:rsidR="00334F13">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×FIRE</m:t>
        </m:r>
      </m:oMath>
      <w:r w:rsidR="00334F13">
        <w:rPr>
          <w:rFonts w:eastAsiaTheme="minorEastAsia"/>
        </w:rPr>
        <w:t xml:space="preserve">, </w:t>
      </w:r>
      <m:oMath>
        <m:r>
          <w:rPr>
            <w:rFonts w:ascii="Cambria Math" w:eastAsiaTheme="minorEastAsia" w:hAnsi="Cambria Math"/>
          </w:rPr>
          <m:t>DBH×WPBR</m:t>
        </m:r>
      </m:oMath>
      <w:r w:rsidR="00B95D6C">
        <w:rPr>
          <w:rFonts w:eastAsiaTheme="minorEastAsia"/>
        </w:rPr>
        <w:t>,</w:t>
      </w:r>
      <w:r w:rsidR="00334F13" w:rsidRPr="00334F13">
        <w:rPr>
          <w:rFonts w:ascii="Cambria Math" w:eastAsiaTheme="minorEastAsia" w:hAnsi="Cambria Math"/>
          <w:i/>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×WPBR</m:t>
        </m:r>
      </m:oMath>
      <w:r w:rsidR="00334F13">
        <w:rPr>
          <w:rFonts w:ascii="Cambria Math" w:eastAsiaTheme="minorEastAsia" w:hAnsi="Cambria Math"/>
          <w:i/>
        </w:rPr>
        <w:t>,</w:t>
      </w:r>
      <w:r w:rsidR="00B95D6C">
        <w:rPr>
          <w:rFonts w:eastAsiaTheme="minorEastAsia"/>
        </w:rPr>
        <w:t xml:space="preserve"> </w:t>
      </w:r>
      <m:oMath>
        <m:r>
          <w:rPr>
            <w:rFonts w:ascii="Cambria Math" w:eastAsiaTheme="minorEastAsia" w:hAnsi="Cambria Math"/>
          </w:rPr>
          <m:t>DBH×BA</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×BA</m:t>
        </m:r>
      </m:oMath>
      <w:r w:rsidR="00334F13">
        <w:rPr>
          <w:rFonts w:eastAsiaTheme="minorEastAsia"/>
        </w:rPr>
        <w:t xml:space="preserve">, </w:t>
      </w:r>
      <m:oMath>
        <m:r>
          <w:rPr>
            <w:rFonts w:ascii="Cambria Math" w:eastAsiaTheme="minorEastAsia" w:hAnsi="Cambria Math"/>
          </w:rPr>
          <m:t>DBH×DROUGHT</m:t>
        </m:r>
      </m:oMath>
      <w:r w:rsidR="00B95D6C">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×DROUGHT</m:t>
        </m:r>
      </m:oMath>
      <w:r w:rsidR="00334F13">
        <w:rPr>
          <w:rFonts w:eastAsiaTheme="minorEastAsia"/>
        </w:rPr>
        <w:t xml:space="preserve">, </w:t>
      </w:r>
      <m:oMath>
        <m:r>
          <w:rPr>
            <w:rFonts w:ascii="Cambria Math" w:eastAsiaTheme="minorEastAsia" w:hAnsi="Cambria Math"/>
          </w:rPr>
          <m:t>DBH×DRYNESS</m:t>
        </m:r>
      </m:oMath>
      <w:r w:rsidR="00334F1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r>
          <w:rPr>
            <w:rFonts w:ascii="Cambria Math" w:eastAsiaTheme="minorEastAsia" w:hAnsi="Cambria Math"/>
          </w:rPr>
          <m:t>×DRYNESS</m:t>
        </m:r>
      </m:oMath>
      <w:r w:rsidR="00B95D6C">
        <w:rPr>
          <w:rFonts w:eastAsiaTheme="minorEastAsia"/>
        </w:rPr>
        <w:t>)</w:t>
      </w:r>
      <w:r>
        <w:rPr>
          <w:rFonts w:eastAsiaTheme="minorEastAsia"/>
        </w:rPr>
        <w:t xml:space="preserve">. </w:t>
      </w:r>
      <w:r w:rsidR="00C34525">
        <w:rPr>
          <w:rFonts w:eastAsiaTheme="minorEastAsia"/>
        </w:rPr>
        <w:t xml:space="preserve">Continuous variables other than </w:t>
      </w:r>
      <m:oMath>
        <m:r>
          <w:rPr>
            <w:rFonts w:ascii="Cambria Math" w:eastAsiaTheme="minorEastAsia" w:hAnsi="Cambria Math"/>
          </w:rPr>
          <m:t>DBH</m:t>
        </m:r>
      </m:oMath>
      <w:r w:rsidR="00C34525">
        <w:rPr>
          <w:rFonts w:eastAsiaTheme="minorEastAsia"/>
        </w:rPr>
        <w:t xml:space="preserve"> </w:t>
      </w:r>
      <w:r w:rsidR="00334F13">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DBH</m:t>
            </m:r>
          </m:e>
          <m:sup>
            <m:r>
              <w:rPr>
                <w:rFonts w:ascii="Cambria Math" w:eastAsiaTheme="minorEastAsia" w:hAnsi="Cambria Math"/>
              </w:rPr>
              <m:t>2</m:t>
            </m:r>
          </m:sup>
        </m:sSup>
      </m:oMath>
      <w:r w:rsidR="00334F13">
        <w:rPr>
          <w:rFonts w:eastAsiaTheme="minorEastAsia"/>
        </w:rPr>
        <w:t xml:space="preserve"> (</w:t>
      </w:r>
      <m:oMath>
        <m:r>
          <w:rPr>
            <w:rFonts w:ascii="Cambria Math" w:eastAsiaTheme="minorEastAsia" w:hAnsi="Cambria Math"/>
          </w:rPr>
          <m:t>BA</m:t>
        </m:r>
      </m:oMath>
      <w:r w:rsidR="00C34525">
        <w:rPr>
          <w:rFonts w:eastAsiaTheme="minorEastAsia"/>
        </w:rPr>
        <w:t xml:space="preserve">, </w:t>
      </w:r>
      <m:oMath>
        <m:r>
          <w:rPr>
            <w:rFonts w:ascii="Cambria Math" w:eastAsiaTheme="minorEastAsia" w:hAnsi="Cambria Math"/>
          </w:rPr>
          <m:t>DROUGHT</m:t>
        </m:r>
      </m:oMath>
      <w:r w:rsidR="00C34525">
        <w:rPr>
          <w:rFonts w:eastAsiaTheme="minorEastAsia"/>
        </w:rPr>
        <w:t xml:space="preserve">, and </w:t>
      </w:r>
      <m:oMath>
        <m:r>
          <w:rPr>
            <w:rFonts w:ascii="Cambria Math" w:eastAsiaTheme="minorEastAsia" w:hAnsi="Cambria Math"/>
          </w:rPr>
          <m:t>DRYNESS</m:t>
        </m:r>
      </m:oMath>
      <w:r w:rsidR="00C34525">
        <w:rPr>
          <w:rFonts w:eastAsiaTheme="minorEastAsia"/>
        </w:rPr>
        <w:t xml:space="preserve">) were centered and scaled to have 0 mean and unit variance across all subplots. </w:t>
      </w:r>
    </w:p>
    <w:p w14:paraId="43DF7B36" w14:textId="03B57958" w:rsidR="00F30DE4" w:rsidRDefault="00F30DE4" w:rsidP="00E01957">
      <w:pPr>
        <w:spacing w:line="360" w:lineRule="auto"/>
        <w:rPr>
          <w:rFonts w:eastAsiaTheme="minorEastAsia"/>
        </w:rPr>
      </w:pPr>
      <w:r>
        <w:rPr>
          <w:rFonts w:eastAsiaTheme="minorEastAsia"/>
        </w:rPr>
        <w:tab/>
        <w:t>The sub model for growth is:</w:t>
      </w:r>
    </w:p>
    <w:p w14:paraId="581A7A07" w14:textId="50364C58" w:rsidR="00EB1B4C" w:rsidRDefault="00EB1B4C" w:rsidP="00EB1B4C">
      <w:pPr>
        <w:pStyle w:val="Caption"/>
        <w:keepNext/>
      </w:pPr>
      <w:bookmarkStart w:id="31" w:name="_Ref104375706"/>
      <w:r>
        <w:t xml:space="preserve">Equation </w:t>
      </w:r>
      <w:r w:rsidR="00A302ED">
        <w:fldChar w:fldCharType="begin"/>
      </w:r>
      <w:r w:rsidR="00A302ED">
        <w:instrText xml:space="preserve"> SEQ Equation \* ARABIC </w:instrText>
      </w:r>
      <w:r w:rsidR="00A302ED">
        <w:fldChar w:fldCharType="separate"/>
      </w:r>
      <w:r w:rsidR="00D73B16">
        <w:rPr>
          <w:noProof/>
        </w:rPr>
        <w:t>3</w:t>
      </w:r>
      <w:r w:rsidR="00A302ED">
        <w:rPr>
          <w:noProof/>
        </w:rPr>
        <w:fldChar w:fldCharType="end"/>
      </w:r>
      <w:bookmarkEnd w:id="31"/>
    </w:p>
    <w:p w14:paraId="63FCE82D" w14:textId="0CD36EF6" w:rsidR="00F30DE4" w:rsidRPr="00880C94" w:rsidRDefault="001D3356" w:rsidP="00E01957">
      <w:pPr>
        <w:spacing w:line="360" w:lineRule="auto"/>
        <w:rPr>
          <w:rFonts w:eastAsiaTheme="minorEastAsia"/>
          <w:iCs/>
        </w:rP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r>
            <m:rPr>
              <m:nor/>
            </m:rPr>
            <w:rPr>
              <w:rFonts w:ascii="Cambria Math" w:hAnsi="Cambria Math"/>
            </w:rPr>
            <m:t>Normal</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e>
          </m:d>
          <m:r>
            <m:rPr>
              <m:sty m:val="p"/>
            </m:rPr>
            <w:rPr>
              <w:rFonts w:ascii="Cambria Math" w:hAnsi="Cambria Math"/>
            </w:rPr>
            <m:t>T[0,]</m:t>
          </m:r>
        </m:oMath>
      </m:oMathPara>
    </w:p>
    <w:p w14:paraId="755692FA" w14:textId="362F5ED2" w:rsidR="00EB1B4C" w:rsidRDefault="00EB1B4C" w:rsidP="00EB1B4C">
      <w:pPr>
        <w:pStyle w:val="Caption"/>
        <w:keepNext/>
      </w:pPr>
      <w:bookmarkStart w:id="32" w:name="_Ref93578923"/>
      <w:r>
        <w:t xml:space="preserve">Equation </w:t>
      </w:r>
      <w:r w:rsidR="00A302ED">
        <w:fldChar w:fldCharType="begin"/>
      </w:r>
      <w:r w:rsidR="00A302ED">
        <w:instrText xml:space="preserve"> SEQ Equation \* ARABIC </w:instrText>
      </w:r>
      <w:r w:rsidR="00A302ED">
        <w:fldChar w:fldCharType="separate"/>
      </w:r>
      <w:r w:rsidR="00D73B16">
        <w:rPr>
          <w:noProof/>
        </w:rPr>
        <w:t>4</w:t>
      </w:r>
      <w:r w:rsidR="00A302ED">
        <w:rPr>
          <w:noProof/>
        </w:rPr>
        <w:fldChar w:fldCharType="end"/>
      </w:r>
      <w:bookmarkEnd w:id="32"/>
    </w:p>
    <w:p w14:paraId="29CA2B75" w14:textId="0F228DF8" w:rsidR="00283D34" w:rsidRPr="00283D34" w:rsidRDefault="001D3356" w:rsidP="00E01957">
      <w:pPr>
        <w:spacing w:line="360" w:lineRule="auto"/>
        <w:rPr>
          <w:rFonts w:eastAsiaTheme="minorEastAsia"/>
        </w:rPr>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(z)</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(z)k</m:t>
              </m:r>
            </m:sub>
          </m:sSub>
          <m:r>
            <w:rPr>
              <w:rFonts w:ascii="Cambria Math" w:hAnsi="Cambria Math"/>
            </w:rPr>
            <m:t xml:space="preserve"> </m:t>
          </m:r>
        </m:oMath>
      </m:oMathPara>
    </w:p>
    <w:p w14:paraId="630D9E57" w14:textId="6B1D4133" w:rsidR="00283D34" w:rsidRDefault="00283D34"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oMath>
      <w:r>
        <w:rPr>
          <w:rFonts w:eastAsiaTheme="minorEastAsia"/>
        </w:rPr>
        <w:t xml:space="preserve"> is the DBH in meters of individual </w:t>
      </w:r>
      <m:oMath>
        <m:r>
          <w:rPr>
            <w:rFonts w:ascii="Cambria Math" w:eastAsiaTheme="minorEastAsia" w:hAnsi="Cambria Math"/>
          </w:rPr>
          <m:t>i</m:t>
        </m:r>
      </m:oMath>
      <w:r>
        <w:rPr>
          <w:rFonts w:eastAsiaTheme="minorEastAsia"/>
        </w:rPr>
        <w:t xml:space="preserve"> at</w:t>
      </w:r>
      <w:r w:rsidR="005B0749">
        <w:rPr>
          <w:rFonts w:eastAsiaTheme="minorEastAsia"/>
        </w:rPr>
        <w:t xml:space="preserve"> remeasurement</w:t>
      </w:r>
      <w:r w:rsidR="00880C94">
        <w:rPr>
          <w:rFonts w:eastAsiaTheme="minorEastAsia"/>
        </w:rPr>
        <w:t xml:space="preserve"> drawn from a truncated normal distribution (to prevent biologically impossible negative size)</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Pr>
          <w:rFonts w:eastAsiaTheme="minorEastAsia"/>
        </w:rPr>
        <w:t xml:space="preserve"> is the residual variance,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i,*</m:t>
            </m:r>
          </m:sub>
        </m:sSub>
      </m:oMath>
      <w:r>
        <w:rPr>
          <w:rFonts w:eastAsiaTheme="minorEastAsia"/>
        </w:rPr>
        <w:t xml:space="preserve"> is a </w:t>
      </w:r>
      <w:r w:rsidR="004F6CE4">
        <w:rPr>
          <w:rFonts w:eastAsiaTheme="minorEastAsia"/>
        </w:rPr>
        <w:t xml:space="preserve">row </w:t>
      </w:r>
      <w:r>
        <w:rPr>
          <w:rFonts w:eastAsiaTheme="minorEastAsia"/>
        </w:rPr>
        <w:lastRenderedPageBreak/>
        <w:t xml:space="preserve">vector </w:t>
      </w:r>
      <w:commentRangeStart w:id="33"/>
      <w:r>
        <w:rPr>
          <w:rFonts w:eastAsiaTheme="minorEastAsia"/>
        </w:rPr>
        <w:t>of</w:t>
      </w:r>
      <w:commentRangeEnd w:id="33"/>
      <w:r w:rsidR="00DF0297">
        <w:rPr>
          <w:rStyle w:val="CommentReference"/>
        </w:rPr>
        <w:commentReference w:id="33"/>
      </w:r>
      <w:r>
        <w:rPr>
          <w:rFonts w:eastAsiaTheme="minorEastAsia"/>
        </w:rPr>
        <w:t xml:space="preserve"> the fixed effects </w:t>
      </w:r>
      <w:r w:rsidR="005B0749">
        <w:rPr>
          <w:rFonts w:eastAsiaTheme="minorEastAsia"/>
        </w:rPr>
        <w:t>covariates</w:t>
      </w:r>
      <w:r>
        <w:rPr>
          <w:rFonts w:eastAsiaTheme="minorEastAsia"/>
        </w:rPr>
        <w:t xml:space="preserve">, and the other parameters </w:t>
      </w:r>
      <w:r w:rsidR="00880C94">
        <w:rPr>
          <w:rFonts w:eastAsiaTheme="minorEastAsia"/>
        </w:rPr>
        <w:t xml:space="preserve">are as defined for the survival sub model, though here indexed </w:t>
      </w:r>
      <m:oMath>
        <m:r>
          <w:rPr>
            <w:rFonts w:ascii="Cambria Math" w:eastAsiaTheme="minorEastAsia" w:hAnsi="Cambria Math"/>
          </w:rPr>
          <m:t>z</m:t>
        </m:r>
      </m:oMath>
      <w:r w:rsidR="00880C94">
        <w:rPr>
          <w:rFonts w:eastAsiaTheme="minorEastAsia"/>
        </w:rPr>
        <w:t xml:space="preserve"> to indicate that they are the parameters specifically for the growth sub model.</w:t>
      </w:r>
      <w:r w:rsidR="005B0749">
        <w:rPr>
          <w:rFonts w:eastAsiaTheme="minorEastAsia"/>
        </w:rPr>
        <w:t xml:space="preserve"> The fixed effect covariates for the growth model are the same as those for the survival model, except that a quadratic effect of initial size (and the associated interactions) were omitted because </w:t>
      </w:r>
      <w:r w:rsidR="00574C47">
        <w:rPr>
          <w:rFonts w:eastAsiaTheme="minorEastAsia"/>
        </w:rPr>
        <w:t xml:space="preserve">the Hamiltonian Monte Carlo sampling algorithm experienced divergent transitions when attempting to fit models including a quadratic effect of initial size on size at remeasurement. </w:t>
      </w:r>
      <w:r w:rsidR="003B4431">
        <w:rPr>
          <w:rFonts w:eastAsiaTheme="minorEastAsia"/>
        </w:rPr>
        <w:t xml:space="preserve">Visual data exploration did not reveal any evidence </w:t>
      </w:r>
      <w:r w:rsidR="00171F10">
        <w:rPr>
          <w:rFonts w:eastAsiaTheme="minorEastAsia"/>
        </w:rPr>
        <w:t>of a</w:t>
      </w:r>
      <w:r w:rsidR="003B4431">
        <w:rPr>
          <w:rFonts w:eastAsiaTheme="minorEastAsia"/>
        </w:rPr>
        <w:t xml:space="preserve"> quadratic effect of initial size on size at remeasurement. </w:t>
      </w:r>
      <w:r w:rsidR="005B0749">
        <w:rPr>
          <w:rFonts w:eastAsiaTheme="minorEastAsia"/>
        </w:rPr>
        <w:t xml:space="preserve"> </w:t>
      </w:r>
    </w:p>
    <w:p w14:paraId="1004C56C" w14:textId="70DEBBB4" w:rsidR="005D154F" w:rsidRDefault="005D154F" w:rsidP="00E01957">
      <w:pPr>
        <w:spacing w:line="360" w:lineRule="auto"/>
        <w:rPr>
          <w:rFonts w:eastAsiaTheme="minorEastAsia"/>
        </w:rPr>
      </w:pPr>
      <w:r>
        <w:rPr>
          <w:rFonts w:eastAsiaTheme="minorEastAsia"/>
        </w:rPr>
        <w:tab/>
        <w:t>As noted in</w:t>
      </w:r>
      <w:r w:rsidR="00B064C4">
        <w:rPr>
          <w:rFonts w:eastAsiaTheme="minorEastAsia"/>
        </w:rPr>
        <w:t xml:space="preserve"> </w:t>
      </w:r>
      <w:commentRangeStart w:id="34"/>
      <w:r w:rsidR="00B064C4">
        <w:rPr>
          <w:rFonts w:eastAsiaTheme="minorEastAsia"/>
        </w:rPr>
        <w:fldChar w:fldCharType="begin" w:fldLock="1"/>
      </w:r>
      <w:r w:rsidR="002C19B3">
        <w:rPr>
          <w:rFonts w:eastAsiaTheme="minorEastAsia"/>
        </w:rPr>
        <w:instrText>ADDIN CSL_CITATION {"citationItems":[{"id":"ITEM-1","itemData":{"DOI":"10.1002/ecy.3425","ISSN":"0012-9658","abstract":"Abstract Climate change is expected to alter the distribution and abundance of tree species, impacting ecosystem structure and function. Yet, anticipating where this will occur is often hampered by a lack of understanding of how demographic rates, most notably recruitment, vary in response to climate and competition across a species range. Using large-scale monitoring data on two dry woodland tree species (Pinus edulis and Juniperus osteosperma), we develop an approach to infer recruitment, survival, and growth of both species across their range. In doing so, we account for ecological and statistical dependencies inherent in large-scale monitoring data. We find that drying and warming conditions generally lead to declines in recruitment and survival, but the strength of responses varied between species. These climate conditions point to geographic regions of high vulnerability for particular species, such as Pinus edulis in N. Arizona, where both survival and recruitment are low. Our approach provides a path forward for leveraging emerging large-scale monitoring and remotely sensed data to anticipate the impacts of global change on species distributions.","author":[{"dropping-particle":"","family":"Shriver","given":"Robert K.","non-dropping-particle":"","parse-names":false,"suffix":""},{"dropping-particle":"","family":"Yackulic","given":"Charles B.","non-dropping-particle":"","parse-names":false,"suffix":""},{"dropping-particle":"","family":"Bell","given":"David M.","non-dropping-particle":"","parse-names":false,"suffix":""},{"dropping-particle":"","family":"Bradford","given":"John B.","non-dropping-particle":"","parse-names":false,"suffix":""}],"container-title":"Ecology","id":"ITEM-1","issue":"0","issued":{"date-parts":[["2021"]]},"page":"1-12","title":"Quantifying the demographic vulnerabilities of dry woodlands to climate and competition using range‐wide monitoring data","type":"article-journal","volume":"0"},"uris":["http://www.mendeley.com/documents/?uuid=11821100-49dc-46c9-bda1-134da21a5ab2"]}],"mendeley":{"formattedCitation":"(Shriver &lt;i&gt;et al.&lt;/i&gt;, 2021)","plainTextFormattedCitation":"(Shriver et al., 2021)","previouslyFormattedCitation":"(Shriver &lt;i&gt;et al.&lt;/i&gt;, 2021)"},"properties":{"noteIndex":0},"schema":"https://github.com/citation-style-language/schema/raw/master/csl-citation.json"}</w:instrText>
      </w:r>
      <w:r w:rsidR="00B064C4">
        <w:rPr>
          <w:rFonts w:eastAsiaTheme="minorEastAsia"/>
        </w:rPr>
        <w:fldChar w:fldCharType="separate"/>
      </w:r>
      <w:r w:rsidR="00EB4A84" w:rsidRPr="00EB4A84">
        <w:rPr>
          <w:rFonts w:eastAsiaTheme="minorEastAsia"/>
          <w:noProof/>
        </w:rPr>
        <w:t xml:space="preserve">(Shriver </w:t>
      </w:r>
      <w:r w:rsidR="00EB4A84" w:rsidRPr="00EB4A84">
        <w:rPr>
          <w:rFonts w:eastAsiaTheme="minorEastAsia"/>
          <w:i/>
          <w:noProof/>
        </w:rPr>
        <w:t>et al.</w:t>
      </w:r>
      <w:r w:rsidR="00EB4A84" w:rsidRPr="00EB4A84">
        <w:rPr>
          <w:rFonts w:eastAsiaTheme="minorEastAsia"/>
          <w:noProof/>
        </w:rPr>
        <w:t>, 2021)</w:t>
      </w:r>
      <w:r w:rsidR="00B064C4">
        <w:rPr>
          <w:rFonts w:eastAsiaTheme="minorEastAsia"/>
        </w:rPr>
        <w:fldChar w:fldCharType="end"/>
      </w:r>
      <w:r>
        <w:rPr>
          <w:rFonts w:eastAsiaTheme="minorEastAsia"/>
        </w:rPr>
        <w:t xml:space="preserve">, </w:t>
      </w:r>
      <w:commentRangeEnd w:id="34"/>
      <w:r w:rsidR="007108F6">
        <w:rPr>
          <w:rStyle w:val="CommentReference"/>
        </w:rPr>
        <w:commentReference w:id="34"/>
      </w:r>
      <w:r>
        <w:rPr>
          <w:rFonts w:eastAsiaTheme="minorEastAsia"/>
        </w:rPr>
        <w:t xml:space="preserve">analysis of recruitment is complicated by the fact that seedlings (stems whose </w:t>
      </w:r>
      <w:r>
        <w:t xml:space="preserve">height &gt;= 0.15 m and DBH &lt; </w:t>
      </w:r>
      <w:r w:rsidR="00277C16">
        <w:t>0.0254</w:t>
      </w:r>
      <w:r>
        <w:t xml:space="preserve"> m) are not individually surveyed</w:t>
      </w:r>
      <w:r w:rsidR="009F5DED">
        <w:t xml:space="preserve"> and tagged</w:t>
      </w:r>
      <w:r>
        <w:t xml:space="preserve">, but instead tallied by species. Thus, there is uncertainty as to which of the seedlings present at </w:t>
      </w:r>
      <w:r w:rsidR="003B4431">
        <w:t xml:space="preserve">remeasurement </w:t>
      </w:r>
      <w:r>
        <w:rPr>
          <w:rFonts w:eastAsiaTheme="minorEastAsia"/>
        </w:rPr>
        <w:t xml:space="preserve">are true new recruits (vs. individuals which were already present at </w:t>
      </w:r>
      <w:r w:rsidR="003B4431">
        <w:rPr>
          <w:rFonts w:eastAsiaTheme="minorEastAsia"/>
        </w:rPr>
        <w:t>the initial measurement</w:t>
      </w:r>
      <w:r>
        <w:rPr>
          <w:rFonts w:eastAsiaTheme="minorEastAsia"/>
        </w:rPr>
        <w:t xml:space="preserve">). </w:t>
      </w:r>
      <w:r w:rsidR="003B4431">
        <w:rPr>
          <w:rFonts w:eastAsiaTheme="minorEastAsia"/>
        </w:rPr>
        <w:t>We</w:t>
      </w:r>
      <w:r>
        <w:rPr>
          <w:rFonts w:eastAsiaTheme="minorEastAsia"/>
        </w:rPr>
        <w:t xml:space="preserve"> followed</w:t>
      </w:r>
      <w:r w:rsidR="00171F10">
        <w:rPr>
          <w:rFonts w:eastAsiaTheme="minorEastAsia"/>
        </w:rPr>
        <w:t xml:space="preserve"> the approach of Shriver et al. (2021) </w:t>
      </w:r>
      <w:r>
        <w:rPr>
          <w:rFonts w:eastAsiaTheme="minorEastAsia"/>
        </w:rPr>
        <w:t xml:space="preserve">to address this issue by building a recruitment model which is itself an integral projection model </w:t>
      </w:r>
      <w:r w:rsidR="00C83A6E">
        <w:rPr>
          <w:rFonts w:eastAsiaTheme="minorEastAsia"/>
        </w:rPr>
        <w:t>describing</w:t>
      </w:r>
      <w:r>
        <w:rPr>
          <w:rFonts w:eastAsiaTheme="minorEastAsia"/>
        </w:rPr>
        <w:t xml:space="preserve"> the survival</w:t>
      </w:r>
      <w:r w:rsidR="00481D04">
        <w:rPr>
          <w:rFonts w:eastAsiaTheme="minorEastAsia"/>
        </w:rPr>
        <w:t xml:space="preserve">, growth, and recruitment of seedlings. In this way, the </w:t>
      </w:r>
      <w:r w:rsidR="00AA3167">
        <w:rPr>
          <w:rFonts w:eastAsiaTheme="minorEastAsia"/>
        </w:rPr>
        <w:t>number of new seedlings on each plot can be estimated as a latent state</w:t>
      </w:r>
      <w:r w:rsidR="00481D04">
        <w:rPr>
          <w:rFonts w:eastAsiaTheme="minorEastAsia"/>
        </w:rPr>
        <w:t xml:space="preserve"> based on a count of </w:t>
      </w:r>
      <w:r w:rsidR="00AA3167">
        <w:rPr>
          <w:rFonts w:eastAsiaTheme="minorEastAsia"/>
        </w:rPr>
        <w:t xml:space="preserve">all </w:t>
      </w:r>
      <w:r w:rsidR="00C83A6E">
        <w:rPr>
          <w:rFonts w:eastAsiaTheme="minorEastAsia"/>
        </w:rPr>
        <w:t>seedlings at remeasurement</w:t>
      </w:r>
      <w:r w:rsidR="00481D04">
        <w:rPr>
          <w:rFonts w:eastAsiaTheme="minorEastAsia"/>
        </w:rPr>
        <w:t xml:space="preserve"> and </w:t>
      </w:r>
      <w:r w:rsidR="00C83A6E">
        <w:rPr>
          <w:rFonts w:eastAsiaTheme="minorEastAsia"/>
        </w:rPr>
        <w:t xml:space="preserve">the </w:t>
      </w:r>
      <w:r w:rsidR="00481D04">
        <w:rPr>
          <w:rFonts w:eastAsiaTheme="minorEastAsia"/>
        </w:rPr>
        <w:t xml:space="preserve">estimated (from the survival and growth sub models) rates of growth and survival among pre-existing seedlings. </w:t>
      </w:r>
    </w:p>
    <w:p w14:paraId="50C9C237" w14:textId="2BD3CEBF" w:rsidR="00481D04" w:rsidRDefault="00481D04" w:rsidP="00E01957">
      <w:pPr>
        <w:spacing w:line="360" w:lineRule="auto"/>
        <w:rPr>
          <w:rFonts w:eastAsiaTheme="minorEastAsia"/>
        </w:rPr>
      </w:pPr>
      <w:r>
        <w:rPr>
          <w:rFonts w:eastAsiaTheme="minorEastAsia"/>
        </w:rPr>
        <w:tab/>
        <w:t xml:space="preserve">The response distribution for the </w:t>
      </w:r>
      <w:r w:rsidR="0090133B">
        <w:rPr>
          <w:rFonts w:eastAsiaTheme="minorEastAsia"/>
        </w:rPr>
        <w:t>fecundity</w:t>
      </w:r>
      <w:r>
        <w:rPr>
          <w:rFonts w:eastAsiaTheme="minorEastAsia"/>
        </w:rPr>
        <w:t xml:space="preserve"> sub model is:</w:t>
      </w:r>
    </w:p>
    <w:p w14:paraId="685C303F" w14:textId="389EE448" w:rsidR="00EB1B4C" w:rsidRDefault="00EB1B4C" w:rsidP="00EB1B4C">
      <w:pPr>
        <w:pStyle w:val="Caption"/>
        <w:keepNext/>
      </w:pPr>
      <w:r>
        <w:t xml:space="preserve">Equation </w:t>
      </w:r>
      <w:r w:rsidR="00A302ED">
        <w:fldChar w:fldCharType="begin"/>
      </w:r>
      <w:r w:rsidR="00A302ED">
        <w:instrText xml:space="preserve"> SEQ Equation \* ARABIC </w:instrText>
      </w:r>
      <w:r w:rsidR="00A302ED">
        <w:fldChar w:fldCharType="separate"/>
      </w:r>
      <w:r w:rsidR="00D73B16">
        <w:rPr>
          <w:noProof/>
        </w:rPr>
        <w:t>5</w:t>
      </w:r>
      <w:r w:rsidR="00A302ED">
        <w:rPr>
          <w:noProof/>
        </w:rPr>
        <w:fldChar w:fldCharType="end"/>
      </w:r>
    </w:p>
    <w:p w14:paraId="17730052" w14:textId="10279186" w:rsidR="00481D04" w:rsidRPr="004A6BFC" w:rsidRDefault="001D3356" w:rsidP="00E01957">
      <w:pPr>
        <w:spacing w:line="360" w:lineRule="auto"/>
        <w:rPr>
          <w:rFonts w:eastAsiaTheme="minorEastAsia"/>
        </w:rPr>
      </w:pPr>
      <m:oMathPara>
        <m:oMath>
          <m:sSub>
            <m:sSubPr>
              <m:ctrlPr>
                <w:rPr>
                  <w:rFonts w:ascii="Cambria Math" w:hAnsi="Cambria Math"/>
                  <w:i/>
                </w:rPr>
              </m:ctrlPr>
            </m:sSubPr>
            <m:e>
              <m:r>
                <m:rPr>
                  <m:nor/>
                </m:rPr>
                <w:rPr>
                  <w:rFonts w:ascii="Cambria Math" w:hAnsi="Cambria Math"/>
                  <w:b/>
                  <w:bCs/>
                </w:rPr>
                <m:t>c</m:t>
              </m:r>
              <m:r>
                <w:rPr>
                  <w:rFonts w:ascii="Cambria Math" w:hAnsi="Cambria Math"/>
                </w:rPr>
                <m:t>'</m:t>
              </m:r>
            </m:e>
            <m:sub>
              <m:r>
                <w:rPr>
                  <w:rFonts w:ascii="Cambria Math" w:hAnsi="Cambria Math"/>
                </w:rPr>
                <m:t>j</m:t>
              </m:r>
            </m:sub>
          </m:sSub>
          <m:r>
            <w:rPr>
              <w:rFonts w:ascii="Cambria Math" w:hAnsi="Cambria Math"/>
            </w:rPr>
            <m:t>~</m:t>
          </m:r>
          <m:r>
            <m:rPr>
              <m:nor/>
            </m:rPr>
            <w:rPr>
              <w:rFonts w:ascii="Cambria Math" w:hAnsi="Cambria Math"/>
            </w:rPr>
            <m:t>Neg.Binomial(</m:t>
          </m:r>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r>
            <w:rPr>
              <w:rFonts w:ascii="Cambria Math" w:hAnsi="Cambria Math"/>
            </w:rPr>
            <m:t>×a,κ</m:t>
          </m:r>
          <m:r>
            <w:rPr>
              <w:rFonts w:ascii="Cambria Math" w:eastAsiaTheme="minorEastAsia" w:hAnsi="Cambria Math"/>
            </w:rPr>
            <m:t>)</m:t>
          </m:r>
        </m:oMath>
      </m:oMathPara>
    </w:p>
    <w:p w14:paraId="4B036C5F" w14:textId="46042FC8" w:rsidR="00C56685" w:rsidRDefault="004A6BFC" w:rsidP="00E01957">
      <w:pPr>
        <w:spacing w:line="360" w:lineRule="auto"/>
        <w:rPr>
          <w:rFonts w:eastAsiaTheme="minorEastAsia"/>
        </w:rPr>
      </w:pPr>
      <w:r>
        <w:rPr>
          <w:rFonts w:eastAsiaTheme="minorEastAsia"/>
        </w:rPr>
        <w:tab/>
      </w:r>
      <w:r w:rsidR="00CA6E7F">
        <w:rPr>
          <w:rFonts w:eastAsiaTheme="minorEastAsia"/>
        </w:rPr>
        <w:t>w</w:t>
      </w:r>
      <w:r>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c</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is the observed count of</w:t>
      </w:r>
      <w:r w:rsidR="009F5DED">
        <w:rPr>
          <w:rFonts w:eastAsiaTheme="minorEastAsia"/>
        </w:rPr>
        <w:t xml:space="preserve"> </w:t>
      </w:r>
      <w:r w:rsidR="00884AB8">
        <w:rPr>
          <w:rFonts w:eastAsiaTheme="minorEastAsia"/>
        </w:rPr>
        <w:t>seedlings</w:t>
      </w:r>
      <w:r w:rsidR="005D2253">
        <w:rPr>
          <w:rFonts w:eastAsiaTheme="minorEastAsia"/>
        </w:rPr>
        <w:t xml:space="preserve"> on plot </w:t>
      </w:r>
      <m:oMath>
        <m:r>
          <w:rPr>
            <w:rFonts w:ascii="Cambria Math" w:eastAsiaTheme="minorEastAsia" w:hAnsi="Cambria Math"/>
          </w:rPr>
          <m:t>j</m:t>
        </m:r>
      </m:oMath>
      <w:r>
        <w:rPr>
          <w:rFonts w:eastAsiaTheme="minorEastAsia"/>
        </w:rPr>
        <w:t xml:space="preserve"> </w:t>
      </w:r>
      <w:r w:rsidR="00884AB8">
        <w:rPr>
          <w:rFonts w:eastAsiaTheme="minorEastAsia"/>
        </w:rPr>
        <w:t>at remeasurement</w:t>
      </w:r>
      <w:r>
        <w:rPr>
          <w:rFonts w:eastAsiaTheme="minorEastAsia"/>
        </w:rPr>
        <w:t xml:space="preserve">, which </w:t>
      </w:r>
      <w:r w:rsidR="00884AB8">
        <w:rPr>
          <w:rFonts w:eastAsiaTheme="minorEastAsia"/>
        </w:rPr>
        <w:t xml:space="preserve">includes </w:t>
      </w:r>
      <w:r>
        <w:rPr>
          <w:rFonts w:eastAsiaTheme="minorEastAsia"/>
        </w:rPr>
        <w:t xml:space="preserve">both new recruits and </w:t>
      </w:r>
      <w:r w:rsidR="009F5DED">
        <w:rPr>
          <w:rFonts w:eastAsiaTheme="minorEastAsia"/>
        </w:rPr>
        <w:t>individuals which were present but untagged due to their small size at the initial measurement</w:t>
      </w:r>
      <w:commentRangeStart w:id="35"/>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Pr>
          <w:rFonts w:eastAsiaTheme="minorEastAsia"/>
        </w:rPr>
        <w:t xml:space="preserve"> </w:t>
      </w:r>
      <w:r w:rsidR="009917FF">
        <w:rPr>
          <w:rFonts w:eastAsiaTheme="minorEastAsia"/>
        </w:rPr>
        <w:t>is</w:t>
      </w:r>
      <w:r w:rsidR="00B02855">
        <w:rPr>
          <w:rFonts w:eastAsiaTheme="minorEastAsia"/>
        </w:rPr>
        <w:t xml:space="preserve"> a </w:t>
      </w:r>
      <m:oMath>
        <m:r>
          <w:rPr>
            <w:rFonts w:ascii="Cambria Math" w:eastAsiaTheme="minorEastAsia" w:hAnsi="Cambria Math"/>
          </w:rPr>
          <m:t>100×1</m:t>
        </m:r>
      </m:oMath>
      <w:r w:rsidR="00B02855">
        <w:rPr>
          <w:rFonts w:eastAsiaTheme="minorEastAsia"/>
        </w:rPr>
        <w:t xml:space="preserve"> vector containing</w:t>
      </w:r>
      <w:r w:rsidR="009917FF">
        <w:rPr>
          <w:rFonts w:eastAsiaTheme="minorEastAsia"/>
        </w:rPr>
        <w:t xml:space="preserve"> the </w:t>
      </w:r>
      <w:r>
        <w:rPr>
          <w:rFonts w:eastAsiaTheme="minorEastAsia"/>
        </w:rPr>
        <w:t>area-standardized occurrence rate</w:t>
      </w:r>
      <w:r w:rsidR="00B02855">
        <w:rPr>
          <w:rFonts w:eastAsiaTheme="minorEastAsia"/>
        </w:rPr>
        <w:t xml:space="preserve">s of 100 </w:t>
      </w:r>
      <w:r w:rsidR="00277C16">
        <w:rPr>
          <w:rFonts w:eastAsiaTheme="minorEastAsia"/>
        </w:rPr>
        <w:t>0.0</w:t>
      </w:r>
      <w:r w:rsidR="00B02855">
        <w:rPr>
          <w:rFonts w:eastAsiaTheme="minorEastAsia"/>
        </w:rPr>
        <w:t xml:space="preserve">254 m wide DBH size classes </w:t>
      </w:r>
      <w:r w:rsidR="00C83A6E">
        <w:rPr>
          <w:rFonts w:eastAsiaTheme="minorEastAsia"/>
        </w:rPr>
        <w:t xml:space="preserve">(ranging from 0 to 2.54 m) </w:t>
      </w:r>
      <w:r w:rsidR="00B02855">
        <w:rPr>
          <w:rFonts w:eastAsiaTheme="minorEastAsia"/>
        </w:rPr>
        <w:t xml:space="preserve">on plot </w:t>
      </w:r>
      <m:oMath>
        <m:r>
          <w:rPr>
            <w:rFonts w:ascii="Cambria Math" w:eastAsiaTheme="minorEastAsia" w:hAnsi="Cambria Math"/>
          </w:rPr>
          <m:t>j</m:t>
        </m:r>
      </m:oMath>
      <w:r w:rsidR="00B02855">
        <w:rPr>
          <w:rFonts w:eastAsiaTheme="minorEastAsia"/>
        </w:rPr>
        <w:t xml:space="preserve"> at remeasurement,</w:t>
      </w:r>
      <w:r w:rsidR="0029268F">
        <w:rPr>
          <w:rFonts w:eastAsiaTheme="minorEastAsia"/>
        </w:rPr>
        <w:t xml:space="preserve"> </w:t>
      </w:r>
      <m:oMath>
        <m:sSub>
          <m:sSubPr>
            <m:ctrlPr>
              <w:rPr>
                <w:rFonts w:ascii="Cambria Math" w:hAnsi="Cambria Math"/>
                <w:i/>
              </w:rPr>
            </m:ctrlPr>
          </m:sSubPr>
          <m:e>
            <m:r>
              <m:rPr>
                <m:nor/>
              </m:rPr>
              <w:rPr>
                <w:rFonts w:ascii="Cambria Math" w:hAnsi="Cambria Math"/>
                <w:b/>
                <w:bCs/>
              </w:rPr>
              <m:t>n</m:t>
            </m:r>
            <m:r>
              <w:rPr>
                <w:rFonts w:ascii="Cambria Math" w:hAnsi="Cambria Math"/>
              </w:rPr>
              <m:t>'</m:t>
            </m:r>
          </m:e>
          <m:sub>
            <m:r>
              <w:rPr>
                <w:rFonts w:ascii="Cambria Math" w:hAnsi="Cambria Math"/>
              </w:rPr>
              <m:t>j,1</m:t>
            </m:r>
          </m:sub>
        </m:sSub>
      </m:oMath>
      <w:r w:rsidR="00B02855">
        <w:rPr>
          <w:rFonts w:eastAsiaTheme="minorEastAsia"/>
        </w:rPr>
        <w:t xml:space="preserve"> </w:t>
      </w:r>
      <w:r w:rsidR="0029268F">
        <w:rPr>
          <w:rFonts w:eastAsiaTheme="minorEastAsia"/>
        </w:rPr>
        <w:t xml:space="preserve">is the first element of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29268F">
        <w:rPr>
          <w:rFonts w:eastAsiaTheme="minorEastAsia"/>
        </w:rPr>
        <w:t xml:space="preserve"> and is the area-standardized occurrence rate </w:t>
      </w:r>
      <w:r w:rsidR="009917FF">
        <w:rPr>
          <w:rFonts w:eastAsiaTheme="minorEastAsia"/>
        </w:rPr>
        <w:t>of seedlings</w:t>
      </w:r>
      <w:r w:rsidR="005441D3">
        <w:rPr>
          <w:rFonts w:eastAsiaTheme="minorEastAsia"/>
        </w:rPr>
        <w:t xml:space="preserve"> </w:t>
      </w:r>
      <w:r w:rsidR="005D2253">
        <w:rPr>
          <w:rFonts w:eastAsiaTheme="minorEastAsia"/>
        </w:rPr>
        <w:t xml:space="preserve">(size class 1) </w:t>
      </w:r>
      <w:r w:rsidR="005441D3">
        <w:rPr>
          <w:rFonts w:eastAsiaTheme="minorEastAsia"/>
        </w:rPr>
        <w:t>at remeasurement</w:t>
      </w:r>
      <w:r w:rsidR="0093310D">
        <w:rPr>
          <w:rFonts w:eastAsiaTheme="minorEastAsia"/>
        </w:rPr>
        <w:t>,</w:t>
      </w:r>
      <w:r w:rsidR="005F02B2">
        <w:rPr>
          <w:rFonts w:eastAsiaTheme="minorEastAsia"/>
        </w:rPr>
        <w:t xml:space="preserve"> </w:t>
      </w:r>
      <m:oMath>
        <m:r>
          <w:rPr>
            <w:rFonts w:ascii="Cambria Math" w:eastAsiaTheme="minorEastAsia" w:hAnsi="Cambria Math"/>
          </w:rPr>
          <m:t>a</m:t>
        </m:r>
      </m:oMath>
      <w:r w:rsidR="005F02B2">
        <w:rPr>
          <w:rFonts w:eastAsiaTheme="minorEastAsia"/>
        </w:rPr>
        <w:t xml:space="preserve"> g</w:t>
      </w:r>
      <w:r w:rsidR="009917FF">
        <w:rPr>
          <w:rFonts w:eastAsiaTheme="minorEastAsia"/>
        </w:rPr>
        <w:t>ives</w:t>
      </w:r>
      <w:r w:rsidR="005F02B2">
        <w:rPr>
          <w:rFonts w:eastAsiaTheme="minorEastAsia"/>
        </w:rPr>
        <w:t xml:space="preserve"> the total plot area surveyed for </w:t>
      </w:r>
      <w:r w:rsidR="009917FF">
        <w:rPr>
          <w:rFonts w:eastAsiaTheme="minorEastAsia"/>
        </w:rPr>
        <w:t>seedlings</w:t>
      </w:r>
      <w:commentRangeEnd w:id="35"/>
      <w:r w:rsidR="005D2253">
        <w:rPr>
          <w:rStyle w:val="CommentReference"/>
        </w:rPr>
        <w:commentReference w:id="35"/>
      </w:r>
      <w:r w:rsidR="005F02B2">
        <w:rPr>
          <w:rFonts w:eastAsiaTheme="minorEastAsia"/>
        </w:rPr>
        <w:t xml:space="preserve">, and </w:t>
      </w:r>
      <m:oMath>
        <m:r>
          <w:rPr>
            <w:rFonts w:ascii="Cambria Math" w:eastAsiaTheme="minorEastAsia" w:hAnsi="Cambria Math"/>
          </w:rPr>
          <m:t>κ</m:t>
        </m:r>
      </m:oMath>
      <w:r w:rsidR="005F02B2">
        <w:rPr>
          <w:rFonts w:eastAsiaTheme="minorEastAsia"/>
        </w:rPr>
        <w:t xml:space="preserve"> is the dispersion parameter for the negative binomial distribution. </w:t>
      </w:r>
      <w:r w:rsidR="001E1A16">
        <w:rPr>
          <w:rFonts w:eastAsiaTheme="minorEastAsia"/>
        </w:rPr>
        <w:t>The</w:t>
      </w:r>
      <w:r w:rsidR="00513781">
        <w:rPr>
          <w:rFonts w:eastAsiaTheme="minorEastAsia"/>
        </w:rPr>
        <w:t xml:space="preserve"> largest observed individual in the data is 2.45 m.  </w:t>
      </w:r>
    </w:p>
    <w:p w14:paraId="5C655F76" w14:textId="52ABE052" w:rsidR="009917FF" w:rsidRDefault="009917FF" w:rsidP="00E01957">
      <w:pPr>
        <w:spacing w:line="360" w:lineRule="auto"/>
        <w:rPr>
          <w:rFonts w:eastAsiaTheme="minorEastAsia"/>
        </w:rPr>
      </w:pPr>
      <w:r>
        <w:rPr>
          <w:rFonts w:eastAsiaTheme="minorEastAsia"/>
        </w:rPr>
        <w:tab/>
        <w:t>The area-standardized occurrence rate</w:t>
      </w:r>
      <w:r w:rsidR="005D2253">
        <w:rPr>
          <w:rFonts w:eastAsiaTheme="minorEastAsia"/>
        </w:rPr>
        <w:t>s of all size classes at remeasurement</w:t>
      </w:r>
      <w:r w:rsidR="005441D3">
        <w:rPr>
          <w:rFonts w:eastAsiaTheme="minorEastAsia"/>
        </w:rPr>
        <w:t>,</w:t>
      </w:r>
      <w:r>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oMath>
      <w:r w:rsidR="005441D3">
        <w:rPr>
          <w:rFonts w:eastAsiaTheme="minorEastAsia"/>
        </w:rPr>
        <w:t>,</w:t>
      </w:r>
      <w:r>
        <w:rPr>
          <w:rFonts w:eastAsiaTheme="minorEastAsia"/>
        </w:rPr>
        <w:t xml:space="preserve"> is the product of </w:t>
      </w:r>
      <w:r w:rsidR="005441D3">
        <w:rPr>
          <w:rFonts w:eastAsiaTheme="minorEastAsia"/>
        </w:rPr>
        <w:t>an integral projection model transition kernel and the area-standardized occurrence rate</w:t>
      </w:r>
      <w:r w:rsidR="00C83A6E">
        <w:rPr>
          <w:rFonts w:eastAsiaTheme="minorEastAsia"/>
        </w:rPr>
        <w:t>s</w:t>
      </w:r>
      <w:r w:rsidR="005441D3">
        <w:rPr>
          <w:rFonts w:eastAsiaTheme="minorEastAsia"/>
        </w:rPr>
        <w:t xml:space="preserve"> of </w:t>
      </w:r>
      <w:r w:rsidR="0029268F">
        <w:rPr>
          <w:rFonts w:eastAsiaTheme="minorEastAsia"/>
        </w:rPr>
        <w:t xml:space="preserve">the same size classes </w:t>
      </w:r>
      <w:r w:rsidR="005441D3">
        <w:rPr>
          <w:rFonts w:eastAsiaTheme="minorEastAsia"/>
        </w:rPr>
        <w:t>at initial measurement</w:t>
      </w:r>
      <w:r w:rsidR="00582802">
        <w:rPr>
          <w:rFonts w:eastAsiaTheme="minorEastAsia"/>
        </w:rPr>
        <w:t>:</w:t>
      </w:r>
    </w:p>
    <w:p w14:paraId="43E8C03F" w14:textId="679EC856" w:rsidR="00EB1B4C" w:rsidRDefault="00EB1B4C" w:rsidP="00EB1B4C">
      <w:pPr>
        <w:pStyle w:val="Caption"/>
        <w:keepNext/>
      </w:pPr>
      <w:r>
        <w:lastRenderedPageBreak/>
        <w:t xml:space="preserve">Equation </w:t>
      </w:r>
      <w:r w:rsidR="00A302ED">
        <w:fldChar w:fldCharType="begin"/>
      </w:r>
      <w:r w:rsidR="00A302ED">
        <w:instrText xml:space="preserve"> SEQ Equation \* ARABIC </w:instrText>
      </w:r>
      <w:r w:rsidR="00A302ED">
        <w:fldChar w:fldCharType="separate"/>
      </w:r>
      <w:r w:rsidR="00D73B16">
        <w:rPr>
          <w:noProof/>
        </w:rPr>
        <w:t>6</w:t>
      </w:r>
      <w:r w:rsidR="00A302ED">
        <w:rPr>
          <w:noProof/>
        </w:rPr>
        <w:fldChar w:fldCharType="end"/>
      </w:r>
    </w:p>
    <w:p w14:paraId="79BE3FAF" w14:textId="5AAB3130" w:rsidR="000B4F67" w:rsidRPr="000B4F67" w:rsidRDefault="001D3356" w:rsidP="00E01957">
      <w:pPr>
        <w:spacing w:line="360" w:lineRule="auto"/>
        <w:rPr>
          <w:rFonts w:eastAsiaTheme="minorEastAsia"/>
          <w:b/>
          <w:bCs/>
        </w:rPr>
      </w:pPr>
      <m:oMathPara>
        <m:oMath>
          <m:sSub>
            <m:sSubPr>
              <m:ctrlPr>
                <w:rPr>
                  <w:rFonts w:ascii="Cambria Math" w:eastAsiaTheme="minorEastAsia" w:hAnsi="Cambria Math"/>
                  <w:i/>
                </w:rPr>
              </m:ctrlPr>
            </m:sSubPr>
            <m:e>
              <m:r>
                <m:rPr>
                  <m:nor/>
                </m:rPr>
                <w:rPr>
                  <w:rFonts w:ascii="Cambria Math" w:eastAsiaTheme="minorEastAsia" w:hAnsi="Cambria Math"/>
                  <w:b/>
                  <w:bCs/>
                </w:rPr>
                <m:t>n</m:t>
              </m:r>
              <m:r>
                <w:rPr>
                  <w:rFonts w:ascii="Cambria Math" w:eastAsiaTheme="minorEastAsia" w:hAnsi="Cambria Math"/>
                </w:rPr>
                <m:t>'</m:t>
              </m:r>
            </m:e>
            <m:sub>
              <m:r>
                <w:rPr>
                  <w:rFonts w:ascii="Cambria Math" w:eastAsiaTheme="minorEastAsia" w:hAnsi="Cambria Math"/>
                </w:rPr>
                <m:t>j,*</m:t>
              </m:r>
            </m:sub>
          </m:sSub>
          <m:r>
            <w:rPr>
              <w:rFonts w:ascii="Cambria Math" w:eastAsiaTheme="minorEastAsia" w:hAnsi="Cambria Math"/>
            </w:rPr>
            <m:t xml:space="preserve">= </m:t>
          </m:r>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m:t>
          </m:r>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m:oMathPara>
    </w:p>
    <w:p w14:paraId="1AD7E99F" w14:textId="020CAD05" w:rsidR="000B4F67" w:rsidRDefault="000B4F67" w:rsidP="00E01957">
      <w:pPr>
        <w:spacing w:line="360" w:lineRule="auto"/>
        <w:rPr>
          <w:rFonts w:eastAsiaTheme="minorEastAsia"/>
        </w:rPr>
      </w:pPr>
      <w:r>
        <w:rPr>
          <w:rFonts w:eastAsiaTheme="minorEastAsia"/>
          <w:b/>
          <w:bCs/>
        </w:rPr>
        <w:tab/>
      </w:r>
      <w:r w:rsidR="00CA6E7F">
        <w:rPr>
          <w:rFonts w:eastAsiaTheme="minorEastAsia"/>
        </w:rPr>
        <w:t>w</w:t>
      </w:r>
      <w:r>
        <w:rPr>
          <w:rFonts w:eastAsiaTheme="minorEastAsia"/>
        </w:rPr>
        <w:t>here</w:t>
      </w:r>
      <w:r w:rsidR="006152D3">
        <w:rPr>
          <w:rFonts w:eastAsiaTheme="minorEastAsia"/>
        </w:rPr>
        <w:t xml:space="preserve"> each</w:t>
      </w:r>
      <w:r>
        <w:rPr>
          <w:rFonts w:eastAsiaTheme="minorEastAsia"/>
        </w:rPr>
        <w:t xml:space="preserv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w:rPr>
            <w:rFonts w:ascii="Cambria Math" w:eastAsiaTheme="minorEastAsia" w:hAnsi="Cambria Math"/>
          </w:rPr>
          <m:t xml:space="preserve"> </m:t>
        </m:r>
      </m:oMath>
      <w:r>
        <w:rPr>
          <w:rFonts w:eastAsiaTheme="minorEastAsia"/>
        </w:rPr>
        <w:t xml:space="preserve">is a </w:t>
      </w:r>
      <m:oMath>
        <m:r>
          <w:rPr>
            <w:rFonts w:ascii="Cambria Math" w:eastAsiaTheme="minorEastAsia" w:hAnsi="Cambria Math"/>
          </w:rPr>
          <m:t>100×100</m:t>
        </m:r>
      </m:oMath>
      <w:r>
        <w:rPr>
          <w:rFonts w:eastAsiaTheme="minorEastAsia"/>
        </w:rPr>
        <w:t xml:space="preserve"> </w:t>
      </w:r>
      <w:r w:rsidR="004900A0">
        <w:rPr>
          <w:rFonts w:eastAsiaTheme="minorEastAsia"/>
        </w:rPr>
        <w:t xml:space="preserve">discretized integral projection model kernel describing the rates of transition from each of </w:t>
      </w:r>
      <m:oMath>
        <m:r>
          <w:rPr>
            <w:rFonts w:ascii="Cambria Math" w:eastAsiaTheme="minorEastAsia" w:hAnsi="Cambria Math"/>
          </w:rPr>
          <m:t>v=1,2,…,100</m:t>
        </m:r>
      </m:oMath>
      <w:r w:rsidR="004900A0">
        <w:rPr>
          <w:rFonts w:eastAsiaTheme="minorEastAsia"/>
        </w:rPr>
        <w:t xml:space="preserve"> size classes </w:t>
      </w:r>
      <w:r w:rsidR="005B1295">
        <w:rPr>
          <w:rFonts w:eastAsiaTheme="minorEastAsia"/>
        </w:rPr>
        <w:t>in</w:t>
      </w:r>
      <w:r w:rsidR="004900A0">
        <w:rPr>
          <w:rFonts w:eastAsiaTheme="minorEastAsia"/>
        </w:rPr>
        <w:t xml:space="preserve">to </w:t>
      </w:r>
      <m:oMath>
        <m:r>
          <w:rPr>
            <w:rFonts w:ascii="Cambria Math" w:eastAsiaTheme="minorEastAsia" w:hAnsi="Cambria Math"/>
          </w:rPr>
          <m:t>u=1,2,…,100</m:t>
        </m:r>
      </m:oMath>
      <w:r w:rsidR="0029268F">
        <w:rPr>
          <w:rFonts w:eastAsiaTheme="minorEastAsia"/>
        </w:rPr>
        <w:t xml:space="preserve"> size classes,</w:t>
      </w:r>
      <w:r w:rsidR="005B1295">
        <w:rPr>
          <w:rFonts w:eastAsiaTheme="minorEastAsia"/>
        </w:rPr>
        <w:t xml:space="preserve"> </w:t>
      </w:r>
      <w:r w:rsidR="008415CA">
        <w:rPr>
          <w:rFonts w:eastAsiaTheme="minorEastAsia"/>
        </w:rPr>
        <w:t xml:space="preserve"> which includes fecundity as well as growth and survival.</w:t>
      </w:r>
      <w:r w:rsidR="006152D3">
        <w:rPr>
          <w:rFonts w:eastAsiaTheme="minorEastAsia"/>
        </w:rPr>
        <w:t xml:space="preserve"> </w:t>
      </w:r>
      <w:r w:rsidR="00C83A6E">
        <w:rPr>
          <w:rFonts w:eastAsiaTheme="minorEastAsia"/>
        </w:rPr>
        <w:t xml:space="preserve">The elements of this matrix are a function of the parameters for the survival, growth, and fecundity functions and the </w:t>
      </w:r>
      <w:r w:rsidR="00093900">
        <w:rPr>
          <w:rFonts w:eastAsiaTheme="minorEastAsia"/>
        </w:rPr>
        <w:t xml:space="preserve">data describing </w:t>
      </w:r>
      <w:r w:rsidR="00C83A6E">
        <w:rPr>
          <w:rFonts w:eastAsiaTheme="minorEastAsia"/>
        </w:rPr>
        <w:t xml:space="preserve">plot-specific covariates, as described below. </w:t>
      </w:r>
      <w:r w:rsidR="006152D3">
        <w:rPr>
          <w:rFonts w:eastAsiaTheme="minorEastAsia"/>
        </w:rPr>
        <w:t xml:space="preserve">A separate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r>
          <m:rPr>
            <m:sty m:val="bi"/>
          </m:rPr>
          <w:rPr>
            <w:rFonts w:ascii="Cambria Math" w:hAnsi="Cambria Math"/>
          </w:rPr>
          <m:t xml:space="preserve"> </m:t>
        </m:r>
      </m:oMath>
      <w:r w:rsidR="006152D3">
        <w:rPr>
          <w:rFonts w:eastAsiaTheme="minorEastAsia"/>
        </w:rPr>
        <w:t xml:space="preserve">exists for each plot </w:t>
      </w:r>
      <m:oMath>
        <m:r>
          <w:rPr>
            <w:rFonts w:ascii="Cambria Math" w:eastAsiaTheme="minorEastAsia" w:hAnsi="Cambria Math"/>
          </w:rPr>
          <m:t>j</m:t>
        </m:r>
      </m:oMath>
      <w:r w:rsidR="006152D3">
        <w:rPr>
          <w:rFonts w:eastAsiaTheme="minorEastAsia"/>
        </w:rPr>
        <w:t>.</w:t>
      </w:r>
      <w:r w:rsidR="008415CA">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b/>
                <w:bCs/>
              </w:rPr>
              <m:t>n</m:t>
            </m:r>
          </m:e>
          <m:sub>
            <m:r>
              <w:rPr>
                <w:rFonts w:ascii="Cambria Math" w:eastAsiaTheme="minorEastAsia" w:hAnsi="Cambria Math"/>
              </w:rPr>
              <m:t>j,*</m:t>
            </m:r>
          </m:sub>
        </m:sSub>
      </m:oMath>
      <w:r w:rsidR="008415CA">
        <w:rPr>
          <w:rFonts w:eastAsiaTheme="minorEastAsia"/>
        </w:rPr>
        <w:t xml:space="preserve"> is the </w:t>
      </w:r>
      <m:oMath>
        <m:r>
          <w:rPr>
            <w:rFonts w:ascii="Cambria Math" w:eastAsiaTheme="minorEastAsia" w:hAnsi="Cambria Math"/>
          </w:rPr>
          <m:t>100×1</m:t>
        </m:r>
      </m:oMath>
      <w:r w:rsidR="008415CA">
        <w:rPr>
          <w:rFonts w:eastAsiaTheme="minorEastAsia"/>
        </w:rPr>
        <w:t xml:space="preserve"> vector giving the area-standardized occurrence rates of individuals in each of the </w:t>
      </w:r>
      <w:r w:rsidR="00374BD9">
        <w:rPr>
          <w:rFonts w:eastAsiaTheme="minorEastAsia"/>
        </w:rPr>
        <w:t>100</w:t>
      </w:r>
      <w:r w:rsidR="008415CA">
        <w:rPr>
          <w:rFonts w:eastAsiaTheme="minorEastAsia"/>
        </w:rPr>
        <w:t xml:space="preserve"> size classes at </w:t>
      </w:r>
      <w:r w:rsidR="00374BD9">
        <w:rPr>
          <w:rFonts w:eastAsiaTheme="minorEastAsia"/>
        </w:rPr>
        <w:t>initial measurement</w:t>
      </w:r>
      <w:r w:rsidR="008415CA">
        <w:rPr>
          <w:rFonts w:eastAsiaTheme="minorEastAsia"/>
        </w:rPr>
        <w:t xml:space="preserve"> on plot </w:t>
      </w:r>
      <m:oMath>
        <m:r>
          <w:rPr>
            <w:rFonts w:ascii="Cambria Math" w:eastAsiaTheme="minorEastAsia" w:hAnsi="Cambria Math"/>
          </w:rPr>
          <m:t>j</m:t>
        </m:r>
      </m:oMath>
      <w:r w:rsidR="00093900">
        <w:rPr>
          <w:rFonts w:eastAsiaTheme="minorEastAsia"/>
        </w:rPr>
        <w:t>, which are observed data.</w:t>
      </w:r>
      <w:r w:rsidR="008415CA">
        <w:rPr>
          <w:rFonts w:eastAsiaTheme="minorEastAsia"/>
        </w:rPr>
        <w:t xml:space="preserve"> The elements of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r>
              <m:rPr>
                <m:sty m:val="bi"/>
              </m:rPr>
              <w:rPr>
                <w:rFonts w:ascii="Cambria Math" w:hAnsi="Cambria Math"/>
              </w:rPr>
              <m:t>,*</m:t>
            </m:r>
          </m:sub>
        </m:sSub>
      </m:oMath>
      <w:r w:rsidR="008415CA">
        <w:rPr>
          <w:rFonts w:eastAsiaTheme="minorEastAsia"/>
        </w:rPr>
        <w:t xml:space="preserve">for each plot </w:t>
      </w:r>
      <m:oMath>
        <m:r>
          <w:rPr>
            <w:rFonts w:ascii="Cambria Math" w:eastAsiaTheme="minorEastAsia" w:hAnsi="Cambria Math"/>
          </w:rPr>
          <m:t>j</m:t>
        </m:r>
      </m:oMath>
      <w:r w:rsidR="008415CA">
        <w:rPr>
          <w:rFonts w:eastAsiaTheme="minorEastAsia"/>
        </w:rPr>
        <w:t xml:space="preserve"> are given by:</w:t>
      </w:r>
    </w:p>
    <w:p w14:paraId="0D02CBA6" w14:textId="744EE78D" w:rsidR="00EB1B4C" w:rsidRDefault="00EB1B4C" w:rsidP="00EB1B4C">
      <w:pPr>
        <w:pStyle w:val="Caption"/>
        <w:keepNext/>
      </w:pPr>
      <w:r>
        <w:t xml:space="preserve">Equation </w:t>
      </w:r>
      <w:r w:rsidR="00A302ED">
        <w:fldChar w:fldCharType="begin"/>
      </w:r>
      <w:r w:rsidR="00A302ED">
        <w:instrText xml:space="preserve"> SEQ Equation \* ARABIC </w:instrText>
      </w:r>
      <w:r w:rsidR="00A302ED">
        <w:fldChar w:fldCharType="separate"/>
      </w:r>
      <w:r w:rsidR="00D73B16">
        <w:rPr>
          <w:noProof/>
        </w:rPr>
        <w:t>7</w:t>
      </w:r>
      <w:r w:rsidR="00A302ED">
        <w:rPr>
          <w:noProof/>
        </w:rPr>
        <w:fldChar w:fldCharType="end"/>
      </w:r>
    </w:p>
    <w:p w14:paraId="452449EA" w14:textId="70B83413" w:rsidR="008415CA" w:rsidRPr="007B3DC9" w:rsidRDefault="001D3356" w:rsidP="00E01957">
      <w:pPr>
        <w:spacing w:line="360" w:lineRule="auto"/>
        <w:rPr>
          <w:rFonts w:eastAsiaTheme="minorEastAsia"/>
        </w:rPr>
      </w:pPr>
      <m:oMathPara>
        <m:oMath>
          <m:sSub>
            <m:sSubPr>
              <m:ctrlPr>
                <w:rPr>
                  <w:rFonts w:ascii="Cambria Math" w:eastAsiaTheme="minorEastAsia" w:hAnsi="Cambria Math"/>
                  <w:i/>
                </w:rPr>
              </m:ctrlPr>
            </m:sSubPr>
            <m:e>
              <m:r>
                <m:rPr>
                  <m:nor/>
                </m:rPr>
                <w:rPr>
                  <w:rFonts w:ascii="Cambria Math" w:eastAsiaTheme="minorEastAsia" w:hAnsi="Cambria Math"/>
                  <w:b/>
                  <w:bCs/>
                </w:rPr>
                <m:t>A</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m:oMathPara>
    </w:p>
    <w:p w14:paraId="4DE25905" w14:textId="2BBB75FC" w:rsidR="009A6AAC" w:rsidRDefault="007B3DC9" w:rsidP="00E01957">
      <w:pPr>
        <w:spacing w:line="360" w:lineRule="auto"/>
        <w:rPr>
          <w:rFonts w:eastAsiaTheme="minorEastAsia"/>
        </w:rPr>
      </w:pPr>
      <w:r>
        <w:rPr>
          <w:rFonts w:eastAsiaTheme="minorEastAsia"/>
        </w:rPr>
        <w:tab/>
      </w:r>
      <w:r w:rsidR="00CA6E7F">
        <w:rPr>
          <w:rFonts w:eastAsiaTheme="minorEastAsia"/>
        </w:rPr>
        <w:t>w</w:t>
      </w:r>
      <w:commentRangeStart w:id="36"/>
      <w:r>
        <w:rPr>
          <w:rFonts w:eastAsiaTheme="minorEastAsia"/>
        </w:rPr>
        <w:t>here</w:t>
      </w:r>
      <w:commentRangeEnd w:id="36"/>
      <w:r w:rsidR="00DA5840">
        <w:rPr>
          <w:rStyle w:val="CommentReference"/>
        </w:rPr>
        <w:commentReference w:id="36"/>
      </w:r>
      <w:r w:rsidR="006E754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Pr>
          <w:rFonts w:eastAsiaTheme="minorEastAsia"/>
        </w:rPr>
        <w:t xml:space="preserve"> </w:t>
      </w:r>
      <w:r w:rsidR="006E754A">
        <w:rPr>
          <w:rFonts w:eastAsiaTheme="minorEastAsia"/>
        </w:rPr>
        <w:t xml:space="preserve">is the proportion of surviving individuals in class </w:t>
      </w:r>
      <m:oMath>
        <m:r>
          <w:rPr>
            <w:rFonts w:ascii="Cambria Math" w:eastAsiaTheme="minorEastAsia" w:hAnsi="Cambria Math"/>
          </w:rPr>
          <m:t>v</m:t>
        </m:r>
      </m:oMath>
      <w:r w:rsidR="006E754A">
        <w:rPr>
          <w:rFonts w:eastAsiaTheme="minorEastAsia"/>
        </w:rPr>
        <w:t xml:space="preserve"> which grow into class </w:t>
      </w:r>
      <m:oMath>
        <m:r>
          <w:rPr>
            <w:rFonts w:ascii="Cambria Math" w:eastAsiaTheme="minorEastAsia" w:hAnsi="Cambria Math"/>
          </w:rPr>
          <m:t>u</m:t>
        </m:r>
      </m:oMath>
      <w:r w:rsidR="006E754A">
        <w:rPr>
          <w:rFonts w:eastAsiaTheme="minorEastAsia"/>
        </w:rPr>
        <w:t xml:space="preserve"> during the census interval</w:t>
      </w:r>
      <w:r w:rsidR="006456A1">
        <w:rPr>
          <w:rFonts w:eastAsiaTheme="minorEastAsia"/>
        </w:rPr>
        <w:t xml:space="preserve"> on plot </w:t>
      </w:r>
      <m:oMath>
        <m:r>
          <w:rPr>
            <w:rFonts w:ascii="Cambria Math" w:eastAsiaTheme="minorEastAsia" w:hAnsi="Cambria Math"/>
          </w:rPr>
          <m:t>j</m:t>
        </m:r>
      </m:oMath>
      <w:r>
        <w:rPr>
          <w:rFonts w:eastAsiaTheme="minorEastAsia"/>
        </w:rPr>
        <w:t>,</w:t>
      </w:r>
      <w:r w:rsidR="00A273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sidR="00A27379">
        <w:rPr>
          <w:rFonts w:eastAsiaTheme="minorEastAsia"/>
        </w:rPr>
        <w:t xml:space="preserve"> is the probability that an individual in size class </w:t>
      </w:r>
      <m:oMath>
        <m:r>
          <w:rPr>
            <w:rFonts w:ascii="Cambria Math" w:eastAsiaTheme="minorEastAsia" w:hAnsi="Cambria Math"/>
          </w:rPr>
          <m:t>v</m:t>
        </m:r>
      </m:oMath>
      <w:r w:rsidR="00A27379">
        <w:rPr>
          <w:rFonts w:eastAsiaTheme="minorEastAsia"/>
        </w:rPr>
        <w:t xml:space="preserve"> will survive the 10-year census interval</w:t>
      </w:r>
      <w:r w:rsidR="006456A1">
        <w:rPr>
          <w:rFonts w:eastAsiaTheme="minorEastAsia"/>
        </w:rPr>
        <w:t xml:space="preserve"> on plot </w:t>
      </w:r>
      <m:oMath>
        <m:r>
          <w:rPr>
            <w:rFonts w:ascii="Cambria Math" w:eastAsiaTheme="minorEastAsia" w:hAnsi="Cambria Math"/>
          </w:rPr>
          <m:t>j</m:t>
        </m:r>
      </m:oMath>
      <w:r w:rsidR="00A27379">
        <w:rPr>
          <w:rFonts w:eastAsiaTheme="minorEastAsia"/>
        </w:rPr>
        <w:t>,</w:t>
      </w:r>
      <w:r w:rsidR="000A548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0A5484">
        <w:rPr>
          <w:rFonts w:eastAsiaTheme="minorEastAsia"/>
        </w:rPr>
        <w:t xml:space="preserve"> is the probability that a new recruit will transition into size class </w:t>
      </w:r>
      <m:oMath>
        <m:r>
          <w:rPr>
            <w:rFonts w:ascii="Cambria Math" w:eastAsiaTheme="minorEastAsia" w:hAnsi="Cambria Math"/>
          </w:rPr>
          <m:t>u</m:t>
        </m:r>
      </m:oMath>
      <w:r w:rsidR="000A5484">
        <w:rPr>
          <w:rFonts w:eastAsiaTheme="minorEastAsia"/>
        </w:rPr>
        <w:t xml:space="preserve"> by </w:t>
      </w:r>
      <w:r w:rsidR="006F2ABD">
        <w:rPr>
          <w:rFonts w:eastAsiaTheme="minorEastAsia"/>
        </w:rPr>
        <w:t>the end of the 10 year interval</w:t>
      </w:r>
      <w:r w:rsidR="000A548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0A5484">
        <w:rPr>
          <w:rFonts w:eastAsiaTheme="minorEastAsia"/>
        </w:rPr>
        <w:t xml:space="preserve"> is the number of new recruits generated per existing </w:t>
      </w:r>
      <w:commentRangeStart w:id="37"/>
      <w:r w:rsidR="000A5484">
        <w:rPr>
          <w:rFonts w:eastAsiaTheme="minorEastAsia"/>
        </w:rPr>
        <w:t xml:space="preserve">individual in size class </w:t>
      </w:r>
      <w:commentRangeEnd w:id="37"/>
      <w:r w:rsidR="00FE1095">
        <w:rPr>
          <w:rStyle w:val="CommentReference"/>
        </w:rPr>
        <w:commentReference w:id="37"/>
      </w:r>
      <m:oMath>
        <m:r>
          <w:rPr>
            <w:rFonts w:ascii="Cambria Math" w:eastAsiaTheme="minorEastAsia" w:hAnsi="Cambria Math"/>
          </w:rPr>
          <m:t>v</m:t>
        </m:r>
      </m:oMath>
      <w:r w:rsidR="000A5484">
        <w:rPr>
          <w:rFonts w:eastAsiaTheme="minorEastAsia"/>
        </w:rPr>
        <w:t xml:space="preserve"> </w:t>
      </w:r>
      <w:r w:rsidR="006456A1">
        <w:rPr>
          <w:rFonts w:eastAsiaTheme="minorEastAsia"/>
        </w:rPr>
        <w:t xml:space="preserve">plot </w:t>
      </w:r>
      <m:oMath>
        <m:r>
          <w:rPr>
            <w:rFonts w:ascii="Cambria Math" w:eastAsiaTheme="minorEastAsia" w:hAnsi="Cambria Math"/>
          </w:rPr>
          <m:t>j</m:t>
        </m:r>
      </m:oMath>
      <w:r w:rsidR="00E23769">
        <w:rPr>
          <w:rFonts w:eastAsiaTheme="minorEastAsia"/>
        </w:rPr>
        <w:t xml:space="preserve"> (which we refer to as the fecundity, following Shriver et al. 2021</w:t>
      </w:r>
      <w:r w:rsidR="000A5484">
        <w:rPr>
          <w:rFonts w:eastAsiaTheme="minorEastAsia"/>
        </w:rPr>
        <w:t xml:space="preserve">). </w:t>
      </w:r>
    </w:p>
    <w:p w14:paraId="4A4F36DE" w14:textId="03BBEBE7" w:rsidR="007B3DC9" w:rsidRDefault="00851A3D" w:rsidP="00E92F0B">
      <w:pPr>
        <w:spacing w:line="360" w:lineRule="auto"/>
        <w:ind w:firstLine="720"/>
        <w:rPr>
          <w:rFonts w:eastAsiaTheme="minorEastAsia"/>
        </w:rPr>
      </w:pPr>
      <w:r>
        <w:rPr>
          <w:rFonts w:eastAsiaTheme="minorEastAsia"/>
        </w:rPr>
        <w:t>Following the recommendations of</w:t>
      </w:r>
      <w:r w:rsidR="00BF40EA">
        <w:rPr>
          <w:rFonts w:eastAsiaTheme="minorEastAsia"/>
        </w:rPr>
        <w:t xml:space="preserve"> Doak et al. (2021)</w:t>
      </w:r>
      <w:r>
        <w:rPr>
          <w:rFonts w:eastAsiaTheme="minorEastAsia"/>
        </w:rPr>
        <w:t xml:space="preserve">, the continuous growth kernel described in </w:t>
      </w:r>
      <w:r w:rsidR="00BF40EA">
        <w:rPr>
          <w:rFonts w:eastAsiaTheme="minorEastAsia"/>
        </w:rPr>
        <w:fldChar w:fldCharType="begin"/>
      </w:r>
      <w:r w:rsidR="00BF40EA">
        <w:rPr>
          <w:rFonts w:eastAsiaTheme="minorEastAsia"/>
        </w:rPr>
        <w:instrText xml:space="preserve"> REF _Ref104375706 \h </w:instrText>
      </w:r>
      <w:r w:rsidR="00BF40EA">
        <w:rPr>
          <w:rFonts w:eastAsiaTheme="minorEastAsia"/>
        </w:rPr>
      </w:r>
      <w:r w:rsidR="00BF40EA">
        <w:rPr>
          <w:rFonts w:eastAsiaTheme="minorEastAsia"/>
        </w:rPr>
        <w:fldChar w:fldCharType="separate"/>
      </w:r>
      <w:r w:rsidR="00BF40EA">
        <w:t xml:space="preserve">Equation </w:t>
      </w:r>
      <w:r w:rsidR="00BF40EA">
        <w:rPr>
          <w:noProof/>
        </w:rPr>
        <w:t>3</w:t>
      </w:r>
      <w:r w:rsidR="00BF40EA">
        <w:rPr>
          <w:rFonts w:eastAsiaTheme="minorEastAsia"/>
        </w:rPr>
        <w:fldChar w:fldCharType="end"/>
      </w:r>
      <w:r w:rsidR="00BF40EA">
        <w:rPr>
          <w:rFonts w:eastAsiaTheme="minorEastAsia"/>
        </w:rPr>
        <w:t xml:space="preserve"> </w:t>
      </w:r>
      <w:r>
        <w:rPr>
          <w:rFonts w:eastAsiaTheme="minorEastAsia"/>
        </w:rPr>
        <w:t xml:space="preserve">is discretized </w:t>
      </w:r>
      <w:r w:rsidR="007314F1">
        <w:rPr>
          <w:rFonts w:eastAsiaTheme="minorEastAsia"/>
        </w:rPr>
        <w:t xml:space="preserve">into size class transition probabilities </w:t>
      </w:r>
      <w:r w:rsidR="00C37C6B">
        <w:rPr>
          <w:rFonts w:eastAsiaTheme="minorEastAsia"/>
        </w:rPr>
        <w:t xml:space="preserve">using the cumulative density function difference method. That is,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oMath>
      <w:r w:rsidR="00093900">
        <w:rPr>
          <w:rFonts w:eastAsiaTheme="minorEastAsia"/>
        </w:rPr>
        <w:t xml:space="preserve"> is </w:t>
      </w:r>
      <w:r w:rsidR="00C37C6B">
        <w:rPr>
          <w:rFonts w:eastAsiaTheme="minorEastAsia"/>
        </w:rPr>
        <w:t>the probability that an individual</w:t>
      </w:r>
      <w:r w:rsidR="006456A1">
        <w:rPr>
          <w:rFonts w:eastAsiaTheme="minorEastAsia"/>
        </w:rPr>
        <w:t xml:space="preserve"> on plot </w:t>
      </w:r>
      <m:oMath>
        <m:r>
          <w:rPr>
            <w:rFonts w:ascii="Cambria Math" w:eastAsiaTheme="minorEastAsia" w:hAnsi="Cambria Math"/>
          </w:rPr>
          <m:t>j</m:t>
        </m:r>
      </m:oMath>
      <w:r w:rsidR="00C37C6B">
        <w:rPr>
          <w:rFonts w:eastAsiaTheme="minorEastAsia"/>
        </w:rPr>
        <w:t xml:space="preserve"> with DBH equal to the midpoint of size class </w:t>
      </w:r>
      <m:oMath>
        <m:r>
          <w:rPr>
            <w:rFonts w:ascii="Cambria Math" w:eastAsiaTheme="minorEastAsia" w:hAnsi="Cambria Math"/>
          </w:rPr>
          <m:t>v</m:t>
        </m:r>
      </m:oMath>
      <w:r w:rsidR="00C37C6B">
        <w:rPr>
          <w:rFonts w:eastAsiaTheme="minorEastAsia"/>
        </w:rPr>
        <w:t xml:space="preserve"> will have a DBH at remeasurement somewhere between the upper and lower bounds of size class </w:t>
      </w:r>
      <m:oMath>
        <m:r>
          <w:rPr>
            <w:rFonts w:ascii="Cambria Math" w:eastAsiaTheme="minorEastAsia" w:hAnsi="Cambria Math"/>
          </w:rPr>
          <m:t>u</m:t>
        </m:r>
      </m:oMath>
      <w:r w:rsidR="00093900">
        <w:rPr>
          <w:rFonts w:eastAsiaTheme="minorEastAsia"/>
        </w:rPr>
        <w:t xml:space="preserve">, and </w:t>
      </w:r>
      <w:r w:rsidR="0027112C">
        <w:rPr>
          <w:rFonts w:eastAsiaTheme="minorEastAsia"/>
        </w:rPr>
        <w:t>is given by:</w:t>
      </w:r>
    </w:p>
    <w:p w14:paraId="16D438D1" w14:textId="44F77D2C" w:rsidR="00EB1B4C" w:rsidRDefault="00EB1B4C" w:rsidP="00EB1B4C">
      <w:pPr>
        <w:pStyle w:val="Caption"/>
        <w:keepNext/>
      </w:pPr>
      <w:bookmarkStart w:id="38" w:name="_Ref93582027"/>
      <w:commentRangeStart w:id="39"/>
      <w:r>
        <w:t>Equation</w:t>
      </w:r>
      <w:commentRangeEnd w:id="39"/>
      <w:r w:rsidR="00FE1095">
        <w:rPr>
          <w:rStyle w:val="CommentReference"/>
          <w:i w:val="0"/>
          <w:iCs w:val="0"/>
          <w:color w:val="auto"/>
        </w:rPr>
        <w:commentReference w:id="39"/>
      </w:r>
      <w:r>
        <w:t xml:space="preserve"> </w:t>
      </w:r>
      <w:r w:rsidR="00A302ED">
        <w:fldChar w:fldCharType="begin"/>
      </w:r>
      <w:r w:rsidR="00A302ED">
        <w:instrText xml:space="preserve"> SEQ Equation \* ARABIC </w:instrText>
      </w:r>
      <w:r w:rsidR="00A302ED">
        <w:fldChar w:fldCharType="separate"/>
      </w:r>
      <w:r w:rsidR="00D73B16">
        <w:rPr>
          <w:noProof/>
        </w:rPr>
        <w:t>8</w:t>
      </w:r>
      <w:r w:rsidR="00A302ED">
        <w:rPr>
          <w:noProof/>
        </w:rPr>
        <w:fldChar w:fldCharType="end"/>
      </w:r>
      <w:bookmarkEnd w:id="38"/>
    </w:p>
    <w:p w14:paraId="36A0526C" w14:textId="36050D21" w:rsidR="0027112C" w:rsidRPr="00860357" w:rsidRDefault="001D3356" w:rsidP="00E01957">
      <w:pPr>
        <w:spacing w:line="36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r>
                    <w:rPr>
                      <w:rFonts w:ascii="Cambria Math" w:hAnsi="Cambria Math"/>
                    </w:rPr>
                    <m:t>,  &amp;v=1</m:t>
                  </m:r>
                </m:e>
                <m:e>
                  <m:r>
                    <w:rPr>
                      <w:rFonts w:ascii="Cambria Math" w:hAnsi="Cambria Math"/>
                    </w:rPr>
                    <m:t>0,  &amp;v&gt;1</m:t>
                  </m:r>
                </m:e>
              </m:eqArr>
            </m:e>
          </m:d>
        </m:oMath>
      </m:oMathPara>
    </w:p>
    <w:p w14:paraId="75E6ADC5" w14:textId="66CEAA4D" w:rsidR="009A6AAC" w:rsidRDefault="00860357" w:rsidP="00E01957">
      <w:pPr>
        <w:spacing w:line="360" w:lineRule="auto"/>
        <w:rPr>
          <w:rFonts w:eastAsiaTheme="minorEastAsia"/>
        </w:rPr>
      </w:pPr>
      <w:r>
        <w:rPr>
          <w:rFonts w:eastAsiaTheme="minorEastAsia"/>
        </w:rPr>
        <w:tab/>
      </w:r>
      <w:r w:rsidR="00CA6E7F">
        <w:rPr>
          <w:rFonts w:eastAsiaTheme="minorEastAsia"/>
        </w:rPr>
        <w:t>w</w:t>
      </w:r>
      <w:commentRangeStart w:id="40"/>
      <w:r>
        <w:rPr>
          <w:rFonts w:eastAsiaTheme="minorEastAsia"/>
        </w:rPr>
        <w:t>here</w:t>
      </w:r>
      <w:commentRangeEnd w:id="40"/>
      <w:r w:rsidR="00DA5840">
        <w:rPr>
          <w:rStyle w:val="CommentReference"/>
        </w:rPr>
        <w:commentReference w:id="40"/>
      </w:r>
      <w:r>
        <w:rPr>
          <w:rFonts w:eastAsiaTheme="minorEastAsia"/>
        </w:rPr>
        <w:t xml:space="preserve"> </w:t>
      </w:r>
      <m:oMath>
        <m:r>
          <m:rPr>
            <m:sty m:val="p"/>
          </m:rPr>
          <w:rPr>
            <w:rFonts w:ascii="Cambria Math" w:eastAsiaTheme="minorEastAsia" w:hAnsi="Cambria Math"/>
          </w:rPr>
          <m:t>Φ</m:t>
        </m:r>
      </m:oMath>
      <w:r>
        <w:rPr>
          <w:rFonts w:eastAsiaTheme="minorEastAsia"/>
        </w:rPr>
        <w:t xml:space="preserve"> is the cumulative probability density </w:t>
      </w:r>
      <w:r w:rsidR="008F0ED0">
        <w:rPr>
          <w:rFonts w:eastAsiaTheme="minorEastAsia"/>
        </w:rPr>
        <w:t xml:space="preserve">function </w:t>
      </w:r>
      <w:r>
        <w:rPr>
          <w:rFonts w:eastAsiaTheme="minorEastAsia"/>
        </w:rPr>
        <w:t xml:space="preserve">of a normal distribution with mean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oMath>
      <w:r>
        <w:rPr>
          <w:rFonts w:eastAsiaTheme="minorEastAsia"/>
        </w:rPr>
        <w:t xml:space="preserve"> and variance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oMath>
      <w:r w:rsidR="00483267">
        <w:rPr>
          <w:rFonts w:eastAsiaTheme="minorEastAsia"/>
        </w:rPr>
        <w:t xml:space="preserve"> evaluated at the upper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oMath>
      <w:r w:rsidR="00483267">
        <w:rPr>
          <w:rFonts w:eastAsiaTheme="minorEastAsia"/>
        </w:rPr>
        <w:t xml:space="preserve">), the lower bound of size class </w:t>
      </w:r>
      <m:oMath>
        <m:r>
          <w:rPr>
            <w:rFonts w:ascii="Cambria Math" w:eastAsiaTheme="minorEastAsia" w:hAnsi="Cambria Math"/>
          </w:rPr>
          <m:t>u</m:t>
        </m:r>
      </m:oMath>
      <w:r w:rsidR="00483267">
        <w:rPr>
          <w:rFonts w:eastAsiaTheme="minorEastAsia"/>
        </w:rPr>
        <w:t xml:space="preserve"> (</w:t>
      </w:r>
      <m:oMath>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oMath>
      <w:r w:rsidR="00483267">
        <w:rPr>
          <w:rFonts w:eastAsiaTheme="minorEastAsia"/>
        </w:rPr>
        <w:t>),</w:t>
      </w:r>
      <w:r w:rsidR="00A320BF">
        <w:rPr>
          <w:rFonts w:eastAsiaTheme="minorEastAsia"/>
        </w:rPr>
        <w:t xml:space="preserve"> or</w:t>
      </w:r>
      <w:r w:rsidR="00483267">
        <w:rPr>
          <w:rFonts w:eastAsiaTheme="minorEastAsia"/>
        </w:rPr>
        <w:t xml:space="preserve"> 0</w:t>
      </w:r>
      <w:r w:rsidR="00277C16">
        <w:rPr>
          <w:rFonts w:eastAsiaTheme="minorEastAsia"/>
        </w:rPr>
        <w:t xml:space="preserve"> (the minimum possible size)</w:t>
      </w:r>
      <w:r w:rsidR="00483267">
        <w:rPr>
          <w:rFonts w:eastAsiaTheme="minorEastAsia"/>
        </w:rPr>
        <w:t xml:space="preserve">. </w:t>
      </w:r>
      <w:r w:rsidR="00277C16">
        <w:rPr>
          <w:rFonts w:eastAsiaTheme="minorEastAsia"/>
        </w:rPr>
        <w:t xml:space="preserve">This is an exact method for calculating the area under the probability density function for the growth kernel and normalizing it by that portion of the kernel which is in the modeled size range.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 xml:space="preserve"> </m:t>
        </m:r>
      </m:oMath>
      <w:r w:rsidR="00483267">
        <w:rPr>
          <w:rFonts w:eastAsiaTheme="minorEastAsia"/>
        </w:rPr>
        <w:t>is c</w:t>
      </w:r>
      <w:r w:rsidR="00EB1B4C">
        <w:rPr>
          <w:rFonts w:eastAsiaTheme="minorEastAsia"/>
        </w:rPr>
        <w:t>alculated</w:t>
      </w:r>
      <w:r w:rsidR="00400795">
        <w:rPr>
          <w:rFonts w:eastAsiaTheme="minorEastAsia"/>
        </w:rPr>
        <w:t xml:space="preserve"> for each plot </w:t>
      </w:r>
      <m:oMath>
        <m:r>
          <w:rPr>
            <w:rFonts w:ascii="Cambria Math" w:eastAsiaTheme="minorEastAsia" w:hAnsi="Cambria Math"/>
          </w:rPr>
          <m:t>j</m:t>
        </m:r>
      </m:oMath>
      <w:r w:rsidR="00EB1B4C">
        <w:rPr>
          <w:rFonts w:eastAsiaTheme="minorEastAsia"/>
        </w:rPr>
        <w:t xml:space="preserve"> </w:t>
      </w:r>
      <w:r w:rsidR="009A6AAC">
        <w:rPr>
          <w:rFonts w:eastAsiaTheme="minorEastAsia"/>
        </w:rPr>
        <w:t xml:space="preserve">and size class </w:t>
      </w:r>
      <m:oMath>
        <m:r>
          <w:rPr>
            <w:rFonts w:ascii="Cambria Math" w:eastAsiaTheme="minorEastAsia" w:hAnsi="Cambria Math"/>
          </w:rPr>
          <m:t>v</m:t>
        </m:r>
      </m:oMath>
      <w:r w:rsidR="009A6AAC">
        <w:rPr>
          <w:rFonts w:eastAsiaTheme="minorEastAsia"/>
        </w:rPr>
        <w:t xml:space="preserve"> </w:t>
      </w:r>
      <w:r w:rsidR="00EB1B4C">
        <w:rPr>
          <w:rFonts w:eastAsiaTheme="minorEastAsia"/>
        </w:rPr>
        <w:t xml:space="preserve">from </w:t>
      </w:r>
      <w:r w:rsidR="00005093">
        <w:rPr>
          <w:rFonts w:eastAsiaTheme="minorEastAsia"/>
        </w:rPr>
        <w:fldChar w:fldCharType="begin"/>
      </w:r>
      <w:r w:rsidR="00005093">
        <w:rPr>
          <w:rFonts w:eastAsiaTheme="minorEastAsia"/>
        </w:rPr>
        <w:instrText xml:space="preserve"> REF _Ref93578923 \h </w:instrText>
      </w:r>
      <w:r w:rsidR="00005093">
        <w:rPr>
          <w:rFonts w:eastAsiaTheme="minorEastAsia"/>
        </w:rPr>
      </w:r>
      <w:r w:rsidR="00005093">
        <w:rPr>
          <w:rFonts w:eastAsiaTheme="minorEastAsia"/>
        </w:rPr>
        <w:fldChar w:fldCharType="separate"/>
      </w:r>
      <w:r w:rsidR="00005093">
        <w:t xml:space="preserve">Equation </w:t>
      </w:r>
      <w:r w:rsidR="00005093">
        <w:rPr>
          <w:noProof/>
        </w:rPr>
        <w:t>4</w:t>
      </w:r>
      <w:r w:rsidR="00005093">
        <w:rPr>
          <w:rFonts w:eastAsiaTheme="minorEastAsia"/>
        </w:rPr>
        <w:fldChar w:fldCharType="end"/>
      </w:r>
      <w:r w:rsidR="00005093">
        <w:rPr>
          <w:rFonts w:eastAsiaTheme="minorEastAsia"/>
        </w:rPr>
        <w:t xml:space="preserve"> using </w:t>
      </w:r>
      <w:r w:rsidR="009A6AAC">
        <w:rPr>
          <w:rFonts w:eastAsiaTheme="minorEastAsia"/>
        </w:rPr>
        <w:t xml:space="preserve">the </w:t>
      </w:r>
      <w:r w:rsidR="009A6AAC">
        <w:rPr>
          <w:rFonts w:eastAsiaTheme="minorEastAsia"/>
        </w:rPr>
        <w:lastRenderedPageBreak/>
        <w:t xml:space="preserve">midpoint DBH of size class </w:t>
      </w:r>
      <m:oMath>
        <m:r>
          <w:rPr>
            <w:rFonts w:ascii="Cambria Math" w:eastAsiaTheme="minorEastAsia" w:hAnsi="Cambria Math"/>
          </w:rPr>
          <m:t>v</m:t>
        </m:r>
      </m:oMath>
      <w:r w:rsidR="000948BA">
        <w:rPr>
          <w:rFonts w:eastAsiaTheme="minorEastAsia"/>
        </w:rPr>
        <w:t xml:space="preserve"> and the environmental covariates associated with plot </w:t>
      </w:r>
      <m:oMath>
        <m:r>
          <w:rPr>
            <w:rFonts w:ascii="Cambria Math" w:eastAsiaTheme="minorEastAsia" w:hAnsi="Cambria Math"/>
          </w:rPr>
          <m:t>j</m:t>
        </m:r>
      </m:oMath>
      <w:r w:rsidR="000948BA">
        <w:rPr>
          <w:rFonts w:eastAsiaTheme="minorEastAsia"/>
        </w:rPr>
        <w:t xml:space="preserve">. Note that because we are modelling the count of untagged individuals, which by the sampling design must have been in size class 1 at initial measurement, there are no untagged individuals growing from other size classes into size class 1, so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=0</m:t>
        </m:r>
      </m:oMath>
      <w:r w:rsidR="000948BA">
        <w:rPr>
          <w:rFonts w:eastAsiaTheme="minorEastAsia"/>
        </w:rPr>
        <w:t xml:space="preserve"> when </w:t>
      </w:r>
      <m:oMath>
        <m:r>
          <w:rPr>
            <w:rFonts w:ascii="Cambria Math" w:eastAsiaTheme="minorEastAsia" w:hAnsi="Cambria Math"/>
          </w:rPr>
          <m:t>v&gt;1</m:t>
        </m:r>
      </m:oMath>
      <w:r w:rsidR="000948BA">
        <w:rPr>
          <w:rFonts w:eastAsiaTheme="minorEastAsia"/>
        </w:rPr>
        <w:t xml:space="preserve">. </w:t>
      </w:r>
    </w:p>
    <w:p w14:paraId="67D5CEB0" w14:textId="4D00BE64" w:rsidR="00B9336D" w:rsidRDefault="00400795" w:rsidP="009A6AAC">
      <w:pPr>
        <w:spacing w:line="360" w:lineRule="auto"/>
        <w:ind w:firstLine="720"/>
        <w:rPr>
          <w:rFonts w:eastAsiaTheme="minorEastAsia"/>
        </w:rPr>
      </w:pPr>
      <w:r>
        <w:rPr>
          <w:rFonts w:eastAsiaTheme="minorEastAsia"/>
        </w:rPr>
        <w:t xml:space="preserve">Likewise,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j,v</m:t>
            </m:r>
          </m:sub>
        </m:sSub>
      </m:oMath>
      <w:r>
        <w:rPr>
          <w:rFonts w:eastAsiaTheme="minorEastAsia"/>
        </w:rPr>
        <w:t xml:space="preserve"> is calculated using </w:t>
      </w:r>
      <w:r>
        <w:rPr>
          <w:rFonts w:eastAsiaTheme="minorEastAsia"/>
        </w:rPr>
        <w:fldChar w:fldCharType="begin"/>
      </w:r>
      <w:r>
        <w:rPr>
          <w:rFonts w:eastAsiaTheme="minorEastAsia"/>
        </w:rPr>
        <w:instrText xml:space="preserve"> REF _Ref93579342 \h </w:instrText>
      </w:r>
      <w:r>
        <w:rPr>
          <w:rFonts w:eastAsiaTheme="minorEastAsia"/>
        </w:rPr>
      </w:r>
      <w:r>
        <w:rPr>
          <w:rFonts w:eastAsiaTheme="minorEastAsia"/>
        </w:rPr>
        <w:fldChar w:fldCharType="separate"/>
      </w:r>
      <w:r>
        <w:t xml:space="preserve">Equation </w:t>
      </w:r>
      <w:r>
        <w:rPr>
          <w:noProof/>
        </w:rPr>
        <w:t>2</w:t>
      </w:r>
      <w:r>
        <w:rPr>
          <w:rFonts w:eastAsiaTheme="minorEastAsia"/>
        </w:rPr>
        <w:fldChar w:fldCharType="end"/>
      </w:r>
      <w:r>
        <w:rPr>
          <w:rFonts w:eastAsiaTheme="minorEastAsia"/>
        </w:rPr>
        <w:t xml:space="preserve"> to predict the survival of an individual </w:t>
      </w:r>
      <w:r w:rsidR="00A27379">
        <w:rPr>
          <w:rFonts w:eastAsiaTheme="minorEastAsia"/>
        </w:rPr>
        <w:t xml:space="preserve">whose DBH is equal to the midpoint of size class </w:t>
      </w:r>
      <m:oMath>
        <m:r>
          <w:rPr>
            <w:rFonts w:ascii="Cambria Math" w:eastAsiaTheme="minorEastAsia" w:hAnsi="Cambria Math"/>
          </w:rPr>
          <m:t>v</m:t>
        </m:r>
      </m:oMath>
      <w:r>
        <w:rPr>
          <w:rFonts w:eastAsiaTheme="minorEastAsia"/>
        </w:rPr>
        <w:t xml:space="preserve"> on plot </w:t>
      </w:r>
      <m:oMath>
        <m:r>
          <w:rPr>
            <w:rFonts w:ascii="Cambria Math" w:eastAsiaTheme="minorEastAsia" w:hAnsi="Cambria Math"/>
          </w:rPr>
          <m:t>j</m:t>
        </m:r>
      </m:oMath>
      <w:r>
        <w:rPr>
          <w:rFonts w:eastAsiaTheme="minorEastAsia"/>
        </w:rPr>
        <w:t xml:space="preserve">. </w:t>
      </w:r>
      <w:commentRangeStart w:id="41"/>
      <w:r w:rsidR="00B21325">
        <w:rPr>
          <w:rFonts w:eastAsiaTheme="minorEastAsia"/>
        </w:rPr>
        <w:t>Shriver et al</w:t>
      </w:r>
      <w:commentRangeEnd w:id="41"/>
      <w:r w:rsidR="007108F6">
        <w:rPr>
          <w:rStyle w:val="CommentReference"/>
        </w:rPr>
        <w:commentReference w:id="41"/>
      </w:r>
      <w:r w:rsidR="00B21325">
        <w:rPr>
          <w:rFonts w:eastAsiaTheme="minorEastAsia"/>
        </w:rPr>
        <w:t>.</w:t>
      </w:r>
      <w:r w:rsidR="002821CE">
        <w:rPr>
          <w:rFonts w:eastAsiaTheme="minorEastAsia"/>
        </w:rPr>
        <w:t xml:space="preserve"> (2021)</w:t>
      </w:r>
      <w:r w:rsidR="00B21325">
        <w:rPr>
          <w:rFonts w:eastAsiaTheme="minorEastAsia"/>
        </w:rPr>
        <w:t xml:space="preserve"> estimated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m:t>
            </m:r>
          </m:sub>
        </m:sSub>
      </m:oMath>
      <w:r w:rsidR="00B21325">
        <w:rPr>
          <w:rFonts w:eastAsiaTheme="minorEastAsia"/>
        </w:rPr>
        <w:t xml:space="preserve"> using a normalized gaussian </w:t>
      </w:r>
      <w:r w:rsidR="005D180E">
        <w:rPr>
          <w:rFonts w:eastAsiaTheme="minorEastAsia"/>
        </w:rPr>
        <w:t>kernel but</w:t>
      </w:r>
      <w:r w:rsidR="00B21325">
        <w:rPr>
          <w:rFonts w:eastAsiaTheme="minorEastAsia"/>
        </w:rPr>
        <w:t xml:space="preserve"> had difficulty estimating the mean and variance of this recruit size kernel. </w:t>
      </w:r>
      <w:r w:rsidR="00A27379">
        <w:rPr>
          <w:rFonts w:eastAsiaTheme="minorEastAsia"/>
        </w:rPr>
        <w:t>During m</w:t>
      </w:r>
      <w:r w:rsidR="008E09B2">
        <w:rPr>
          <w:rFonts w:eastAsiaTheme="minorEastAsia"/>
        </w:rPr>
        <w:t>odel testing for this study</w:t>
      </w:r>
      <w:r w:rsidR="00A27379">
        <w:rPr>
          <w:rFonts w:eastAsiaTheme="minorEastAsia"/>
        </w:rPr>
        <w:t>,</w:t>
      </w:r>
      <w:r w:rsidR="008E09B2">
        <w:rPr>
          <w:rFonts w:eastAsiaTheme="minorEastAsia"/>
        </w:rPr>
        <w:t xml:space="preserve"> </w:t>
      </w:r>
      <w:r w:rsidR="00B21325">
        <w:rPr>
          <w:rFonts w:eastAsiaTheme="minorEastAsia"/>
        </w:rPr>
        <w:t>attempting to estimate th</w:t>
      </w:r>
      <w:r w:rsidR="00A27379">
        <w:rPr>
          <w:rFonts w:eastAsiaTheme="minorEastAsia"/>
        </w:rPr>
        <w:t>e parameters for this kernel</w:t>
      </w:r>
      <w:r w:rsidR="00B21325">
        <w:rPr>
          <w:rFonts w:eastAsiaTheme="minorEastAsia"/>
        </w:rPr>
        <w:t xml:space="preserve"> resulted in </w:t>
      </w:r>
      <w:commentRangeStart w:id="42"/>
      <w:r w:rsidR="00B21325">
        <w:rPr>
          <w:rFonts w:eastAsiaTheme="minorEastAsia"/>
        </w:rPr>
        <w:t>divergent transitions in the Hamiltonian Monte Carlo algorithm described below</w:t>
      </w:r>
      <w:commentRangeEnd w:id="42"/>
      <w:r w:rsidR="00DA5840">
        <w:rPr>
          <w:rStyle w:val="CommentReference"/>
        </w:rPr>
        <w:commentReference w:id="42"/>
      </w:r>
      <w:r w:rsidR="00B21325">
        <w:rPr>
          <w:rFonts w:eastAsiaTheme="minorEastAsia"/>
        </w:rPr>
        <w:t xml:space="preserve">. Rather than attempt to estimate the mean and variance of a gaussian recruitment size kernel, </w:t>
      </w:r>
      <w:r w:rsidR="005D180E">
        <w:rPr>
          <w:rFonts w:eastAsiaTheme="minorEastAsia"/>
        </w:rPr>
        <w:t>we</w:t>
      </w:r>
      <w:r w:rsidR="00B9336D">
        <w:rPr>
          <w:rFonts w:eastAsiaTheme="minorEastAsia"/>
        </w:rPr>
        <w:t xml:space="preserve"> assume that all true new recruits during the 10 year census interval fell into the seedling size class (size class 1) at remeasurement census, based on existing literature documenting growth rates for sugar pine seedlings </w:t>
      </w:r>
      <w:r w:rsidR="00B9336D">
        <w:rPr>
          <w:rFonts w:eastAsiaTheme="minorEastAsia"/>
        </w:rPr>
        <w:fldChar w:fldCharType="begin" w:fldLock="1"/>
      </w:r>
      <w:r w:rsidR="00D2760D">
        <w:rPr>
          <w:rFonts w:eastAsiaTheme="minorEastAsia"/>
        </w:rPr>
        <w:instrText>ADDIN CSL_CITATION {"citationItems":[{"id":"ITEM-1","itemData":{"DOI":"10.1139/x03-222","ISSN":"00455067","abstract":"Replicated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Research","id":"ITEM-1","issue":"3","issued":{"date-parts":[["2004"]]},"page":"630-641","title":"Group selection management in conifer forests: Relationships between opening size and tree growth","type":"article-journal","volume":"34"},"uris":["http://www.mendeley.com/documents/?uuid=99b0ba98-9512-424f-b8f9-5e4fd59cda36"]},{"id":"ITEM-2","itemData":{"DOI":"10.1093/forestry/cpt028","ISSN":"0015752X","abstract":"Concern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characteristics","type":"article-journal","volume":"87"},"uris":["http://www.mendeley.com/documents/?uuid=ee4d8f17-567f-4925-b365-c376bb2df80f"]},{"id":"ITEM-3","itemData":{"author":[{"dropping-particle":"","family":"Harry","given":"David E","non-dropping-particle":"","parse-names":false,"suffix":""},{"dropping-particle":"","family":"Jenkinson","given":"James L","non-dropping-particle":"","parse-names":false,"suffix":""},{"dropping-particle":"","family":"Kinloch","given":"Bohun B","non-dropping-particle":"","parse-names":false,"suffix":""}],"container-title":"Forest Science","id":"ITEM-3","issue":"3","issued":{"date-parts":[["1983"]]},"page":"660-669","title":"Early Growth of Sugar Pine from an Elevational Transect","type":"article-journal","volume":"29"},"uris":["http://www.mendeley.com/documents/?uuid=7860b22f-5186-4919-991d-6b06d5c8dceb"]}],"mendeley":{"formattedCitation":"(Harry, Jenkinson and Kinloch, 1983; York &lt;i&gt;et al.&lt;/i&gt;, 2004; Angell, Waring and Graves, 2014)","plainTextFormattedCitation":"(Harry, Jenkinson and Kinloch, 1983; York et al., 2004; Angell, Waring and Graves, 2014)","previouslyFormattedCitation":"(Harry, Jenkinson and Kinloch, 1983; York &lt;i&gt;et al.&lt;/i&gt;, 2004; Angell, Waring and Graves, 2014)"},"properties":{"noteIndex":0},"schema":"https://github.com/citation-style-language/schema/raw/master/csl-citation.json"}</w:instrText>
      </w:r>
      <w:r w:rsidR="00B9336D">
        <w:rPr>
          <w:rFonts w:eastAsiaTheme="minorEastAsia"/>
        </w:rPr>
        <w:fldChar w:fldCharType="separate"/>
      </w:r>
      <w:r w:rsidR="00B9336D" w:rsidRPr="00312174">
        <w:rPr>
          <w:rFonts w:eastAsiaTheme="minorEastAsia"/>
          <w:noProof/>
        </w:rPr>
        <w:t xml:space="preserve">(Harry, Jenkinson and Kinloch, 1983; York </w:t>
      </w:r>
      <w:r w:rsidR="00B9336D" w:rsidRPr="00312174">
        <w:rPr>
          <w:rFonts w:eastAsiaTheme="minorEastAsia"/>
          <w:i/>
          <w:noProof/>
        </w:rPr>
        <w:t>et al.</w:t>
      </w:r>
      <w:r w:rsidR="00B9336D" w:rsidRPr="00312174">
        <w:rPr>
          <w:rFonts w:eastAsiaTheme="minorEastAsia"/>
          <w:noProof/>
        </w:rPr>
        <w:t>, 2004; Angell, Waring and Graves, 2014)</w:t>
      </w:r>
      <w:r w:rsidR="00B9336D">
        <w:rPr>
          <w:rFonts w:eastAsiaTheme="minorEastAsia"/>
        </w:rPr>
        <w:fldChar w:fldCharType="end"/>
      </w:r>
      <w:r w:rsidR="00477228">
        <w:rPr>
          <w:rFonts w:eastAsiaTheme="minorEastAsia"/>
        </w:rPr>
        <w:t xml:space="preserve"> and the fact that new recruits have, on average, 5 years to grow until being observed in the remeasurement census</w:t>
      </w:r>
      <w:r w:rsidR="00B9336D">
        <w:rPr>
          <w:rFonts w:eastAsiaTheme="minorEastAsia"/>
        </w:rPr>
        <w:t>.</w:t>
      </w:r>
      <w:r w:rsidR="005F1EF2">
        <w:rPr>
          <w:rFonts w:eastAsiaTheme="minorEastAsia"/>
        </w:rPr>
        <w:t xml:space="preserve"> Therefore, we use </w:t>
      </w:r>
      <m:oMath>
        <m:sSub>
          <m:sSubPr>
            <m:ctrlPr>
              <w:rPr>
                <w:rFonts w:ascii="Cambria Math" w:hAnsi="Cambria Math"/>
                <w:i/>
              </w:rPr>
            </m:ctrlPr>
          </m:sSubPr>
          <m:e>
            <m:r>
              <w:rPr>
                <w:rFonts w:ascii="Cambria Math" w:hAnsi="Cambria Math"/>
              </w:rPr>
              <m:t>r</m:t>
            </m:r>
          </m:e>
          <m:sub>
            <m:r>
              <w:rPr>
                <w:rFonts w:ascii="Cambria Math" w:hAnsi="Cambria Math"/>
              </w:rPr>
              <m:t>u</m:t>
            </m:r>
          </m:sub>
        </m:sSub>
        <m:r>
          <w:rPr>
            <w:rFonts w:ascii="Cambria Math" w:hAnsi="Cambria Math"/>
          </w:rPr>
          <m:t>=</m:t>
        </m:r>
        <m:r>
          <w:rPr>
            <w:rFonts w:ascii="Cambria Math" w:eastAsiaTheme="minorEastAsia" w:hAnsi="Cambria Math"/>
          </w:rPr>
          <m:t>[1,0,…, 0]</m:t>
        </m:r>
      </m:oMath>
      <w:r w:rsidR="005F1EF2">
        <w:rPr>
          <w:rFonts w:eastAsiaTheme="minorEastAsia"/>
        </w:rPr>
        <w:t>.</w:t>
      </w:r>
    </w:p>
    <w:p w14:paraId="5584BB72" w14:textId="44FB1CC0" w:rsidR="00860357" w:rsidRDefault="00B21325" w:rsidP="00E92F0B">
      <w:pPr>
        <w:spacing w:line="360" w:lineRule="auto"/>
        <w:ind w:firstLine="720"/>
        <w:rPr>
          <w:rFonts w:eastAsiaTheme="minorEastAsia"/>
        </w:rPr>
      </w:pPr>
      <w:r>
        <w:rPr>
          <w:rFonts w:eastAsiaTheme="minorEastAsia"/>
        </w:rPr>
        <w:t xml:space="preserve"> </w:t>
      </w:r>
      <w:commentRangeStart w:id="43"/>
      <w:r w:rsidR="008E09B2">
        <w:rPr>
          <w:rFonts w:eastAsiaTheme="minorEastAsia"/>
        </w:rPr>
        <w:t xml:space="preserve">Finally, the parameter of primary interest </w:t>
      </w:r>
      <w:commentRangeEnd w:id="43"/>
      <w:r w:rsidR="00DA5840">
        <w:rPr>
          <w:rStyle w:val="CommentReference"/>
        </w:rPr>
        <w:commentReference w:id="43"/>
      </w:r>
      <w:r w:rsidR="008E09B2">
        <w:rPr>
          <w:rFonts w:eastAsiaTheme="minorEastAsia"/>
        </w:rPr>
        <w:t xml:space="preserve">in the recruitment sub model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oMath>
      <w:r w:rsidR="008E09B2">
        <w:rPr>
          <w:rFonts w:eastAsiaTheme="minorEastAsia"/>
        </w:rPr>
        <w:t xml:space="preserve">, the fecundity of individuals in size class </w:t>
      </w:r>
      <m:oMath>
        <m:r>
          <w:rPr>
            <w:rFonts w:ascii="Cambria Math" w:eastAsiaTheme="minorEastAsia" w:hAnsi="Cambria Math"/>
          </w:rPr>
          <m:t>v</m:t>
        </m:r>
      </m:oMath>
      <w:r w:rsidR="005F1EF2">
        <w:rPr>
          <w:rFonts w:eastAsiaTheme="minorEastAsia"/>
        </w:rPr>
        <w:t xml:space="preserve"> on plot </w:t>
      </w:r>
      <m:oMath>
        <m:r>
          <w:rPr>
            <w:rFonts w:ascii="Cambria Math" w:eastAsiaTheme="minorEastAsia" w:hAnsi="Cambria Math"/>
          </w:rPr>
          <m:t>j</m:t>
        </m:r>
      </m:oMath>
      <w:r w:rsidR="008E09B2">
        <w:rPr>
          <w:rFonts w:eastAsiaTheme="minorEastAsia"/>
        </w:rPr>
        <w:t>:</w:t>
      </w:r>
    </w:p>
    <w:p w14:paraId="12A8D38E" w14:textId="3B02A1C7" w:rsidR="0021304E" w:rsidRDefault="0021304E" w:rsidP="0021304E">
      <w:pPr>
        <w:pStyle w:val="Caption"/>
        <w:keepNext/>
      </w:pPr>
      <w:bookmarkStart w:id="44" w:name="_Ref93583271"/>
      <w:r>
        <w:t xml:space="preserve">Equation </w:t>
      </w:r>
      <w:r w:rsidR="00A302ED">
        <w:fldChar w:fldCharType="begin"/>
      </w:r>
      <w:r w:rsidR="00A302ED">
        <w:instrText xml:space="preserve"> SEQ Equation \* ARABIC </w:instrText>
      </w:r>
      <w:r w:rsidR="00A302ED">
        <w:fldChar w:fldCharType="separate"/>
      </w:r>
      <w:r w:rsidR="00D73B16">
        <w:rPr>
          <w:noProof/>
        </w:rPr>
        <w:t>9</w:t>
      </w:r>
      <w:r w:rsidR="00A302ED">
        <w:rPr>
          <w:noProof/>
        </w:rPr>
        <w:fldChar w:fldCharType="end"/>
      </w:r>
      <w:bookmarkEnd w:id="44"/>
    </w:p>
    <w:p w14:paraId="57B8E5BE" w14:textId="02FEF7A8" w:rsidR="008E09B2" w:rsidRDefault="001D3356" w:rsidP="00E01957">
      <w:pPr>
        <w:spacing w:line="360" w:lineRule="auto"/>
        <w:rPr>
          <w:rFonts w:eastAsiaTheme="minorEastAsia"/>
        </w:rPr>
      </w:pPr>
      <m:oMathPara>
        <m:oMath>
          <m:func>
            <m:funcPr>
              <m:ctrlPr>
                <w:rPr>
                  <w:rFonts w:ascii="Cambria Math" w:eastAsiaTheme="minorEastAsia" w:hAnsi="Cambria Math"/>
                  <w:i/>
                </w:rPr>
              </m:ctrlPr>
            </m:funcPr>
            <m:fName>
              <m:r>
                <m:rPr>
                  <m:sty m:val="p"/>
                </m:rPr>
                <w:rPr>
                  <w:rFonts w:ascii="Cambria Math" w:hAnsi="Cambria Math"/>
                </w:rPr>
                <m:t>log</m:t>
              </m:r>
            </m:fNa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j,v</m:t>
                  </m:r>
                </m:sub>
              </m:sSub>
            </m:e>
          </m:func>
          <m:r>
            <w:rPr>
              <w:rFonts w:ascii="Cambria Math" w:eastAsiaTheme="minorEastAsia" w:hAnsi="Cambria Math"/>
            </w:rPr>
            <m:t xml:space="preserve">= </m:t>
          </m:r>
          <m:sSub>
            <m:sSubPr>
              <m:ctrlPr>
                <w:rPr>
                  <w:rFonts w:ascii="Cambria Math" w:eastAsiaTheme="minorEastAsia" w:hAnsi="Cambria Math"/>
                  <w:b/>
                  <w:bCs/>
                  <w:i/>
                </w:rPr>
              </m:ctrlPr>
            </m:sSubPr>
            <m:e>
              <m:r>
                <m:rPr>
                  <m:nor/>
                </m:rPr>
                <w:rPr>
                  <w:rFonts w:ascii="Cambria Math" w:eastAsiaTheme="minorEastAsia" w:hAnsi="Cambria Math"/>
                  <w:b/>
                  <w:bCs/>
                </w:rPr>
                <m:t>X</m:t>
              </m:r>
            </m:e>
            <m:sub>
              <m:r>
                <w:rPr>
                  <w:rFonts w:ascii="Cambria Math" w:eastAsiaTheme="minorEastAsia" w:hAnsi="Cambria Math"/>
                </w:rPr>
                <m:t>j,*,v</m:t>
              </m:r>
            </m:sub>
          </m:sSub>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(f)k</m:t>
              </m:r>
            </m:sub>
          </m:sSub>
        </m:oMath>
      </m:oMathPara>
    </w:p>
    <w:p w14:paraId="4B051F17" w14:textId="775485EB" w:rsidR="00EB1B4C" w:rsidRDefault="008E09B2" w:rsidP="00EB1B4C">
      <w:pPr>
        <w:spacing w:line="360" w:lineRule="auto"/>
        <w:rPr>
          <w:rFonts w:eastAsiaTheme="minorEastAsia"/>
        </w:rPr>
      </w:pPr>
      <w:r>
        <w:rPr>
          <w:rFonts w:eastAsiaTheme="minorEastAsia"/>
        </w:rPr>
        <w:tab/>
      </w:r>
      <w:r w:rsidR="00CA6E7F">
        <w:rPr>
          <w:rFonts w:eastAsiaTheme="minorEastAsia"/>
        </w:rPr>
        <w:t>w</w:t>
      </w:r>
      <w:r w:rsidR="00EA2ACC">
        <w:rPr>
          <w:rFonts w:eastAsiaTheme="minorEastAsia"/>
        </w:rPr>
        <w:t xml:space="preserve">here </w:t>
      </w:r>
      <m:oMath>
        <m:sSub>
          <m:sSubPr>
            <m:ctrlPr>
              <w:rPr>
                <w:rFonts w:ascii="Cambria Math" w:eastAsiaTheme="minorEastAsia" w:hAnsi="Cambria Math"/>
                <w:i/>
              </w:rPr>
            </m:ctrlPr>
          </m:sSubPr>
          <m:e>
            <m:r>
              <m:rPr>
                <m:nor/>
              </m:rPr>
              <w:rPr>
                <w:rFonts w:ascii="Cambria Math" w:eastAsiaTheme="minorEastAsia" w:hAnsi="Cambria Math"/>
                <w:b/>
                <w:bCs/>
              </w:rPr>
              <m:t>X</m:t>
            </m:r>
          </m:e>
          <m:sub>
            <m:r>
              <w:rPr>
                <w:rFonts w:ascii="Cambria Math" w:eastAsiaTheme="minorEastAsia" w:hAnsi="Cambria Math"/>
              </w:rPr>
              <m:t>j,*,v</m:t>
            </m:r>
          </m:sub>
        </m:sSub>
      </m:oMath>
      <w:r w:rsidR="00EA2ACC">
        <w:rPr>
          <w:rFonts w:eastAsiaTheme="minorEastAsia"/>
        </w:rPr>
        <w:t xml:space="preserve"> is a </w:t>
      </w:r>
      <w:r w:rsidR="009A512B">
        <w:rPr>
          <w:rFonts w:eastAsiaTheme="minorEastAsia"/>
        </w:rPr>
        <w:t xml:space="preserve">row </w:t>
      </w:r>
      <w:r w:rsidR="00EA2ACC">
        <w:rPr>
          <w:rFonts w:eastAsiaTheme="minorEastAsia"/>
        </w:rPr>
        <w:t>vector of fixed effects co</w:t>
      </w:r>
      <w:r w:rsidR="00B9336D">
        <w:rPr>
          <w:rFonts w:eastAsiaTheme="minorEastAsia"/>
        </w:rPr>
        <w:t>variates</w:t>
      </w:r>
      <w:r w:rsidR="00EA2ACC">
        <w:rPr>
          <w:rFonts w:eastAsiaTheme="minorEastAsia"/>
        </w:rPr>
        <w:t xml:space="preserve"> for size class </w:t>
      </w:r>
      <m:oMath>
        <m:r>
          <w:rPr>
            <w:rFonts w:ascii="Cambria Math" w:eastAsiaTheme="minorEastAsia" w:hAnsi="Cambria Math"/>
          </w:rPr>
          <m:t>v</m:t>
        </m:r>
      </m:oMath>
      <w:r w:rsidR="00EA2ACC">
        <w:rPr>
          <w:rFonts w:eastAsiaTheme="minorEastAsia"/>
        </w:rPr>
        <w:t xml:space="preserve"> on plot </w:t>
      </w:r>
      <m:oMath>
        <m:r>
          <w:rPr>
            <w:rFonts w:ascii="Cambria Math" w:eastAsiaTheme="minorEastAsia" w:hAnsi="Cambria Math"/>
          </w:rPr>
          <m:t>j</m:t>
        </m:r>
      </m:oMath>
      <w:r w:rsidR="00EA2ACC">
        <w:rPr>
          <w:rFonts w:eastAsiaTheme="minorEastAsia"/>
        </w:rPr>
        <w:t>, again using the m</w:t>
      </w:r>
      <w:r w:rsidR="00B9336D">
        <w:rPr>
          <w:rFonts w:eastAsiaTheme="minorEastAsia"/>
        </w:rPr>
        <w:t>idpoint</w:t>
      </w:r>
      <w:r w:rsidR="00EA2ACC">
        <w:rPr>
          <w:rFonts w:eastAsiaTheme="minorEastAsia"/>
        </w:rPr>
        <w:t xml:space="preserve"> DBH of size class </w:t>
      </w:r>
      <m:oMath>
        <m:r>
          <w:rPr>
            <w:rFonts w:ascii="Cambria Math" w:eastAsiaTheme="minorEastAsia" w:hAnsi="Cambria Math"/>
          </w:rPr>
          <m:t>v</m:t>
        </m:r>
      </m:oMath>
      <w:r w:rsidR="00EA2ACC">
        <w:rPr>
          <w:rFonts w:eastAsiaTheme="minorEastAsia"/>
        </w:rPr>
        <w:t xml:space="preserve"> to approximate the size of an individual in class </w:t>
      </w:r>
      <m:oMath>
        <m:r>
          <w:rPr>
            <w:rFonts w:ascii="Cambria Math" w:eastAsiaTheme="minorEastAsia" w:hAnsi="Cambria Math"/>
          </w:rPr>
          <m:t>v</m:t>
        </m:r>
      </m:oMath>
      <w:r w:rsidR="00EA2ACC">
        <w:rPr>
          <w:rFonts w:eastAsiaTheme="minorEastAsia"/>
        </w:rPr>
        <w:t xml:space="preserve">. The covariates and parameters are as described for the survival sub model, </w:t>
      </w:r>
      <w:r w:rsidR="00B9336D">
        <w:rPr>
          <w:rFonts w:eastAsiaTheme="minorEastAsia"/>
        </w:rPr>
        <w:t xml:space="preserve">with a quadratic effect of size and associated interactions, </w:t>
      </w:r>
      <w:r w:rsidR="00EA2ACC">
        <w:rPr>
          <w:rFonts w:eastAsiaTheme="minorEastAsia"/>
        </w:rPr>
        <w:t xml:space="preserve">though here indexed by </w:t>
      </w:r>
      <m:oMath>
        <m:r>
          <w:rPr>
            <w:rFonts w:ascii="Cambria Math" w:eastAsiaTheme="minorEastAsia" w:hAnsi="Cambria Math"/>
          </w:rPr>
          <m:t>f</m:t>
        </m:r>
      </m:oMath>
      <w:r w:rsidR="00EA2ACC">
        <w:rPr>
          <w:rFonts w:eastAsiaTheme="minorEastAsia"/>
        </w:rPr>
        <w:t xml:space="preserve"> to indicate that the</w:t>
      </w:r>
      <w:r w:rsidR="00B9336D">
        <w:rPr>
          <w:rFonts w:eastAsiaTheme="minorEastAsia"/>
        </w:rPr>
        <w:t>se</w:t>
      </w:r>
      <w:r w:rsidR="00EA2ACC">
        <w:rPr>
          <w:rFonts w:eastAsiaTheme="minorEastAsia"/>
        </w:rPr>
        <w:t xml:space="preserve"> are the parameters for the fecundity sub model.</w:t>
      </w:r>
      <w:r w:rsidR="00B9336D">
        <w:rPr>
          <w:rFonts w:eastAsiaTheme="minorEastAsia"/>
        </w:rPr>
        <w:t xml:space="preserve"> A random effect for plot was not included in the fecundity sub model because there is only one observation (count of untagged individuals at remeasurement) per plot.</w:t>
      </w:r>
    </w:p>
    <w:p w14:paraId="7D69B0AA" w14:textId="18C21EFA" w:rsidR="003E5D44" w:rsidRPr="000B4F67" w:rsidRDefault="003E5D44" w:rsidP="00EB1B4C">
      <w:pPr>
        <w:spacing w:line="360" w:lineRule="auto"/>
        <w:rPr>
          <w:rFonts w:eastAsiaTheme="minorEastAsia"/>
        </w:rPr>
      </w:pPr>
      <w:r>
        <w:rPr>
          <w:rFonts w:eastAsiaTheme="minorEastAsia"/>
        </w:rPr>
        <w:tab/>
        <w:t xml:space="preserve">Model data was prepared using the tidyverse package in R Version 4.1.1, and Bayesian parameter estimation was performed using Hamiltonion Monte Carlo as implemented in stan version 2.28.2 and the cmdstanr </w:t>
      </w:r>
      <w:commentRangeStart w:id="45"/>
      <w:r>
        <w:rPr>
          <w:rFonts w:eastAsiaTheme="minorEastAsia"/>
        </w:rPr>
        <w:t>package</w:t>
      </w:r>
      <w:commentRangeEnd w:id="45"/>
      <w:r w:rsidR="005A03F5">
        <w:rPr>
          <w:rStyle w:val="CommentReference"/>
        </w:rPr>
        <w:commentReference w:id="45"/>
      </w:r>
      <w:r>
        <w:rPr>
          <w:rFonts w:eastAsiaTheme="minorEastAsia"/>
        </w:rPr>
        <w:t xml:space="preserve">. </w:t>
      </w:r>
      <w:r w:rsidR="00E358D9">
        <w:rPr>
          <w:rFonts w:eastAsiaTheme="minorEastAsia"/>
        </w:rPr>
        <w:t>The sampler was run in</w:t>
      </w:r>
      <w:r>
        <w:rPr>
          <w:rFonts w:eastAsiaTheme="minorEastAsia"/>
        </w:rPr>
        <w:t xml:space="preserve"> four chains </w:t>
      </w:r>
      <w:r w:rsidR="00E358D9">
        <w:rPr>
          <w:rFonts w:eastAsiaTheme="minorEastAsia"/>
        </w:rPr>
        <w:t>for</w:t>
      </w:r>
      <w:r>
        <w:rPr>
          <w:rFonts w:eastAsiaTheme="minorEastAsia"/>
        </w:rPr>
        <w:t xml:space="preserve"> 2000 iterations</w:t>
      </w:r>
      <w:r w:rsidR="00BF1B42">
        <w:rPr>
          <w:rFonts w:eastAsiaTheme="minorEastAsia"/>
        </w:rPr>
        <w:t xml:space="preserve"> per chain (discarding the first 1000 iterations as warmup). </w:t>
      </w:r>
      <w:r w:rsidR="007934A7">
        <w:rPr>
          <w:rFonts w:eastAsiaTheme="minorEastAsia"/>
        </w:rPr>
        <w:t xml:space="preserve">The prior distribution specified for all parameters was </w:t>
      </w:r>
      <m:oMath>
        <m:r>
          <m:rPr>
            <m:nor/>
          </m:rPr>
          <w:rPr>
            <w:rFonts w:ascii="Cambria Math" w:eastAsiaTheme="minorEastAsia" w:hAnsi="Cambria Math"/>
          </w:rPr>
          <m:t>Normal(0,5)</m:t>
        </m:r>
      </m:oMath>
      <w:r w:rsidR="007934A7">
        <w:rPr>
          <w:rFonts w:eastAsiaTheme="minorEastAsia"/>
        </w:rPr>
        <w:t xml:space="preserve"> (with variance terms restricted to positive values) except for the negative binomial </w:t>
      </w:r>
      <w:r w:rsidR="007934A7">
        <w:rPr>
          <w:rFonts w:eastAsiaTheme="minorEastAsia"/>
        </w:rPr>
        <w:lastRenderedPageBreak/>
        <w:t xml:space="preserve">dispersion parameter </w:t>
      </w:r>
      <m:oMath>
        <m:r>
          <w:rPr>
            <w:rFonts w:ascii="Cambria Math" w:eastAsiaTheme="minorEastAsia" w:hAnsi="Cambria Math"/>
          </w:rPr>
          <m:t>κ</m:t>
        </m:r>
      </m:oMath>
      <w:r w:rsidR="007934A7">
        <w:rPr>
          <w:rFonts w:eastAsiaTheme="minorEastAsia"/>
        </w:rPr>
        <w:t xml:space="preserve">, which received a </w:t>
      </w:r>
      <m:oMath>
        <m:r>
          <m:rPr>
            <m:nor/>
          </m:rPr>
          <w:rPr>
            <w:rFonts w:ascii="Cambria Math" w:eastAsiaTheme="minorEastAsia" w:hAnsi="Cambria Math"/>
          </w:rPr>
          <m:t>Cauchy(0,5)</m:t>
        </m:r>
      </m:oMath>
      <w:r w:rsidR="007934A7">
        <w:rPr>
          <w:rFonts w:eastAsiaTheme="minorEastAsia"/>
        </w:rPr>
        <w:t xml:space="preserve"> prior following Shriver et al. 2021. </w:t>
      </w:r>
      <w:commentRangeStart w:id="46"/>
      <w:r w:rsidR="00752208">
        <w:rPr>
          <w:rFonts w:eastAsiaTheme="minorEastAsia"/>
        </w:rPr>
        <w:t xml:space="preserve">Other R </w:t>
      </w:r>
      <w:commentRangeEnd w:id="46"/>
      <w:r w:rsidR="00907D59">
        <w:rPr>
          <w:rStyle w:val="CommentReference"/>
        </w:rPr>
        <w:commentReference w:id="46"/>
      </w:r>
      <w:r w:rsidR="00752208">
        <w:rPr>
          <w:rFonts w:eastAsiaTheme="minorEastAsia"/>
        </w:rPr>
        <w:t>packages used for data acquisition, data management, and plotting include</w:t>
      </w:r>
      <w:r w:rsidR="005D180E">
        <w:rPr>
          <w:rFonts w:eastAsiaTheme="minorEastAsia"/>
        </w:rPr>
        <w:t>:</w:t>
      </w:r>
      <w:r w:rsidR="00752208">
        <w:rPr>
          <w:rFonts w:eastAsiaTheme="minorEastAsia"/>
        </w:rPr>
        <w:t xml:space="preserve"> here, sf, spdata, bayesplot, posterior, units, raster, ggplot2, </w:t>
      </w:r>
      <w:r w:rsidR="00B65A24">
        <w:rPr>
          <w:rFonts w:eastAsiaTheme="minorEastAsia"/>
        </w:rPr>
        <w:t>USAboundaries, truncnorm</w:t>
      </w:r>
      <w:r w:rsidR="00D71062">
        <w:rPr>
          <w:rFonts w:eastAsiaTheme="minorEastAsia"/>
        </w:rPr>
        <w:t xml:space="preserve">, cowplot, foreach, </w:t>
      </w:r>
      <w:r w:rsidR="005D180E">
        <w:rPr>
          <w:rFonts w:eastAsiaTheme="minorEastAsia"/>
        </w:rPr>
        <w:t xml:space="preserve">and </w:t>
      </w:r>
      <w:commentRangeStart w:id="47"/>
      <w:r w:rsidR="00D71062">
        <w:rPr>
          <w:rFonts w:eastAsiaTheme="minorEastAsia"/>
        </w:rPr>
        <w:t>doParallel</w:t>
      </w:r>
      <w:commentRangeEnd w:id="47"/>
      <w:r w:rsidR="005A03F5">
        <w:rPr>
          <w:rStyle w:val="CommentReference"/>
        </w:rPr>
        <w:commentReference w:id="47"/>
      </w:r>
      <w:r w:rsidR="00D71062">
        <w:rPr>
          <w:rFonts w:eastAsiaTheme="minorEastAsia"/>
        </w:rPr>
        <w:t xml:space="preserve">. </w:t>
      </w:r>
    </w:p>
    <w:p w14:paraId="4B767712" w14:textId="0EBFF758" w:rsidR="00EE5D6E" w:rsidRPr="00EE5D6E" w:rsidRDefault="00272B03" w:rsidP="00E01957">
      <w:pPr>
        <w:pStyle w:val="Heading2"/>
        <w:spacing w:line="360" w:lineRule="auto"/>
      </w:pPr>
      <w:r>
        <w:t xml:space="preserve">Model </w:t>
      </w:r>
      <w:commentRangeStart w:id="48"/>
      <w:r>
        <w:t>Validation</w:t>
      </w:r>
      <w:commentRangeEnd w:id="48"/>
      <w:r w:rsidR="000B15A1">
        <w:rPr>
          <w:rStyle w:val="CommentReference"/>
          <w:rFonts w:asciiTheme="minorHAnsi" w:eastAsiaTheme="minorHAnsi" w:hAnsiTheme="minorHAnsi" w:cstheme="minorBidi"/>
          <w:color w:val="auto"/>
        </w:rPr>
        <w:commentReference w:id="48"/>
      </w:r>
    </w:p>
    <w:p w14:paraId="6EDBD71F" w14:textId="64768D6F" w:rsidR="009B22BB" w:rsidRDefault="00980556" w:rsidP="00E358D9">
      <w:pPr>
        <w:spacing w:line="360" w:lineRule="auto"/>
        <w:ind w:firstLine="720"/>
      </w:pPr>
      <w:r>
        <w:t xml:space="preserve">The basic diagnostics provided by cmdrstan (R-hat values, trace plots, per-chain posterior density plots, posterior pair plots, and assessment of divergences) were inspected for evidence of convergence and between-chain consistency or signs of difficulty estimating parameters. </w:t>
      </w:r>
      <w:commentRangeStart w:id="49"/>
      <w:r w:rsidR="00366F92">
        <w:t>10</w:t>
      </w:r>
      <w:commentRangeEnd w:id="49"/>
      <w:r w:rsidR="00A128BA">
        <w:rPr>
          <w:rStyle w:val="CommentReference"/>
        </w:rPr>
        <w:commentReference w:id="49"/>
      </w:r>
      <w:r w:rsidR="00366F92">
        <w:t xml:space="preserve">% of plots were randomly held out </w:t>
      </w:r>
      <w:r w:rsidR="004A222B">
        <w:t xml:space="preserve">the training dataset used to estimate parameters, </w:t>
      </w:r>
      <w:r w:rsidR="00366F92">
        <w:t xml:space="preserve">and </w:t>
      </w:r>
      <w:r w:rsidR="004A222B">
        <w:t xml:space="preserve">were </w:t>
      </w:r>
      <w:r w:rsidR="00366F92">
        <w:t xml:space="preserve">only used to assess the out-of-sample predictive performance of the model. </w:t>
      </w:r>
      <w:r w:rsidR="00A17E82">
        <w:t>For both the training and validation data sets, t</w:t>
      </w:r>
      <w:r w:rsidR="00366F92">
        <w:t xml:space="preserve">he central tendency and spread of </w:t>
      </w:r>
      <w:r w:rsidR="003658FD">
        <w:t>data simulated using posterior parameter values (</w:t>
      </w:r>
      <w:r w:rsidR="00366F92">
        <w:t xml:space="preserve">posterior </w:t>
      </w:r>
      <w:r w:rsidR="00A17E82">
        <w:t>predictions</w:t>
      </w:r>
      <w:r w:rsidR="003658FD">
        <w:t>)</w:t>
      </w:r>
      <w:r w:rsidR="00A17E82">
        <w:t xml:space="preserve"> </w:t>
      </w:r>
      <w:r w:rsidR="00366F92">
        <w:t>were compared to the true observed values of individual growth, individual survival, and plot</w:t>
      </w:r>
      <w:r w:rsidR="003658FD">
        <w:t>-level</w:t>
      </w:r>
      <w:r w:rsidR="00366F92">
        <w:t xml:space="preserve"> count of </w:t>
      </w:r>
      <w:r w:rsidR="003658FD">
        <w:t>seedlings</w:t>
      </w:r>
      <w:r w:rsidR="00717725">
        <w:t xml:space="preserve"> to assess whether model results were consistent with real data.</w:t>
      </w:r>
      <w:r w:rsidR="00366F92">
        <w:t xml:space="preserve"> </w:t>
      </w:r>
    </w:p>
    <w:p w14:paraId="16992873" w14:textId="407F2372" w:rsidR="00272B03" w:rsidRDefault="0021304E" w:rsidP="00E01957">
      <w:pPr>
        <w:pStyle w:val="Heading2"/>
        <w:spacing w:line="360" w:lineRule="auto"/>
      </w:pPr>
      <w:r>
        <w:t>Evaluation of vital rate functions and integral projection model</w:t>
      </w:r>
    </w:p>
    <w:p w14:paraId="03FA3EB6" w14:textId="636FAEC7" w:rsidR="0021304E" w:rsidRDefault="00276327" w:rsidP="00E358D9">
      <w:pPr>
        <w:spacing w:line="360" w:lineRule="auto"/>
        <w:ind w:firstLine="720"/>
      </w:pPr>
      <w:r>
        <w:t xml:space="preserve">Once parameters were estimated and model validity checked, </w:t>
      </w:r>
      <w:r w:rsidR="00486861">
        <w:t xml:space="preserve">the fitted </w:t>
      </w:r>
      <w:r w:rsidR="007B296F">
        <w:t>model for vital rate functions</w:t>
      </w:r>
      <w:r w:rsidR="00486861">
        <w:t xml:space="preserve"> was</w:t>
      </w:r>
      <w:r w:rsidR="0052071A">
        <w:t xml:space="preserve"> used to assess the impact of the various stressors (fire, WPBR, stand density, drought, and site dryness) on the vital rates of growth, survival, and fecundity</w:t>
      </w:r>
      <w:commentRangeStart w:id="50"/>
      <w:r w:rsidR="0052071A">
        <w:t xml:space="preserve">. </w:t>
      </w:r>
      <w:r w:rsidR="007B296F">
        <w:t>Idealized</w:t>
      </w:r>
      <w:r w:rsidR="00486861">
        <w:t xml:space="preserve"> </w:t>
      </w:r>
      <w:commentRangeEnd w:id="50"/>
      <w:r w:rsidR="004C5044">
        <w:rPr>
          <w:rStyle w:val="CommentReference"/>
        </w:rPr>
        <w:commentReference w:id="50"/>
      </w:r>
      <w:r w:rsidR="00486861">
        <w:t>explanatory data were constructed representing a</w:t>
      </w:r>
      <w:r w:rsidR="00522FF0">
        <w:t xml:space="preserve"> suite of environmental scenarios correspond to situations where a single stressor is present (in the case of the discrete explanatory variables </w:t>
      </w:r>
      <m:oMath>
        <m:r>
          <w:rPr>
            <w:rFonts w:ascii="Cambria Math" w:hAnsi="Cambria Math"/>
          </w:rPr>
          <m:t>FIRE</m:t>
        </m:r>
      </m:oMath>
      <w:r w:rsidR="00522FF0">
        <w:t xml:space="preserve"> and </w:t>
      </w:r>
      <m:oMath>
        <m:r>
          <w:rPr>
            <w:rFonts w:ascii="Cambria Math" w:hAnsi="Cambria Math"/>
          </w:rPr>
          <m:t>WPBR</m:t>
        </m:r>
      </m:oMath>
      <w:r w:rsidR="00522FF0">
        <w:t xml:space="preserve">) or elevated/depressed by one standard deviation (in the case of the continuous variables </w:t>
      </w:r>
      <m:oMath>
        <m:r>
          <w:rPr>
            <w:rFonts w:ascii="Cambria Math" w:hAnsi="Cambria Math"/>
          </w:rPr>
          <m:t>BA</m:t>
        </m:r>
      </m:oMath>
      <w:r w:rsidR="00522FF0">
        <w:rPr>
          <w:rFonts w:eastAsiaTheme="minorEastAsia"/>
        </w:rPr>
        <w:t xml:space="preserve">, </w:t>
      </w:r>
      <m:oMath>
        <m:r>
          <w:rPr>
            <w:rFonts w:ascii="Cambria Math" w:eastAsiaTheme="minorEastAsia" w:hAnsi="Cambria Math"/>
          </w:rPr>
          <m:t>DROUGHT</m:t>
        </m:r>
      </m:oMath>
      <w:r w:rsidR="00522FF0">
        <w:rPr>
          <w:rFonts w:eastAsiaTheme="minorEastAsia"/>
        </w:rPr>
        <w:t xml:space="preserve">, and </w:t>
      </w:r>
      <m:oMath>
        <m:r>
          <w:rPr>
            <w:rFonts w:ascii="Cambria Math" w:eastAsiaTheme="minorEastAsia" w:hAnsi="Cambria Math"/>
          </w:rPr>
          <m:t>DRYNESS</m:t>
        </m:r>
      </m:oMath>
      <w:r w:rsidR="00522FF0">
        <w:rPr>
          <w:rFonts w:eastAsiaTheme="minorEastAsia"/>
        </w:rPr>
        <w:t xml:space="preserve">), while other stressors are absent or held at their mean value (0 for scaled variables). </w:t>
      </w:r>
      <w:r w:rsidR="00486861">
        <w:rPr>
          <w:rFonts w:eastAsiaTheme="minorEastAsia"/>
        </w:rPr>
        <w:t>Given these environmental contexts, vital rates for individuals ranging in size from 0</w:t>
      </w:r>
      <w:r w:rsidR="007B296F">
        <w:rPr>
          <w:rFonts w:eastAsiaTheme="minorEastAsia"/>
        </w:rPr>
        <w:t>-2.54</w:t>
      </w:r>
      <w:r w:rsidR="00486861">
        <w:rPr>
          <w:rFonts w:eastAsiaTheme="minorEastAsia"/>
        </w:rPr>
        <w:t xml:space="preserve"> m DBH were predicted using the parameters from each posterior sample, and the predicted response plotted against DBH and stressor. </w:t>
      </w:r>
      <w:r w:rsidR="006F5254">
        <w:rPr>
          <w:rFonts w:eastAsiaTheme="minorEastAsia"/>
        </w:rPr>
        <w:t xml:space="preserve">Median posterior random effect values for ecoregions in survival, growth, and fecundity functions were mapped to understand regional-scale patterns in vital rates not explained by the fixed effects. </w:t>
      </w:r>
      <w:commentRangeStart w:id="51"/>
      <w:commentRangeEnd w:id="51"/>
      <w:r w:rsidR="006B7651">
        <w:rPr>
          <w:rStyle w:val="CommentReference"/>
        </w:rPr>
        <w:commentReference w:id="51"/>
      </w:r>
    </w:p>
    <w:p w14:paraId="4EAEBD36" w14:textId="23385110" w:rsidR="00517F42" w:rsidRDefault="00BE4CEB" w:rsidP="00E358D9">
      <w:pPr>
        <w:spacing w:line="360" w:lineRule="auto"/>
        <w:ind w:firstLine="720"/>
        <w:rPr>
          <w:rFonts w:eastAsiaTheme="minorEastAsia"/>
        </w:rPr>
      </w:pPr>
      <w:r>
        <w:t>For this paper, three suites of IPMs were constructed. The first suite of IPMs was used for estimating the parameters for the fecundity function, and is described above. In the second suite of IPMs, w</w:t>
      </w:r>
      <w:r w:rsidR="00276327">
        <w:t xml:space="preserve"> </w:t>
      </w:r>
      <w:r>
        <w:t>each draw of</w:t>
      </w:r>
      <w:r w:rsidR="00276327">
        <w:t xml:space="preserve"> posterior parameter values to generate an integral projection model </w:t>
      </w:r>
      <w:r w:rsidR="00737989">
        <w:t>kernel and compute</w:t>
      </w:r>
      <w:r w:rsidR="00AA3167">
        <w:t xml:space="preserve"> p</w:t>
      </w:r>
      <w:r w:rsidR="00276327">
        <w:t xml:space="preserve">osterior asymptotic growth rates under </w:t>
      </w:r>
      <w:r w:rsidR="00522FF0">
        <w:t xml:space="preserve">the </w:t>
      </w:r>
      <w:r w:rsidR="00C945E1">
        <w:t>suite of idealized environmental scenarios described above</w:t>
      </w:r>
      <w:r w:rsidR="00276327">
        <w:t>.</w:t>
      </w:r>
      <w:r w:rsidR="004D614E">
        <w:t xml:space="preserve"> The structure of the integral projection model</w:t>
      </w:r>
      <w:r w:rsidR="00C945E1">
        <w:t>s for the second suite</w:t>
      </w:r>
      <w:r w:rsidR="004D614E">
        <w:t xml:space="preserve"> </w:t>
      </w:r>
      <w:r w:rsidR="00251274">
        <w:t xml:space="preserve">mostly </w:t>
      </w:r>
      <w:r w:rsidR="004D614E">
        <w:t xml:space="preserve">mirrors </w:t>
      </w:r>
      <w:r w:rsidR="004D614E">
        <w:lastRenderedPageBreak/>
        <w:t xml:space="preserve">that used in the parameter estimation stage, using the </w:t>
      </w:r>
      <w:r w:rsidR="00251274">
        <w:t xml:space="preserve">same 100 size classes and vital rate discretization to construct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j,*,*,d</m:t>
            </m:r>
          </m:sub>
        </m:sSub>
      </m:oMath>
      <w:r w:rsidR="00251274">
        <w:rPr>
          <w:rFonts w:eastAsiaTheme="minorEastAsia"/>
          <w:b/>
          <w:bCs/>
        </w:rPr>
        <w:t xml:space="preserve"> </w:t>
      </w:r>
      <w:r w:rsidR="00251274">
        <w:rPr>
          <w:rFonts w:eastAsiaTheme="minorEastAsia"/>
        </w:rPr>
        <w:t xml:space="preserve">for each </w:t>
      </w:r>
      <w:r w:rsidR="00C945E1">
        <w:rPr>
          <w:rFonts w:eastAsiaTheme="minorEastAsia"/>
        </w:rPr>
        <w:t>environmental context</w:t>
      </w:r>
      <w:r w:rsidR="00251274">
        <w:rPr>
          <w:rFonts w:eastAsiaTheme="minorEastAsia"/>
        </w:rPr>
        <w:t xml:space="preserve"> </w:t>
      </w:r>
      <m:oMath>
        <m:r>
          <w:rPr>
            <w:rFonts w:ascii="Cambria Math" w:eastAsiaTheme="minorEastAsia" w:hAnsi="Cambria Math"/>
          </w:rPr>
          <m:t>j</m:t>
        </m:r>
      </m:oMath>
      <w:r w:rsidR="00787085">
        <w:rPr>
          <w:rFonts w:eastAsiaTheme="minorEastAsia"/>
        </w:rPr>
        <w:t xml:space="preserve"> </w:t>
      </w:r>
      <w:r w:rsidR="00251274">
        <w:rPr>
          <w:rFonts w:eastAsiaTheme="minorEastAsia"/>
        </w:rPr>
        <w:t>and posterior sample</w:t>
      </w:r>
      <w:r w:rsidR="00787085">
        <w:rPr>
          <w:rFonts w:eastAsiaTheme="minorEastAsia"/>
        </w:rPr>
        <w:t xml:space="preserve"> </w:t>
      </w:r>
      <m:oMath>
        <m:r>
          <w:rPr>
            <w:rFonts w:ascii="Cambria Math" w:eastAsiaTheme="minorEastAsia" w:hAnsi="Cambria Math"/>
          </w:rPr>
          <m:t>d</m:t>
        </m:r>
      </m:oMath>
      <w:r w:rsidR="00251274">
        <w:rPr>
          <w:rFonts w:eastAsiaTheme="minorEastAsia"/>
        </w:rPr>
        <w:t xml:space="preserve">. </w:t>
      </w:r>
    </w:p>
    <w:p w14:paraId="25A218DE" w14:textId="1791C7E8" w:rsidR="004D614E" w:rsidRDefault="00251274" w:rsidP="00E358D9">
      <w:pPr>
        <w:spacing w:line="360" w:lineRule="auto"/>
        <w:ind w:firstLine="720"/>
        <w:rPr>
          <w:rFonts w:eastAsiaTheme="minorEastAsia"/>
        </w:rPr>
      </w:pPr>
      <w:r>
        <w:rPr>
          <w:rFonts w:eastAsiaTheme="minorEastAsia"/>
        </w:rPr>
        <w:t xml:space="preserve">The </w:t>
      </w:r>
      <w:r w:rsidR="00BE4CEB">
        <w:rPr>
          <w:rFonts w:eastAsiaTheme="minorEastAsia"/>
        </w:rPr>
        <w:t>first</w:t>
      </w:r>
      <w:r>
        <w:rPr>
          <w:rFonts w:eastAsiaTheme="minorEastAsia"/>
        </w:rPr>
        <w:t xml:space="preserve"> difference between the construction of the IPM for results interpretation and the IPM used in parameter estimation is that, because we are interested in all individuals and not just untagged ones, the growth kernel is simplified to:</w:t>
      </w:r>
    </w:p>
    <w:p w14:paraId="712AA305" w14:textId="2A390BBC" w:rsidR="00D73B16" w:rsidRDefault="00D73B16" w:rsidP="00E92F0B">
      <w:pPr>
        <w:pStyle w:val="Caption"/>
        <w:keepNext/>
      </w:pPr>
      <w:bookmarkStart w:id="52" w:name="_Ref104379758"/>
      <w:r>
        <w:t xml:space="preserve">Equation </w:t>
      </w:r>
      <w:r>
        <w:fldChar w:fldCharType="begin"/>
      </w:r>
      <w:r>
        <w:instrText xml:space="preserve"> SEQ Equation \* ARABIC </w:instrText>
      </w:r>
      <w:r>
        <w:fldChar w:fldCharType="separate"/>
      </w:r>
      <w:r>
        <w:rPr>
          <w:noProof/>
        </w:rPr>
        <w:t>10</w:t>
      </w:r>
      <w:r>
        <w:fldChar w:fldCharType="end"/>
      </w:r>
      <w:bookmarkEnd w:id="52"/>
    </w:p>
    <w:p w14:paraId="3DDF7F55" w14:textId="402B1649" w:rsidR="00251274" w:rsidRPr="00251274" w:rsidRDefault="001D3356" w:rsidP="00E358D9">
      <w:pPr>
        <w:spacing w:line="360" w:lineRule="auto"/>
        <w:ind w:firstLine="720"/>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j,u,v</m:t>
              </m:r>
            </m:sub>
          </m:sSub>
          <m:r>
            <w:rPr>
              <w:rFonts w:ascii="Cambria Math" w:eastAsiaTheme="minorEastAsia" w:hAnsi="Cambria Math"/>
            </w:rPr>
            <m:t xml:space="preserve">= </m:t>
          </m:r>
          <m:f>
            <m:fPr>
              <m:ctrlPr>
                <w:rPr>
                  <w:rFonts w:ascii="Cambria Math" w:eastAsiaTheme="minorEastAsia" w:hAnsi="Cambria Math"/>
                  <w:i/>
                </w:rPr>
              </m:ctrlPr>
            </m:fPr>
            <m:num>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Upper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r>
                <w:rPr>
                  <w:rFonts w:ascii="Cambria Math" w:eastAsiaTheme="minorEastAsia" w:hAnsi="Cambria Math"/>
                </w:rPr>
                <m:t>-</m:t>
              </m:r>
              <m:r>
                <m:rPr>
                  <m:sty m:val="p"/>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nor/>
                        </m:rPr>
                        <w:rPr>
                          <w:rFonts w:ascii="Cambria Math" w:eastAsiaTheme="minorEastAsia" w:hAnsi="Cambria Math"/>
                        </w:rPr>
                        <m:t>Lower</m:t>
                      </m:r>
                    </m:e>
                    <m:sub>
                      <m:r>
                        <w:rPr>
                          <w:rFonts w:ascii="Cambria Math" w:eastAsiaTheme="minorEastAsia" w:hAnsi="Cambria Math"/>
                        </w:rPr>
                        <m:t>u</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num>
            <m:den>
              <m:r>
                <w:rPr>
                  <w:rFonts w:ascii="Cambria Math" w:eastAsiaTheme="minorEastAsia" w:hAnsi="Cambria Math"/>
                </w:rPr>
                <m:t>1-</m:t>
              </m:r>
              <m:r>
                <m:rPr>
                  <m:sty m:val="p"/>
                </m:rPr>
                <w:rPr>
                  <w:rFonts w:ascii="Cambria Math" w:eastAsiaTheme="minorEastAsia" w:hAnsi="Cambria Math"/>
                </w:rPr>
                <m:t>Φ</m:t>
              </m:r>
              <m:d>
                <m:dPr>
                  <m:ctrlPr>
                    <w:rPr>
                      <w:rFonts w:ascii="Cambria Math" w:eastAsiaTheme="minorEastAsia" w:hAnsi="Cambria Math"/>
                      <w:i/>
                    </w:rPr>
                  </m:ctrlPr>
                </m:dPr>
                <m:e>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j,v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ε</m:t>
                      </m:r>
                    </m:sub>
                    <m:sup>
                      <m:r>
                        <w:rPr>
                          <w:rFonts w:ascii="Cambria Math" w:eastAsiaTheme="minorEastAsia" w:hAnsi="Cambria Math"/>
                        </w:rPr>
                        <m:t>2</m:t>
                      </m:r>
                    </m:sup>
                  </m:sSubSup>
                </m:e>
              </m:d>
            </m:den>
          </m:f>
        </m:oMath>
      </m:oMathPara>
    </w:p>
    <w:p w14:paraId="4D6AA5F9" w14:textId="6F49F3E3" w:rsidR="00737989" w:rsidRDefault="00CA6E7F">
      <w:pPr>
        <w:spacing w:line="360" w:lineRule="auto"/>
        <w:ind w:firstLine="720"/>
      </w:pPr>
      <w:r>
        <w:t>w</w:t>
      </w:r>
      <w:r w:rsidR="00787085">
        <w:t xml:space="preserve">ith the same variable meanings as in </w:t>
      </w:r>
      <w:r w:rsidR="00787085">
        <w:fldChar w:fldCharType="begin"/>
      </w:r>
      <w:r w:rsidR="00787085">
        <w:instrText xml:space="preserve"> REF _Ref93582027 \h </w:instrText>
      </w:r>
      <w:r w:rsidR="00787085">
        <w:fldChar w:fldCharType="separate"/>
      </w:r>
      <w:r w:rsidR="00787085">
        <w:t xml:space="preserve">Equation </w:t>
      </w:r>
      <w:r w:rsidR="00787085">
        <w:rPr>
          <w:noProof/>
        </w:rPr>
        <w:t>8</w:t>
      </w:r>
      <w:r w:rsidR="00787085">
        <w:fldChar w:fldCharType="end"/>
      </w:r>
      <w:r w:rsidR="00787085">
        <w:t>.</w:t>
      </w:r>
      <w:r w:rsidR="004230C7">
        <w:t xml:space="preserve"> </w:t>
      </w:r>
      <w:r w:rsidR="00BE4CEB">
        <w:t xml:space="preserve">The second </w:t>
      </w:r>
      <w:r w:rsidR="00C945E1">
        <w:t>difference is that random effects were omitted to better understand the effects of the stressors, which are represented by the fixed effects</w:t>
      </w:r>
      <w:r w:rsidR="00BE4CEB">
        <w:t>.</w:t>
      </w:r>
      <w:r w:rsidR="00C945E1">
        <w:t xml:space="preserve"> </w:t>
      </w:r>
      <w:r w:rsidR="004230C7">
        <w:t>Eviction from the largest size class is avoided by setting an extremely high upper</w:t>
      </w:r>
      <w:r w:rsidR="00F91D2B">
        <w:t xml:space="preserve"> size</w:t>
      </w:r>
      <w:r w:rsidR="004230C7">
        <w:t xml:space="preserve"> bound for the largest class, such that </w:t>
      </w:r>
      <w:r w:rsidR="00F91D2B">
        <w:t>portion of individuals growing beyond the maximum bound is numerically indistinguishable from 0.</w:t>
      </w:r>
      <w:r w:rsidR="00C945E1">
        <w:t xml:space="preserve"> </w:t>
      </w:r>
    </w:p>
    <w:p w14:paraId="12D16C11" w14:textId="01B1276F" w:rsidR="00C945E1" w:rsidRDefault="00737989" w:rsidP="00C945E1">
      <w:pPr>
        <w:spacing w:line="360" w:lineRule="auto"/>
        <w:rPr>
          <w:rFonts w:eastAsiaTheme="minorEastAsia"/>
        </w:rPr>
      </w:pPr>
      <w:r>
        <w:tab/>
      </w:r>
      <w:r w:rsidR="00445077">
        <w:t xml:space="preserve">The largest real eigenvalue of each full </w:t>
      </w:r>
      <w:commentRangeStart w:id="53"/>
      <w:r w:rsidR="00445077">
        <w:t>transition matrix</w:t>
      </w:r>
      <w:r w:rsidR="00445077">
        <w:rPr>
          <w:rFonts w:eastAsiaTheme="minorEastAsia"/>
        </w:rPr>
        <w:t xml:space="preserve"> </w:t>
      </w:r>
      <w:commentRangeEnd w:id="53"/>
      <w:r w:rsidR="007B296F">
        <w:rPr>
          <w:rFonts w:eastAsiaTheme="minorEastAsia"/>
        </w:rPr>
        <w:t xml:space="preserve"> </w:t>
      </w:r>
      <w:r w:rsidR="00B95CE0">
        <w:rPr>
          <w:rStyle w:val="CommentReference"/>
        </w:rPr>
        <w:commentReference w:id="53"/>
      </w:r>
      <w:r w:rsidR="00445077">
        <w:rPr>
          <w:rFonts w:eastAsiaTheme="minorEastAsia"/>
        </w:rPr>
        <w:t xml:space="preserve">corresponds to </w:t>
      </w:r>
      <w:commentRangeStart w:id="54"/>
      <w:r w:rsidR="00445077">
        <w:rPr>
          <w:rFonts w:eastAsiaTheme="minorEastAsia"/>
        </w:rPr>
        <w:t>the</w:t>
      </w:r>
      <w:commentRangeEnd w:id="54"/>
      <w:r w:rsidR="00B95CE0">
        <w:rPr>
          <w:rStyle w:val="CommentReference"/>
        </w:rPr>
        <w:commentReference w:id="54"/>
      </w:r>
      <w:commentRangeStart w:id="55"/>
      <w:r w:rsidR="00445077">
        <w:rPr>
          <w:rFonts w:eastAsiaTheme="minorEastAsia"/>
        </w:rPr>
        <w:t xml:space="preserve"> asymptotic </w:t>
      </w:r>
      <w:commentRangeEnd w:id="55"/>
      <w:r w:rsidR="00B95CE0">
        <w:rPr>
          <w:rStyle w:val="CommentReference"/>
        </w:rPr>
        <w:commentReference w:id="55"/>
      </w:r>
      <w:r w:rsidR="00445077">
        <w:rPr>
          <w:rFonts w:eastAsiaTheme="minorEastAsia"/>
        </w:rPr>
        <w:t xml:space="preserve">population growth rate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j,d</m:t>
            </m:r>
          </m:sub>
        </m:sSub>
      </m:oMath>
      <w:r w:rsidR="00445077">
        <w:rPr>
          <w:rFonts w:eastAsiaTheme="minorEastAsia"/>
        </w:rPr>
        <w:t xml:space="preserve"> for posterior draw </w:t>
      </w:r>
      <m:oMath>
        <m:r>
          <w:rPr>
            <w:rFonts w:ascii="Cambria Math" w:eastAsiaTheme="minorEastAsia" w:hAnsi="Cambria Math"/>
          </w:rPr>
          <m:t>d</m:t>
        </m:r>
      </m:oMath>
      <w:r w:rsidR="00445077">
        <w:rPr>
          <w:rFonts w:eastAsiaTheme="minorEastAsia"/>
        </w:rPr>
        <w:t xml:space="preserve"> and </w:t>
      </w:r>
      <w:r w:rsidR="004A222B">
        <w:rPr>
          <w:rFonts w:eastAsiaTheme="minorEastAsia"/>
        </w:rPr>
        <w:t>idealized plot</w:t>
      </w:r>
      <w:r w:rsidR="00445077">
        <w:rPr>
          <w:rFonts w:eastAsiaTheme="minorEastAsia"/>
        </w:rPr>
        <w:t xml:space="preserve"> </w:t>
      </w:r>
      <m:oMath>
        <m:r>
          <w:rPr>
            <w:rFonts w:ascii="Cambria Math" w:eastAsiaTheme="minorEastAsia" w:hAnsi="Cambria Math"/>
          </w:rPr>
          <m:t>j</m:t>
        </m:r>
      </m:oMath>
      <w:r w:rsidR="00445077">
        <w:rPr>
          <w:rFonts w:eastAsiaTheme="minorEastAsia"/>
        </w:rPr>
        <w:t xml:space="preserve">.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r>
          <m:rPr>
            <m:sty m:val="p"/>
          </m:rPr>
          <w:rPr>
            <w:rFonts w:ascii="Cambria Math" w:eastAsiaTheme="minorEastAsia" w:hAnsi="Cambria Math"/>
          </w:rPr>
          <m:t xml:space="preserve"> </m:t>
        </m:r>
      </m:oMath>
      <w:r w:rsidR="00445077">
        <w:rPr>
          <w:rFonts w:eastAsiaTheme="minorEastAsia"/>
        </w:rPr>
        <w:t xml:space="preserve"> for each environmental context </w:t>
      </w:r>
      <m:oMath>
        <m:r>
          <w:rPr>
            <w:rFonts w:ascii="Cambria Math" w:eastAsiaTheme="minorEastAsia" w:hAnsi="Cambria Math"/>
          </w:rPr>
          <m:t>j</m:t>
        </m:r>
      </m:oMath>
      <w:r w:rsidR="00445077">
        <w:rPr>
          <w:rFonts w:eastAsiaTheme="minorEastAsia"/>
        </w:rPr>
        <w:t xml:space="preserve"> was plotted to understand how the presence or absence of different stressors is expected to shape the asymptotic population growth rate of sugar pine. </w:t>
      </w:r>
    </w:p>
    <w:p w14:paraId="13D8E58A" w14:textId="5D90D260" w:rsidR="00272B03" w:rsidRPr="00C945E1" w:rsidRDefault="00BE4CEB" w:rsidP="00C945E1">
      <w:pPr>
        <w:spacing w:line="360" w:lineRule="auto"/>
        <w:ind w:firstLine="720"/>
      </w:pPr>
      <w:r>
        <w:rPr>
          <w:rFonts w:eastAsiaTheme="minorEastAsia"/>
        </w:rPr>
        <w:t xml:space="preserve">Finally, we also constructed a suite of transition matrices using the observed </w:t>
      </w:r>
      <w:r w:rsidR="00C945E1">
        <w:rPr>
          <w:rFonts w:eastAsiaTheme="minorEastAsia"/>
        </w:rPr>
        <w:t xml:space="preserve">plot data and posterior median parameter values, yielding a unique transition kernel </w:t>
      </w:r>
      <m:oMath>
        <m:sSub>
          <m:sSubPr>
            <m:ctrlPr>
              <w:rPr>
                <w:rFonts w:ascii="Cambria Math" w:hAnsi="Cambria Math"/>
                <w:b/>
                <w:bCs/>
                <w:i/>
              </w:rPr>
            </m:ctrlPr>
          </m:sSubPr>
          <m:e>
            <m:r>
              <m:rPr>
                <m:nor/>
              </m:rPr>
              <w:rPr>
                <w:rFonts w:ascii="Cambria Math" w:hAnsi="Cambria Math"/>
                <w:b/>
                <w:bCs/>
              </w:rPr>
              <m:t>A</m:t>
            </m:r>
          </m:e>
          <m:sub>
            <m:r>
              <w:rPr>
                <w:rFonts w:ascii="Cambria Math" w:hAnsi="Cambria Math"/>
              </w:rPr>
              <m:t>j,*,*</m:t>
            </m:r>
          </m:sub>
        </m:sSub>
      </m:oMath>
      <w:r w:rsidR="00C945E1">
        <w:rPr>
          <w:rFonts w:eastAsiaTheme="minorEastAsia"/>
        </w:rPr>
        <w:t xml:space="preserve"> with an associated </w:t>
      </w:r>
      <w:bookmarkStart w:id="56" w:name="_Hlk104380907"/>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oMath>
      <w:r w:rsidR="00517F42">
        <w:rPr>
          <w:rFonts w:eastAsiaTheme="minorEastAsia"/>
        </w:rPr>
        <w:t xml:space="preserve"> </w:t>
      </w:r>
      <w:bookmarkEnd w:id="56"/>
      <w:r w:rsidR="00517F42">
        <w:rPr>
          <w:rFonts w:eastAsiaTheme="minorEastAsia"/>
        </w:rPr>
        <w:t>for each of the 1,102 real plots</w:t>
      </w:r>
      <w:r w:rsidR="00C945E1">
        <w:rPr>
          <w:rFonts w:eastAsiaTheme="minorEastAsia"/>
        </w:rPr>
        <w:t>.</w:t>
      </w:r>
      <w:r w:rsidR="00517F42">
        <w:rPr>
          <w:rFonts w:eastAsiaTheme="minorEastAsia"/>
        </w:rPr>
        <w:t xml:space="preserve"> This suite of IPMs </w:t>
      </w:r>
      <w:r w:rsidR="007553FB">
        <w:rPr>
          <w:rFonts w:eastAsiaTheme="minorEastAsia"/>
        </w:rPr>
        <w:t xml:space="preserve">likewise </w:t>
      </w:r>
      <w:r w:rsidR="00517F42">
        <w:rPr>
          <w:rFonts w:eastAsiaTheme="minorEastAsia"/>
        </w:rPr>
        <w:t xml:space="preserve">used </w:t>
      </w:r>
      <w:r w:rsidR="00517F42">
        <w:rPr>
          <w:rFonts w:eastAsiaTheme="minorEastAsia"/>
        </w:rPr>
        <w:fldChar w:fldCharType="begin"/>
      </w:r>
      <w:r w:rsidR="00517F42">
        <w:rPr>
          <w:rFonts w:eastAsiaTheme="minorEastAsia"/>
        </w:rPr>
        <w:instrText xml:space="preserve"> REF _Ref104379758 \h </w:instrText>
      </w:r>
      <w:r w:rsidR="00517F42">
        <w:rPr>
          <w:rFonts w:eastAsiaTheme="minorEastAsia"/>
        </w:rPr>
      </w:r>
      <w:r w:rsidR="00517F42">
        <w:rPr>
          <w:rFonts w:eastAsiaTheme="minorEastAsia"/>
        </w:rPr>
        <w:fldChar w:fldCharType="separate"/>
      </w:r>
      <w:r w:rsidR="00517F42">
        <w:t xml:space="preserve">Equation </w:t>
      </w:r>
      <w:r w:rsidR="00517F42">
        <w:rPr>
          <w:noProof/>
        </w:rPr>
        <w:t>10</w:t>
      </w:r>
      <w:r w:rsidR="00517F42">
        <w:rPr>
          <w:rFonts w:eastAsiaTheme="minorEastAsia"/>
        </w:rPr>
        <w:fldChar w:fldCharType="end"/>
      </w:r>
      <w:r w:rsidR="00517F42">
        <w:rPr>
          <w:rFonts w:eastAsiaTheme="minorEastAsia"/>
        </w:rPr>
        <w:t xml:space="preserve"> to model growth probabilities but included random as well as fixed effects. The distribution of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m:t>
            </m:r>
          </m:sub>
        </m:sSub>
      </m:oMath>
      <w:r w:rsidR="00517F42">
        <w:rPr>
          <w:rFonts w:eastAsiaTheme="minorEastAsia"/>
        </w:rPr>
        <w:t xml:space="preserve"> was studied to understand the current population </w:t>
      </w:r>
      <w:r w:rsidR="007553FB">
        <w:rPr>
          <w:rFonts w:eastAsiaTheme="minorEastAsia"/>
        </w:rPr>
        <w:t>dynamic</w:t>
      </w:r>
      <w:r w:rsidR="00517F42">
        <w:rPr>
          <w:rFonts w:eastAsiaTheme="minorEastAsia"/>
        </w:rPr>
        <w:t>s existing across the range of sugar pine.</w:t>
      </w:r>
    </w:p>
    <w:p w14:paraId="4F4B5330" w14:textId="70FCB057" w:rsidR="009B22BB" w:rsidRDefault="009B22BB" w:rsidP="00293491">
      <w:pPr>
        <w:pStyle w:val="Heading1"/>
        <w:spacing w:line="360" w:lineRule="auto"/>
      </w:pPr>
      <w:commentRangeStart w:id="57"/>
      <w:commentRangeStart w:id="58"/>
      <w:r>
        <w:t>Results</w:t>
      </w:r>
      <w:commentRangeEnd w:id="57"/>
      <w:r w:rsidR="000B15A1">
        <w:rPr>
          <w:rStyle w:val="CommentReference"/>
          <w:rFonts w:asciiTheme="minorHAnsi" w:eastAsiaTheme="minorHAnsi" w:hAnsiTheme="minorHAnsi" w:cstheme="minorBidi"/>
          <w:color w:val="auto"/>
        </w:rPr>
        <w:commentReference w:id="57"/>
      </w:r>
      <w:commentRangeEnd w:id="58"/>
      <w:r w:rsidR="000B15A1">
        <w:rPr>
          <w:rStyle w:val="CommentReference"/>
          <w:rFonts w:asciiTheme="minorHAnsi" w:eastAsiaTheme="minorHAnsi" w:hAnsiTheme="minorHAnsi" w:cstheme="minorBidi"/>
          <w:color w:val="auto"/>
        </w:rPr>
        <w:commentReference w:id="58"/>
      </w:r>
    </w:p>
    <w:p w14:paraId="2905F085" w14:textId="4F498E00" w:rsidR="009B22BB" w:rsidRDefault="00874307" w:rsidP="00293491">
      <w:pPr>
        <w:pStyle w:val="Heading2"/>
        <w:spacing w:line="360" w:lineRule="auto"/>
      </w:pPr>
      <w:r>
        <w:t>Model Validation</w:t>
      </w:r>
    </w:p>
    <w:p w14:paraId="53D9844B" w14:textId="2548146D" w:rsidR="00874307" w:rsidRDefault="00844EFD" w:rsidP="00293491">
      <w:pPr>
        <w:spacing w:line="360" w:lineRule="auto"/>
        <w:ind w:firstLine="720"/>
      </w:pPr>
      <w:r>
        <w:t xml:space="preserve">Diagnostics for </w:t>
      </w:r>
      <w:r w:rsidR="006144D6">
        <w:t xml:space="preserve">mixing, </w:t>
      </w:r>
      <w:r>
        <w:t xml:space="preserve">convergence, </w:t>
      </w:r>
      <w:r w:rsidR="00222543">
        <w:t>R-</w:t>
      </w:r>
      <w:r>
        <w:t xml:space="preserve">hat, and transitions all indicated that the </w:t>
      </w:r>
      <w:r w:rsidR="007934A7">
        <w:t xml:space="preserve">model fitting algorithm performed well. Comparisons of posterior distributions with prior distributions showed that </w:t>
      </w:r>
      <w:r w:rsidR="00FC5A10">
        <w:t>the posterior was strongly informed by the data, rather than the prior, for most parameters</w:t>
      </w:r>
      <w:r w:rsidR="00C45A1A">
        <w:t xml:space="preserve"> (</w:t>
      </w:r>
      <w:r w:rsidR="00226C3F">
        <w:fldChar w:fldCharType="begin"/>
      </w:r>
      <w:r w:rsidR="00226C3F">
        <w:instrText xml:space="preserve"> REF _Ref93658815 \h </w:instrText>
      </w:r>
      <w:r w:rsidR="00293491">
        <w:instrText xml:space="preserve"> \* MERGEFORMAT </w:instrText>
      </w:r>
      <w:r w:rsidR="00226C3F">
        <w:fldChar w:fldCharType="separate"/>
      </w:r>
      <w:r w:rsidR="00226C3F">
        <w:t>Supplementary Materials</w:t>
      </w:r>
      <w:r w:rsidR="00226C3F">
        <w:fldChar w:fldCharType="end"/>
      </w:r>
      <w:r w:rsidR="00C45A1A">
        <w:t>)</w:t>
      </w:r>
      <w:r w:rsidR="00FC5A10">
        <w:t>. The exception, where the posterior was only weakly informed by the data, were the estimates</w:t>
      </w:r>
      <w:r w:rsidR="00134157">
        <w:t xml:space="preserve"> for</w:t>
      </w:r>
      <w:r w:rsidR="00FC5A10">
        <w:rPr>
          <w:rFonts w:eastAsiaTheme="minorEastAsia"/>
        </w:rPr>
        <w:t xml:space="preserve"> the interaction</w:t>
      </w:r>
      <w:r w:rsidR="00134157">
        <w:rPr>
          <w:rFonts w:eastAsiaTheme="minorEastAsia"/>
        </w:rPr>
        <w:t>s</w:t>
      </w:r>
      <w:r w:rsidR="00FC5A10">
        <w:rPr>
          <w:rFonts w:eastAsiaTheme="minorEastAsia"/>
        </w:rPr>
        <w:t xml:space="preserve"> of WPBR with size</w:t>
      </w:r>
      <w:r w:rsidR="00134157">
        <w:rPr>
          <w:rFonts w:eastAsiaTheme="minorEastAsia"/>
        </w:rPr>
        <w:t xml:space="preserve"> and quadratic size affecting survival, the </w:t>
      </w:r>
      <w:r w:rsidR="00134157">
        <w:rPr>
          <w:rFonts w:eastAsiaTheme="minorEastAsia"/>
        </w:rPr>
        <w:lastRenderedPageBreak/>
        <w:t>interaction of size with fire affecting fecundity, and the interaction between size and WPBR affecting fecundity</w:t>
      </w:r>
      <w:r w:rsidR="00FC5A10">
        <w:rPr>
          <w:rFonts w:eastAsiaTheme="minorEastAsia"/>
        </w:rPr>
        <w:t>. This uncertainty regarding fecundity</w:t>
      </w:r>
      <w:r w:rsidR="00065C38">
        <w:rPr>
          <w:rFonts w:eastAsiaTheme="minorEastAsia"/>
        </w:rPr>
        <w:t xml:space="preserve"> parameters was likely due to the fact that fecundity was not directly observed, and the uncertainty regarding interactions involving WPBR </w:t>
      </w:r>
      <w:r w:rsidR="00FC5A10">
        <w:rPr>
          <w:rFonts w:eastAsiaTheme="minorEastAsia"/>
        </w:rPr>
        <w:t>was likely due</w:t>
      </w:r>
      <w:r w:rsidR="00222543">
        <w:rPr>
          <w:rFonts w:eastAsiaTheme="minorEastAsia"/>
        </w:rPr>
        <w:t xml:space="preserve"> to the relatively low frequency </w:t>
      </w:r>
      <w:r w:rsidR="00065C38">
        <w:rPr>
          <w:rFonts w:eastAsiaTheme="minorEastAsia"/>
        </w:rPr>
        <w:t xml:space="preserve">of </w:t>
      </w:r>
      <w:r w:rsidR="00222543">
        <w:rPr>
          <w:rFonts w:eastAsiaTheme="minorEastAsia"/>
        </w:rPr>
        <w:t>WPBR presence</w:t>
      </w:r>
      <w:r w:rsidR="00065C38">
        <w:rPr>
          <w:rFonts w:eastAsiaTheme="minorEastAsia"/>
        </w:rPr>
        <w:t xml:space="preserve"> in the data</w:t>
      </w:r>
      <w:r w:rsidR="00FC5A10">
        <w:rPr>
          <w:rFonts w:eastAsiaTheme="minorEastAsia"/>
        </w:rPr>
        <w:t>.</w:t>
      </w:r>
      <w:r w:rsidR="00BE0F16">
        <w:rPr>
          <w:rFonts w:eastAsiaTheme="minorEastAsia"/>
        </w:rPr>
        <w:t xml:space="preserve"> </w:t>
      </w:r>
      <w:r w:rsidR="00134157">
        <w:rPr>
          <w:rFonts w:eastAsiaTheme="minorEastAsia"/>
        </w:rPr>
        <w:t>Posterior predictions</w:t>
      </w:r>
      <w:commentRangeStart w:id="59"/>
      <w:r w:rsidR="00BE0F16">
        <w:rPr>
          <w:rFonts w:eastAsiaTheme="minorEastAsia"/>
        </w:rPr>
        <w:t xml:space="preserve"> </w:t>
      </w:r>
      <w:commentRangeEnd w:id="59"/>
      <w:r w:rsidR="00B95CE0">
        <w:rPr>
          <w:rStyle w:val="CommentReference"/>
        </w:rPr>
        <w:commentReference w:id="59"/>
      </w:r>
      <w:r w:rsidR="00BE0F16">
        <w:rPr>
          <w:rFonts w:eastAsiaTheme="minorEastAsia"/>
        </w:rPr>
        <w:t>generated using the posterior parameter samples and the training data as explanatory variables were</w:t>
      </w:r>
      <w:r w:rsidR="00065C38">
        <w:rPr>
          <w:rFonts w:eastAsiaTheme="minorEastAsia"/>
        </w:rPr>
        <w:t xml:space="preserve"> </w:t>
      </w:r>
      <w:r w:rsidR="00BE0F16">
        <w:rPr>
          <w:rFonts w:eastAsiaTheme="minorEastAsia"/>
        </w:rPr>
        <w:t>consistent with the true values observed in the training data</w:t>
      </w:r>
      <w:r w:rsidR="000711D9">
        <w:rPr>
          <w:rFonts w:eastAsiaTheme="minorEastAsia"/>
        </w:rPr>
        <w:t>, with the true values nearly always falling within the range of variation predicted by the model</w:t>
      </w:r>
      <w:r w:rsidR="00BE0F16">
        <w:rPr>
          <w:rFonts w:eastAsiaTheme="minorEastAsia"/>
        </w:rPr>
        <w:t xml:space="preserve"> (</w:t>
      </w:r>
      <w:r w:rsidR="00BE0F16">
        <w:rPr>
          <w:rFonts w:eastAsiaTheme="minorEastAsia"/>
        </w:rPr>
        <w:fldChar w:fldCharType="begin"/>
      </w:r>
      <w:r w:rsidR="00BE0F16">
        <w:rPr>
          <w:rFonts w:eastAsiaTheme="minorEastAsia"/>
        </w:rPr>
        <w:instrText xml:space="preserve"> REF _Ref93658815 \h </w:instrText>
      </w:r>
      <w:r w:rsidR="00293491">
        <w:rPr>
          <w:rFonts w:eastAsiaTheme="minorEastAsia"/>
        </w:rPr>
        <w:instrText xml:space="preserve"> \* MERGEFORMAT </w:instrText>
      </w:r>
      <w:r w:rsidR="00BE0F16">
        <w:rPr>
          <w:rFonts w:eastAsiaTheme="minorEastAsia"/>
        </w:rPr>
      </w:r>
      <w:r w:rsidR="00BE0F16">
        <w:rPr>
          <w:rFonts w:eastAsiaTheme="minorEastAsia"/>
        </w:rPr>
        <w:fldChar w:fldCharType="separate"/>
      </w:r>
      <w:r w:rsidR="00BE0F16">
        <w:t>Supplementary Materials</w:t>
      </w:r>
      <w:r w:rsidR="00BE0F16">
        <w:rPr>
          <w:rFonts w:eastAsiaTheme="minorEastAsia"/>
        </w:rPr>
        <w:fldChar w:fldCharType="end"/>
      </w:r>
      <w:r w:rsidR="00BE0F16">
        <w:rPr>
          <w:rFonts w:eastAsiaTheme="minorEastAsia"/>
        </w:rPr>
        <w:t>)</w:t>
      </w:r>
      <w:r w:rsidR="00065C38">
        <w:rPr>
          <w:rFonts w:eastAsiaTheme="minorEastAsia"/>
        </w:rPr>
        <w:t xml:space="preserve">. </w:t>
      </w:r>
      <w:r w:rsidR="000711D9">
        <w:rPr>
          <w:rFonts w:eastAsiaTheme="minorEastAsia"/>
        </w:rPr>
        <w:t xml:space="preserve">The survival model appeared slightly underconfident, in that true survival rates were slightly lower than predicted survival rates for p_s &lt; 0.8, and true survival rates were slightly higher than predicted survival rates for p_s &gt; 0.8. </w:t>
      </w:r>
      <w:r w:rsidR="0061208B">
        <w:rPr>
          <w:rFonts w:eastAsiaTheme="minorEastAsia"/>
        </w:rPr>
        <w:t>Some plots with relatively high predicted seedling counts actually had few or no seedlings (which was within the expected range of variation). Simulations generated</w:t>
      </w:r>
      <w:r w:rsidR="00BE0F16">
        <w:rPr>
          <w:rFonts w:eastAsiaTheme="minorEastAsia"/>
        </w:rPr>
        <w:t xml:space="preserve"> using the posterior parameter samples and the held-out validation data</w:t>
      </w:r>
      <w:r w:rsidR="00C07C6D">
        <w:rPr>
          <w:rFonts w:eastAsiaTheme="minorEastAsia"/>
        </w:rPr>
        <w:t xml:space="preserve"> as explanatory variables were </w:t>
      </w:r>
      <w:r w:rsidR="0061208B">
        <w:rPr>
          <w:rFonts w:eastAsiaTheme="minorEastAsia"/>
        </w:rPr>
        <w:t xml:space="preserve">broadly </w:t>
      </w:r>
      <w:r w:rsidR="00C07C6D">
        <w:rPr>
          <w:rFonts w:eastAsiaTheme="minorEastAsia"/>
        </w:rPr>
        <w:t>consistent with the true values observed in the validation data (</w:t>
      </w:r>
      <w:commentRangeStart w:id="60"/>
      <w:r w:rsidR="003E04A3">
        <w:rPr>
          <w:rFonts w:eastAsiaTheme="minorEastAsia"/>
        </w:rPr>
        <w:fldChar w:fldCharType="begin"/>
      </w:r>
      <w:r w:rsidR="003E04A3">
        <w:rPr>
          <w:rFonts w:eastAsiaTheme="minorEastAsia"/>
        </w:rPr>
        <w:instrText xml:space="preserve"> REF _Ref93658815 \h </w:instrText>
      </w:r>
      <w:r w:rsidR="00293491">
        <w:rPr>
          <w:rFonts w:eastAsiaTheme="minorEastAsia"/>
        </w:rPr>
        <w:instrText xml:space="preserve"> \* MERGEFORMAT </w:instrText>
      </w:r>
      <w:r w:rsidR="003E04A3">
        <w:rPr>
          <w:rFonts w:eastAsiaTheme="minorEastAsia"/>
        </w:rPr>
      </w:r>
      <w:r w:rsidR="003E04A3">
        <w:rPr>
          <w:rFonts w:eastAsiaTheme="minorEastAsia"/>
        </w:rPr>
        <w:fldChar w:fldCharType="separate"/>
      </w:r>
      <w:r w:rsidR="003E04A3">
        <w:t>Supplementary Materials</w:t>
      </w:r>
      <w:r w:rsidR="003E04A3">
        <w:rPr>
          <w:rFonts w:eastAsiaTheme="minorEastAsia"/>
        </w:rPr>
        <w:fldChar w:fldCharType="end"/>
      </w:r>
      <w:commentRangeEnd w:id="60"/>
      <w:r w:rsidR="004C5044">
        <w:rPr>
          <w:rStyle w:val="CommentReference"/>
        </w:rPr>
        <w:commentReference w:id="60"/>
      </w:r>
      <w:r w:rsidR="00C07C6D">
        <w:rPr>
          <w:rFonts w:eastAsiaTheme="minorEastAsia"/>
        </w:rPr>
        <w:t>).</w:t>
      </w:r>
      <w:r w:rsidR="00222543">
        <w:rPr>
          <w:rFonts w:eastAsiaTheme="minorEastAsia"/>
        </w:rPr>
        <w:t xml:space="preserve"> </w:t>
      </w:r>
      <w:r w:rsidR="0061208B">
        <w:rPr>
          <w:rFonts w:eastAsiaTheme="minorEastAsia"/>
        </w:rPr>
        <w:t>Survival was slightly under-predicted</w:t>
      </w:r>
      <w:r w:rsidR="00165CBF">
        <w:rPr>
          <w:rFonts w:eastAsiaTheme="minorEastAsia"/>
        </w:rPr>
        <w:t xml:space="preserve">, though again within the expected range of variation. For the growth model, the central tendency and expected variation in posterior predictions agreed well with both the training and validation data. </w:t>
      </w:r>
    </w:p>
    <w:p w14:paraId="7256D00B" w14:textId="76F9BA11" w:rsidR="00874307" w:rsidRDefault="00874307" w:rsidP="00293491">
      <w:pPr>
        <w:pStyle w:val="Heading2"/>
        <w:spacing w:line="360" w:lineRule="auto"/>
      </w:pPr>
      <w:r>
        <w:t>Survival</w:t>
      </w:r>
    </w:p>
    <w:p w14:paraId="03196E06" w14:textId="7AB3B5AF" w:rsidR="00A9076E" w:rsidRDefault="004940F9" w:rsidP="004940F9">
      <w:pPr>
        <w:spacing w:line="360" w:lineRule="auto"/>
        <w:ind w:firstLine="720"/>
      </w:pPr>
      <w:r>
        <w:t>There was a strong positive effect of size on survival, with a negative quadratic effect</w:t>
      </w:r>
      <w:r w:rsidR="00B27150">
        <w:t xml:space="preserve"> </w:t>
      </w:r>
      <w:r w:rsidR="00C65DC4">
        <w:t>(</w:t>
      </w:r>
      <w:r w:rsidR="00C65DC4">
        <w:fldChar w:fldCharType="begin"/>
      </w:r>
      <w:r w:rsidR="00C65DC4">
        <w:instrText xml:space="preserve"> REF _Ref104545123 \h </w:instrText>
      </w:r>
      <w:r w:rsidR="00C65DC4">
        <w:fldChar w:fldCharType="separate"/>
      </w:r>
      <w:r w:rsidR="00C65DC4">
        <w:t xml:space="preserve">Table </w:t>
      </w:r>
      <w:r w:rsidR="00C65DC4">
        <w:rPr>
          <w:noProof/>
        </w:rPr>
        <w:t>1</w:t>
      </w:r>
      <w:r w:rsidR="00C65DC4">
        <w:fldChar w:fldCharType="end"/>
      </w:r>
      <w:r w:rsidR="00C65DC4">
        <w:t>)</w:t>
      </w:r>
      <w:r>
        <w:t xml:space="preserve">: </w:t>
      </w:r>
      <w:r w:rsidR="00766541">
        <w:t xml:space="preserve">Median posterior predicted </w:t>
      </w:r>
      <w:r>
        <w:t xml:space="preserve">10-year survival rates increased from approximately </w:t>
      </w:r>
      <w:r w:rsidR="00C73ACA">
        <w:t>80</w:t>
      </w:r>
      <w:r w:rsidR="00BD1FBD">
        <w:t xml:space="preserve">% for stems with 0 m DBH up to a maximum of </w:t>
      </w:r>
      <w:r w:rsidR="00C73ACA">
        <w:t>96.5</w:t>
      </w:r>
      <w:r w:rsidR="00BD1FBD">
        <w:t>% for stems with</w:t>
      </w:r>
      <w:r w:rsidR="00C73ACA">
        <w:t xml:space="preserve"> 0.91</w:t>
      </w:r>
      <w:r w:rsidR="00BD1FBD">
        <w:t xml:space="preserve"> m DBH, before rapidly falling off for the largest stems to </w:t>
      </w:r>
      <w:r w:rsidR="00C73ACA">
        <w:t>just 5.6% for a stem with 2.50 m DBH (</w:t>
      </w:r>
      <w:r w:rsidR="00C73ACA">
        <w:fldChar w:fldCharType="begin"/>
      </w:r>
      <w:r w:rsidR="00C73ACA">
        <w:instrText xml:space="preserve"> REF _Ref93744929 \h </w:instrText>
      </w:r>
      <w:r w:rsidR="00C73ACA">
        <w:fldChar w:fldCharType="separate"/>
      </w:r>
      <w:r w:rsidR="00C73ACA">
        <w:t xml:space="preserve">Figure </w:t>
      </w:r>
      <w:r w:rsidR="00C73ACA">
        <w:rPr>
          <w:noProof/>
        </w:rPr>
        <w:t>2</w:t>
      </w:r>
      <w:r w:rsidR="00C73ACA">
        <w:fldChar w:fldCharType="end"/>
      </w:r>
      <w:r w:rsidR="00C73ACA">
        <w:t>)</w:t>
      </w:r>
      <w:r w:rsidR="00766541">
        <w:t>, though with relatively large uncertainty</w:t>
      </w:r>
      <w:r w:rsidR="00481C21">
        <w:t xml:space="preserve"> because there were few extremely large individuals</w:t>
      </w:r>
      <w:r w:rsidR="00C73ACA">
        <w:t>. The rapid declines in survival for the largest individuals are striking</w:t>
      </w:r>
      <w:r w:rsidR="00766541">
        <w:t xml:space="preserve"> but in line with the data, where of the </w:t>
      </w:r>
      <w:r w:rsidR="00481C21">
        <w:t>5</w:t>
      </w:r>
      <w:r w:rsidR="00766541">
        <w:t xml:space="preserve"> individuals larger than </w:t>
      </w:r>
      <w:r w:rsidR="00481C21">
        <w:t xml:space="preserve">2.00 </w:t>
      </w:r>
      <w:r w:rsidR="00766541">
        <w:t>m</w:t>
      </w:r>
      <w:r w:rsidR="00481C21">
        <w:t>, only two</w:t>
      </w:r>
      <w:r w:rsidR="00766541">
        <w:t xml:space="preserve"> survived to remeasurement. </w:t>
      </w:r>
      <w:r w:rsidR="00481C21">
        <w:t>There was a strong negative main effect of fire and a positive interaction between fire and size, indicating that fire substantially reduced survival, particularly for smaller trees (</w:t>
      </w:r>
      <w:r w:rsidR="00481C21">
        <w:fldChar w:fldCharType="begin"/>
      </w:r>
      <w:r w:rsidR="00481C21">
        <w:instrText xml:space="preserve"> REF _Ref93744929 \h </w:instrText>
      </w:r>
      <w:r w:rsidR="00481C21">
        <w:fldChar w:fldCharType="separate"/>
      </w:r>
      <w:r w:rsidR="00481C21">
        <w:t xml:space="preserve">Figure </w:t>
      </w:r>
      <w:r w:rsidR="00481C21">
        <w:rPr>
          <w:noProof/>
        </w:rPr>
        <w:t>2</w:t>
      </w:r>
      <w:r w:rsidR="00481C21">
        <w:fldChar w:fldCharType="end"/>
      </w:r>
      <w:r w:rsidR="00481C21">
        <w:t>).</w:t>
      </w:r>
      <w:r w:rsidR="008E28B3">
        <w:t xml:space="preserve"> </w:t>
      </w:r>
      <w:r w:rsidR="001E0490">
        <w:t>There were moderate negative effects of WPBR and basal area on survival, and a positive interaction between basal area and size. Other effects were weak</w:t>
      </w:r>
      <w:r w:rsidR="0033554D">
        <w:t xml:space="preserve"> or uncertain</w:t>
      </w:r>
      <w:r w:rsidR="001E0490">
        <w:t xml:space="preserve"> (their 90% credible intervals overlapped 0). </w:t>
      </w:r>
    </w:p>
    <w:p w14:paraId="030B7D88" w14:textId="5AFC03E7" w:rsidR="00874307" w:rsidRDefault="00874307" w:rsidP="00293491">
      <w:pPr>
        <w:pStyle w:val="Heading2"/>
        <w:spacing w:line="360" w:lineRule="auto"/>
      </w:pPr>
      <w:r>
        <w:t xml:space="preserve">Individual </w:t>
      </w:r>
      <w:r w:rsidR="00935912">
        <w:t>Size (growth)</w:t>
      </w:r>
    </w:p>
    <w:p w14:paraId="7C049D35" w14:textId="1DFC465F" w:rsidR="00C358F3" w:rsidRDefault="00935912" w:rsidP="00293491">
      <w:pPr>
        <w:spacing w:line="360" w:lineRule="auto"/>
      </w:pPr>
      <w:r>
        <w:tab/>
      </w:r>
      <w:commentRangeStart w:id="61"/>
      <w:r>
        <w:t>The posterior median for the intercept of the model for size at the second census was 0.0</w:t>
      </w:r>
      <w:r w:rsidR="00C65DC4">
        <w:t>38</w:t>
      </w:r>
      <w:r>
        <w:t>, with a 90% credible interval from 0.0</w:t>
      </w:r>
      <w:r w:rsidR="00954945">
        <w:t>3</w:t>
      </w:r>
      <w:r w:rsidR="00C65DC4">
        <w:t>4</w:t>
      </w:r>
      <w:r>
        <w:t xml:space="preserve"> to 0.04</w:t>
      </w:r>
      <w:r w:rsidR="00C65DC4">
        <w:t>1</w:t>
      </w:r>
      <w:r>
        <w:t xml:space="preserve"> (</w:t>
      </w:r>
      <w:r w:rsidR="00C65DC4">
        <w:fldChar w:fldCharType="begin"/>
      </w:r>
      <w:r w:rsidR="00C65DC4">
        <w:instrText xml:space="preserve"> REF _Ref94609644 \h </w:instrText>
      </w:r>
      <w:r w:rsidR="00C65DC4">
        <w:fldChar w:fldCharType="separate"/>
      </w:r>
      <w:r w:rsidR="00C65DC4">
        <w:t xml:space="preserve">Table </w:t>
      </w:r>
      <w:r w:rsidR="00C65DC4">
        <w:rPr>
          <w:noProof/>
        </w:rPr>
        <w:t>2</w:t>
      </w:r>
      <w:r w:rsidR="00C65DC4">
        <w:fldChar w:fldCharType="end"/>
      </w:r>
      <w:r>
        <w:t xml:space="preserve">). The effect of initial size was, as expected, very close to 1. Together, these results indicate that </w:t>
      </w:r>
      <w:r w:rsidR="00C358F3">
        <w:t>the smallest trees</w:t>
      </w:r>
      <w:r>
        <w:t xml:space="preserve"> trees grew an average </w:t>
      </w:r>
      <w:r w:rsidR="00C65DC4">
        <w:t>3.8 cm</w:t>
      </w:r>
      <w:r>
        <w:t xml:space="preserve"> in </w:t>
      </w:r>
      <w:r>
        <w:lastRenderedPageBreak/>
        <w:t>the 10 years between initial and follow-up census</w:t>
      </w:r>
      <w:r w:rsidR="00954945">
        <w:t xml:space="preserve">, </w:t>
      </w:r>
      <w:r w:rsidR="00C358F3">
        <w:t>with larger trees growing slightly more</w:t>
      </w:r>
      <w:r w:rsidR="00954945">
        <w:t xml:space="preserve"> (</w:t>
      </w:r>
      <w:r w:rsidR="00954945">
        <w:fldChar w:fldCharType="begin"/>
      </w:r>
      <w:r w:rsidR="00954945">
        <w:instrText xml:space="preserve"> REF _Ref94611931 \h </w:instrText>
      </w:r>
      <w:r w:rsidR="00954945">
        <w:fldChar w:fldCharType="separate"/>
      </w:r>
      <w:r w:rsidR="00954945">
        <w:t xml:space="preserve">Figure </w:t>
      </w:r>
      <w:r w:rsidR="00954945">
        <w:rPr>
          <w:noProof/>
        </w:rPr>
        <w:t>3</w:t>
      </w:r>
      <w:r w:rsidR="00954945">
        <w:fldChar w:fldCharType="end"/>
      </w:r>
      <w:r w:rsidR="00954945">
        <w:t>)</w:t>
      </w:r>
      <w:r>
        <w:t xml:space="preserve">. </w:t>
      </w:r>
      <w:commentRangeEnd w:id="61"/>
      <w:r w:rsidR="001C02F2">
        <w:rPr>
          <w:rStyle w:val="CommentReference"/>
        </w:rPr>
        <w:commentReference w:id="61"/>
      </w:r>
      <w:r w:rsidR="00C358F3">
        <w:t xml:space="preserve">Fire had weak or no effect on growth of the smallest trees, but did reduce the growth of larger stems. </w:t>
      </w:r>
      <w:r w:rsidR="00FC4865">
        <w:t>By contrast, basal area reduced the growth of small stems but not large ones. Site dryness had a negative main effect and a positive interaction with initial size: For the smallest stems growth was lower on dry sites, whereas for stems above approximately 0.60 m growth was higher on dry sites. Other effects were weak</w:t>
      </w:r>
      <w:r w:rsidR="0033554D">
        <w:t xml:space="preserve"> </w:t>
      </w:r>
      <w:r w:rsidR="00FC4865">
        <w:t xml:space="preserve">or uncertain. </w:t>
      </w:r>
    </w:p>
    <w:p w14:paraId="5176C98B" w14:textId="58BE168B" w:rsidR="00874307" w:rsidRDefault="00874307" w:rsidP="00293491">
      <w:pPr>
        <w:pStyle w:val="Heading2"/>
        <w:spacing w:line="360" w:lineRule="auto"/>
      </w:pPr>
      <w:r>
        <w:t>Fecundity</w:t>
      </w:r>
    </w:p>
    <w:p w14:paraId="0F73A96B" w14:textId="384A85AC" w:rsidR="00874307" w:rsidRDefault="00C3625A" w:rsidP="00293491">
      <w:pPr>
        <w:spacing w:line="360" w:lineRule="auto"/>
      </w:pPr>
      <w:r>
        <w:tab/>
      </w:r>
      <w:r w:rsidR="006A2B6F">
        <w:t>As with survival, there was a positive effect of size on fecundity and a negative quadratic effect of size (</w:t>
      </w:r>
      <w:r w:rsidR="006A2B6F">
        <w:fldChar w:fldCharType="begin"/>
      </w:r>
      <w:r w:rsidR="006A2B6F">
        <w:instrText xml:space="preserve"> REF _Ref94613081 \h </w:instrText>
      </w:r>
      <w:r w:rsidR="006A2B6F">
        <w:fldChar w:fldCharType="separate"/>
      </w:r>
      <w:r w:rsidR="006A2B6F">
        <w:t xml:space="preserve">Table </w:t>
      </w:r>
      <w:r w:rsidR="006A2B6F">
        <w:rPr>
          <w:noProof/>
        </w:rPr>
        <w:t>3</w:t>
      </w:r>
      <w:r w:rsidR="006A2B6F">
        <w:fldChar w:fldCharType="end"/>
      </w:r>
      <w:r w:rsidR="006A2B6F">
        <w:t>). The predicted number of new seedlings in a 10-year census per existing individual climbed from</w:t>
      </w:r>
      <w:r w:rsidR="00356D90">
        <w:t xml:space="preserve"> 0.02 for individuals of 0 m DBH to a maximum of 1.14 for individuals of 1.74 m DBH, before declining to 0.53 for individuals of 2.5m DBH (</w:t>
      </w:r>
      <w:r w:rsidR="00356D90">
        <w:fldChar w:fldCharType="begin"/>
      </w:r>
      <w:r w:rsidR="00356D90">
        <w:instrText xml:space="preserve"> REF _Ref94613276 \h </w:instrText>
      </w:r>
      <w:r w:rsidR="00356D90">
        <w:fldChar w:fldCharType="separate"/>
      </w:r>
      <w:r w:rsidR="00356D90">
        <w:t xml:space="preserve">Figure </w:t>
      </w:r>
      <w:r w:rsidR="00356D90">
        <w:rPr>
          <w:noProof/>
        </w:rPr>
        <w:t>4</w:t>
      </w:r>
      <w:r w:rsidR="00356D90">
        <w:fldChar w:fldCharType="end"/>
      </w:r>
      <w:r w:rsidR="00356D90">
        <w:t>).</w:t>
      </w:r>
      <w:r w:rsidR="00C57012">
        <w:t xml:space="preserve"> Fecundity was slightly higher on drier sites, except for the largest individuals. There was a positive interaction between WPBR and size on fecundity and a negative interaction between squared size and WPBR, though there was considerable uncertainty about the magnitudes of each: The relationship between size and fecundity was steeper on plots with WPBR. </w:t>
      </w:r>
      <w:r w:rsidR="0033554D">
        <w:t>By contrast, basal area had a negative interaction with size and a positive interaction with squared size, so the relationship between size and fecundity was less steep on plots with high basal area. Other effects were weak or uncertain.</w:t>
      </w:r>
    </w:p>
    <w:p w14:paraId="535238A9" w14:textId="6467D35F" w:rsidR="00874307" w:rsidRPr="00874307" w:rsidRDefault="00874307" w:rsidP="00293491">
      <w:pPr>
        <w:pStyle w:val="Heading2"/>
        <w:spacing w:line="360" w:lineRule="auto"/>
      </w:pPr>
      <w:commentRangeStart w:id="62"/>
      <w:r>
        <w:t>Asymptotic</w:t>
      </w:r>
      <w:commentRangeEnd w:id="62"/>
      <w:r w:rsidR="00B95CE0">
        <w:rPr>
          <w:rStyle w:val="CommentReference"/>
          <w:rFonts w:asciiTheme="minorHAnsi" w:eastAsiaTheme="minorHAnsi" w:hAnsiTheme="minorHAnsi" w:cstheme="minorBidi"/>
          <w:color w:val="auto"/>
        </w:rPr>
        <w:commentReference w:id="62"/>
      </w:r>
      <w:r>
        <w:t xml:space="preserve"> Population Growth Rates</w:t>
      </w:r>
    </w:p>
    <w:p w14:paraId="700C5BA8" w14:textId="62E25982" w:rsidR="00035CCB" w:rsidRDefault="00C15C9A" w:rsidP="00035CCB">
      <w:pPr>
        <w:spacing w:line="360" w:lineRule="auto"/>
      </w:pPr>
      <w:r>
        <w:tab/>
      </w:r>
      <w:r w:rsidR="00832565">
        <w:fldChar w:fldCharType="begin"/>
      </w:r>
      <w:r w:rsidR="00832565">
        <w:instrText xml:space="preserve"> REF _Ref94616225 \h </w:instrText>
      </w:r>
      <w:r w:rsidR="00832565">
        <w:fldChar w:fldCharType="separate"/>
      </w:r>
      <w:r w:rsidR="00832565">
        <w:t xml:space="preserve">Figure </w:t>
      </w:r>
      <w:r w:rsidR="00832565">
        <w:rPr>
          <w:noProof/>
        </w:rPr>
        <w:t>6</w:t>
      </w:r>
      <w:r w:rsidR="00832565">
        <w:fldChar w:fldCharType="end"/>
      </w:r>
      <w:r w:rsidR="00832565">
        <w:t xml:space="preserve"> shows the posterior distribution of the asymptotic population growth rate (</w:t>
      </w:r>
      <m:oMath>
        <m:r>
          <w:rPr>
            <w:rFonts w:ascii="Cambria Math" w:hAnsi="Cambria Math" w:cstheme="minorHAnsi"/>
          </w:rPr>
          <m:t>λ</m:t>
        </m:r>
      </m:oMath>
      <w:r w:rsidR="00DD37D1">
        <w:rPr>
          <w:rFonts w:cstheme="minorHAnsi"/>
        </w:rPr>
        <w:t>)</w:t>
      </w:r>
      <w:r w:rsidR="00832565">
        <w:t>predicted from IPMs built on a variety of hypothetical scenarios. In each scenario, each posterior sample of the parameters is used to calculate a transition matrix for a population of sugar pines on an idealized plot</w:t>
      </w:r>
      <w:r w:rsidR="00097D16">
        <w:t xml:space="preserve"> where the fixed effect</w:t>
      </w:r>
      <w:r w:rsidR="0033554D">
        <w:t xml:space="preserve"> covariates </w:t>
      </w:r>
      <w:r w:rsidR="00097D16">
        <w:t>(other than size) for the vital rate models are held to specific values representing each scenario</w:t>
      </w:r>
      <w:r w:rsidR="00832565">
        <w:t xml:space="preserve">. </w:t>
      </w:r>
      <w:r w:rsidR="00097D16">
        <w:t xml:space="preserve">For each of the nine scenarios, one transition matrix is constructed using the parameter values from each of the 4,000 posterior draws. The dominant eigenvalue of each matrix gives the estimate of </w:t>
      </w:r>
      <m:oMath>
        <m:r>
          <w:rPr>
            <w:rFonts w:ascii="Cambria Math" w:hAnsi="Cambria Math" w:cstheme="minorHAnsi"/>
          </w:rPr>
          <m:t>λ</m:t>
        </m:r>
      </m:oMath>
      <w:r w:rsidR="00097D16">
        <w:t xml:space="preserve"> for that scenario and draw. </w:t>
      </w:r>
    </w:p>
    <w:p w14:paraId="774C18D4" w14:textId="48C5F9B4" w:rsidR="009B22BB" w:rsidRDefault="00097D16" w:rsidP="00035CCB">
      <w:pPr>
        <w:spacing w:line="360" w:lineRule="auto"/>
        <w:ind w:firstLine="720"/>
      </w:pPr>
      <w:r>
        <w:t xml:space="preserve">In the undisturbed scenario, </w:t>
      </w:r>
      <w:r w:rsidR="004D47AC">
        <w:t>categorical stressors (fire and WPBR) were absent, while continuous stressors (BA, drought, and site dryness) were held at 0 (their scaled means). Under these circumstances,</w:t>
      </w:r>
      <w:r w:rsidR="00B91F66">
        <w:t xml:space="preserve"> the asymptotic growth rate is above 1, with a</w:t>
      </w:r>
      <w:r w:rsidR="005C39DA">
        <w:t xml:space="preserve"> </w:t>
      </w:r>
      <w:r w:rsidR="00B91F66">
        <w:t>median posterior value of</w:t>
      </w:r>
      <w:r w:rsidR="0013741A">
        <w:t xml:space="preserve"> </w:t>
      </w:r>
      <m:oMath>
        <m:r>
          <w:rPr>
            <w:rFonts w:ascii="Cambria Math" w:hAnsi="Cambria Math"/>
          </w:rPr>
          <m:t>λ</m:t>
        </m:r>
      </m:oMath>
      <w:r w:rsidR="00B91F66">
        <w:t xml:space="preserve"> of </w:t>
      </w:r>
      <w:r w:rsidR="00B05195">
        <w:t>1.</w:t>
      </w:r>
      <w:r w:rsidR="007E7CA6">
        <w:t>0</w:t>
      </w:r>
      <w:r w:rsidR="00B05195">
        <w:t>4</w:t>
      </w:r>
      <w:r w:rsidR="00B91F66">
        <w:t xml:space="preserve"> and a 90% credible interval from </w:t>
      </w:r>
      <w:r w:rsidR="00B05195">
        <w:t>1.0</w:t>
      </w:r>
      <w:r w:rsidR="007E7CA6">
        <w:t>1</w:t>
      </w:r>
      <w:r w:rsidR="00B91F66">
        <w:t xml:space="preserve"> to </w:t>
      </w:r>
      <w:r w:rsidR="00B05195">
        <w:t>1.</w:t>
      </w:r>
      <w:r w:rsidR="007E7CA6">
        <w:t>07</w:t>
      </w:r>
      <w:r w:rsidR="00B91F66">
        <w:t xml:space="preserve"> (</w:t>
      </w:r>
      <w:r w:rsidR="009E6363">
        <w:fldChar w:fldCharType="begin"/>
      </w:r>
      <w:r w:rsidR="009E6363">
        <w:instrText xml:space="preserve"> REF _Ref94616225 \h </w:instrText>
      </w:r>
      <w:r w:rsidR="009E6363">
        <w:fldChar w:fldCharType="separate"/>
      </w:r>
      <w:r w:rsidR="009E6363">
        <w:t xml:space="preserve">Figure </w:t>
      </w:r>
      <w:r w:rsidR="009E6363">
        <w:rPr>
          <w:noProof/>
        </w:rPr>
        <w:t>6</w:t>
      </w:r>
      <w:r w:rsidR="009E6363">
        <w:fldChar w:fldCharType="end"/>
      </w:r>
      <w:r w:rsidR="009E6363">
        <w:t>,</w:t>
      </w:r>
      <w:r w:rsidR="007E7CA6">
        <w:t xml:space="preserve"> Supplementary Table 1</w:t>
      </w:r>
      <w:r w:rsidR="00B91F66">
        <w:t xml:space="preserve">). Where fire is present, </w:t>
      </w:r>
      <m:oMath>
        <m:r>
          <w:rPr>
            <w:rFonts w:ascii="Cambria Math" w:hAnsi="Cambria Math"/>
          </w:rPr>
          <m:t>λ</m:t>
        </m:r>
      </m:oMath>
      <w:r w:rsidR="00B91F66">
        <w:t xml:space="preserve"> is </w:t>
      </w:r>
      <w:r w:rsidR="007E7CA6">
        <w:t xml:space="preserve">strongly </w:t>
      </w:r>
      <w:r w:rsidR="00A70058">
        <w:t xml:space="preserve">reduced </w:t>
      </w:r>
      <w:r w:rsidR="00B91F66">
        <w:t xml:space="preserve">(median </w:t>
      </w:r>
      <w:r w:rsidR="00B05195">
        <w:t>0.</w:t>
      </w:r>
      <w:r w:rsidR="007E7CA6">
        <w:t>61</w:t>
      </w:r>
      <w:r w:rsidR="00B91F66">
        <w:t xml:space="preserve">, CI </w:t>
      </w:r>
      <w:r w:rsidR="00B05195">
        <w:t>0.</w:t>
      </w:r>
      <w:r w:rsidR="007E7CA6">
        <w:t>51</w:t>
      </w:r>
      <w:r w:rsidR="00B91F66">
        <w:t xml:space="preserve"> to </w:t>
      </w:r>
      <w:r w:rsidR="00B05195">
        <w:t>0.</w:t>
      </w:r>
      <w:r w:rsidR="007E7CA6">
        <w:t>70</w:t>
      </w:r>
      <w:r w:rsidR="00B91F66">
        <w:t xml:space="preserve">). Where WPBR is present, the posterior distribution for </w:t>
      </w:r>
      <m:oMath>
        <m:r>
          <w:rPr>
            <w:rFonts w:ascii="Cambria Math" w:hAnsi="Cambria Math"/>
          </w:rPr>
          <m:t>λ</m:t>
        </m:r>
      </m:oMath>
      <w:r w:rsidR="00B91F66">
        <w:t xml:space="preserve"> </w:t>
      </w:r>
      <w:r w:rsidR="00B91F66">
        <w:lastRenderedPageBreak/>
        <w:t>straddles 1, but is generally lower than that of the undisturbed scenario (</w:t>
      </w:r>
      <w:r w:rsidR="00561760">
        <w:t xml:space="preserve">median </w:t>
      </w:r>
      <w:r w:rsidR="007E7CA6">
        <w:t>0.99</w:t>
      </w:r>
      <w:r w:rsidR="00561760">
        <w:t>, CI 0.</w:t>
      </w:r>
      <w:r w:rsidR="007E7CA6">
        <w:t>90</w:t>
      </w:r>
      <w:r w:rsidR="00561760">
        <w:t xml:space="preserve"> to </w:t>
      </w:r>
      <w:r w:rsidR="007E7CA6">
        <w:t>1.06</w:t>
      </w:r>
      <w:r w:rsidR="00B91F66">
        <w:t>).</w:t>
      </w:r>
      <w:r w:rsidR="009E6363">
        <w:t xml:space="preserve"> When basal area is lower than average, there posterior distribution of </w:t>
      </w:r>
      <m:oMath>
        <m:r>
          <w:rPr>
            <w:rFonts w:ascii="Cambria Math" w:hAnsi="Cambria Math"/>
          </w:rPr>
          <m:t>λ</m:t>
        </m:r>
      </m:oMath>
      <w:r w:rsidR="009E6363">
        <w:t xml:space="preserve"> is</w:t>
      </w:r>
      <w:r w:rsidR="007E7CA6">
        <w:t xml:space="preserve"> </w:t>
      </w:r>
      <w:r w:rsidR="009E6363">
        <w:t xml:space="preserve">well above one (median </w:t>
      </w:r>
      <w:r w:rsidR="00561760">
        <w:t>1.</w:t>
      </w:r>
      <w:r w:rsidR="007E7CA6">
        <w:t>09</w:t>
      </w:r>
      <w:r w:rsidR="009E6363">
        <w:t xml:space="preserve">, CI </w:t>
      </w:r>
      <w:r w:rsidR="00561760">
        <w:t>1.</w:t>
      </w:r>
      <w:r w:rsidR="007E7CA6">
        <w:t>06</w:t>
      </w:r>
      <w:r w:rsidR="009E6363">
        <w:t xml:space="preserve"> to </w:t>
      </w:r>
      <w:r w:rsidR="007E7CA6">
        <w:t>1.13</w:t>
      </w:r>
      <w:r w:rsidR="009E6363">
        <w:t xml:space="preserve">). By contrast, when basal area is higher than average the posterior distribution of </w:t>
      </w:r>
      <m:oMath>
        <m:r>
          <w:rPr>
            <w:rFonts w:ascii="Cambria Math" w:hAnsi="Cambria Math"/>
          </w:rPr>
          <m:t>λ</m:t>
        </m:r>
      </m:oMath>
      <w:r w:rsidR="0013741A">
        <w:t xml:space="preserve"> </w:t>
      </w:r>
      <w:r w:rsidR="009E6363">
        <w:t xml:space="preserve">straddles one (median </w:t>
      </w:r>
      <w:r w:rsidR="00A70058">
        <w:t>0.98</w:t>
      </w:r>
      <w:r w:rsidR="009E6363">
        <w:t xml:space="preserve">, CI </w:t>
      </w:r>
      <w:r w:rsidR="00561760">
        <w:t>0.</w:t>
      </w:r>
      <w:r w:rsidR="00A70058">
        <w:t>94</w:t>
      </w:r>
      <w:r w:rsidR="009E6363">
        <w:t xml:space="preserve"> to </w:t>
      </w:r>
      <w:r w:rsidR="00561760">
        <w:t>1.0</w:t>
      </w:r>
      <w:r w:rsidR="00A70058">
        <w:t>2</w:t>
      </w:r>
      <w:r w:rsidR="009E6363">
        <w:t>)</w:t>
      </w:r>
      <w:r w:rsidR="00A70058">
        <w:t xml:space="preserve"> and is clearly lower than the undisturbed scenario</w:t>
      </w:r>
      <w:r w:rsidR="009E6363">
        <w:t xml:space="preserve">. </w:t>
      </w:r>
      <w:r w:rsidR="00A70058">
        <w:t xml:space="preserve">For sites experiencing low amounts of drought, the median and 90% CI of </w:t>
      </w:r>
      <m:oMath>
        <m:r>
          <w:rPr>
            <w:rFonts w:ascii="Cambria Math" w:hAnsi="Cambria Math"/>
          </w:rPr>
          <m:t>λ</m:t>
        </m:r>
      </m:oMath>
      <w:r w:rsidR="00A70058">
        <w:t xml:space="preserve"> is above 1, while for sites experiencing high drought the posterior distribution of </w:t>
      </w:r>
      <m:oMath>
        <m:r>
          <w:rPr>
            <w:rFonts w:ascii="Cambria Math" w:hAnsi="Cambria Math"/>
          </w:rPr>
          <m:t>λ</m:t>
        </m:r>
      </m:oMath>
      <w:r w:rsidR="00A70058">
        <w:t xml:space="preserve"> straddles one (median 1.03, 90% CI from 0.99 to 1.08). </w:t>
      </w:r>
      <w:r w:rsidR="0013741A">
        <w:t xml:space="preserve">Likewise, on particularly dry sites the posterior distribution of </w:t>
      </w:r>
      <m:oMath>
        <m:r>
          <w:rPr>
            <w:rFonts w:ascii="Cambria Math" w:hAnsi="Cambria Math"/>
          </w:rPr>
          <m:t>λ</m:t>
        </m:r>
      </m:oMath>
      <w:r w:rsidR="0013741A">
        <w:t xml:space="preserve"> straddles 1 (median 1.04, 90% CI from 0.99 to 1.09). Fire had the clearest effect on </w:t>
      </w:r>
      <m:oMath>
        <m:r>
          <w:rPr>
            <w:rFonts w:ascii="Cambria Math" w:hAnsi="Cambria Math"/>
          </w:rPr>
          <m:t>λ</m:t>
        </m:r>
      </m:oMath>
      <w:r w:rsidR="0013741A">
        <w:t xml:space="preserve">, followed by WPBR and high basal area, and then drought and site dryness. </w:t>
      </w:r>
    </w:p>
    <w:commentRangeStart w:id="63"/>
    <w:commentRangeStart w:id="64"/>
    <w:commentRangeStart w:id="65"/>
    <w:p w14:paraId="1D544046" w14:textId="18EC3843" w:rsidR="00035CCB" w:rsidRDefault="00035CCB" w:rsidP="00035CCB">
      <w:pPr>
        <w:spacing w:line="360" w:lineRule="auto"/>
        <w:ind w:firstLine="720"/>
      </w:pPr>
      <w:r>
        <w:fldChar w:fldCharType="begin"/>
      </w:r>
      <w:r>
        <w:instrText xml:space="preserve"> REF _Ref94620208 \h </w:instrText>
      </w:r>
      <w:r>
        <w:fldChar w:fldCharType="separate"/>
      </w:r>
      <w:r>
        <w:t xml:space="preserve">Figure </w:t>
      </w:r>
      <w:r>
        <w:rPr>
          <w:noProof/>
        </w:rPr>
        <w:t>7</w:t>
      </w:r>
      <w:r>
        <w:fldChar w:fldCharType="end"/>
      </w:r>
      <w:r>
        <w:t xml:space="preserve"> shows</w:t>
      </w:r>
      <w:commentRangeEnd w:id="63"/>
      <w:r w:rsidR="008A2F91">
        <w:rPr>
          <w:rStyle w:val="CommentReference"/>
        </w:rPr>
        <w:commentReference w:id="63"/>
      </w:r>
      <w:r>
        <w:t xml:space="preserve"> the expected distribution of</w:t>
      </w:r>
      <w:r w:rsidR="009D4174">
        <w:t xml:space="preserve"> the asymptotic population growth rate across all real plots where sugar pine was observed in the initial census</w:t>
      </w:r>
      <w:r>
        <w:t xml:space="preserve">, holding all vital rate model parameters </w:t>
      </w:r>
      <w:r w:rsidR="0036501F">
        <w:t xml:space="preserve">(including ecoregion- and plot-specific random effects) </w:t>
      </w:r>
      <w:r>
        <w:t xml:space="preserve">at their posterior medians. </w:t>
      </w:r>
      <w:r w:rsidR="0036501F">
        <w:t xml:space="preserve">The median value of </w:t>
      </w:r>
      <m:oMath>
        <m:r>
          <w:rPr>
            <w:rFonts w:ascii="Cambria Math" w:hAnsi="Cambria Math"/>
          </w:rPr>
          <m:t>λ</m:t>
        </m:r>
      </m:oMath>
      <w:r w:rsidR="0036501F">
        <w:t xml:space="preserve"> across all subplots is 1.0</w:t>
      </w:r>
      <w:r w:rsidR="009D4174">
        <w:t>3</w:t>
      </w:r>
      <w:r w:rsidR="0036501F">
        <w:t>, with an inter-quartile range of 0.</w:t>
      </w:r>
      <w:r w:rsidR="009D4174">
        <w:t>85</w:t>
      </w:r>
      <w:r w:rsidR="0036501F">
        <w:t xml:space="preserve"> to 1.</w:t>
      </w:r>
      <w:r w:rsidR="009D4174">
        <w:t>09</w:t>
      </w:r>
      <w:r w:rsidR="0036501F">
        <w:t xml:space="preserve">. </w:t>
      </w:r>
      <m:oMath>
        <m:r>
          <w:rPr>
            <w:rFonts w:ascii="Cambria Math" w:hAnsi="Cambria Math"/>
          </w:rPr>
          <m:t>λ</m:t>
        </m:r>
      </m:oMath>
      <w:r w:rsidR="00CB550D">
        <w:t xml:space="preserve"> </w:t>
      </w:r>
      <w:r w:rsidR="009D4174">
        <w:t>is</w:t>
      </w:r>
      <w:r w:rsidR="00CB550D">
        <w:t xml:space="preserve"> predicted to be below one on </w:t>
      </w:r>
      <w:r w:rsidR="009D4174">
        <w:t>40</w:t>
      </w:r>
      <w:r w:rsidR="00CB550D">
        <w:t>.</w:t>
      </w:r>
      <w:r w:rsidR="009D4174">
        <w:t>1</w:t>
      </w:r>
      <w:r w:rsidR="00CB550D">
        <w:t>% of plots.</w:t>
      </w:r>
      <w:commentRangeEnd w:id="64"/>
      <w:r w:rsidR="00A47588">
        <w:rPr>
          <w:rStyle w:val="CommentReference"/>
        </w:rPr>
        <w:commentReference w:id="64"/>
      </w:r>
      <w:commentRangeEnd w:id="65"/>
      <w:r w:rsidR="006B3BFA">
        <w:rPr>
          <w:rStyle w:val="CommentReference"/>
        </w:rPr>
        <w:commentReference w:id="65"/>
      </w:r>
    </w:p>
    <w:p w14:paraId="01A75E00" w14:textId="56102DEE" w:rsidR="00097CE1" w:rsidRPr="009B0C1C" w:rsidRDefault="009B22BB" w:rsidP="009B0C1C">
      <w:pPr>
        <w:pStyle w:val="Heading1"/>
        <w:spacing w:line="360" w:lineRule="auto"/>
      </w:pPr>
      <w:commentRangeStart w:id="66"/>
      <w:commentRangeStart w:id="67"/>
      <w:r>
        <w:t>Discussion</w:t>
      </w:r>
      <w:commentRangeEnd w:id="66"/>
      <w:commentRangeEnd w:id="67"/>
      <w:r w:rsidR="00B95CE0">
        <w:rPr>
          <w:rStyle w:val="CommentReference"/>
          <w:rFonts w:asciiTheme="minorHAnsi" w:eastAsiaTheme="minorHAnsi" w:hAnsiTheme="minorHAnsi" w:cstheme="minorBidi"/>
          <w:color w:val="auto"/>
        </w:rPr>
        <w:commentReference w:id="66"/>
      </w:r>
      <w:r w:rsidR="008A2F91">
        <w:rPr>
          <w:rStyle w:val="CommentReference"/>
          <w:rFonts w:asciiTheme="minorHAnsi" w:eastAsiaTheme="minorHAnsi" w:hAnsiTheme="minorHAnsi" w:cstheme="minorBidi"/>
          <w:color w:val="auto"/>
        </w:rPr>
        <w:commentReference w:id="67"/>
      </w:r>
    </w:p>
    <w:p w14:paraId="788DCB1B" w14:textId="2795B514" w:rsidR="00C73ACA" w:rsidRDefault="00C73ACA" w:rsidP="00097CE1">
      <w:pPr>
        <w:spacing w:line="360" w:lineRule="auto"/>
        <w:ind w:firstLine="720"/>
        <w:rPr>
          <w:rFonts w:cstheme="minorHAnsi"/>
          <w:sz w:val="20"/>
          <w:szCs w:val="20"/>
        </w:rPr>
      </w:pPr>
      <w:r>
        <w:rPr>
          <w:rFonts w:cstheme="minorHAnsi"/>
          <w:sz w:val="20"/>
          <w:szCs w:val="20"/>
        </w:rPr>
        <w:t>Negative quadratic effect of size on survival</w:t>
      </w:r>
      <w:r w:rsidR="00097CE1">
        <w:rPr>
          <w:rFonts w:cstheme="minorHAnsi"/>
          <w:sz w:val="20"/>
          <w:szCs w:val="20"/>
        </w:rPr>
        <w:t xml:space="preserve"> </w:t>
      </w:r>
    </w:p>
    <w:p w14:paraId="35508221" w14:textId="04C19A3B" w:rsidR="00D10804" w:rsidRDefault="00D10804" w:rsidP="00097CE1">
      <w:pPr>
        <w:spacing w:line="360" w:lineRule="auto"/>
        <w:ind w:firstLine="720"/>
        <w:rPr>
          <w:rFonts w:cstheme="minorHAnsi"/>
          <w:sz w:val="20"/>
          <w:szCs w:val="20"/>
        </w:rPr>
      </w:pPr>
      <w:r>
        <w:rPr>
          <w:rFonts w:cstheme="minorHAnsi"/>
          <w:sz w:val="20"/>
          <w:szCs w:val="20"/>
        </w:rPr>
        <w:t>Discussion of limitations of asymptotic pop growth rate</w:t>
      </w:r>
    </w:p>
    <w:p w14:paraId="5067BE96" w14:textId="6CF0877E" w:rsidR="001545DE" w:rsidRPr="00F30BF0" w:rsidRDefault="001545DE" w:rsidP="00353F3B">
      <w:pPr>
        <w:spacing w:line="360" w:lineRule="auto"/>
        <w:ind w:firstLine="720"/>
        <w:rPr>
          <w:rFonts w:cstheme="minorHAnsi"/>
        </w:rPr>
      </w:pPr>
      <w:r w:rsidRPr="00F30BF0">
        <w:rPr>
          <w:rFonts w:cstheme="minorHAnsi"/>
        </w:rPr>
        <w:t>The results of this study highlight</w:t>
      </w:r>
      <w:r w:rsidR="00E167D6" w:rsidRPr="00F30BF0">
        <w:rPr>
          <w:rFonts w:cstheme="minorHAnsi"/>
        </w:rPr>
        <w:t xml:space="preserve"> fire as a key stressor negatively impacting demographic rates of sugar pine. Fire strongly reduced survival of individual trees</w:t>
      </w:r>
      <w:r w:rsidR="00097CE1" w:rsidRPr="00F30BF0">
        <w:rPr>
          <w:rFonts w:cstheme="minorHAnsi"/>
        </w:rPr>
        <w:t>, particularly small ones</w:t>
      </w:r>
      <w:r w:rsidR="00E167D6" w:rsidRPr="00F30BF0">
        <w:rPr>
          <w:rFonts w:cstheme="minorHAnsi"/>
        </w:rPr>
        <w:t xml:space="preserve">. This finding is broadly consistent with the existing literature, which has documented many cases of negative (and size-dependent) impacts of fire on survival of sugar pine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models","type":"article-journal"},"uris":["http://www.mendeley.com/documents/?uuid=5dce8c9b-16a7-4930-9de8-231f1ca41bb7"]},{"id":"ITEM-2","itemData":{"DOI":"10.1016/j.foreco.2010.05.033","ISSN":"03781127","abstract":"Fire injury was characterized and survival monitored for 5677 trees &gt;25. cm DBH from five wildfires in California that occurred between 2000 and 2004. Logistic regression models for predicting the probability of mortality 5-years after fire were developed for incense cedar (Calocedrus decurrens (Torr.) Florin), white fir (Abies concolor (Gord &amp; Glend.) Lindl. ex Hildebr.), sugar pine (Pinus lambertiana Douglas), Jeffrey pine (P. jeffreyi Balf.), and ponderosa pine (P. ponderosa C. Lawson). Differences in crown injury variables were also compared for Jeffrey and ponderosa pine. Most mortality (70-88% depending on species) occurred within 2 years post-wildfire and had stabilized by year 3. Crown length and crown volume injury variables predicted tree mortality equally well; however, the variables were not interchangeable. Crown injury and cambium kill rating was significant in predicting mortality in all models. DBH was only a significant predictor of mortality for white fir and the combined ponderosa and Jeffrey pine models developed from the McNally Fire; these models all predicted increasing mortality with increasing tree size. Red turpentine beetle (Dendroctonus valens) was a significant predictor variable for sugar pine, ponderosa pine, and Jeffrey pine; ambrosia beetle (Trypodendron and Gnathotrichus spp.) was a significant predictor variable for white fir. The mortality models and post-fire tree survival characteristics provide improved prediction of 5-year post-wildfire tree mortality for several California conifers. The models confirm the overall importance of crown injury in predicting post-fire mortality compared to other injury variables for all species. Additional variables such as cambium kill, bark beetles, and tree size improved model accuracies, but likely not enough to justify the added expense of data collection. ?? 2010.","author":[{"dropping-particle":"","family":"Hood","given":"Sharon M.","non-dropping-particle":"","parse-names":false,"suffix":""},{"dropping-particle":"","family":"Smith","given":"Sheri L.","non-dropping-particle":"","parse-names":false,"suffix":""},{"dropping-particle":"","family":"Cluck","given":"Daniel R.","non-dropping-particle":"","parse-names":false,"suffix":""}],"container-title":"Forest Ecology and Management","id":"ITEM-2","issue":"5","issued":{"date-parts":[["2010"]]},"page":"750-762","publisher":"Elsevier B.V.","title":"Predicting mortality for five California conifers following wildfire","type":"article-journal","volume":"260"},"uris":["http://www.mendeley.com/documents/?uuid=d1d13f42-975c-4bf6-b673-57d32cdf8b55"]},{"id":"ITEM-3","itemData":{"DOI":"10.1139/cjfr-2014-0449","ISSN":"12086037","abstract":"Tree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Research","id":"ITEM-3","issue":"7","issued":{"date-parts":[["2015"]]},"page":"910-919","title":"The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Park","type":"article-journal","volume":"45"},"uris":["http://www.mendeley.com/documents/?uuid=cd8ba33c-48ac-44de-90c9-962cbecf6d95"]},{"id":"ITEM-4","itemData":{"DOI":"10.1002/ecs2.3263","author":[{"dropping-particle":"","family":"Dudney","given":"Joan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J.","non-dropping-particle":"","parse-names":false,"suffix":""}],"container-title":"Ecosphere","id":"ITEM-4","issue":"October","issued":{"date-parts":[["2020"]]},"page":"e03263","title":"Compounding effects of white pine blister rust, mountain pine beetle, and fire threaten four white pine species","type":"article-journal","volume":"11"},"uris":["http://www.mendeley.com/documents/?uuid=54eba3d7-5ed4-4e44-a51e-b1150e7c2215"]},{"id":"ITEM-5","itemData":{"DOI":"10.1890/03-5109","ISSN":"10510761","abstract":"An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Applications","id":"ITEM-5","issue":"5","issued":{"date-parts":[["2004"]]},"page":"1590-1602","title":"Effects of an introduced pathogen and fire exclusion on the demography of sugar pine","type":"article-journal","volume":"14"},"uris":["http://www.mendeley.com/documents/?uuid=4017c084-8b81-48ae-b134-e117d840d93b"]}],"mendeley":{"formattedCitation":"(Van Mantgem &lt;i&gt;et al.&lt;/i&gt;, 2004; Hood, Smith and Cluck, 2010; Nesmith &lt;i&gt;et al.&lt;/i&gt;, 2015; Furniss &lt;i&gt;et al.&lt;/i&gt;, 2018; Dudney &lt;i&gt;et al.&lt;/i&gt;, 2020)","plainTextFormattedCitation":"(Van Mantgem et al., 2004; Hood, Smith and Cluck, 2010; Nesmith et al., 2015; Furniss et al., 2018; Dudney et al., 2020)","previouslyFormattedCitation":"(Van Mantgem &lt;i&gt;et al.&lt;/i&gt;, 2004; Hood, Smith and Cluck, 2010; Nesmith &lt;i&gt;et al.&lt;/i&gt;, 2015; Furniss &lt;i&gt;et al.&lt;/i&gt;, 2018; Dudney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Hood, Smith and Cluck, 2010; Nesmith </w:t>
      </w:r>
      <w:r w:rsidR="00EB4A84" w:rsidRPr="00EB4A84">
        <w:rPr>
          <w:rFonts w:cstheme="minorHAnsi"/>
          <w:i/>
          <w:noProof/>
        </w:rPr>
        <w:t>et al.</w:t>
      </w:r>
      <w:r w:rsidR="00EB4A84" w:rsidRPr="00EB4A84">
        <w:rPr>
          <w:rFonts w:cstheme="minorHAnsi"/>
          <w:noProof/>
        </w:rPr>
        <w:t xml:space="preserve">, 2015; Furniss </w:t>
      </w:r>
      <w:r w:rsidR="00EB4A84" w:rsidRPr="00EB4A84">
        <w:rPr>
          <w:rFonts w:cstheme="minorHAnsi"/>
          <w:i/>
          <w:noProof/>
        </w:rPr>
        <w:t>et al.</w:t>
      </w:r>
      <w:r w:rsidR="00EB4A84" w:rsidRPr="00EB4A84">
        <w:rPr>
          <w:rFonts w:cstheme="minorHAnsi"/>
          <w:noProof/>
        </w:rPr>
        <w:t xml:space="preserve">, 2018; Dudney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E167D6" w:rsidRPr="00F30BF0">
        <w:rPr>
          <w:rFonts w:cstheme="minorHAnsi"/>
        </w:rPr>
        <w:t>. Fire can also inj</w:t>
      </w:r>
      <w:r w:rsidR="00D95337" w:rsidRPr="00F30BF0">
        <w:rPr>
          <w:rFonts w:cstheme="minorHAnsi"/>
        </w:rPr>
        <w:t xml:space="preserve">ure surviving trees, reducing their growth rate </w:t>
      </w:r>
      <w:r w:rsidR="00E32098" w:rsidRPr="00F30BF0">
        <w:rPr>
          <w:rFonts w:cstheme="minorHAnsi"/>
        </w:rPr>
        <w:t xml:space="preserve">as seen in this study and others </w:t>
      </w:r>
      <w:r w:rsidR="00C243DB">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D95337" w:rsidRPr="00F30BF0">
        <w:rPr>
          <w:rFonts w:cstheme="minorHAnsi"/>
        </w:rPr>
        <w:t>. Reduced growth rates may have particularly strong effects on the asymptotic population growth rate in species where large / old individuals disproportionately contribute to reproduction</w:t>
      </w:r>
      <w:r w:rsidR="002535C7" w:rsidRPr="00F30BF0">
        <w:rPr>
          <w:rFonts w:cstheme="minorHAnsi"/>
        </w:rPr>
        <w:t xml:space="preserve"> </w:t>
      </w:r>
      <w:commentRangeStart w:id="68"/>
      <w:r w:rsidR="00C243DB">
        <w:rPr>
          <w:rFonts w:cstheme="minorHAnsi"/>
        </w:rPr>
        <w:fldChar w:fldCharType="begin" w:fldLock="1"/>
      </w:r>
      <w:r w:rsidR="002C19B3">
        <w:rPr>
          <w:rFonts w:cstheme="minorHAnsi"/>
        </w:rPr>
        <w:instrText>ADDIN CSL_CITATION {"citationItems":[{"id":"ITEM-1","itemData":{"DOI":"10.1111/ele.13291","ISSN":"14610248","PMID":"31209981","abstract":"The apparent failure of ecosystems to recover from increasingly widespread disturbance is a global concern. Despite growing focus on factors inhibiting resilience and restoration, we still know very little about how demographic and population processes influence recovery. Using inverse and forward demographic modelling of 531 post-fire sagebrush populations across the western US, we show that demographic processes during recovery from seeds do not initially lead to population growth but rather to years of population decline, low density, and risk of extirpation after disturbance and restoration, even at sites with potential to support long-term, stable populations. Changes in population structure, and resulting transient population dynamics, lead to a &gt; 50% decline in population growth rate after disturbance and significant reductions in population density. Our results indicate that demographic processes influence the recovery of ecosystems from disturbance and that demographic analyses can be used by resource managers to anticipate ecological transformation risk.","author":[{"dropping-particle":"","family":"Shriver","given":"Robert K.","non-dropping-particle":"","parse-names":false,"suffix":""},{"dropping-particle":"","family":"Andrews","given":"Caitlin M.","non-dropping-particle":"","parse-names":false,"suffix":""},{"dropping-particle":"","family":"Arkle","given":"Robert S.","non-dropping-particle":"","parse-names":false,"suffix":""},{"dropping-particle":"","family":"Barnard","given":"David M.","non-dropping-particle":"","parse-names":false,"suffix":""},{"dropping-particle":"","family":"Duniway","given":"Michael C.","non-dropping-particle":"","parse-names":false,"suffix":""},{"dropping-particle":"","family":"Germino","given":"Matthew J.","non-dropping-particle":"","parse-names":false,"suffix":""},{"dropping-particle":"","family":"Pilliod","given":"David S.","non-dropping-particle":"","parse-names":false,"suffix":""},{"dropping-particle":"","family":"Pyke","given":"David A.","non-dropping-particle":"","parse-names":false,"suffix":""},{"dropping-particle":"","family":"Welty","given":"Justin L.","non-dropping-particle":"","parse-names":false,"suffix":""},{"dropping-particle":"","family":"Bradford","given":"John B.","non-dropping-particle":"","parse-names":false,"suffix":""}],"container-title":"Ecology Letters","id":"ITEM-1","issue":"9","issued":{"date-parts":[["2019"]]},"page":"1357-1366","title":"Transient population dynamics impede restoration and may promote ecosystem transformation after disturbance","type":"article-journal","volume":"22"},"uris":["http://www.mendeley.com/documents/?uuid=2b5cea9f-f1cc-4605-9928-78a2aa0932f7"]}],"mendeley":{"formattedCitation":"(Shriver &lt;i&gt;et al.&lt;/i&gt;, 2019)","plainTextFormattedCitation":"(Shriver et al., 2019)","previouslyFormattedCitation":"(Shriver &lt;i&gt;et al.&lt;/i&gt;, 2019)"},"properties":{"noteIndex":0},"schema":"https://github.com/citation-style-language/schema/raw/master/csl-citation.json"}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(Shriver </w:t>
      </w:r>
      <w:r w:rsidR="00EB4A84" w:rsidRPr="00EB4A84">
        <w:rPr>
          <w:rFonts w:cstheme="minorHAnsi"/>
          <w:i/>
          <w:noProof/>
        </w:rPr>
        <w:t>et al.</w:t>
      </w:r>
      <w:r w:rsidR="00EB4A84" w:rsidRPr="00EB4A84">
        <w:rPr>
          <w:rFonts w:cstheme="minorHAnsi"/>
          <w:noProof/>
        </w:rPr>
        <w:t>, 2019)</w:t>
      </w:r>
      <w:r w:rsidR="00C243DB">
        <w:rPr>
          <w:rFonts w:cstheme="minorHAnsi"/>
        </w:rPr>
        <w:fldChar w:fldCharType="end"/>
      </w:r>
      <w:commentRangeEnd w:id="68"/>
      <w:r w:rsidR="008A2F91">
        <w:rPr>
          <w:rStyle w:val="CommentReference"/>
        </w:rPr>
        <w:commentReference w:id="68"/>
      </w:r>
      <w:r w:rsidR="006B3BFA">
        <w:rPr>
          <w:rFonts w:cstheme="minorHAnsi"/>
        </w:rPr>
        <w:t xml:space="preserve">; </w:t>
      </w:r>
      <w:r w:rsidR="006B3BFA" w:rsidRPr="00F30BF0">
        <w:rPr>
          <w:rFonts w:cstheme="minorHAnsi"/>
        </w:rPr>
        <w:t>Sugar pine is one such species, as seen in the strong effect of individual size on fecundity in this study</w:t>
      </w:r>
      <w:r w:rsidR="006B3BFA">
        <w:rPr>
          <w:rFonts w:cstheme="minorHAnsi"/>
        </w:rPr>
        <w:t>.</w:t>
      </w:r>
      <w:r w:rsidR="00D95337" w:rsidRPr="00F30BF0">
        <w:rPr>
          <w:rFonts w:cstheme="minorHAnsi"/>
        </w:rPr>
        <w:t xml:space="preserve"> </w:t>
      </w:r>
      <w:r w:rsidR="00353F3B">
        <w:rPr>
          <w:rFonts w:cstheme="minorHAnsi"/>
        </w:rPr>
        <w:t>T</w:t>
      </w:r>
      <w:r w:rsidR="005C7999" w:rsidRPr="00F30BF0">
        <w:rPr>
          <w:rFonts w:cstheme="minorHAnsi"/>
        </w:rPr>
        <w:t>he literature suggests that a core way in which fire influences the population dynamics of sugar pine is by killing large high-fecundity individuals</w:t>
      </w:r>
      <w:r w:rsidR="00EB5290"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C243DB">
        <w:rPr>
          <w:rFonts w:cstheme="minorHAnsi"/>
        </w:rPr>
        <w:fldChar w:fldCharType="end"/>
      </w:r>
      <w:r w:rsidR="005C7999" w:rsidRPr="00F30BF0">
        <w:rPr>
          <w:rFonts w:cstheme="minorHAnsi"/>
        </w:rPr>
        <w:t>.</w:t>
      </w:r>
      <w:r w:rsidR="00EB5290" w:rsidRPr="00F30BF0">
        <w:rPr>
          <w:rFonts w:cstheme="minorHAnsi"/>
        </w:rPr>
        <w:t xml:space="preserve"> </w:t>
      </w:r>
      <w:r w:rsidR="00C63FF8" w:rsidRPr="00F30BF0">
        <w:rPr>
          <w:rFonts w:cstheme="minorHAnsi"/>
        </w:rPr>
        <w:t xml:space="preserve">The most extreme form of this dynamic results in so-called type conversion, where high severity fire locally extirpates sugar pine and other mixed conifer </w:t>
      </w:r>
      <w:r w:rsidR="00C63FF8" w:rsidRPr="00F30BF0">
        <w:rPr>
          <w:rFonts w:cstheme="minorHAnsi"/>
        </w:rPr>
        <w:lastRenderedPageBreak/>
        <w:t>species, resulting in the loss of mixed conifer forest generally</w:t>
      </w:r>
      <w:r w:rsidR="00C243DB">
        <w:rPr>
          <w:rFonts w:cstheme="minorHAnsi"/>
        </w:rPr>
        <w:t xml:space="preserve"> </w:t>
      </w:r>
      <w:r w:rsidR="00C243DB">
        <w:rPr>
          <w:rFonts w:cstheme="minorHAnsi"/>
        </w:rPr>
        <w:fldChar w:fldCharType="begin" w:fldLock="1"/>
      </w:r>
      <w:r w:rsidR="002C19B3">
        <w:rPr>
          <w:rFonts w:cstheme="minorHAnsi"/>
        </w:rPr>
        <w:instrText>ADDIN CSL_CITATION {"citationItems":[{"id":"ITEM-1","itemData":{"DOI":"10.1002/eap.1756","ISSN":"10510761","author":[{"dropping-particle":"","family":"Shive","given":"Kristen L.","non-dropping-particle":"","parse-names":false,"suffix":""},{"dropping-particle":"","family":"Preisler","given":"Haiganoush K.","non-dropping-particle":"","parse-names":false,"suffix":""},{"dropping-particle":"","family":"Welch","given":"Kevin R.","non-dropping-particle":"","parse-names":false,"suffix":""},{"dropping-particle":"","family":"Safford","given":"Hugh D.","non-dropping-particle":"","parse-names":false,"suffix":""},{"dropping-particle":"","family":"Butz","given":"Ramona J.","non-dropping-particle":"","parse-names":false,"suffix":""},{"dropping-particle":"","family":"O'Hara","given":"Kevin L.","non-dropping-particle":"","parse-names":false,"suffix":""},{"dropping-particle":"","family":"Stephens","given":"Scott L.","non-dropping-particle":"","parse-names":false,"suffix":""}],"container-title":"Ecological Applications","id":"ITEM-1","issue":"6","issued":{"date-parts":[["2018"]]},"page":"1626-1639","title":"From the stand scale to the landscape scale: predicting the spatial patterns of forest regeneration after disturbance","type":"article-journal","volume":"28"},"uris":["http://www.mendeley.com/documents/?uuid=088a8267-0133-4892-9fb1-7380b3beadc5"]},{"id":"ITEM-2","itemData":{"DOI":"10.1016/j.foreco.2018.09.007","ISBN":"9781594770913","ISSN":"03781127","abstract":"The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Management","id":"ITEM-2","issue":"July 2018","issued":{"date-parts":[["2019"]]},"page":"209-224","title":"Tamm Review: Reforestation for resilience in dry western U.S. forests","type":"article-journal","volume":"432"},"uris":["http://www.mendeley.com/documents/?uuid=4ca71152-bbb4-4682-9438-f468bbf36faf"]},{"id":"ITEM-3","itemData":{"DOI":"10.1093/biosci/biaa061","ISSN":"15253244","abstract":"Changing disturbance regimes and climate can overcome forest ecosystem resilience. Following high-severity fire, forest recovery may be compromised by lack of tree seed sources, warmer and drier postfire climate, or short-interval reburning. A potential outcome of the loss of resilience is the conversion of the prefire forest to a different forest type or nonforest vegetation. Conversion implies major, extensive, and enduring changes in dominant species, life forms, or functions, with impacts on ecosystem services. In the present article, we synthesize a growing body of evidence of fire-driven conversion and our understanding of its causes across western North America. We assess our capacity to predict conversion and highlight important uncertainties. Increasing forest vulnerability to changing fire activity and climate compels shifts in management approaches, and we propose key themes for applied research coproduced by scientists and managers to support decision-making in an era when the prefire forest may not return.","author":[{"dropping-particle":"","family":"Coop","given":"Jonathan D.","non-dropping-particle":"","parse-names":false,"suffix":""},{"dropping-particle":"","family":"Parks","given":"Sean A.","non-dropping-particle":"","parse-names":false,"suffix":""},{"dropping-particle":"","family":"Stevens-Rumann","given":"Camille S.","non-dropping-particle":"","parse-names":false,"suffix":""},{"dropping-particle":"","family":"Crausbay","given":"Shelley D.","non-dropping-particle":"","parse-names":false,"suffix":""},{"dropping-particle":"","family":"Higuera","given":"Philip E.","non-dropping-particle":"","parse-names":false,"suffix":""},{"dropping-particle":"","family":"Hurteau","given":"Matthew D.","non-dropping-particle":"","parse-names":false,"suffix":""},{"dropping-particle":"","family":"Tepley","given":"Alan","non-dropping-particle":"","parse-names":false,"suffix":""},{"dropping-particle":"","family":"Whitman","given":"Ellen","non-dropping-particle":"","parse-names":false,"suffix":""},{"dropping-particle":"","family":"Assal","given":"Timothy","non-dropping-particle":"","parse-names":false,"suffix":""},{"dropping-particle":"","family":"Collins","given":"Brandon M.","non-dropping-particle":"","parse-names":false,"suffix":""},{"dropping-particle":"","family":"Davis","given":"Kimberley T.","non-dropping-particle":"","parse-names":false,"suffix":""},{"dropping-particle":"","family":"Dobrowski","given":"Solomon","non-dropping-particle":"","parse-names":false,"suffix":""},{"dropping-particle":"","family":"Falk","given":"Donald A.","non-dropping-particle":"","parse-names":false,"suffix":""},{"dropping-particle":"","family":"Fornwalt","given":"Paula J.","non-dropping-particle":"","parse-names":false,"suffix":""},{"dropping-particle":"","family":"Fulé","given":"Peter Z.","non-dropping-particle":"","parse-names":false,"suffix":""},{"dropping-particle":"","family":"Harvey","given":"Brian J.","non-dropping-particle":"","parse-names":false,"suffix":""},{"dropping-particle":"","family":"Kane","given":"Van R.","non-dropping-particle":"","parse-names":false,"suffix":""},{"dropping-particle":"","family":"Littlefield","given":"Caitlin E.","non-dropping-particle":"","parse-names":false,"suffix":""},{"dropping-particle":"","family":"Margolis","given":"Ellis Q.","non-dropping-particle":"","parse-names":false,"suffix":""},{"dropping-particle":"","family":"North","given":"Malcolm","non-dropping-particle":"","parse-names":false,"suffix":""},{"dropping-particle":"","family":"Parisien","given":"Marc André","non-dropping-particle":"","parse-names":false,"suffix":""},{"dropping-particle":"","family":"Prichard","given":"Susan","non-dropping-particle":"","parse-names":false,"suffix":""},{"dropping-particle":"","family":"Rodman","given":"Kyle C.","non-dropping-particle":"","parse-names":false,"suffix":""}],"container-title":"BioScience","id":"ITEM-3","issue":"8","issued":{"date-parts":[["2020"]]},"page":"659-673","title":"Wildfire-Driven Forest Conversion in Western North American Landscapes","type":"article-journal","volume":"70"},"uris":["http://www.mendeley.com/documents/?uuid=4c19d33d-7ce8-44c4-b892-af9da5f5c49d"]}],"mendeley":{"formattedCitation":"(Shive &lt;i&gt;et al.&lt;/i&gt;, 2018; North &lt;i&gt;et al.&lt;/i&gt;, 2019; Coop &lt;i&gt;et al.&lt;/i&gt;, 2020)","plainTextFormattedCitation":"(Shive et al., 2018; North et al., 2019; Coop et al., 2020)","previouslyFormattedCitation":"(Shive &lt;i&gt;et al.&lt;/i&gt;, 2018; North &lt;i&gt;et al.&lt;/i&gt;, 2019; Coop &lt;i&gt;et al.&lt;/i&gt;, 2020)"},"properties":{"noteIndex":0},"schema":"https://github.com/citation-style-language/schema/raw/master/csl-citation.json"}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(Shive </w:t>
      </w:r>
      <w:r w:rsidR="00EB4A84" w:rsidRPr="00EB4A84">
        <w:rPr>
          <w:rFonts w:cstheme="minorHAnsi"/>
          <w:i/>
          <w:noProof/>
        </w:rPr>
        <w:t>et al.</w:t>
      </w:r>
      <w:r w:rsidR="00EB4A84" w:rsidRPr="00EB4A84">
        <w:rPr>
          <w:rFonts w:cstheme="minorHAnsi"/>
          <w:noProof/>
        </w:rPr>
        <w:t xml:space="preserve">, 2018; North </w:t>
      </w:r>
      <w:r w:rsidR="00EB4A84" w:rsidRPr="00EB4A84">
        <w:rPr>
          <w:rFonts w:cstheme="minorHAnsi"/>
          <w:i/>
          <w:noProof/>
        </w:rPr>
        <w:t>et al.</w:t>
      </w:r>
      <w:r w:rsidR="00EB4A84" w:rsidRPr="00EB4A84">
        <w:rPr>
          <w:rFonts w:cstheme="minorHAnsi"/>
          <w:noProof/>
        </w:rPr>
        <w:t xml:space="preserve">, 2019; Coop </w:t>
      </w:r>
      <w:r w:rsidR="00EB4A84" w:rsidRPr="00EB4A84">
        <w:rPr>
          <w:rFonts w:cstheme="minorHAnsi"/>
          <w:i/>
          <w:noProof/>
        </w:rPr>
        <w:t>et al.</w:t>
      </w:r>
      <w:r w:rsidR="00EB4A84" w:rsidRPr="00EB4A84">
        <w:rPr>
          <w:rFonts w:cstheme="minorHAnsi"/>
          <w:noProof/>
        </w:rPr>
        <w:t>, 2020)</w:t>
      </w:r>
      <w:r w:rsidR="00C243DB">
        <w:rPr>
          <w:rFonts w:cstheme="minorHAnsi"/>
        </w:rPr>
        <w:fldChar w:fldCharType="end"/>
      </w:r>
      <w:r w:rsidR="00C63FF8" w:rsidRPr="00F30BF0">
        <w:rPr>
          <w:rFonts w:cstheme="minorHAnsi"/>
        </w:rPr>
        <w:t>.</w:t>
      </w:r>
      <w:r w:rsidR="00F50DFD" w:rsidRPr="00F30BF0">
        <w:rPr>
          <w:rFonts w:cstheme="minorHAnsi"/>
        </w:rPr>
        <w:t xml:space="preserve"> </w:t>
      </w:r>
    </w:p>
    <w:p w14:paraId="1F87554F" w14:textId="24ABCFD4" w:rsidR="0038352F" w:rsidRPr="00F30BF0" w:rsidRDefault="00F50DFD" w:rsidP="008A7245">
      <w:pPr>
        <w:spacing w:line="360" w:lineRule="auto"/>
        <w:ind w:firstLine="360"/>
        <w:rPr>
          <w:rFonts w:cstheme="minorHAnsi"/>
        </w:rPr>
      </w:pPr>
      <w:r w:rsidRPr="00F30BF0">
        <w:rPr>
          <w:rFonts w:cstheme="minorHAnsi"/>
        </w:rPr>
        <w:t xml:space="preserve">In this study, fire’s effects on survival, growth, and fecundity combine to result in posterior </w:t>
      </w:r>
      <m:oMath>
        <m:r>
          <w:rPr>
            <w:rFonts w:ascii="Cambria Math" w:hAnsi="Cambria Math" w:cstheme="minorHAnsi"/>
          </w:rPr>
          <m:t>λ</m:t>
        </m:r>
      </m:oMath>
      <w:r w:rsidRPr="00F30BF0">
        <w:rPr>
          <w:rFonts w:cstheme="minorHAnsi"/>
        </w:rPr>
        <w:t xml:space="preserve"> values below one for burned plots (</w:t>
      </w:r>
      <w:r w:rsidRPr="00F30BF0">
        <w:rPr>
          <w:rFonts w:cstheme="minorHAnsi"/>
        </w:rPr>
        <w:fldChar w:fldCharType="begin"/>
      </w:r>
      <w:r w:rsidRPr="00F30BF0">
        <w:rPr>
          <w:rFonts w:cstheme="minorHAnsi"/>
        </w:rPr>
        <w:instrText xml:space="preserve"> REF _Ref94616225 \h </w:instrText>
      </w:r>
      <w:r w:rsidR="00F30BF0">
        <w:rPr>
          <w:rFonts w:cstheme="minorHAnsi"/>
        </w:rPr>
        <w:instrText xml:space="preserve"> \* MERGEFORMAT </w:instrText>
      </w:r>
      <w:r w:rsidRPr="00F30BF0">
        <w:rPr>
          <w:rFonts w:cstheme="minorHAnsi"/>
        </w:rPr>
      </w:r>
      <w:r w:rsidRPr="00F30BF0">
        <w:rPr>
          <w:rFonts w:cstheme="minorHAnsi"/>
        </w:rPr>
        <w:fldChar w:fldCharType="separate"/>
      </w:r>
      <w:r w:rsidRPr="00F30BF0">
        <w:t xml:space="preserve">Figure </w:t>
      </w:r>
      <w:r w:rsidRPr="00F30BF0">
        <w:rPr>
          <w:noProof/>
        </w:rPr>
        <w:t>6</w:t>
      </w:r>
      <w:r w:rsidRPr="00F30BF0">
        <w:rPr>
          <w:rFonts w:cstheme="minorHAnsi"/>
        </w:rPr>
        <w:fldChar w:fldCharType="end"/>
      </w:r>
      <w:r w:rsidRPr="00F30BF0">
        <w:rPr>
          <w:rFonts w:cstheme="minorHAnsi"/>
        </w:rPr>
        <w:t xml:space="preserve">). Fire was the only stressor which </w:t>
      </w:r>
      <w:r w:rsidR="009A1DFC" w:rsidRPr="00F30BF0">
        <w:rPr>
          <w:rFonts w:cstheme="minorHAnsi"/>
        </w:rPr>
        <w:t>reduced the 9</w:t>
      </w:r>
      <w:r w:rsidR="00C243DB">
        <w:rPr>
          <w:rFonts w:cstheme="minorHAnsi"/>
        </w:rPr>
        <w:t>0</w:t>
      </w:r>
      <w:r w:rsidR="009A1DFC" w:rsidRPr="00F30BF0">
        <w:rPr>
          <w:rFonts w:cstheme="minorHAnsi"/>
        </w:rPr>
        <w:t xml:space="preserve">% credible interval of the posterior distribution of </w:t>
      </w:r>
      <m:oMath>
        <m:r>
          <w:rPr>
            <w:rFonts w:ascii="Cambria Math" w:hAnsi="Cambria Math" w:cstheme="minorHAnsi"/>
          </w:rPr>
          <m:t>λ</m:t>
        </m:r>
      </m:oMath>
      <w:r w:rsidR="009A1DFC" w:rsidRPr="00F30BF0">
        <w:rPr>
          <w:rFonts w:cstheme="minorHAnsi"/>
        </w:rPr>
        <w:t xml:space="preserve"> to below one (</w:t>
      </w:r>
      <w:r w:rsidR="009A1DFC" w:rsidRPr="00F30BF0">
        <w:rPr>
          <w:rFonts w:cstheme="minorHAnsi"/>
        </w:rPr>
        <w:fldChar w:fldCharType="begin"/>
      </w:r>
      <w:r w:rsidR="009A1DFC" w:rsidRPr="00F30BF0">
        <w:rPr>
          <w:rFonts w:cstheme="minorHAnsi"/>
        </w:rPr>
        <w:instrText xml:space="preserve"> REF _Ref94619410 \h </w:instrText>
      </w:r>
      <w:r w:rsidR="00F30BF0">
        <w:rPr>
          <w:rFonts w:cstheme="minorHAnsi"/>
        </w:rPr>
        <w:instrText xml:space="preserve"> \* MERGEFORMAT </w:instrText>
      </w:r>
      <w:r w:rsidR="009A1DFC" w:rsidRPr="00F30BF0">
        <w:rPr>
          <w:rFonts w:cstheme="minorHAnsi"/>
        </w:rPr>
      </w:r>
      <w:r w:rsidR="009A1DFC" w:rsidRPr="00F30BF0">
        <w:rPr>
          <w:rFonts w:cstheme="minorHAnsi"/>
        </w:rPr>
        <w:fldChar w:fldCharType="separate"/>
      </w:r>
      <w:r w:rsidR="00353F3B">
        <w:t>Supplementary Table</w:t>
      </w:r>
      <w:r w:rsidR="00353F3B">
        <w:t xml:space="preserve"> </w:t>
      </w:r>
      <w:r w:rsidR="009A1DFC" w:rsidRPr="00F30BF0">
        <w:rPr>
          <w:rFonts w:cstheme="minorHAnsi"/>
        </w:rPr>
        <w:fldChar w:fldCharType="end"/>
      </w:r>
      <w:r w:rsidR="00353F3B">
        <w:rPr>
          <w:rFonts w:cstheme="minorHAnsi"/>
        </w:rPr>
        <w:t>1</w:t>
      </w:r>
      <w:r w:rsidR="009A1DFC" w:rsidRPr="00F30BF0">
        <w:rPr>
          <w:rFonts w:cstheme="minorHAnsi"/>
        </w:rPr>
        <w:t xml:space="preserve">), indicating high model confidence that a wildfire during a 10-year census interval results in population decline. </w:t>
      </w:r>
      <w:r w:rsidR="001545DE" w:rsidRPr="00F30BF0">
        <w:rPr>
          <w:rFonts w:cstheme="minorHAnsi"/>
        </w:rPr>
        <w:t xml:space="preserve">Existing literature has shown that </w:t>
      </w:r>
      <w:r w:rsidR="008A7245" w:rsidRPr="00F30BF0">
        <w:rPr>
          <w:rFonts w:cstheme="minorHAnsi"/>
        </w:rPr>
        <w:t xml:space="preserve">most trees killed by fire die within 1 year of the fire </w:t>
      </w:r>
      <w:r w:rsidR="00C243DB">
        <w:rPr>
          <w:rFonts w:cstheme="minorHAnsi"/>
        </w:rPr>
        <w:fldChar w:fldCharType="begin" w:fldLock="1"/>
      </w:r>
      <w:r w:rsidR="002C19B3">
        <w:rPr>
          <w:rFonts w:cstheme="minorHAnsi"/>
        </w:rPr>
        <w:instrText>ADDIN CSL_CITATION {"citationItems":[{"id":"ITEM-1","itemData":{"DOI":"10.1071/WF18031","ISSN":"1049-8001","author":[{"dropping-particle":"","family":"Furniss","given":"T.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Fire","id":"ITEM-1","issued":{"date-parts":[["2018"]]},"page":"in press","title":"Multi-scale assessment of post-fire tree mortality models","type":"article-journal"},"uris":["http://www.mendeley.com/documents/?uuid=5dce8c9b-16a7-4930-9de8-231f1ca41bb7"]}],"mendeley":{"formattedCitation":"(Furniss &lt;i&gt;et al.&lt;/i&gt;, 2018)","plainTextFormattedCitation":"(Furniss et al., 2018)","previouslyFormattedCitation":"(Furniss &lt;i&gt;et al.&lt;/i&gt;, 2018)"},"properties":{"noteIndex":0},"schema":"https://github.com/citation-style-language/schema/raw/master/csl-citation.json"}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(Furniss </w:t>
      </w:r>
      <w:r w:rsidR="00EB4A84" w:rsidRPr="00EB4A84">
        <w:rPr>
          <w:rFonts w:cstheme="minorHAnsi"/>
          <w:i/>
          <w:noProof/>
        </w:rPr>
        <w:t>et al.</w:t>
      </w:r>
      <w:r w:rsidR="00EB4A84" w:rsidRPr="00EB4A84">
        <w:rPr>
          <w:rFonts w:cstheme="minorHAnsi"/>
          <w:noProof/>
        </w:rPr>
        <w:t>, 2018)</w:t>
      </w:r>
      <w:r w:rsidR="00C243DB">
        <w:rPr>
          <w:rFonts w:cstheme="minorHAnsi"/>
        </w:rPr>
        <w:fldChar w:fldCharType="end"/>
      </w:r>
      <w:r w:rsidR="008A7245" w:rsidRPr="00F30BF0">
        <w:rPr>
          <w:rFonts w:cstheme="minorHAnsi"/>
        </w:rPr>
        <w:t xml:space="preserve"> and mortality rates in stands affected by prescribed fire returned to background levels approximately six years postfire </w:t>
      </w:r>
      <w:r w:rsidR="00C243DB">
        <w:rPr>
          <w:rFonts w:cstheme="minorHAnsi"/>
        </w:rPr>
        <w:fldChar w:fldCharType="begin" w:fldLock="1"/>
      </w:r>
      <w:r w:rsidR="002C19B3">
        <w:rPr>
          <w:rFonts w:cstheme="minorHAnsi"/>
        </w:rPr>
        <w:instrText>ADDIN CSL_CITATION {"citationItems":[{"id":"ITEM-1","itemData":{"DOI":"10.1016/j.foreco.2010.12.013","ISBN":"0378-1127","ISSN":"03781127","abstract":"The capacity of prescribed fire to restore forest conditions is often judged by changes in forest structure within a few years following burning. However, prescribed fire might have longer-term effects on forest structure, potentially changing treatment assessments. We examined annual changes in forest structure in five 1. ha old-growth plots immediately before prescribed fire and up to eight years after fire at Sequoia National Park, California. Fire-induced declines in stem density (67% average decrease at eight years post-fire) were nonlinear, taking up to eight years to reach a presumed asymptote. Declines in live stem biomass were also nonlinear, but smaller in magnitude (32% average decrease at eight years post-fire) as most large trees survived the fires. The preferential survival of large trees following fire resulted in significant shifts in stem diameter distributions. Mortality rates remained significantly above background rates up to six years after the fires. Prescribed fire did not have a large influence on the representation of dominant species. Fire-caused mortality appeared to be spatially random, and therefore did not generally alter heterogeneous tree spatial patterns. Our results suggest that prescribed fire can bring about substantial changes to forest structure in old-growth mixed conifer forests in the Sierra Nevada, but that long-term observations are needed to fully describe some measures of fire effects. ?? 2010.","author":[{"dropping-particle":"","family":"Mantgem","given":"Phillip J.","non-dropping-particle":"van","parse-names":false,"suffix":""},{"dropping-particle":"","family":"Stephenson","given":"Nathan L.","non-dropping-particle":"","parse-names":false,"suffix":""},{"dropping-particle":"","family":"Knapp","given":"Eric","non-dropping-particle":"","parse-names":false,"suffix":""},{"dropping-particle":"","family":"Battles","given":"John","non-dropping-particle":"","parse-names":false,"suffix":""},{"dropping-particle":"","family":"Keeley","given":"Jon E.","non-dropping-particle":"","parse-names":false,"suffix":""}],"container-title":"Forest Ecology and Management","id":"ITEM-1","issue":"6","issued":{"date-parts":[["2011"]]},"page":"989-994","publisher":"Elsevier B.V.","title":"Long-term effects of prescribed fire on mixed conifer forest structure in the Sierra Nevada, California","type":"article-journal","volume":"261"},"uris":["http://www.mendeley.com/documents/?uuid=03f4dd2e-8bc0-4812-b5d6-08d3ff7271a4"]}],"mendeley":{"formattedCitation":"(van Mantgem &lt;i&gt;et al.&lt;/i&gt;, 2011)","plainTextFormattedCitation":"(van Mantgem et al., 2011)","previouslyFormattedCitation":"(van Mantgem &lt;i&gt;et al.&lt;/i&gt;, 2011)"},"properties":{"noteIndex":0},"schema":"https://github.com/citation-style-language/schema/raw/master/csl-citation.json"}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2011)</w:t>
      </w:r>
      <w:r w:rsidR="00C243DB">
        <w:rPr>
          <w:rFonts w:cstheme="minorHAnsi"/>
        </w:rPr>
        <w:fldChar w:fldCharType="end"/>
      </w:r>
      <w:r w:rsidR="007B6647" w:rsidRPr="00F30BF0">
        <w:rPr>
          <w:rFonts w:cstheme="minorHAnsi"/>
        </w:rPr>
        <w:t xml:space="preserve">, suggesting that the negative </w:t>
      </w:r>
      <w:commentRangeStart w:id="69"/>
      <w:r w:rsidR="007B6647" w:rsidRPr="00F30BF0">
        <w:rPr>
          <w:rFonts w:cstheme="minorHAnsi"/>
        </w:rPr>
        <w:t xml:space="preserve">effects of fire on survival are </w:t>
      </w:r>
      <w:r w:rsidR="00353F3B">
        <w:rPr>
          <w:rFonts w:cstheme="minorHAnsi"/>
        </w:rPr>
        <w:t>transient</w:t>
      </w:r>
      <w:r w:rsidR="007B6647" w:rsidRPr="00F30BF0">
        <w:rPr>
          <w:rFonts w:cstheme="minorHAnsi"/>
        </w:rPr>
        <w:t xml:space="preserve">. </w:t>
      </w:r>
      <w:commentRangeEnd w:id="69"/>
      <w:r w:rsidR="00A47588">
        <w:rPr>
          <w:rStyle w:val="CommentReference"/>
        </w:rPr>
        <w:commentReference w:id="69"/>
      </w:r>
      <w:r w:rsidR="007B6647" w:rsidRPr="00F30BF0">
        <w:rPr>
          <w:rFonts w:cstheme="minorHAnsi"/>
        </w:rPr>
        <w:t xml:space="preserve">However, there is abundant evidence that the ecological footprint of fire, in particular high severity wildfire, is increasing throughout the range of sugar pine </w:t>
      </w:r>
      <w:r w:rsidR="0038352F" w:rsidRPr="00F30BF0">
        <w:rPr>
          <w:rFonts w:cstheme="minorHAnsi"/>
        </w:rPr>
        <w:t>because of</w:t>
      </w:r>
      <w:r w:rsidR="007B6647" w:rsidRPr="00F30BF0">
        <w:rPr>
          <w:rFonts w:cstheme="minorHAnsi"/>
        </w:rPr>
        <w:t xml:space="preserve"> climate changes and </w:t>
      </w:r>
      <w:r w:rsidR="0038352F" w:rsidRPr="00F30BF0">
        <w:rPr>
          <w:rFonts w:cstheme="minorHAnsi"/>
        </w:rPr>
        <w:t>biomass accumulation resulting from fire suppression</w:t>
      </w:r>
      <w:r w:rsidR="007B6647" w:rsidRPr="00F30BF0">
        <w:rPr>
          <w:rFonts w:cstheme="minorHAnsi"/>
        </w:rPr>
        <w:t xml:space="preserve"> </w:t>
      </w:r>
      <w:r w:rsidR="00C243DB">
        <w:rPr>
          <w:rFonts w:cstheme="minorHAnsi"/>
        </w:rPr>
        <w:fldChar w:fldCharType="begin" w:fldLock="1"/>
      </w:r>
      <w:r w:rsidR="002C19B3">
        <w:rPr>
          <w:rFonts w:cstheme="minorHAnsi"/>
        </w:rPr>
        <w:instrText>ADDIN CSL_CITATION {"citationItems":[{"id":"ITEM-1","itemData":{"DOI":"10.1029/2020GL089858","ISSN":"19448007","abstract":"Increases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Letters","id":"ITEM-1","issue":"22","issued":{"date-parts":[["2020"]]},"page":"1-10","title":"Warmer and Drier Fire Seasons Contribute to Increases in Area Burned at High Severity in Western US Forests From 1985 to 2017","type":"article-journal","volume":"47"},"uris":["http://www.mendeley.com/documents/?uuid=c62781ce-2164-4b01-b721-ce147287a476"]},{"id":"ITEM-2","itemData":{"DOI":"10.1073/pnas.2009717118","ISSN":"10916490","PMID":"34031237","abstract":"Increases in burned area and large fire occurrence are widely documented over the western United States over the past half century. Here, we focus on the elevational distribution of forest fires in mountainous ecoregions of the western United States and show the largest increase rates in burned area above 2,500 m during 1984 to 2017. Furthermore, we show that high-elevation fires advanced upslope with a median cumulative change of 252 m (-107 to 656 m; 95% CI) in 34 y across studied ecoregions. We also document a strong interannual relationship between high-elevation fires and warm season vapor pressure deficit (VPD). The upslope advance of fires is consistent with observed warming reflected by a median upslope drift of VPD isolines of 295 m (59 to 704 m; 95% CI) during 1984 to 2017. These findings allow us to estimate that recent climate trends reduced the high-elevation flammability barrier and enabled fires in an additional 11% of western forests. Limited influences of fire management practices and longer fire-return intervals in these montane mesic systems suggest these changes are largely a byproduct of climate warming. Further weakening in the high-elevation flammability barrier with continued warming has the potential to transform montane fire regimes with numerous implications for ecosystems and watersheds.","author":[{"dropping-particle":"","family":"Alizadeh","given":"Mohammad Reza","non-dropping-particle":"","parse-names":false,"suffix":""},{"dropping-particle":"","family":"Abatzoglou","given":"John T.","non-dropping-particle":"","parse-names":false,"suffix":""},{"dropping-particle":"","family":"Luce","given":"Charles H.","non-dropping-particle":"","parse-names":false,"suffix":""},{"dropping-particle":"","family":"Adamowski","given":"Jan F.","non-dropping-particle":"","parse-names":false,"suffix":""},{"dropping-particle":"","family":"Farid","given":"Arvin","non-dropping-particle":"","parse-names":false,"suffix":""},{"dropping-particle":"","family":"Sadegh","given":"Mojtaba","non-dropping-particle":"","parse-names":false,"suffix":""}],"container-title":"Proceedings of the National Academy of Sciences of the United States of America","id":"ITEM-2","issue":"22","issued":{"date-parts":[["2021"]]},"page":"1-14","title":"Warming enabled upslope advance in western US forest fires","type":"article-journal","volume":"118"},"uris":["http://www.mendeley.com/documents/?uuid=0a42f222-1b3f-4d26-928d-21cc879a1e57"]}],"mendeley":{"formattedCitation":"(Parks and Abatzoglou, 2020; Alizadeh &lt;i&gt;et al.&lt;/i&gt;, 2021)","plainTextFormattedCitation":"(Parks and Abatzoglou, 2020; Alizadeh et al., 2021)","previouslyFormattedCitation":"(Parks and Abatzoglou, 2020; Alizadeh &lt;i&gt;et al.&lt;/i&gt;, 2021)"},"properties":{"noteIndex":0},"schema":"https://github.com/citation-style-language/schema/raw/master/csl-citation.json"}</w:instrText>
      </w:r>
      <w:r w:rsidR="00C243DB">
        <w:rPr>
          <w:rFonts w:cstheme="minorHAnsi"/>
        </w:rPr>
        <w:fldChar w:fldCharType="separate"/>
      </w:r>
      <w:r w:rsidR="00EB4A84" w:rsidRPr="00EB4A84">
        <w:rPr>
          <w:rFonts w:cstheme="minorHAnsi"/>
          <w:noProof/>
        </w:rPr>
        <w:t xml:space="preserve">(Parks and Abatzoglou, 2020; Alizadeh </w:t>
      </w:r>
      <w:r w:rsidR="00EB4A84" w:rsidRPr="00EB4A84">
        <w:rPr>
          <w:rFonts w:cstheme="minorHAnsi"/>
          <w:i/>
          <w:noProof/>
        </w:rPr>
        <w:t>et al.</w:t>
      </w:r>
      <w:r w:rsidR="00EB4A84" w:rsidRPr="00EB4A84">
        <w:rPr>
          <w:rFonts w:cstheme="minorHAnsi"/>
          <w:noProof/>
        </w:rPr>
        <w:t>, 2021)</w:t>
      </w:r>
      <w:r w:rsidR="00C243DB">
        <w:rPr>
          <w:rFonts w:cstheme="minorHAnsi"/>
        </w:rPr>
        <w:fldChar w:fldCharType="end"/>
      </w:r>
      <w:r w:rsidR="00C243DB">
        <w:rPr>
          <w:rFonts w:cstheme="minorHAnsi"/>
        </w:rPr>
        <w:t xml:space="preserve">. </w:t>
      </w:r>
      <w:r w:rsidR="007B6647" w:rsidRPr="00F30BF0">
        <w:rPr>
          <w:rFonts w:cstheme="minorHAnsi"/>
        </w:rPr>
        <w:t>Given this context and the results of this study</w:t>
      </w:r>
      <w:r w:rsidR="0038352F" w:rsidRPr="00F30BF0">
        <w:rPr>
          <w:rFonts w:cstheme="minorHAnsi"/>
        </w:rPr>
        <w:t xml:space="preserve">, it is clear that the disrupted fire regime is </w:t>
      </w:r>
      <w:r w:rsidR="00DD37D1">
        <w:rPr>
          <w:rFonts w:cstheme="minorHAnsi"/>
        </w:rPr>
        <w:t>a core threat</w:t>
      </w:r>
      <w:r w:rsidR="0038352F" w:rsidRPr="00F30BF0">
        <w:rPr>
          <w:rFonts w:cstheme="minorHAnsi"/>
        </w:rPr>
        <w:t xml:space="preserve"> facing sugar pine.</w:t>
      </w:r>
    </w:p>
    <w:p w14:paraId="450DDF39" w14:textId="6A399845" w:rsidR="009B0C1C" w:rsidRPr="00F30BF0" w:rsidRDefault="007B6647" w:rsidP="009B0C1C">
      <w:pPr>
        <w:spacing w:line="360" w:lineRule="auto"/>
        <w:ind w:firstLine="360"/>
        <w:rPr>
          <w:rFonts w:cstheme="minorHAnsi"/>
        </w:rPr>
      </w:pPr>
      <w:r w:rsidRPr="00F30BF0">
        <w:rPr>
          <w:rFonts w:cstheme="minorHAnsi"/>
        </w:rPr>
        <w:t xml:space="preserve"> </w:t>
      </w:r>
      <w:r w:rsidR="0038352F" w:rsidRPr="00F30BF0">
        <w:rPr>
          <w:rFonts w:cstheme="minorHAnsi"/>
        </w:rPr>
        <w:t>Though their effects were less severe than those of fire, both WPBR and densification negatively impacted sugar pine’s population dynamics in this study.</w:t>
      </w:r>
      <w:r w:rsidR="009B0C1C" w:rsidRPr="00F30BF0">
        <w:rPr>
          <w:rFonts w:cstheme="minorHAnsi"/>
        </w:rPr>
        <w:t xml:space="preserve"> </w:t>
      </w:r>
      <w:r w:rsidR="00407119" w:rsidRPr="00F30BF0">
        <w:rPr>
          <w:rFonts w:cstheme="minorHAnsi"/>
        </w:rPr>
        <w:t>The data here show that WPBR negatively impacted survival, potentially with a greater effect on small trees</w:t>
      </w:r>
      <w:r w:rsidR="00DC36D7" w:rsidRPr="00F30BF0">
        <w:rPr>
          <w:rFonts w:cstheme="minorHAnsi"/>
        </w:rPr>
        <w:t xml:space="preserve"> (</w:t>
      </w:r>
      <w:r w:rsidR="00DC36D7" w:rsidRPr="00F30BF0">
        <w:rPr>
          <w:rFonts w:cstheme="minorHAnsi"/>
        </w:rPr>
        <w:fldChar w:fldCharType="begin"/>
      </w:r>
      <w:r w:rsidR="00DC36D7" w:rsidRPr="00F30BF0">
        <w:rPr>
          <w:rFonts w:cstheme="minorHAnsi"/>
        </w:rPr>
        <w:instrText xml:space="preserve"> REF _Ref93744929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2</w:t>
      </w:r>
      <w:r w:rsidR="00DC36D7" w:rsidRPr="00F30BF0">
        <w:rPr>
          <w:rFonts w:cstheme="minorHAnsi"/>
        </w:rPr>
        <w:fldChar w:fldCharType="end"/>
      </w:r>
      <w:r w:rsidR="00DC36D7" w:rsidRPr="00F30BF0">
        <w:rPr>
          <w:rFonts w:cstheme="minorHAnsi"/>
        </w:rPr>
        <w:t>)</w:t>
      </w:r>
      <w:r w:rsidR="00407119" w:rsidRPr="00F30BF0">
        <w:rPr>
          <w:rFonts w:cstheme="minorHAnsi"/>
        </w:rPr>
        <w:t xml:space="preserve">. Numerous other studies have shown </w:t>
      </w:r>
      <w:r w:rsidR="00C52916" w:rsidRPr="00F30BF0">
        <w:rPr>
          <w:rFonts w:cstheme="minorHAnsi"/>
        </w:rPr>
        <w:t xml:space="preserve">that blister rust tends to kill smaller trees </w:t>
      </w:r>
      <w:r w:rsidR="00566DC3">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pine","type":"article-journal","volume":"14"},"uris":["http://www.mendeley.com/documents/?uuid=4017c084-8b81-48ae-b134-e117d840d93b"]}],"mendeley":{"formattedCitation":"(Van Mantgem &lt;i&gt;et al.&lt;/i&gt;, 2004)","plainTextFormattedCitation":"(Van Mantgem et al., 2004)","previouslyFormattedCitation":"(Van Mantgem &lt;i&gt;et al.&lt;/i&gt;, 2004)"},"properties":{"noteIndex":0},"schema":"https://github.com/citation-style-language/schema/raw/master/csl-citation.json"}</w:instrText>
      </w:r>
      <w:r w:rsidR="00566DC3">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2004)</w:t>
      </w:r>
      <w:r w:rsidR="00566DC3">
        <w:rPr>
          <w:rFonts w:cstheme="minorHAnsi"/>
        </w:rPr>
        <w:fldChar w:fldCharType="end"/>
      </w:r>
      <w:r w:rsidR="00B76637" w:rsidRPr="00F30BF0">
        <w:rPr>
          <w:rFonts w:cstheme="minorHAnsi"/>
        </w:rPr>
        <w:t xml:space="preserve"> and negatively affects survival rates of sugar pine and other vulnerable species </w:t>
      </w:r>
      <w:r w:rsidR="0080786A">
        <w:rPr>
          <w:rFonts w:cstheme="minorHAnsi"/>
        </w:rPr>
        <w:fldChar w:fldCharType="begin" w:fldLock="1"/>
      </w:r>
      <w:r w:rsidR="002C19B3">
        <w:rPr>
          <w:rFonts w:cstheme="minorHAnsi"/>
        </w:rPr>
        <w:instrText>ADDIN CSL_CITATION {"citationItems":[{"id":"ITEM-1","itemData":{"DOI":"10.1016/j.foreco.2011.05.011","ISSN":"03781127","abstract":"Historical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Management","id":"ITEM-1","issue":"5","issued":{"date-parts":[["2011"]]},"page":"770-779","publisher":"Elsevier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species","type":"article-journal","volume":"11"},"uris":["http://www.mendeley.com/documents/?uuid=54eba3d7-5ed4-4e44-a51e-b1150e7c2215"]}],"mendeley":{"formattedCitation":"(Maloney &lt;i&gt;et al.&lt;/i&gt;, 2011; Dudney &lt;i&gt;et al.&lt;/i&gt;, 2020)","plainTextFormattedCitation":"(Maloney et al., 2011; Dudney et al., 2020)","previouslyFormattedCitation":"(Maloney &lt;i&gt;et al.&lt;/i&gt;, 2011; Dudney &lt;i&gt;et al.&lt;/i&gt;, 2020)"},"properties":{"noteIndex":0},"schema":"https://github.com/citation-style-language/schema/raw/master/csl-citation.json"}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xml:space="preserve">, 2011; Dudney </w:t>
      </w:r>
      <w:r w:rsidR="00EB4A84" w:rsidRPr="00EB4A84">
        <w:rPr>
          <w:rFonts w:cstheme="minorHAnsi"/>
          <w:i/>
          <w:noProof/>
        </w:rPr>
        <w:t>et al.</w:t>
      </w:r>
      <w:r w:rsidR="00EB4A84" w:rsidRPr="00EB4A84">
        <w:rPr>
          <w:rFonts w:cstheme="minorHAnsi"/>
          <w:noProof/>
        </w:rPr>
        <w:t>, 2020)</w:t>
      </w:r>
      <w:r w:rsidR="0080786A">
        <w:rPr>
          <w:rFonts w:cstheme="minorHAnsi"/>
        </w:rPr>
        <w:fldChar w:fldCharType="end"/>
      </w:r>
      <w:r w:rsidR="0080786A">
        <w:rPr>
          <w:rFonts w:cstheme="minorHAnsi"/>
        </w:rPr>
        <w:t>,</w:t>
      </w:r>
      <w:r w:rsidR="00B76637" w:rsidRPr="00F30BF0">
        <w:rPr>
          <w:rFonts w:cstheme="minorHAnsi"/>
        </w:rPr>
        <w:t xml:space="preserve"> though </w:t>
      </w:r>
      <w:r w:rsidR="0080786A">
        <w:rPr>
          <w:rFonts w:cstheme="minorHAnsi"/>
        </w:rPr>
        <w:fldChar w:fldCharType="begin" w:fldLock="1"/>
      </w:r>
      <w:r w:rsidR="002C19B3">
        <w:rPr>
          <w:rFonts w:cstheme="minorHAnsi"/>
        </w:rPr>
        <w:instrText>ADDIN CSL_CITATION {"citationItems":[{"id":"ITEM-1","itemData":{"DOI":"10.1016/j.foreco.2012.05.025","ISSN":"03781127","abstract":"For over a century, white pine blister rust (WPBR), caused by the introduced fungal pathogen, Cronartium ribicola J.C. Fisch., has affected white pine (Subgenus Strobus) individuals, populations, and associated forest communities in North America. We surveyed eight populations of whitebark pine (Pinus albicaulis Engelm.) across a range of environmental conditions in subalpine forests of the Lake Tahoe Basin, California and Nevada, to determine how WPBR is influencing host fecundity (i.e., female cone production and recruitment), survival, and current population trends. In this region and throughout its range whitebark pine is an important component of subalpine ecosystems. In high-elevation forests of the Lake Tahoe Basin, the primary negative effect of this rust pathogen on whitebark pine is infection and mortality of cone-bearing branches.Mean incidence of WPBR among whitebark pine populations was 35% and ranged from 1% to 65%. Given the high disease incidence, relationships were found between WPBR infection and reproductive output. Percent of individuals infected per population (R 2=0.78), average number of WPBR-infected branches per population (R 2=0.71), and severity of stem girdling (R 2=0.76) were all negatively related with cone production. A positive relationship was found between disease severity (i.e., extent of stem girdling) and available water capacity and a negative relationship was found between disease severity and%sand content. Environmental conditions, including soil properties, may affect pathogen growth and potentially influence the rate at which green infected trees lose the ability to produce female cones. Demographic trends for 7 of 8 whitebark pine populations were stable, with estimates of geometric growth rate (λ)≥1.0. Population stability is a function of adequate population sizes, mixed-size structure, high survivorship, and moderate fecundity. Results show that WPBR is adversely affecting fecundity but having little effect on survivorship. Restoration strategies are designed to facilitate whitebark pine recruitment and deploy genetically diverse seedling material and potentially WPBR-resistant phenotypes. Our study highlights a need for long-term demographic data and monitoring of WPBR-infection to better understand population consequences and host responses in the future. © 2012 Elsevier B.V.","author":[{"dropping-particle":"","family":"Maloney","given":"Patricia E.","non-dropping-particle":"","parse-names":false,"suffix":""},{"dropping-particle":"","family":"Vogler","given":"Detlev R.","non-dropping-particle":"","parse-names":false,"suffix":""},{"dropping-particle":"","family":"Jensen","given":"Camille E.","non-dropping-particle":"","parse-names":false,"suffix":""},{"dropping-particle":"","family":"Delfino Mix","given":"Annette","non-dropping-particle":"","parse-names":false,"suffix":""}],"container-title":"Forest Ecology and Management","id":"ITEM-1","issued":{"date-parts":[["2012"]]},"page":"166-175","publisher":"Elsevier B.V.","title":"Ecology of whitebark pine populations in relation to white pine blister rust infection in subalpine forests of the Lake Tahoe Basin, USA: Implications for restoration","type":"article-journal","volume":"280"},"uris":["http://www.mendeley.com/documents/?uuid=9a37b1da-86cf-4d8b-9144-c07f39619f40"]}],"mendeley":{"formattedCitation":"(Maloney &lt;i&gt;et al.&lt;/i&gt;, 2012)","plainTextFormattedCitation":"(Maloney et al., 2012)","previouslyFormattedCitation":"(Maloney &lt;i&gt;et al.&lt;/i&gt;, 2012)"},"properties":{"noteIndex":0},"schema":"https://github.com/citation-style-language/schema/raw/master/csl-citation.json"}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(Maloney </w:t>
      </w:r>
      <w:r w:rsidR="00EB4A84" w:rsidRPr="00EB4A84">
        <w:rPr>
          <w:rFonts w:cstheme="minorHAnsi"/>
          <w:i/>
          <w:noProof/>
        </w:rPr>
        <w:t>et al.</w:t>
      </w:r>
      <w:r w:rsidR="00EB4A84" w:rsidRPr="00EB4A84">
        <w:rPr>
          <w:rFonts w:cstheme="minorHAnsi"/>
          <w:noProof/>
        </w:rPr>
        <w:t>, 2012)</w:t>
      </w:r>
      <w:r w:rsidR="0080786A">
        <w:rPr>
          <w:rFonts w:cstheme="minorHAnsi"/>
        </w:rPr>
        <w:fldChar w:fldCharType="end"/>
      </w:r>
      <w:r w:rsidR="00B76637" w:rsidRPr="00F30BF0">
        <w:rPr>
          <w:rFonts w:cstheme="minorHAnsi"/>
        </w:rPr>
        <w:t xml:space="preserve"> found WPBR to mostly affect fecundity, rather than survival, in the related </w:t>
      </w:r>
      <w:r w:rsidR="000B464D" w:rsidRPr="00F30BF0">
        <w:rPr>
          <w:rFonts w:cstheme="minorHAnsi"/>
        </w:rPr>
        <w:t xml:space="preserve">pine </w:t>
      </w:r>
      <w:r w:rsidR="00B76637" w:rsidRPr="00F30BF0">
        <w:rPr>
          <w:rFonts w:cstheme="minorHAnsi"/>
        </w:rPr>
        <w:t xml:space="preserve">species </w:t>
      </w:r>
      <w:commentRangeStart w:id="70"/>
      <w:r w:rsidR="00B76637" w:rsidRPr="00F30BF0">
        <w:rPr>
          <w:rFonts w:cstheme="minorHAnsi"/>
          <w:i/>
          <w:iCs/>
        </w:rPr>
        <w:t>Pinus albicaulis</w:t>
      </w:r>
      <w:r w:rsidR="00B76637" w:rsidRPr="00F30BF0">
        <w:rPr>
          <w:rFonts w:cstheme="minorHAnsi"/>
        </w:rPr>
        <w:t xml:space="preserve">. </w:t>
      </w:r>
      <w:commentRangeEnd w:id="70"/>
      <w:r w:rsidR="00A47588">
        <w:rPr>
          <w:rStyle w:val="CommentReference"/>
        </w:rPr>
        <w:commentReference w:id="70"/>
      </w:r>
      <w:r w:rsidR="001957F1" w:rsidRPr="00F30BF0">
        <w:rPr>
          <w:rFonts w:cstheme="minorHAnsi"/>
        </w:rPr>
        <w:t xml:space="preserve">This study also found that relatively high neighborhood density </w:t>
      </w:r>
      <w:r w:rsidR="00DC36D7" w:rsidRPr="00F30BF0">
        <w:rPr>
          <w:rFonts w:cstheme="minorHAnsi"/>
        </w:rPr>
        <w:t>(basal area) resulted in lower rates of growth (</w:t>
      </w:r>
      <w:r w:rsidR="00DC36D7" w:rsidRPr="00F30BF0">
        <w:rPr>
          <w:rFonts w:cstheme="minorHAnsi"/>
        </w:rPr>
        <w:fldChar w:fldCharType="begin"/>
      </w:r>
      <w:r w:rsidR="00DC36D7" w:rsidRPr="00F30BF0">
        <w:rPr>
          <w:rFonts w:cstheme="minorHAnsi"/>
        </w:rPr>
        <w:instrText xml:space="preserve"> REF _Ref94611931 \h </w:instrText>
      </w:r>
      <w:r w:rsidR="00F30BF0">
        <w:rPr>
          <w:rFonts w:cstheme="minorHAnsi"/>
        </w:rPr>
        <w:instrText xml:space="preserve"> \* MERGEFORMAT </w:instrText>
      </w:r>
      <w:r w:rsidR="00DC36D7" w:rsidRPr="00F30BF0">
        <w:rPr>
          <w:rFonts w:cstheme="minorHAnsi"/>
        </w:rPr>
      </w:r>
      <w:r w:rsidR="00DC36D7" w:rsidRPr="00F30BF0">
        <w:rPr>
          <w:rFonts w:cstheme="minorHAnsi"/>
        </w:rPr>
        <w:fldChar w:fldCharType="separate"/>
      </w:r>
      <w:r w:rsidR="00DC36D7" w:rsidRPr="00F30BF0">
        <w:t xml:space="preserve">Figure </w:t>
      </w:r>
      <w:r w:rsidR="00DC36D7" w:rsidRPr="00F30BF0">
        <w:rPr>
          <w:noProof/>
        </w:rPr>
        <w:t>3</w:t>
      </w:r>
      <w:r w:rsidR="00DC36D7" w:rsidRPr="00F30BF0">
        <w:rPr>
          <w:rFonts w:cstheme="minorHAnsi"/>
        </w:rPr>
        <w:fldChar w:fldCharType="end"/>
      </w:r>
      <w:r w:rsidR="00DC36D7" w:rsidRPr="00F30BF0">
        <w:rPr>
          <w:rFonts w:cstheme="minorHAnsi"/>
        </w:rPr>
        <w:t>)</w:t>
      </w:r>
      <w:r w:rsidR="001E52DB">
        <w:rPr>
          <w:rFonts w:cstheme="minorHAnsi"/>
        </w:rPr>
        <w:t xml:space="preserve"> and survival of small individuals (</w:t>
      </w:r>
      <w:r w:rsidR="006C7CA9">
        <w:rPr>
          <w:rFonts w:cstheme="minorHAnsi"/>
        </w:rPr>
        <w:fldChar w:fldCharType="begin"/>
      </w:r>
      <w:r w:rsidR="006C7CA9">
        <w:rPr>
          <w:rFonts w:cstheme="minorHAnsi"/>
        </w:rPr>
        <w:instrText xml:space="preserve"> REF _Ref94877166 \h </w:instrText>
      </w:r>
      <w:r w:rsidR="006C7CA9">
        <w:rPr>
          <w:rFonts w:cstheme="minorHAnsi"/>
        </w:rPr>
      </w:r>
      <w:r w:rsidR="006C7CA9">
        <w:rPr>
          <w:rFonts w:cstheme="minorHAnsi"/>
        </w:rPr>
        <w:fldChar w:fldCharType="separate"/>
      </w:r>
      <w:r w:rsidR="006C7CA9">
        <w:t xml:space="preserve">Figure </w:t>
      </w:r>
      <w:r w:rsidR="006C7CA9">
        <w:rPr>
          <w:noProof/>
        </w:rPr>
        <w:t>1</w:t>
      </w:r>
      <w:r w:rsidR="006C7CA9">
        <w:rPr>
          <w:rFonts w:cstheme="minorHAnsi"/>
        </w:rPr>
        <w:fldChar w:fldCharType="end"/>
      </w:r>
      <w:r w:rsidR="001E52DB">
        <w:rPr>
          <w:rFonts w:cstheme="minorHAnsi"/>
        </w:rPr>
        <w:t>)</w:t>
      </w:r>
      <w:r w:rsidR="00DC36D7" w:rsidRPr="00F30BF0">
        <w:rPr>
          <w:rFonts w:cstheme="minorHAnsi"/>
        </w:rPr>
        <w:t xml:space="preserve">. </w:t>
      </w:r>
      <w:r w:rsidR="00403C76" w:rsidRPr="00F30BF0">
        <w:rPr>
          <w:rFonts w:cstheme="minorHAnsi"/>
        </w:rPr>
        <w:t>There is extensive evidence in the literature that high neighborhood density</w:t>
      </w:r>
      <w:r w:rsidR="0084135D" w:rsidRPr="00F30BF0">
        <w:rPr>
          <w:rFonts w:cstheme="minorHAnsi"/>
        </w:rPr>
        <w:t xml:space="preserve"> and other proxies for competition</w:t>
      </w:r>
      <w:r w:rsidR="00403C76" w:rsidRPr="00F30BF0">
        <w:rPr>
          <w:rFonts w:cstheme="minorHAnsi"/>
        </w:rPr>
        <w:t xml:space="preserve"> negatively impact sugar pine</w:t>
      </w:r>
      <w:r w:rsidR="00573E2C" w:rsidRPr="00F30BF0">
        <w:rPr>
          <w:rFonts w:cstheme="minorHAnsi"/>
        </w:rPr>
        <w:t xml:space="preserve"> survival</w:t>
      </w:r>
      <w:r w:rsidR="0080786A">
        <w:rPr>
          <w:rFonts w:cstheme="minorHAnsi"/>
        </w:rPr>
        <w:t xml:space="preserve"> </w:t>
      </w:r>
      <w:r w:rsidR="0080786A">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pine","type":"article-journal","volume":"14"},"uris":["http://www.mendeley.com/documents/?uuid=4017c084-8b81-48ae-b134-e117d840d93b"]},{"id":"ITEM-2","itemData":{"DOI":"10.1016/j.foreco.2011.05.011","ISSN":"03781127","abstract":"Historical logging, fire suppression, and an invasive pathogen, Cronartium ribicola, the cause of white pine blister rust (WPBR), are assumed to have dramatically affected sugar pine (Pinus lambertiana) populations in the Lake Tahoe Basin. We examined population- and genetic-level consequences of these disturbances within 10 sugar pine populations by assessing current population structure and trends for 1129 individuals, genetic diversity for 250 individuals, and frequency of WPBR-resistance for 102 families. Logging had occurred in 9 of 10 sites and fire suppression was evident in all stands. High density of white fir (Abies concolor) is often an indicator of fire suppression and we found a negative relationship between sugar pine survivorship and white fir basal area (r2=0.31). C. ribicola was present in 90% of stands (incidence range: 0-48%) and we found a significant relationship between mean host survivorship and disease incidence (r2=0.46). We estimated population growth rates (λ) from size-based transition matrices. For six of 10 sugar pine populations λ was 1.0, indicating that these populations appear to be stable; for four populations, λ was &lt;1.0, indicating populations that may be in decline. A population specific drift parameter, ci, which is a measure of genetic differentiation in allele frequencies relative to an ancestral population, ranged from 0.009 to 0.048. Higher values of ci indicate greater genetic drift, possibly due to a bottleneck caused by historical logging, other agents of mortality or much older events affecting population sizes. Effects of drift are known to be greater in small populations and we found a negative relationship between sugar pine density and ci (r2=0.36). Allele frequency of the Cr1 gene, responsible for WPBR-resistance in sugar pine, averaged 0.068 for all populations sampled; no WPBR infection was found in one population in which the Cr1 frequency was 0.112. Historical disturbances and their interactions have likely influenced the population biology of sugar pine in the Tahoe Basin; for some populations this has meant reduced population size, higher genetic drift, and poor survival of small- and intermediate-sized individuals. Possible management strategies include restoring population numbers, deploying WPBR-resistance, treating stands to promote natural sugar pine regeneration, and enhancing genetic diversity. © 2011 Elsevier B.V.","author":[{"dropping-particle":"","family":"Maloney","given":"Patricia E.","non-dropping-particle":"","parse-names":false,"suffix":""},{"dropping-particle":"","family":"Vogler","given":"Detlev R.","non-dropping-particle":"","parse-names":false,"suffix":""},{"dropping-particle":"","family":"Eckert","given":"Andrew J.","non-dropping-particle":"","parse-names":false,"suffix":""},{"dropping-particle":"","family":"Jensen","given":"Camille E.","non-dropping-particle":"","parse-names":false,"suffix":""},{"dropping-particle":"","family":"Neale","given":"David B.","non-dropping-particle":"","parse-names":false,"suffix":""}],"container-title":"Forest Ecology and Management","id":"ITEM-2","issue":"5","issued":{"date-parts":[["2011"]]},"page":"770-779","publisher":"Elsevier B.V.","title":"Population biology of sugar pine (Pinus lambertiana Dougl.) with reference to historical disturbances in the Lake Tahoe Basin: Implications for restoration","type":"article-journal","volume":"262"},"uris":["http://www.mendeley.com/documents/?uuid=9a0c821b-c50c-45fc-9062-b98c1d978b4e"]},{"id":"ITEM-3","itemData":{"DOI":"10.1139/cjfr-2015-0406","ISBN":"0045-5067","ISSN":"0045-5067","abstract":"In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Research","id":"ITEM-3","issue":"5","issued":{"date-parts":[["2016"]]},"page":"745-752","title":"Long-term demographic trends in a fire-suppressed mixed-conifer forest","type":"article-journal","volume":"46"},"uris":["http://www.mendeley.com/documents/?uuid=d23a6c87-7bd8-4d6f-9854-d1b054b6fd88"]}],"mendeley":{"formattedCitation":"(Van Mantgem &lt;i&gt;et al.&lt;/i&gt;, 2004; Maloney &lt;i&gt;et al.&lt;/i&gt;, 2011; Levine &lt;i&gt;et al.&lt;/i&gt;, 2016)","plainTextFormattedCitation":"(Van Mantgem et al., 2004; Maloney et al., 2011; Levine et al., 2016)","previouslyFormattedCitation":"(Van Mantgem &lt;i&gt;et al.&lt;/i&gt;, 2004; Maloney &lt;i&gt;et al.&lt;/i&gt;, 2011; Levine &lt;i&gt;et al.&lt;/i&gt;, 2016)"},"properties":{"noteIndex":0},"schema":"https://github.com/citation-style-language/schema/raw/master/csl-citation.json"}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Maloney </w:t>
      </w:r>
      <w:r w:rsidR="00EB4A84" w:rsidRPr="00EB4A84">
        <w:rPr>
          <w:rFonts w:cstheme="minorHAnsi"/>
          <w:i/>
          <w:noProof/>
        </w:rPr>
        <w:t>et al.</w:t>
      </w:r>
      <w:r w:rsidR="00EB4A84" w:rsidRPr="00EB4A84">
        <w:rPr>
          <w:rFonts w:cstheme="minorHAnsi"/>
          <w:noProof/>
        </w:rPr>
        <w:t xml:space="preserve">, 2011; Levine </w:t>
      </w:r>
      <w:r w:rsidR="00EB4A84" w:rsidRPr="00EB4A84">
        <w:rPr>
          <w:rFonts w:cstheme="minorHAnsi"/>
          <w:i/>
          <w:noProof/>
        </w:rPr>
        <w:t>et al.</w:t>
      </w:r>
      <w:r w:rsidR="00EB4A84" w:rsidRPr="00EB4A84">
        <w:rPr>
          <w:rFonts w:cstheme="minorHAnsi"/>
          <w:noProof/>
        </w:rPr>
        <w:t>, 2016)</w:t>
      </w:r>
      <w:r w:rsidR="0080786A">
        <w:rPr>
          <w:rFonts w:cstheme="minorHAnsi"/>
        </w:rPr>
        <w:fldChar w:fldCharType="end"/>
      </w:r>
      <w:r w:rsidR="00403C76" w:rsidRPr="00F30BF0">
        <w:rPr>
          <w:rFonts w:cstheme="minorHAnsi"/>
        </w:rPr>
        <w:t xml:space="preserve"> </w:t>
      </w:r>
      <w:r w:rsidR="00573E2C" w:rsidRPr="00F30BF0">
        <w:rPr>
          <w:rFonts w:cstheme="minorHAnsi"/>
        </w:rPr>
        <w:t xml:space="preserve">and growth </w:t>
      </w:r>
      <w:r w:rsidR="0080786A">
        <w:rPr>
          <w:rFonts w:cstheme="minorHAnsi"/>
        </w:rPr>
        <w:fldChar w:fldCharType="begin" w:fldLock="1"/>
      </w:r>
      <w:r w:rsidR="00021D10">
        <w:rPr>
          <w:rFonts w:cstheme="minorHAnsi"/>
        </w:rPr>
        <w:instrText>ADDIN CSL_CITATION {"citationItems":[{"id":"ITEM-1","itemData":{"DOI":"10.1139/x2012-142","ISSN":"00455067","abstract":"Tree growth and competition play central roles in forest dynamics. Yet models of competition often neglect important variation in species-specific responses. Furthermore, functions used to model changes in growth rate with size do not always allow for potential complexity. Using a large data set from old-growth forests in California, models were parameterized relating growth rate to tree size and competition for four common species. Several functions relating growth rate to size were tested. Competition models included parameters for tree size, competitor size, and competitor distance. Competitive strength was allowed to vary by species. The best ranked models (using Akaike's information criterion) explained between 18% and 40% of the variance in growth rate, with each species showing a strong response to competition. Models indicated that relationships between competition and growth varied substantially among species. The results also suggested that the relationship between growth rate and tree size can be complex and that how we model it can affect not only our ability to detect that complexity but also whether we obtain misleading results. In this case, for three of four species, the best model captured an apparent and unexpected decline in potential growth rate for the smallest trees in the data set.","author":[{"dropping-particle":"","family":"Das","given":"Adrian","non-dropping-particle":"","parse-names":false,"suffix":""}],"container-title":"Canadian Journal of Forest Research","id":"ITEM-1","issue":"11","issued":{"date-parts":[["2012"]]},"page":"1983-1995","title":"The effect of size and competition on tree growth rate in old-growth coniferous forests","type":"article-journal","volume":"42"},"uris":["http://www.mendeley.com/documents/?uuid=7e8e9215-396a-48aa-84a2-aa6d28e0d176"]},{"id":"ITEM-2","itemData":{"DOI":"10.1890/12-0504.1","ISSN":"10510761","PMID":"24147402","abstract":"Understanding tree growth as a function of tree size is important for a multitude of ecological and management applications. Determining what limits growth is of central interest, and forest inventory permanent plots are an abundant source of long-term information but are highly complex. Observation error and multiple sources of shared variation (spatial plot effects, temporal repeated measures, and a mosaic of sampling intervals) make these data challenging to use for growth estimation. We account for these complexities and incorporate potential limiting factors (tree size, competition, and resource supply) into a hierarchical state-space model. We estimate the diameter growth of white fir (Abies concolor) in the Sierra Nevada of California from forest inventory data, showing that estimating such a model is feasible in a Bayesian framework using readily available modeling tools. In this forest, white fir growth depends strongly on tree size, total plot basal area, and unexplained variation between individual trees. Plot-level resource supply variables (representing light, water, and nutrient availability) do not have a strong impact on inventory-size trees. This approach can be applied to other networks of permanent forest plots, leading to greater ecological insights on tree growth. © 2013 by the Ecological Society of America.","author":[{"dropping-particle":"","family":"Eitzel","given":"Melissa","non-dropping-particle":"","parse-names":false,"suffix":""},{"dropping-particle":"","family":"Battles","given":"John","non-dropping-particle":"","parse-names":false,"suffix":""},{"dropping-particle":"","family":"York","given":"Robert","non-dropping-particle":"","parse-names":false,"suffix":""},{"dropping-particle":"","family":"Knape","given":"Jonas","non-dropping-particle":"","parse-names":false,"suffix":""},{"dropping-particle":"","family":"Valpine","given":"Perry","non-dropping-particle":"De","parse-names":false,"suffix":""}],"container-title":"Ecological Applications","id":"ITEM-2","issue":"6","issued":{"date-parts":[["2013"]]},"page":"1288-1296","title":"Estimating tree growth from complex forest monitoring data","type":"article-journal","volume":"23"},"uris":["http://www.mendeley.com/documents/?uuid=58bd7dbf-601b-40cd-934b-4222b6088af9"]},{"id":"ITEM-3","itemData":{"DOI":"10.1093/treephys/22.2-3.137","ISSN":"0829318X","PMID":"11830410","abstract":"The positive growth response of healthy young trees to density reduction is well known. In contrast, large old trees are usually thought to be intrinsically limited in their ability to respond to increased growing space; therefore, density reduction is seldom used in stands of old-growth trees. We tested the null hypothesis that old-growth trees are incapable of responding with increased growth following density reduction. The diameter growth response of 271 Douglas-fir (Pseudotsuga menziesii (Mirb.) Franco), ponderosa pine (Pinus ponderosa Dougl. ex Laws) and sugar pine (Pinus lambertiana Dougl.) trees ranging in age from 158 to 650 years was examined 20 to 50 years after density reduction. Density reduction involved either light thinning with removal of less vigorous trees, or shelterwood treatments in which overstory trees were not removed. Ratios of basal area growth after treatment to basal area growth before treatment, and several other measures of growth, all indicated that the old trees sometimes benefited and were not harmed by density reduction. Growth increased by 10% or more for 68% of the trees in treated stands, and nearly 30% of trees increased growth by over 50%. This growth response persisted for at least 20 years. During this 20-year period, only three trees in treated stands (1.5%) exhibited a rapid decrease in growth, whereas growth decreased in 64% of trees in untreated stands. The length of time before a growth response to density reduction occurred varied from 5 to 25 years, with the greatest growth response often occurring 20 to 25 years after treatment. These results have important implications both for the basic biology of aging in woody plants as well as for silvicultural practices in forests with old-growth trees.","author":[{"dropping-particle":"","family":"Latham","given":"P.","non-dropping-particle":"","parse-names":false,"suffix":""},{"dropping-particle":"","family":"Tappeiner","given":"J.","non-dropping-particle":"","parse-names":false,"suffix":""}],"container-title":"Tree Physiology","id":"ITEM-3","issue":"2-3","issued":{"date-parts":[["2002"]]},"page":"137-146","title":"Response of old-growth conifers to reduction in stand density in western Oregon forests","type":"article-journal","volume":"22"},"uris":["http://www.mendeley.com/documents/?uuid=2afe436f-2493-4235-bdb9-3c2d9688c1f1"]},{"id":"ITEM-4","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D.","non-dropping-particle":"","parse-names":false,"suffix":""}],"container-title":"Ecosphere","id":"ITEM-4","issue":"January","issued":{"date-parts":[["2021"]]},"title":"Do Forest Fuel Reduction Treatments Confer Resistance to Beetle Infestation and Drought Mortality?","type":"article-journal","volume":"12"},"uris":["http://www.mendeley.com/documents/?uuid=27f300f3-6aa3-4e67-9ff2-302a5568e9e8"]}],"mendeley":{"formattedCitation":"(Latham and Tappeiner, 2002; Das, 2012; Eitzel &lt;i&gt;et al.&lt;/i&gt;, 2013; Steel &lt;i&gt;et al.&lt;/i&gt;, 2021)","plainTextFormattedCitation":"(Latham and Tappeiner, 2002; Das, 2012; Eitzel et al., 2013; Steel et al., 2021)","previouslyFormattedCitation":"(Latham and Tappeiner, 2002; Das, 2012; Eitzel &lt;i&gt;et al.&lt;/i&gt;, 2013; Steel &lt;i&gt;et al.&lt;/i&gt;, 2021)"},"properties":{"noteIndex":0},"schema":"https://github.com/citation-style-language/schema/raw/master/csl-citation.json"}</w:instrText>
      </w:r>
      <w:r w:rsidR="0080786A">
        <w:rPr>
          <w:rFonts w:cstheme="minorHAnsi"/>
        </w:rPr>
        <w:fldChar w:fldCharType="separate"/>
      </w:r>
      <w:r w:rsidR="00021D10" w:rsidRPr="00021D10">
        <w:rPr>
          <w:rFonts w:cstheme="minorHAnsi"/>
          <w:noProof/>
        </w:rPr>
        <w:t xml:space="preserve">(Latham and Tappeiner, 2002; Das, 2012; Eitzel </w:t>
      </w:r>
      <w:r w:rsidR="00021D10" w:rsidRPr="00021D10">
        <w:rPr>
          <w:rFonts w:cstheme="minorHAnsi"/>
          <w:i/>
          <w:noProof/>
        </w:rPr>
        <w:t>et al.</w:t>
      </w:r>
      <w:r w:rsidR="00021D10" w:rsidRPr="00021D10">
        <w:rPr>
          <w:rFonts w:cstheme="minorHAnsi"/>
          <w:noProof/>
        </w:rPr>
        <w:t xml:space="preserve">, 2013; Steel </w:t>
      </w:r>
      <w:r w:rsidR="00021D10" w:rsidRPr="00021D10">
        <w:rPr>
          <w:rFonts w:cstheme="minorHAnsi"/>
          <w:i/>
          <w:noProof/>
        </w:rPr>
        <w:t>et al.</w:t>
      </w:r>
      <w:r w:rsidR="00021D10" w:rsidRPr="00021D10">
        <w:rPr>
          <w:rFonts w:cstheme="minorHAnsi"/>
          <w:noProof/>
        </w:rPr>
        <w:t>, 2021)</w:t>
      </w:r>
      <w:r w:rsidR="0080786A">
        <w:rPr>
          <w:rFonts w:cstheme="minorHAnsi"/>
        </w:rPr>
        <w:fldChar w:fldCharType="end"/>
      </w:r>
      <w:r w:rsidR="0080786A">
        <w:rPr>
          <w:rFonts w:cstheme="minorHAnsi"/>
        </w:rPr>
        <w:t>.</w:t>
      </w:r>
      <w:r w:rsidR="00573E2C" w:rsidRPr="00F30BF0">
        <w:rPr>
          <w:rFonts w:cstheme="minorHAnsi"/>
        </w:rPr>
        <w:t xml:space="preserve"> It is unclear from our data whether the negative impact of density on fecundity</w:t>
      </w:r>
      <w:r w:rsidR="006C7CA9">
        <w:rPr>
          <w:rFonts w:cstheme="minorHAnsi"/>
        </w:rPr>
        <w:t xml:space="preserve"> of trees between 0.50 and 2.00 m DBH</w:t>
      </w:r>
      <w:r w:rsidR="00573E2C" w:rsidRPr="00F30BF0">
        <w:rPr>
          <w:rFonts w:cstheme="minorHAnsi"/>
        </w:rPr>
        <w:t xml:space="preserve"> is a result of decreased reproduction due to stress of parent trees, or decreased survival </w:t>
      </w:r>
      <w:r w:rsidR="0084135D" w:rsidRPr="00F30BF0">
        <w:rPr>
          <w:rFonts w:cstheme="minorHAnsi"/>
        </w:rPr>
        <w:t xml:space="preserve">and/or growth </w:t>
      </w:r>
      <w:r w:rsidR="00573E2C" w:rsidRPr="00F30BF0">
        <w:rPr>
          <w:rFonts w:cstheme="minorHAnsi"/>
        </w:rPr>
        <w:t>of new recruits due to competition, but both dynamics are plausible</w:t>
      </w:r>
      <w:r w:rsidR="00785480" w:rsidRPr="00F30BF0">
        <w:rPr>
          <w:rFonts w:cstheme="minorHAnsi"/>
        </w:rPr>
        <w:t xml:space="preserve"> </w:t>
      </w:r>
      <w:r w:rsidR="0080786A">
        <w:rPr>
          <w:rFonts w:cstheme="minorHAnsi"/>
        </w:rPr>
        <w:fldChar w:fldCharType="begin" w:fldLock="1"/>
      </w:r>
      <w:r w:rsidR="002C19B3">
        <w:rPr>
          <w:rFonts w:cstheme="minorHAnsi"/>
        </w:rPr>
        <w:instrText>ADDIN CSL_CITATION {"citationItems":[{"id":"ITEM-1","itemData":{"author":[{"dropping-particle":"","family":"Schubert","given":"Gilbert H","non-dropping-particle":"","parse-names":false,"suffix":""}],"id":"ITEM-1","issue":"116","issued":{"date-parts":[["1956"]]},"title":"Effect of fertilizer on cone production of sugar pine","type":"report"},"uris":["http://www.mendeley.com/documents/?uuid=dc286847-3f55-4907-848f-85797a8f5b84"]},{"id":"ITEM-2","itemData":{"DOI":"10.1093/forestry/cpt028","ISSN":"0015752X","abstract":"Concern exists among managers and researchers that sugar pine (Pinus lambertiana), a valuable, moderately shade-tolerant timber species, regeneration appears to be declining. Management and restoration require understanding factors leading to sustained sugar pine regeneration growth and overstorey recruitment. The primary research objective was to identify factors influencing sugar pine regeneration height growth. Data were collected on sugar pine regeneration, including height growth and stand characteristics across six managed and eight unmanaged stands in the Lake Tahoe Basin, CA and NV, USA. Individual tree- and stand-level analyses were conducted using non-parametric statistical comparisons and regression. Results indicated low mean height growth rates and no relationship between canopy closure and either height growth or management history. Individual sugar pine seedlings grew significantly taller under unmanaged stand conditions with higher canopy closures while sapling growth did not differ statistically by management history. Individual tree-level height growth models never explained more than 35 per cent of the variation. Stand-level models explained over 50 per cent of the variation with fewer variables than the individual tree-level models. More research should be conducted to determine whether the regeneration that is persisting in the understorey would respond positively to more aggressive uneven-aged silvicultural treatments designed for enhancing understorey pine growth. © 2013 Institute of Chartered Foresters, All rights reserved.","author":[{"dropping-particle":"","family":"Angell","given":"N.","non-dropping-particle":"","parse-names":false,"suffix":""},{"dropping-particle":"","family":"Waring","given":"K. M.","non-dropping-particle":"","parse-names":false,"suffix":""},{"dropping-particle":"","family":"Graves","given":"T. A.","non-dropping-particle":"","parse-names":false,"suffix":""}],"container-title":"Forestry","id":"ITEM-2","issue":"1","issued":{"date-parts":[["2014"]]},"page":"85-97","title":"Predicting height growth of sugar pine regeneration using stand and individual tree characteristics","type":"article-journal","volume":"87"},"uris":["http://www.mendeley.com/documents/?uuid=538bae05-6bfb-44e5-8085-6e0cd26cbad0"]},{"id":"ITEM-3","itemData":{"DOI":"10.1016/j.foreco.2006.01.015","ISSN":"03781127","abstract":"To elucidate broad-scale environmental controls of coniferous forest reproduction in the Sierra Nevada, California, we monitored reproduction for 5 years in 47 plots arrayed across a steep elevational (climatic) gradient. We found that both absolute seedling densities (stems &lt; 1.37 m) and seedling densities relative to overstory parent tree basal area declined sharply with elevation. Rates of seedling turnover (the average of birth and death rates) also declined with elevation. In contrast, seed production was not predicted by elevation and was highly variable from year to year. During a mast year of seed production, the intensity of masting was uneven among plots. Seedling densities were elevated only during the single year immediately following the mast year, suggesting reproduction in our forests may be primarily limited by abiotic factors such as the availability of suitable sites and weather. Disturbance also clearly affected reproduction; plots that had recently burned had significantly higher seedling to parent tree ratios for Abies species, suggesting that even though established Abies concolor may be relatively susceptible to fire, the species can recover rapidly through prolific reproduction. Since reproductive failures may be our earliest signal of changing forest conditions, seedling dynamics could provide a sensitive, if variable, indicator of environmental changes. © 2006 Elsevier B.V. All rights reserved.","author":[{"dropping-particle":"","family":"Mantgem","given":"Phillip J.","non-dropping-particle":"Van","parse-names":false,"suffix":""},{"dropping-particle":"","family":"Stephenson","given":"Nathan L.","non-dropping-particle":"","parse-names":false,"suffix":""},{"dropping-particle":"","family":"Keeley","given":"Jon E.","non-dropping-particle":"","parse-names":false,"suffix":""}],"container-title":"Forest Ecology and Management","id":"ITEM-3","issue":"1-3","issued":{"date-parts":[["2006"]]},"page":"391-399","title":"Forest reproduction along a climatic gradient in the Sierra Nevada, California","type":"article-journal","volume":"225"},"uris":["http://www.mendeley.com/documents/?uuid=85d94f89-1b3b-4db9-b1cc-2639d2407c1d"]},{"id":"ITEM-4","itemData":{"DOI":"10.1139/cjfr-2015-0406","ISBN":"0045-5067","ISSN":"0045-5067","abstract":"In the western US, forests are experiencing novel environmental conditions related to changing climate and a suppression of the historical fire regime. Mixed-conifer forests, considered resilient to disturbance due to their heterogeneity in structure and composition, appear to be shifting to a more homogeneous state, but the timescale of these shifts is not well understood. Our objective was to assess the effects of climate and fire suppression on stand dynamics and demographic rates of an old-growth mixed-conifer forest in the Sierra Nevada. We used a Bayesian hierarchical analysis to quantify species and community rates of recruitment, growth, and mortality. Despite a warming climate, we found that stand density, basal area, and carbon have increased over 56 years. Fir recruitment and growth significantly exceeded the community-level median rates, while pine recruitment and growth was significantly lower than the community-level median. Shifts in species composition from a well-mixed stand to a more den...","author":[{"dropping-particle":"","family":"Levine","given":"Carrie R.","non-dropping-particle":"","parse-names":false,"suffix":""},{"dropping-particle":"","family":"Krivak-Tetley","given":"Flora","non-dropping-particle":"","parse-names":false,"suffix":""},{"dropping-particle":"","family":"Doorn","given":"Natalie S.","non-dropping-particle":"van","parse-names":false,"suffix":""},{"dropping-particle":"","family":"Ansley","given":"Jolie-Anne S.","non-dropping-particle":"","parse-names":false,"suffix":""},{"dropping-particle":"","family":"Battles","given":"John J.","non-dropping-particle":"","parse-names":false,"suffix":""}],"container-title":"Canadian Journal of Forest Research","id":"ITEM-4","issue":"5","issued":{"date-parts":[["2016"]]},"page":"745-752","title":"Long-term demographic trends in a fire-suppressed mixed-conifer forest","type":"article-journal","volume":"46"},"uris":["http://www.mendeley.com/documents/?uuid=d23a6c87-7bd8-4d6f-9854-d1b054b6fd88"]},{"id":"ITEM-5","itemData":{"DOI":"10.1002/ecs2.2776","ISSN":"21508925","abstract":"Understanding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L.","non-dropping-particle":"","parse-names":false,"suffix":""}],"container-title":"Ecosphere","id":"ITEM-5","issue":"6","issued":{"date-parts":[["2019"]]},"title":"Negative impacts of summer heat on Sierra Nevada tree seedlings","type":"article-journal","volume":"10"},"uris":["http://www.mendeley.com/documents/?uuid=52ae7f69-ba42-496d-827f-0c3f1dd1fb27"]},{"id":"ITEM-6","itemData":{"DOI":"10.1093/forestry/cpr058","ISBN":"0015-752X","ISSN":"0015752X","abstract":"Multi-aged stands in a mixed conifer forest of California were treated to mitigate harvest-related increases in surface fuels and to prepare sites for natural regeneration of Pinus species. The study was designed to (1) assess effectiveness of small gap fuel treatments (piling and burning in 0.04 ha gaps) on surface fuel and modelled fire behaviour; (2) test the effect of substrate quality on germination of Pinus species; (3) measure the influence of gap creation on light availability and stand-level light heterogeneity. While the fuel treatment only covered 10 per cent of stand area, it was effective in avoiding increases in stand-level surface fuel following harvests. Fire behaviour was predicted to be moderate following the treatments. The harvest coupled with the gap surface fuel treatments did not change predicted fire behaviour compared with the pretreatment stands. There was a significant but variable increase in germination of Pinus ponderosa seed when sowed on ash substrates compared with bare soil. No substrate effect was detected for Pinus lambertiana. The 0.04-ha gaps created distinct pockets of light and greatly increased stand-level light heterogeneity. This gap-based approach to regenerating multi-aged stands coupled with small-scale fuel treatments is promising for reducing fire hazard and regenerating shade-intolerant species.","author":[{"dropping-particle":"","family":"York","given":"Robert A.","non-dropping-particle":"","parse-names":false,"suffix":""},{"dropping-particle":"","family":"Battles","given":"John J.","non-dropping-particle":"","parse-names":false,"suffix":""},{"dropping-particle":"","family":"Wenk","given":"Rebecca C.","non-dropping-particle":"","parse-names":false,"suffix":""},{"dropping-particle":"","family":"Saah","given":"David","non-dropping-particle":"","parse-names":false,"suffix":""}],"container-title":"Forestry","id":"ITEM-6","issue":"2","issued":{"date-parts":[["2012"]]},"page":"203-213","title":"A gap-based approach for regenerating pine species and reducing surface fuels in multi-aged mixed conifer stands in the Sierra Nevada, California","type":"article-journal","volume":"85"},"uris":["http://www.mendeley.com/documents/?uuid=3b6aecd3-0825-4c84-b4ec-d17056626afa"]},{"id":"ITEM-7","itemData":{"DOI":"10.1139/x03-222","ISSN":"00455067","abstract":"Replicated circular openings ranging in size from 0.1 to 1 ha were cleared in 1996 at Blodgett Forest Research Station, California, and planted with seedlings of six native species. After 5 years of postharvest growth, heights were measured and analyzed according to species, opening size, and location within opening. The sequence of mean height from tallest to shortest, according to species, was as follows: giant sequoia (Sequoiadendron giganteum (Lindl.) Buchholz) &gt; incense-cedar (Calocedrus decurrens (Torr.) Florin) &gt; Douglas-fir (Pseudotsuga menziesii (Mirb.) Franco var. menziesii) ≈ ponderosa pine (Pinus ponderosa Dougl. ex Laws.) &gt; sugar pine (Pinus lambertiana Dougl.) ≈ white fir (Abies concolor (Gord. &amp; Glend.) Lindl.). To describe the influence of openings size on seedling height, we use an information-theoretic approach to select from competing models that predicted fifth-year height from group selection opening size. Asymptotic fits (modeled with Michaelis-Menton curves) were selected for giant sequoia, ponderosa pine, sugar pine, and incense-cedar. Quadratic fits were selected for white fir and Douglas-fir. Linear models predicting increasing growth with opening size were consistently ruled out for all species. Although a marked depression in seedling-height growth occurred along the edges within the openings, mean annual radial increment of the 90-year-old border trees surrounding the openings increased by 30%, compared with other canopy trees in the forested matrix between openings.","author":[{"dropping-particle":"","family":"York","given":"Robert A.","non-dropping-particle":"","parse-names":false,"suffix":""},{"dropping-particle":"","family":"Heald","given":"Robert C.","non-dropping-particle":"","parse-names":false,"suffix":""},{"dropping-particle":"","family":"Battles","given":"John J.","non-dropping-particle":"","parse-names":false,"suffix":""},{"dropping-particle":"","family":"York","given":"Jennifer D.","non-dropping-particle":"","parse-names":false,"suffix":""}],"container-title":"Canadian Journal of Forest Research","id":"ITEM-7","issue":"3","issued":{"date-parts":[["2004"]]},"page":"630-641","title":"Group selection management in conifer forests: Relationships between opening size and tree growth","type":"article-journal","volume":"34"},"uris":["http://www.mendeley.com/documents/?uuid=99b0ba98-9512-424f-b8f9-5e4fd59cda36"]}],"mendeley":{"formattedCitation":"(Schubert, 1956; York &lt;i&gt;et al.&lt;/i&gt;, 2004, 2012; Van Mantgem, Stephenson and Keeley, 2006; Angell, Waring and Graves, 2014; Levine &lt;i&gt;et al.&lt;/i&gt;, 2016; Moran &lt;i&gt;et al.&lt;/i&gt;, 2019)","plainTextFormattedCitation":"(Schubert, 1956; York et al., 2004, 2012; Van Mantgem, Stephenson and Keeley, 2006; Angell, Waring and Graves, 2014; Levine et al., 2016; Moran et al., 2019)","previouslyFormattedCitation":"(Schubert, 1956; York &lt;i&gt;et al.&lt;/i&gt;, 2004, 2012; Van Mantgem, Stephenson and Keeley, 2006; Angell, Waring and Graves, 2014; Levine &lt;i&gt;et al.&lt;/i&gt;, 2016; Moran &lt;i&gt;et al.&lt;/i&gt;, 2019)"},"properties":{"noteIndex":0},"schema":"https://github.com/citation-style-language/schema/raw/master/csl-citation.json"}</w:instrText>
      </w:r>
      <w:r w:rsidR="0080786A">
        <w:rPr>
          <w:rFonts w:cstheme="minorHAnsi"/>
        </w:rPr>
        <w:fldChar w:fldCharType="separate"/>
      </w:r>
      <w:r w:rsidR="00EB4A84" w:rsidRPr="00EB4A84">
        <w:rPr>
          <w:rFonts w:cstheme="minorHAnsi"/>
          <w:noProof/>
        </w:rPr>
        <w:t xml:space="preserve">(Schubert, 1956; York </w:t>
      </w:r>
      <w:r w:rsidR="00EB4A84" w:rsidRPr="00EB4A84">
        <w:rPr>
          <w:rFonts w:cstheme="minorHAnsi"/>
          <w:i/>
          <w:noProof/>
        </w:rPr>
        <w:t>et al.</w:t>
      </w:r>
      <w:r w:rsidR="00EB4A84" w:rsidRPr="00EB4A84">
        <w:rPr>
          <w:rFonts w:cstheme="minorHAnsi"/>
          <w:noProof/>
        </w:rPr>
        <w:t xml:space="preserve">, 2004, 2012; Van Mantgem, Stephenson and Keeley, 2006; Angell, Waring and Graves, 2014; Levine </w:t>
      </w:r>
      <w:r w:rsidR="00EB4A84" w:rsidRPr="00EB4A84">
        <w:rPr>
          <w:rFonts w:cstheme="minorHAnsi"/>
          <w:i/>
          <w:noProof/>
        </w:rPr>
        <w:t>et al.</w:t>
      </w:r>
      <w:r w:rsidR="00EB4A84" w:rsidRPr="00EB4A84">
        <w:rPr>
          <w:rFonts w:cstheme="minorHAnsi"/>
          <w:noProof/>
        </w:rPr>
        <w:t xml:space="preserve">, 2016; Moran </w:t>
      </w:r>
      <w:r w:rsidR="00EB4A84" w:rsidRPr="00EB4A84">
        <w:rPr>
          <w:rFonts w:cstheme="minorHAnsi"/>
          <w:i/>
          <w:noProof/>
        </w:rPr>
        <w:t>et al.</w:t>
      </w:r>
      <w:r w:rsidR="00EB4A84" w:rsidRPr="00EB4A84">
        <w:rPr>
          <w:rFonts w:cstheme="minorHAnsi"/>
          <w:noProof/>
        </w:rPr>
        <w:t>, 2019)</w:t>
      </w:r>
      <w:r w:rsidR="0080786A">
        <w:rPr>
          <w:rFonts w:cstheme="minorHAnsi"/>
        </w:rPr>
        <w:fldChar w:fldCharType="end"/>
      </w:r>
      <w:r w:rsidR="008569B1">
        <w:rPr>
          <w:rFonts w:cstheme="minorHAnsi"/>
        </w:rPr>
        <w:t>.</w:t>
      </w:r>
      <w:r w:rsidR="00857722" w:rsidRPr="00F30BF0">
        <w:rPr>
          <w:rFonts w:cstheme="minorHAnsi"/>
        </w:rPr>
        <w:t xml:space="preserve"> In this study, high neighborhood basal area and presence of WPBR both reduced the expected asymptotic growth rate relative to an unstressed site</w:t>
      </w:r>
      <w:r w:rsidR="003C2EB4" w:rsidRPr="00F30BF0">
        <w:rPr>
          <w:rFonts w:cstheme="minorHAnsi"/>
        </w:rPr>
        <w:t>,</w:t>
      </w:r>
      <w:r w:rsidR="00857722" w:rsidRPr="00F30BF0">
        <w:rPr>
          <w:rFonts w:cstheme="minorHAnsi"/>
        </w:rPr>
        <w:t xml:space="preserve"> </w:t>
      </w:r>
      <w:r w:rsidR="003C2EB4" w:rsidRPr="00F30BF0">
        <w:rPr>
          <w:rFonts w:cstheme="minorHAnsi"/>
        </w:rPr>
        <w:t xml:space="preserve">though negative impacts </w:t>
      </w:r>
      <w:r w:rsidR="003C2EB4" w:rsidRPr="00F30BF0">
        <w:rPr>
          <w:rFonts w:cstheme="minorHAnsi"/>
        </w:rPr>
        <w:lastRenderedPageBreak/>
        <w:t xml:space="preserve">were weaker than that of fire </w:t>
      </w:r>
      <w:r w:rsidR="00857722" w:rsidRPr="00F30BF0">
        <w:rPr>
          <w:rFonts w:cstheme="minorHAnsi"/>
        </w:rPr>
        <w:t>(</w:t>
      </w:r>
      <w:r w:rsidR="00857722" w:rsidRPr="00F30BF0">
        <w:rPr>
          <w:rFonts w:cstheme="minorHAnsi"/>
        </w:rPr>
        <w:fldChar w:fldCharType="begin"/>
      </w:r>
      <w:r w:rsidR="00857722" w:rsidRPr="00F30BF0">
        <w:rPr>
          <w:rFonts w:cstheme="minorHAnsi"/>
        </w:rPr>
        <w:instrText xml:space="preserve"> REF _Ref94616225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857722" w:rsidRPr="00F30BF0">
        <w:t xml:space="preserve">Figure </w:t>
      </w:r>
      <w:r w:rsidR="00857722" w:rsidRPr="00F30BF0">
        <w:rPr>
          <w:noProof/>
        </w:rPr>
        <w:t>6</w:t>
      </w:r>
      <w:r w:rsidR="00857722" w:rsidRPr="00F30BF0">
        <w:rPr>
          <w:rFonts w:cstheme="minorHAnsi"/>
        </w:rPr>
        <w:fldChar w:fldCharType="end"/>
      </w:r>
      <w:r w:rsidR="00857722" w:rsidRPr="00F30BF0">
        <w:rPr>
          <w:rFonts w:cstheme="minorHAnsi"/>
        </w:rPr>
        <w:t>)</w:t>
      </w:r>
      <w:r w:rsidR="003C2EB4" w:rsidRPr="00F30BF0">
        <w:rPr>
          <w:rFonts w:cstheme="minorHAnsi"/>
        </w:rPr>
        <w:t xml:space="preserve">, and </w:t>
      </w:r>
      <w:r w:rsidR="00857722" w:rsidRPr="00F30BF0">
        <w:rPr>
          <w:rFonts w:cstheme="minorHAnsi"/>
        </w:rPr>
        <w:t xml:space="preserve">the credible intervals for </w:t>
      </w:r>
      <m:oMath>
        <m:r>
          <w:rPr>
            <w:rFonts w:ascii="Cambria Math" w:hAnsi="Cambria Math" w:cstheme="minorHAnsi"/>
          </w:rPr>
          <m:t>λ</m:t>
        </m:r>
      </m:oMath>
      <w:r w:rsidR="003C2EB4" w:rsidRPr="00F30BF0">
        <w:rPr>
          <w:rFonts w:cstheme="minorHAnsi"/>
        </w:rPr>
        <w:t xml:space="preserve"> in </w:t>
      </w:r>
      <w:r w:rsidR="00857722" w:rsidRPr="00F30BF0">
        <w:rPr>
          <w:rFonts w:cstheme="minorHAnsi"/>
        </w:rPr>
        <w:t>both the high basal area and WPBR scenarios included 1 (</w:t>
      </w:r>
      <w:r w:rsidR="00857722" w:rsidRPr="00F30BF0">
        <w:rPr>
          <w:rFonts w:cstheme="minorHAnsi"/>
        </w:rPr>
        <w:fldChar w:fldCharType="begin"/>
      </w:r>
      <w:r w:rsidR="00857722" w:rsidRPr="00F30BF0">
        <w:rPr>
          <w:rFonts w:cstheme="minorHAnsi"/>
        </w:rPr>
        <w:instrText xml:space="preserve"> REF _Ref94619410 \h </w:instrText>
      </w:r>
      <w:r w:rsidR="00F30BF0">
        <w:rPr>
          <w:rFonts w:cstheme="minorHAnsi"/>
        </w:rPr>
        <w:instrText xml:space="preserve"> \* MERGEFORMAT </w:instrText>
      </w:r>
      <w:r w:rsidR="00857722" w:rsidRPr="00F30BF0">
        <w:rPr>
          <w:rFonts w:cstheme="minorHAnsi"/>
        </w:rPr>
      </w:r>
      <w:r w:rsidR="00857722" w:rsidRPr="00F30BF0">
        <w:rPr>
          <w:rFonts w:cstheme="minorHAnsi"/>
        </w:rPr>
        <w:fldChar w:fldCharType="separate"/>
      </w:r>
      <w:r w:rsidR="006C7CA9">
        <w:t>Supplementary Table</w:t>
      </w:r>
      <w:r w:rsidR="006C7CA9">
        <w:t xml:space="preserve"> </w:t>
      </w:r>
      <w:r w:rsidR="00857722" w:rsidRPr="00F30BF0">
        <w:rPr>
          <w:rFonts w:cstheme="minorHAnsi"/>
        </w:rPr>
        <w:fldChar w:fldCharType="end"/>
      </w:r>
      <w:r w:rsidR="006C7CA9">
        <w:rPr>
          <w:rFonts w:cstheme="minorHAnsi"/>
        </w:rPr>
        <w:t>1</w:t>
      </w:r>
      <w:r w:rsidR="00857722" w:rsidRPr="00F30BF0">
        <w:rPr>
          <w:rFonts w:cstheme="minorHAnsi"/>
        </w:rPr>
        <w:t>).</w:t>
      </w:r>
      <w:r w:rsidR="003C2EB4" w:rsidRPr="00F30BF0">
        <w:rPr>
          <w:rFonts w:cstheme="minorHAnsi"/>
        </w:rPr>
        <w:t xml:space="preserve"> </w:t>
      </w:r>
      <w:r w:rsidR="008569B1">
        <w:rPr>
          <w:rFonts w:cstheme="minorHAnsi"/>
        </w:rPr>
        <w:t>However, reducing basal area to one standard deviation below the mean had positive effects</w:t>
      </w:r>
      <w:r w:rsidR="006C7CA9">
        <w:rPr>
          <w:rFonts w:cstheme="minorHAnsi"/>
        </w:rPr>
        <w:t xml:space="preserve"> on </w:t>
      </w:r>
      <m:oMath>
        <m:r>
          <w:rPr>
            <w:rFonts w:ascii="Cambria Math" w:hAnsi="Cambria Math" w:cstheme="minorHAnsi"/>
          </w:rPr>
          <m:t>λ</m:t>
        </m:r>
      </m:oMath>
      <w:r w:rsidR="008569B1">
        <w:rPr>
          <w:rFonts w:cstheme="minorHAnsi"/>
        </w:rPr>
        <w:t xml:space="preserve"> (</w:t>
      </w:r>
      <w:r w:rsidR="008569B1">
        <w:rPr>
          <w:rFonts w:cstheme="minorHAnsi"/>
        </w:rPr>
        <w:fldChar w:fldCharType="begin"/>
      </w:r>
      <w:r w:rsidR="008569B1">
        <w:rPr>
          <w:rFonts w:cstheme="minorHAnsi"/>
        </w:rPr>
        <w:instrText xml:space="preserve"> REF _Ref94616225 \h </w:instrText>
      </w:r>
      <w:r w:rsidR="008569B1">
        <w:rPr>
          <w:rFonts w:cstheme="minorHAnsi"/>
        </w:rPr>
      </w:r>
      <w:r w:rsidR="008569B1">
        <w:rPr>
          <w:rFonts w:cstheme="minorHAnsi"/>
        </w:rPr>
        <w:fldChar w:fldCharType="separate"/>
      </w:r>
      <w:r w:rsidR="008569B1">
        <w:t xml:space="preserve">Figure </w:t>
      </w:r>
      <w:r w:rsidR="008569B1">
        <w:rPr>
          <w:noProof/>
        </w:rPr>
        <w:t>6</w:t>
      </w:r>
      <w:r w:rsidR="008569B1">
        <w:rPr>
          <w:rFonts w:cstheme="minorHAnsi"/>
        </w:rPr>
        <w:fldChar w:fldCharType="end"/>
      </w:r>
      <w:r w:rsidR="008569B1">
        <w:rPr>
          <w:rFonts w:cstheme="minorHAnsi"/>
        </w:rPr>
        <w:t>).</w:t>
      </w:r>
    </w:p>
    <w:p w14:paraId="2FEC3842" w14:textId="7D1EF479" w:rsidR="009B0C1C" w:rsidRPr="00F30BF0" w:rsidRDefault="00F72294" w:rsidP="00047C53">
      <w:pPr>
        <w:spacing w:line="360" w:lineRule="auto"/>
        <w:ind w:firstLine="360"/>
        <w:rPr>
          <w:rFonts w:cstheme="minorHAnsi"/>
        </w:rPr>
      </w:pPr>
      <w:r>
        <w:rPr>
          <w:rFonts w:cstheme="minorHAnsi"/>
        </w:rPr>
        <w:t>A surprising result of this study is t</w:t>
      </w:r>
      <w:r w:rsidR="0038352F" w:rsidRPr="00F30BF0">
        <w:rPr>
          <w:rFonts w:cstheme="minorHAnsi"/>
        </w:rPr>
        <w:t xml:space="preserve">hat drought and climate related variables had </w:t>
      </w:r>
      <w:r w:rsidR="00DD37D1">
        <w:rPr>
          <w:rFonts w:cstheme="minorHAnsi"/>
        </w:rPr>
        <w:t>relatively weak</w:t>
      </w:r>
      <w:r w:rsidR="0038352F" w:rsidRPr="00F30BF0">
        <w:rPr>
          <w:rFonts w:cstheme="minorHAnsi"/>
        </w:rPr>
        <w:t xml:space="preserve"> impact</w:t>
      </w:r>
      <w:r w:rsidR="00DD37D1">
        <w:rPr>
          <w:rFonts w:cstheme="minorHAnsi"/>
        </w:rPr>
        <w:t>s</w:t>
      </w:r>
      <w:r w:rsidR="0038352F" w:rsidRPr="00F30BF0">
        <w:rPr>
          <w:rFonts w:cstheme="minorHAnsi"/>
        </w:rPr>
        <w:t xml:space="preserve"> on sugar pine’s vital rates and asymptotic population growth </w:t>
      </w:r>
      <w:commentRangeStart w:id="71"/>
      <w:r w:rsidR="0038352F" w:rsidRPr="00F30BF0">
        <w:rPr>
          <w:rFonts w:cstheme="minorHAnsi"/>
        </w:rPr>
        <w:t>rat</w:t>
      </w:r>
      <w:r>
        <w:rPr>
          <w:rFonts w:cstheme="minorHAnsi"/>
        </w:rPr>
        <w:t>e</w:t>
      </w:r>
      <w:commentRangeEnd w:id="71"/>
      <w:r w:rsidR="00A47588">
        <w:rPr>
          <w:rStyle w:val="CommentReference"/>
        </w:rPr>
        <w:commentReference w:id="71"/>
      </w:r>
      <w:r w:rsidR="0038352F" w:rsidRPr="00F30BF0">
        <w:rPr>
          <w:rFonts w:cstheme="minorHAnsi"/>
        </w:rPr>
        <w:t xml:space="preserve">. </w:t>
      </w:r>
      <w:r w:rsidR="009B0C1C" w:rsidRPr="00F30BF0">
        <w:rPr>
          <w:rFonts w:cstheme="minorHAnsi"/>
        </w:rPr>
        <w:t>Other literature</w:t>
      </w:r>
      <w:r w:rsidR="003C2EB4" w:rsidRPr="00F30BF0">
        <w:rPr>
          <w:rFonts w:cstheme="minorHAnsi"/>
        </w:rPr>
        <w:t xml:space="preserve"> has emphasized the role of moisture stress in </w:t>
      </w:r>
      <w:r w:rsidR="00B50353" w:rsidRPr="00F30BF0">
        <w:rPr>
          <w:rFonts w:cstheme="minorHAnsi"/>
        </w:rPr>
        <w:t>increased mortality rates</w:t>
      </w:r>
      <w:r w:rsidR="00101105" w:rsidRPr="00F30BF0">
        <w:rPr>
          <w:rFonts w:cstheme="minorHAnsi"/>
        </w:rPr>
        <w:t xml:space="preserve"> and reduced growth</w:t>
      </w:r>
      <w:r w:rsidR="00B50353" w:rsidRPr="00F30BF0">
        <w:rPr>
          <w:rFonts w:cstheme="minorHAnsi"/>
        </w:rPr>
        <w:t xml:space="preserve"> among sugar pine </w:t>
      </w:r>
      <w:r w:rsidR="008569B1">
        <w:rPr>
          <w:rFonts w:cstheme="minorHAnsi"/>
        </w:rPr>
        <w:t xml:space="preserve">directly and indirectly via decreased ability of trees to resist mountain pine beetle </w:t>
      </w:r>
      <w:r w:rsidR="008569B1">
        <w:rPr>
          <w:rFonts w:cstheme="minorHAnsi"/>
        </w:rPr>
        <w:fldChar w:fldCharType="begin" w:fldLock="1"/>
      </w:r>
      <w:r w:rsidR="002C19B3">
        <w:rPr>
          <w:rFonts w:cstheme="minorHAnsi"/>
        </w:rPr>
        <w:instrText>ADDIN CSL_CITATION {"citationItems":[{"id":"ITEM-1","itemData":{"DOI":"10.1002/eap.1902","author":[{"dropping-particle":"","family":"Restaino","given":"Christina","non-dropping-particle":"","parse-names":false,"suffix":""},{"dropping-particle":"","family":"Young","given":"Derek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Applications","id":"ITEM-1","issue":"December 2017","issued":{"date-parts":[["2019"]]},"page":"1-14","title":"Forest structure and climate mediate drought-induced tree mortality in forests of the Sierra Nevada , USA","type":"article-journal","volume":"29"},"uris":["http://www.mendeley.com/documents/?uuid=fab20f86-8948-4d2c-85ba-9a0ff200ff1e"]},{"id":"ITEM-2","itemData":{"DOI":"10.1371/journal.pone.0069917","ISSN":"19326203","PMID":"23936118","abstract":"Recent increases in tree mortality rates across the western USA are correlated with increasing temperatures, but mechanisms remain unresolved. Specifically, increasing mortality could predominantly be a consequence of temperature-induced increases in either (1) drought stress, or (2) the effectiveness of tree-killing insects and pathogens. Using long-term data from California's Sierra Nevada mountain range, we found that in water-limited (low-elevation) forests mortality was unambiguously best modeled by climatic water deficit, consistent with the first mechanism. In energy-limited (high-elevation) forests deficit models were only equivocally better than temperature models, suggesting that the second mechanism is increasingly important in these forests. We could not distinguish between models predicting mortality using absolute versus relative changes in water deficit, and these two model types led to different forecasts of mortality vulnerability under future climate scenarios. Our results provide evidence for differing climatic controls of tree mortality in water- and energy-limited forests, while highlighting the need for an improved understanding of tree mortality processes.","author":[{"dropping-particle":"","family":"Das","given":"Adrian J.","non-dropping-particle":"","parse-names":false,"suffix":""},{"dropping-particle":"","family":"Stephenson","given":"Nathan L.","non-dropping-particle":"","parse-names":false,"suffix":""},{"dropping-particle":"","family":"Flint","given":"Alan","non-dropping-particle":"","parse-names":false,"suffix":""},{"dropping-particle":"","family":"Das","given":"Tapash","non-dropping-particle":"","parse-names":false,"suffix":""},{"dropping-particle":"","family":"Mantgem","given":"Phillip J.","non-dropping-particle":"van","parse-names":false,"suffix":""}],"container-title":"PLoS ONE","id":"ITEM-2","issue":"7","issued":{"date-parts":[["2013"]]},"title":"Climatic Correlates of Tree Mortality in Water- and Energy-Limited Forests","type":"article-journal","volume":"8"},"uris":["http://www.mendeley.com/documents/?uuid=ae6df946-dfb3-4ab5-8ba3-0a59be138901"]},{"id":"ITEM-3","itemData":{"DOI":"10.1111/j.1461-0248.2007.01080.x","ISSN":"1461023X","PMID":"17845291","abstract":"We provide a first detailed analysis of long-term, annual-resolution demographic trends in a temperate forest. After tracking the fates of 21 338 trees in a network of old-growth forest plots in the Sierra Nevada of California, we found that mortality rate, but not the recruitment rate, increased significantly over the 22 years of measurement (1983-2004). Mortality rates increased in both of two dominant taxonomic groups (Abies and Pinus) and in different forest types (different elevational zones). The increase in overall mortality rate resulted from an increase in tree deaths attributed to stress and biotic causes, and coincided with a temperature-driven increase in an index of drought. Our findings suggest that these forests (and by implication, other water-limited forests) may be sensitive to temperature-driven drought stress, and may be poised for die-back if future climates continue to feature rising temperatures without compensating increases in precipitation. © 2007 Blackwell Publishing Ltd/CNRS.","author":[{"dropping-particle":"","family":"Mantgem","given":"Phillip J.","non-dropping-particle":"Van","parse-names":false,"suffix":""},{"dropping-particle":"","family":"Stephenson","given":"Nathan L.","non-dropping-particle":"","parse-names":false,"suffix":""}],"container-title":"Ecology Letters","id":"ITEM-3","issue":"10","issued":{"date-parts":[["2007"]]},"page":"909-916","title":"Apparent climatically induced increase of tree mortality rates in a temperate forest","type":"article-journal","volume":"10"},"uris":["http://www.mendeley.com/documents/?uuid=79dcd8ef-4ad9-462a-be9f-5a6460dbdf52"]},{"id":"ITEM-4","itemData":{"DOI":"10.1002/eap.1620","ISSN":"19395582","PMID":"28871610","abstract":"Severe drought has the potential to cause selective mortality within a forest, thereby inducing shifts in forest species composition. The southern Sierra Nevada foothills and mountains of California have experienced extensive forest dieback due to drought stress and insect outbreak. We used high-fidelity imaging spectroscopy (HiFIS) and light detection and ranging (LiDAR) from the Carnegie Airborne Observatory (CAO) to estimate the effect of forest dieback on species composition in response to drought stress in Sequoia National Park. Our aims were (1) to quantify site-specific conditions that mediate tree mortality along an elevation gradient in the southern Sierra Nevada Mountains, (2) to assess where mortality events have a greater probability of occurring, and (3) to estimate which tree species have a greater likelihood of mortality along the elevation gradient. A series of statistical models were generated to classify species composition and identify tree mortality, and the influences of different environmental factors were spatially quantified and analyzed to assess where mortality events have a greater likelihood of occurring. A higher probability of mortality was observed in the lower portion of the elevation gradient, on southwest- and west-facing slopes, in areas with shallow soils, on shallower slopes, and at greater distances from water. All of these factors are related to site water balance throughout the landscape. Our results also suggest that mortality is species-specific along the elevation gradient, mainly affecting Pinus ponderosa and Pinus lambertiana at lower elevations. Selective mortality within the forest may drive long-term shifts in community composition along the elevation gradient.","author":[{"dropping-particle":"","family":"Paz-Kagan","given":"Tarin","non-dropping-particle":"","parse-names":false,"suffix":""},{"dropping-particle":"","family":"Brodrick","given":"Philip G.","non-dropping-particle":"","parse-names":false,"suffix":""},{"dropping-particle":"","family":"Vaughn","given":"Nicholas R.","non-dropping-particle":"","parse-names":false,"suffix":""},{"dropping-particle":"","family":"Das","given":"Adrian J.","non-dropping-particle":"","parse-names":false,"suffix":""},{"dropping-particle":"","family":"Stephenson","given":"Nathan L.","non-dropping-particle":"","parse-names":false,"suffix":""},{"dropping-particle":"","family":"Nydick","given":"Koren R.","non-dropping-particle":"","parse-names":false,"suffix":""},{"dropping-particle":"","family":"Asner","given":"Gregory P.","non-dropping-particle":"","parse-names":false,"suffix":""}],"container-title":"Ecological Applications","id":"ITEM-4","issue":"8","issued":{"date-parts":[["2017"]]},"page":"2443-2457","title":"What mediates tree mortality during drought in the southern Sierra Nevada","type":"article-journal","volume":"27"},"uris":["http://www.mendeley.com/documents/?uuid=dc39be1d-6fbe-470d-bc94-505e92d410bc"]},{"id":"ITEM-5","itemData":{"DOI":"10.1139/X06-262","ISSN":"00455067","abstract":"We examined mortality of Abies concolor (Gord. &amp; Glend.) Lindl. (white fir) and Pinus lambertiana Dougl. (sugar pine) by developing logistic models using three growth indices obtained from tree rings: average growth, growth trend, and count of abrupt growth declines. For P. lambertiana, models with average growth, growth trend, and count of abrupt declines improved overall prediction (78.6% dead trees correctly classified, 83.7% live trees correctly classified) compared with a model with average recent growth alone (69.6% dead trees correctly classified, 67.3% live trees correctly classified). For A. concolor, counts of abrupt declines and longer time intervals improved overall classification (trees with DBH ≥20 cm: 78.9% dead trees correctly classified and 76.7% live trees correctly classified vs. 64.9% dead trees correctly classified and 77.9% live trees correctly classified; trees with DBH &lt;20 cm: 71.6% dead trees correctly classified and 71.0% live trees correctly classified vs. 67.2% dead trees correctly classified and 66.7% live trees correctly classified). In general, count of abrupt declines improved live-tree classification. External validation of A. concolor models showed that they functioned well at stands not used in model development, and the development of size-specific models demonstrated important differences in mortality risk between understory and canopy trees. Population-level mortality-risk models were developed for A. concolor and generated realistic mortality rates at two sites. Our results support the contention that a more comprehensive use of the growth record yields a more robust assessment of mortality risk. © 2007 NRC.","author":[{"dropping-particle":"","family":"Das","given":"Adrian J.","non-dropping-particle":"","parse-names":false,"suffix":""},{"dropping-particle":"","family":"Battles","given":"John J.","non-dropping-particle":"","parse-names":false,"suffix":""},{"dropping-particle":"","family":"Stephenson","given":"Nathan L.","non-dropping-particle":"","parse-names":false,"suffix":""},{"dropping-particle":"","family":"Mantgem","given":"Phillip J.","non-dropping-particle":"Van","parse-names":false,"suffix":""}],"container-title":"Canadian Journal of Forest Research","id":"ITEM-5","issue":"3","issued":{"date-parts":[["2007"]]},"page":"580-597","title":"The relationship between tree growth patterns and likelihood of mortality: A study of two tree species in the Sierra Nevada","type":"article-journal","volume":"37"},"uris":["http://www.mendeley.com/documents/?uuid=cae3d06a-bb2c-4a92-9822-25e3e253038a"]},{"id":"ITEM-6","itemData":{"DOI":"10.1016/j.scitotenv.2021.147744","ISSN":"00489697","abstract":"Worldwide, increasing severity of droughts threatens to change forest ecosystem functioning and community structure. Understanding how forest resilience is determined by its two underlying components, resistance and recovery, will help elucidate the mechanisms of drought responses and help inform management strategies. However, drought responses are shaped by complex processes across different scales, including species-specific drought strategies, tree size, competition, local environmental conditions, and the intensity of the drought event. Here, we quantified the reduction in tree growth during drought (an inverse measure of drought resistance) and post-drought recovery for three montane conifers (Abies concolor, Pinus jeffreyi, and Pinus lambertiana) in California. We used tree ring analysis to quantify responses to drought events of varying intensity between 1895 and 2018 across a geographic climatic gradient, to examine the roles of tree size (DBH) and competition (tree density) in mediating drought responses. We found that years of more intense drought corresponded with larger growth reductions and recovery rates were lower following drought years where trees suffered larger reductions. We found little variation among species in their growth reductions during drought events, but significant differences among species in their recovery post-drought. Across the geographic gradient, trees in the driest locations were susceptible to large growth reductions, signaling either strong sensitivity to drought intensity or exposure to the most extreme drought conditions. These growth reductions were not always compensated for by higher recovery rates. We also found that larger trees were more susceptible to drought due to a steeper negative relationship between recovery rates and the intensity of growth reduction during the drought. Contrary to expectations, recovery rates following the most detrimental drought years were higher in denser forests. Our results demonstrate the importance of considering how factors at various spatial and temporal scales affect the different components of drought responses.","author":[{"dropping-particle":"","family":"Bohner","given":"Teresa","non-dropping-particle":"","parse-names":false,"suffix":""},{"dropping-particle":"","family":"Diez","given":"Jeffrey","non-dropping-particle":"","parse-names":false,"suffix":""}],"container-title":"Science of The Total Environment","id":"ITEM-6","issued":{"date-parts":[["2021"]]},"page":"147744","publisher":"Elsevier B.V.","title":"Tree resistance and recovery from drought mediated by multiple abiotic and biotic processes across a large geographic gradient","type":"article-journal","volume":"789"},"uris":["http://www.mendeley.com/documents/?uuid=3793b222-188a-4ef5-9faa-857daeae6c29"]}],"mendeley":{"formattedCitation":"(Das &lt;i&gt;et al.&lt;/i&gt;, 2007, 2013; Van Mantgem and Stephenson, 2007; Paz-Kagan &lt;i&gt;et al.&lt;/i&gt;, 2017; Restaino &lt;i&gt;et al.&lt;/i&gt;, 2019; Bohner and Diez, 2021)","plainTextFormattedCitation":"(Das et al., 2007, 2013; Van Mantgem and Stephenson, 2007; Paz-Kagan et al., 2017; Restaino et al., 2019; Bohner and Diez, 2021)","previouslyFormattedCitation":"(Das &lt;i&gt;et al.&lt;/i&gt;, 2007, 2013; Van Mantgem and Stephenson, 2007; Paz-Kagan &lt;i&gt;et al.&lt;/i&gt;, 2017; Restaino &lt;i&gt;et al.&lt;/i&gt;, 2019; Bohner and Diez,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xml:space="preserve">, 2007, 2013; Van Mantgem and Stephenson, 2007; Paz-Kagan </w:t>
      </w:r>
      <w:r w:rsidR="00EB4A84" w:rsidRPr="00EB4A84">
        <w:rPr>
          <w:rFonts w:cstheme="minorHAnsi"/>
          <w:i/>
          <w:noProof/>
        </w:rPr>
        <w:t>et al.</w:t>
      </w:r>
      <w:r w:rsidR="00EB4A84" w:rsidRPr="00EB4A84">
        <w:rPr>
          <w:rFonts w:cstheme="minorHAnsi"/>
          <w:noProof/>
        </w:rPr>
        <w:t xml:space="preserve">, 2017; Restaino </w:t>
      </w:r>
      <w:r w:rsidR="00EB4A84" w:rsidRPr="00EB4A84">
        <w:rPr>
          <w:rFonts w:cstheme="minorHAnsi"/>
          <w:i/>
          <w:noProof/>
        </w:rPr>
        <w:t>et al.</w:t>
      </w:r>
      <w:r w:rsidR="00EB4A84" w:rsidRPr="00EB4A84">
        <w:rPr>
          <w:rFonts w:cstheme="minorHAnsi"/>
          <w:noProof/>
        </w:rPr>
        <w:t>, 2019; Bohner and Diez, 2021)</w:t>
      </w:r>
      <w:r w:rsidR="008569B1">
        <w:rPr>
          <w:rFonts w:cstheme="minorHAnsi"/>
        </w:rPr>
        <w:fldChar w:fldCharType="end"/>
      </w:r>
      <w:r w:rsidR="005E7ECB">
        <w:rPr>
          <w:rFonts w:cstheme="minorHAnsi"/>
        </w:rPr>
        <w:t xml:space="preserve">, though see </w:t>
      </w:r>
      <w:commentRangeStart w:id="72"/>
      <w:r w:rsidR="005E7ECB">
        <w:rPr>
          <w:rFonts w:cstheme="minorHAnsi"/>
        </w:rPr>
        <w:t xml:space="preserve"> </w:t>
      </w:r>
      <w:r w:rsidR="005E7ECB">
        <w:rPr>
          <w:rFonts w:cstheme="minorHAnsi"/>
        </w:rPr>
        <w:fldChar w:fldCharType="begin" w:fldLock="1"/>
      </w:r>
      <w:r w:rsidR="00021D10">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trees","type":"article-journal"},"uris":["http://www.mendeley.com/documents/?uuid=923f9f80-0634-4566-ac74-bb9eb698fef4"]}],"mendeley":{"formattedCitation":"(Furniss &lt;i&gt;et al.&lt;/i&gt;, 2021)","plainTextFormattedCitation":"(Furniss et al., 2021)","previouslyFormattedCitation":"(Furniss &lt;i&gt;et al.&lt;/i&gt;, 2021)"},"properties":{"noteIndex":0},"schema":"https://github.com/citation-style-language/schema/raw/master/csl-citation.json"}</w:instrText>
      </w:r>
      <w:r w:rsidR="005E7ECB">
        <w:rPr>
          <w:rFonts w:cstheme="minorHAnsi"/>
        </w:rPr>
        <w:fldChar w:fldCharType="separate"/>
      </w:r>
      <w:r w:rsidR="005E7ECB" w:rsidRPr="005E7ECB">
        <w:rPr>
          <w:rFonts w:cstheme="minorHAnsi"/>
          <w:noProof/>
        </w:rPr>
        <w:t xml:space="preserve">(Furniss </w:t>
      </w:r>
      <w:r w:rsidR="005E7ECB" w:rsidRPr="005E7ECB">
        <w:rPr>
          <w:rFonts w:cstheme="minorHAnsi"/>
          <w:i/>
          <w:noProof/>
        </w:rPr>
        <w:t>et al.</w:t>
      </w:r>
      <w:r w:rsidR="005E7ECB" w:rsidRPr="005E7ECB">
        <w:rPr>
          <w:rFonts w:cstheme="minorHAnsi"/>
          <w:noProof/>
        </w:rPr>
        <w:t>, 2021)</w:t>
      </w:r>
      <w:r w:rsidR="005E7ECB">
        <w:rPr>
          <w:rFonts w:cstheme="minorHAnsi"/>
        </w:rPr>
        <w:fldChar w:fldCharType="end"/>
      </w:r>
      <w:commentRangeEnd w:id="72"/>
      <w:r w:rsidR="007108F6">
        <w:rPr>
          <w:rStyle w:val="CommentReference"/>
        </w:rPr>
        <w:commentReference w:id="72"/>
      </w:r>
      <w:r w:rsidR="005E7ECB">
        <w:rPr>
          <w:rFonts w:cstheme="minorHAnsi"/>
        </w:rPr>
        <w:t xml:space="preserve"> which found that stand density played a more important role than climate variables in shaping mortality dynamics after fire and/or drought</w:t>
      </w:r>
      <w:r w:rsidR="008569B1">
        <w:rPr>
          <w:rFonts w:cstheme="minorHAnsi"/>
        </w:rPr>
        <w:t>.</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(Stephenson </w:t>
      </w:r>
      <w:r w:rsidR="00EB4A84" w:rsidRPr="00EB4A84">
        <w:rPr>
          <w:rFonts w:cstheme="minorHAnsi"/>
          <w:i/>
          <w:noProof/>
        </w:rPr>
        <w:t>et al.</w:t>
      </w:r>
      <w:r w:rsidR="00EB4A84" w:rsidRPr="00EB4A84">
        <w:rPr>
          <w:rFonts w:cstheme="minorHAnsi"/>
          <w:noProof/>
        </w:rPr>
        <w:t>, 2019)</w:t>
      </w:r>
      <w:r w:rsidR="008569B1">
        <w:rPr>
          <w:rFonts w:cstheme="minorHAnsi"/>
        </w:rPr>
        <w:fldChar w:fldCharType="end"/>
      </w:r>
      <w:r w:rsidR="00B50353" w:rsidRPr="00F30BF0">
        <w:rPr>
          <w:rFonts w:cstheme="minorHAnsi"/>
        </w:rPr>
        <w:t xml:space="preserve"> examined the role of mountain pine beetle as the primary mortality agent taking advantage of widespread stress among sugar pine populations affected by drought, a finding supported by other assessments </w:t>
      </w:r>
      <w:r w:rsidR="00101105" w:rsidRPr="00F30BF0">
        <w:rPr>
          <w:rFonts w:cstheme="minorHAnsi"/>
        </w:rPr>
        <w:t>of the relationship between drought and bark beetles</w:t>
      </w:r>
      <w:r w:rsidR="00B50353" w:rsidRPr="00F30BF0">
        <w:rPr>
          <w:rFonts w:cstheme="minorHAnsi"/>
        </w:rPr>
        <w:t xml:space="preserve"> </w:t>
      </w:r>
      <w:r w:rsidR="008569B1">
        <w:rPr>
          <w:rFonts w:cstheme="minorHAnsi"/>
        </w:rPr>
        <w:fldChar w:fldCharType="begin" w:fldLock="1"/>
      </w:r>
      <w:r w:rsidR="002C19B3">
        <w:rPr>
          <w:rFonts w:cstheme="minorHAnsi"/>
        </w:rPr>
        <w:instrText>ADDIN CSL_CITATION {"citationItems":[{"id":"ITEM-1","itemData":{"DOI":"10.1016/j.foreco.2018.09.006","ISSN":"03781127","abstract":"Much of California, U.S. experienced a severe drought in 2012–2015 inciting a large tree mortality event in the central and southern Sierra Nevada. We assessed causal agents and rates of tree mortality, and short-term impacts to forest structure and composition based on a network of 11.3-m fixed-radius plots installed within three elevation bands on the Eldorado, Stanislaus, Sierra and Sequoia National Forests (914–1219, 1219–1524 and 1524–1829 m on the Eldorado, Stanislaus, Sierra; 1219–1524, 1524–1829, and 1829–2134 m on the Sequoia), where tree mortality was most severe. About 48.9% of trees died between 2014 and 2017. Tree mortality ranged from 46.1 ± 3.3% on the Eldorado National Forest to 58.7 ± 3.7% on the Sierra National Forest. Significantly higher levels of tree mortality occurred in the low elevation band (60.4 ± 3.0%) compared to the high elevation band (46.1 ± 2.9%). Ponderosa pine, Pinus ponderosa Dougl. ex Laws., exhibited the highest levels of tree mortality (89.6%), with 39.4% of plots losing all P. ponderosa. Mortality of P. ponderosa was highest at the lowest elevations, concentrated in larger-diameter trees, and attributed primarily to colonization by western pine beetle, Dendroctonus brevicomis LeConte. About 89% of P. ponderosa in the three largest diameter classes were killed, representing loss of an important structural component of these forests with implications to wildlife species of conservation concern. Sugar pine, P. lambertiana Dougl., exhibited the second highest levels of tree mortality (48.1%). Mortality of P. lambertiana was concentrated in the mid-diameter classes and attributed primarily to colonization by mountain pine beetle, D. ponderosae Hopkins. White fir, Abies concolor (Gord. &amp; Glend.) Lindl. ex Hildebr., and incense cedar, Calocedrus decurrens (Torr.) Florin, exhibited 26.3% and 23.2% mortality, respectively. Only one Quercus died. Tree mortality (numbers of trees killed) was positively correlated with tree density and slope. A time lag was observed between the occurrence of drought and the majority of tree mortality. Tree regeneration (seedlings and saplings) was dominated by C. decurrens and Quercus spp., representing a potential long-term shift in composition from forests that were dominated by P. ponderosa. About 22.2% of plots contained plant species considered invasive, including cheatgrass, Bromus tectorum L., ripgut brome, Bromus diandrus Roth, bull thistle, Cirsium vulgare (Savi) Ten., and yellow sta…","author":[{"dropping-particle":"","family":"Fettig","given":"Christopher J.","non-dropping-particle":"","parse-names":false,"suffix":""},{"dropping-particle":"","family":"Mortenson","given":"Leif A.","non-dropping-particle":"","parse-names":false,"suffix":""},{"dropping-particle":"","family":"Bulaon","given":"Beverly M.","non-dropping-particle":"","parse-names":false,"suffix":""},{"dropping-particle":"","family":"Foulk","given":"Patra B.","non-dropping-particle":"","parse-names":false,"suffix":""}],"container-title":"Forest Ecology and Management","id":"ITEM-1","issue":"August 2018","issued":{"date-parts":[["2019"]]},"page":"164-178","title":"Tree mortality following drought in the central and southern Sierra Nevada, California, U.S.","type":"article-journal","volume":"432"},"uris":["http://www.mendeley.com/documents/?uuid=45dbf149-6ef3-4399-b560-f190b2178c40"]},{"id":"ITEM-2","itemData":{"DOI":"10.1007/s00468-021-02098-8","ISBN":"0123456789","ISSN":"1432-2285","author":[{"dropping-particle":"","family":"Slack","given":"Andrew W","non-dropping-particle":"","parse-names":false,"suffix":""},{"dropping-particle":"","family":"Kane","given":"Jeffrey M","non-dropping-particle":"","parse-names":false,"suffix":""},{"dropping-particle":"","family":"Knapp","given":"Eric E","non-dropping-particle":"","parse-names":false,"suffix":""}],"container-title":"Trees","id":"ITEM-2","issue":"0123456789","issued":{"date-parts":[["2021"]]},"publisher":"Springer Berlin Heidelberg","title":"Growth and defense inform large sugar pine ( Pinus lambertiana ) mortality in a fire ‐ excluded forest of the central Sierra Nevada","type":"article-journal"},"uris":["http://www.mendeley.com/documents/?uuid=bd0e16be-b004-446b-96c7-c370b5251e9a"]}],"mendeley":{"formattedCitation":"(Fettig &lt;i&gt;et al.&lt;/i&gt;, 2019; Slack, Kane and Knapp, 2021)","plainTextFormattedCitation":"(Fettig et al., 2019; Slack, Kane and Knapp, 2021)","previouslyFormattedCitation":"(Fettig &lt;i&gt;et al.&lt;/i&gt;, 2019; Slack, Kane and Knapp, 2021)"},"properties":{"noteIndex":0},"schema":"https://github.com/citation-style-language/schema/raw/master/csl-citation.json"}</w:instrText>
      </w:r>
      <w:r w:rsidR="008569B1">
        <w:rPr>
          <w:rFonts w:cstheme="minorHAnsi"/>
        </w:rPr>
        <w:fldChar w:fldCharType="separate"/>
      </w:r>
      <w:r w:rsidR="00EB4A84" w:rsidRPr="00EB4A84">
        <w:rPr>
          <w:rFonts w:cstheme="minorHAnsi"/>
          <w:noProof/>
        </w:rPr>
        <w:t xml:space="preserve">(Fettig </w:t>
      </w:r>
      <w:r w:rsidR="00EB4A84" w:rsidRPr="00EB4A84">
        <w:rPr>
          <w:rFonts w:cstheme="minorHAnsi"/>
          <w:i/>
          <w:noProof/>
        </w:rPr>
        <w:t>et al.</w:t>
      </w:r>
      <w:r w:rsidR="00EB4A84" w:rsidRPr="00EB4A84">
        <w:rPr>
          <w:rFonts w:cstheme="minorHAnsi"/>
          <w:noProof/>
        </w:rPr>
        <w:t>, 2019; Slack, Kane and Knapp, 2021)</w:t>
      </w:r>
      <w:r w:rsidR="008569B1">
        <w:rPr>
          <w:rFonts w:cstheme="minorHAnsi"/>
        </w:rPr>
        <w:fldChar w:fldCharType="end"/>
      </w:r>
      <w:r w:rsidR="00B50353" w:rsidRPr="00F30BF0">
        <w:rPr>
          <w:rFonts w:cstheme="minorHAnsi"/>
        </w:rPr>
        <w:t xml:space="preserve">. </w:t>
      </w:r>
      <w:r w:rsidR="00101105" w:rsidRPr="00F30BF0">
        <w:rPr>
          <w:rFonts w:cstheme="minorHAnsi"/>
        </w:rPr>
        <w:t xml:space="preserve">Intermittent droughts and/or long-term mean climatic conditions may particularly challenge small trees, causing recruitment failures even on sites where adult trees are able to persist </w:t>
      </w:r>
      <w:r w:rsidR="0071532B">
        <w:rPr>
          <w:rFonts w:cstheme="minorHAnsi"/>
        </w:rPr>
        <w:fldChar w:fldCharType="begin" w:fldLock="1"/>
      </w:r>
      <w:r w:rsidR="002C19B3">
        <w:rPr>
          <w:rFonts w:cstheme="minorHAnsi"/>
        </w:rPr>
        <w:instrText>ADDIN CSL_CITATION {"citationItems":[{"id":"ITEM-1","itemData":{"DOI":"10.1007/s11258-013-0295-6","ISSN":"13850237","abstract":"Recruitment success can have significant consequences on forest community dynamics. Seedlings and saplings were studied for 3 five-needled white pine species: sugar pine (Pinus lambertiana), western white pine (P. monticola), and whitebark pine (P. albicaulis) across an elevational gradient, representing three distinct forest types, in the Sierra Nevada. This study was designed to determine the importance of local environmental and biological conditions versus broad regional climate patterns influencing conifer recruitment. No relationships were found between recruitment and precipitation, but increasing nighttime temperature was positively correlated with sugar pine and western white pine recruitment and negatively correlated with whitebark pine recruitment. Recruitment pulses were found for sugar pine and western white pine from 1995 to 2006. Whitebark pine recruitment is low and relatively steady from 1970 to 2000 with no observed new recruits after 2001. Source strength was the most consistent predictor of white pine recruitment along with soil properties, climate, light, and the presence of non-conspecifics. Source, light, and soil explained 71 % of the variation in sugar pine recruitment. The presence of non-conspecifics, source, and climate explained 71 % of the variation in western white pine recruitment, and the presence of non-conspecifics and source explained 36 % of the variation for whitebark pine. Recruitment present in forest communities of the Sierra Nevada have successfully transitioned through critical stages (i.e., seed and germinant) and appear to be influenced by multiple factors at both local and regional scales. © 2014 Springer Science+Business Media Dordrecht.","author":[{"dropping-particle":"","family":"Maloney","given":"Patricia E.","non-dropping-particle":"","parse-names":false,"suffix":""}],"container-title":"Plant Ecology","id":"ITEM-1","issue":"2","issued":{"date-parts":[["2014"]]},"page":"261-274","title":"The multivariate underpinnings of recruitment for three Pinus species in montane forests of the Sierra Nevada, USA","type":"article-journal","volume":"215"},"uris":["http://www.mendeley.com/documents/?uuid=24bb7379-bab4-43fd-a774-2bb01abe3f3f"]},{"id":"ITEM-2","itemData":{"DOI":"10.1111/geb.12109","ISSN":"1466822X","abstract":"Aim: To determine if differences in climate envelopes for six coniferous tree species and two life stages (trees and seedlings) suggest a potential for species range contractions, expansions or shifts in response to climate change and if these patterns differ between subalpine (i.e. cool-climate) and montane (i.e. warm-climate) species. Location: The dry domain of the western United States. Methods: Using data from the Forest Inventory and Analysis National Program, we quantified the relationship between probability of occurrence and climate for adults and seedlings of each species with a Bayesian logistic regression. Assuming that distributional differences between life stages highlight shifting regeneration patterns relative to adult trees, we assessed differences between seedlings and adult trees based on predicted probabilities of occurrence and climate envelope boundaries. Results: Differences between occurrence probabilities for seedlings and adults were greatest for montane, as opposed to subalpine, species and along range margins, especially in the southern and western portions of the study area. Climate envelope boundaries of seedlings differed from adult trees most frequently in montane species and often suggested range contractions or range shifts, as opposed to range expansion. Main conclusions: Our results indicated that climate-induced contractions and shifts in seedling distribution in response to recent change are already under way and are particularly severe in montane tree species. While adult trees may persist for hundreds of years without significant regeneration, tree species ranges will eventually contract where tree regeneration fails. © 2013 John Wiley &amp; Sons Ltd.","author":[{"dropping-particle":"","family":"Bell","given":"David M.","non-dropping-particle":"","parse-names":false,"suffix":""},{"dropping-particle":"","family":"Bradford","given":"John B.","non-dropping-particle":"","parse-names":false,"suffix":""},{"dropping-particle":"","family":"Lauenroth","given":"William K.","non-dropping-particle":"","parse-names":false,"suffix":""}],"container-title":"Global Ecology and Biogeography","id":"ITEM-2","issue":"2","issued":{"date-parts":[["2014"]]},"page":"168-180","title":"Early indicators of change: Divergent climate envelopes between tree life stages imply range shifts in the western United States","type":"article-journal","volume":"23"},"uris":["http://www.mendeley.com/documents/?uuid=5141f6fa-6947-4346-8469-aaf7bc0f8fc5"]},{"id":"ITEM-3","itemData":{"DOI":"10.1002/ecs2.2776","ISSN":"21508925","abstract":"Understanding the response of forests to climate change is important for predicting changes in biodiversity and ecosystem services, including carbon storage. Seedlings represent a key demographic stage in these responses, because seedling establishment is necessary for population persistence and spread, and because the conditions allowing seedlings to survive and grow are often more restrictive than those adults can tolerate. However, detailed long-term data on the responses of individual seedlings to climatic variation are rare. Here, we analyze a decade of seedling growth and survival data collected in 25 long-term plots located in Sequoia and Yosemite National Parks. The forest types represented range from lower-elevation mixed conifer, to red fir-dominated, to high-elevation western white pine stands. Twelve species, including two oaks and ten conifers, are found across these plots. Survival and transition to larger size classes are modeled within a Bayesian framework as a function of species, size, fire, and various climate variables. We initially expected that precipitation-related variables would have a strong effect on seedling survival and growth in this Mediterranean-climate region and that some species might respond positively to higher temperatures if they are adapted to warmer low-elevation areas or to higher-than-average temperatures if they are high-elevation species whose growing seasons are limited by cold. However, we found that higher July maximum temperature or temperature anomalies were associated with lower survival and growth for most species, while precipitation and snow effects were weaker and more variable. Higher precipitation had a positive effect on survival of most species, but snow effects and precipitation effects on growth could be negative. Given the estimated climate responses, under potential future scenarios of higher summer temperatures and altered precipitation, most species are predicted to have lower survival and reduced growth. This is likely to favor species that have relatively high survival and growth and less negative responses to climatic shift (such as several of the pines) and perhaps lead to a more open forest structure—or potentially transition to non-forest vegetation types where seedling recruitment does not keep pace with adult mortality.","author":[{"dropping-particle":"V.","family":"Moran","given":"Emily","non-dropping-particle":"","parse-names":false,"suffix":""},{"dropping-particle":"","family":"Das","given":"Adrian J.","non-dropping-particle":"","parse-names":false,"suffix":""},{"dropping-particle":"","family":"Keeley","given":"Jon E.","non-dropping-particle":"","parse-names":false,"suffix":""},{"dropping-particle":"","family":"Stephenson","given":"Nathan L.","non-dropping-particle":"","parse-names":false,"suffix":""}],"container-title":"Ecosphere","id":"ITEM-3","issue":"6","issued":{"date-parts":[["2019"]]},"title":"Negative impacts of summer heat on Sierra Nevada tree seedlings","type":"article-journal","volume":"10"},"uris":["http://www.mendeley.com/documents/?uuid=52ae7f69-ba42-496d-827f-0c3f1dd1fb27"]},{"id":"ITEM-4","itemData":{"DOI":"10.1073/pnas.1815107116","ISSN":"10916490","PMID":"30858310","abstract":"Climate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America","id":"ITEM-4","issue":"13","issued":{"date-parts":[["2019"]]},"page":"6193-6198","title":"Wildfires and climate change push low-elevation forests across a critical climate threshold for tree regeneration","type":"article-journal","volume":"116"},"uris":["http://www.mendeley.com/documents/?uuid=371a7944-1853-43c0-bbe0-6cfe794db39c"]},{"id":"ITEM-5","itemData":{"DOI":"10.1002/eap.2280","ISSN":"19395582","PMID":"33331069","abstract":"Large,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Applications","id":"ITEM-5","issue":"3","issued":{"date-parts":[["2021"]]},"page":"1-14","title":"Effects of postfire climate and seed availability on postfire conifer regeneration","type":"article-journal","volume":"31"},"uris":["http://www.mendeley.com/documents/?uuid=76e0b1c0-bae5-446e-90ce-1c9503882636"]}],"mendeley":{"formattedCitation":"(Bell, Bradford and Lauenroth, 2014; Maloney, 2014; Davis &lt;i&gt;et al.&lt;/i&gt;, 2019; Moran &lt;i&gt;et al.&lt;/i&gt;, 2019; Stewart &lt;i&gt;et al.&lt;/i&gt;, 2021)","plainTextFormattedCitation":"(Bell, Bradford and Lauenroth, 2014; Maloney, 2014; Davis et al., 2019; Moran et al., 2019; Stewart et al., 2021)","previouslyFormattedCitation":"(Bell, Bradford and Lauenroth, 2014; Maloney, 2014; Davis &lt;i&gt;et al.&lt;/i&gt;, 2019; Moran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(Bell, Bradford and Lauenroth, 2014; Maloney, 2014; Davis </w:t>
      </w:r>
      <w:r w:rsidR="00EB4A84" w:rsidRPr="00EB4A84">
        <w:rPr>
          <w:rFonts w:cstheme="minorHAnsi"/>
          <w:i/>
          <w:noProof/>
        </w:rPr>
        <w:t>et al.</w:t>
      </w:r>
      <w:r w:rsidR="00EB4A84" w:rsidRPr="00EB4A84">
        <w:rPr>
          <w:rFonts w:cstheme="minorHAnsi"/>
          <w:noProof/>
        </w:rPr>
        <w:t xml:space="preserve">, 2019; Moran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101105" w:rsidRPr="00F30BF0">
        <w:rPr>
          <w:rFonts w:cstheme="minorHAnsi"/>
        </w:rPr>
        <w:t xml:space="preserve">. </w:t>
      </w:r>
      <w:r w:rsidR="006F5E9A" w:rsidRPr="00F30BF0">
        <w:rPr>
          <w:rFonts w:cstheme="minorHAnsi"/>
        </w:rPr>
        <w:t>This study found a weak negative effect of drought on survival (</w:t>
      </w:r>
      <w:r w:rsidR="004639A9" w:rsidRPr="00F30BF0">
        <w:rPr>
          <w:rFonts w:cstheme="minorHAnsi"/>
        </w:rPr>
        <w:fldChar w:fldCharType="begin"/>
      </w:r>
      <w:r w:rsidR="004639A9" w:rsidRPr="00F30BF0">
        <w:rPr>
          <w:rFonts w:cstheme="minorHAnsi"/>
        </w:rPr>
        <w:instrText xml:space="preserve"> REF _Ref93744929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 xml:space="preserve">Figure </w:t>
      </w:r>
      <w:r w:rsidR="00364352">
        <w:rPr>
          <w:noProof/>
        </w:rPr>
        <w:t>2</w:t>
      </w:r>
      <w:r w:rsidR="004639A9" w:rsidRPr="00F30BF0">
        <w:rPr>
          <w:rFonts w:cstheme="minorHAnsi"/>
        </w:rPr>
        <w:fldChar w:fldCharType="end"/>
      </w:r>
      <w:r w:rsidR="004639A9" w:rsidRPr="00F30BF0">
        <w:rPr>
          <w:rFonts w:cstheme="minorHAnsi"/>
        </w:rPr>
        <w:t>,</w:t>
      </w:r>
      <w:r w:rsidR="00364352">
        <w:rPr>
          <w:rFonts w:cstheme="minorHAnsi"/>
        </w:rPr>
        <w:t xml:space="preserve"> </w:t>
      </w:r>
      <w:r w:rsidR="00364352">
        <w:rPr>
          <w:rFonts w:cstheme="minorHAnsi"/>
        </w:rPr>
        <w:fldChar w:fldCharType="begin"/>
      </w:r>
      <w:r w:rsidR="00364352">
        <w:rPr>
          <w:rFonts w:cstheme="minorHAnsi"/>
        </w:rPr>
        <w:instrText xml:space="preserve"> REF _Ref104545123 \h </w:instrText>
      </w:r>
      <w:r w:rsidR="00364352">
        <w:rPr>
          <w:rFonts w:cstheme="minorHAnsi"/>
        </w:rPr>
      </w:r>
      <w:r w:rsidR="00364352">
        <w:rPr>
          <w:rFonts w:cstheme="minorHAnsi"/>
        </w:rPr>
        <w:fldChar w:fldCharType="separate"/>
      </w:r>
      <w:r w:rsidR="00364352">
        <w:t xml:space="preserve">Table </w:t>
      </w:r>
      <w:r w:rsidR="00364352">
        <w:rPr>
          <w:noProof/>
        </w:rPr>
        <w:t>1</w:t>
      </w:r>
      <w:r w:rsidR="00364352">
        <w:rPr>
          <w:rFonts w:cstheme="minorHAnsi"/>
        </w:rPr>
        <w:fldChar w:fldCharType="end"/>
      </w:r>
      <w:r w:rsidR="006F5E9A" w:rsidRPr="00F30BF0">
        <w:rPr>
          <w:rFonts w:cstheme="minorHAnsi"/>
        </w:rPr>
        <w:t xml:space="preserve">) and a </w:t>
      </w:r>
      <w:r w:rsidR="004639A9" w:rsidRPr="00F30BF0">
        <w:rPr>
          <w:rFonts w:cstheme="minorHAnsi"/>
        </w:rPr>
        <w:t>size-dependent</w:t>
      </w:r>
      <w:r w:rsidR="006F5E9A" w:rsidRPr="00F30BF0">
        <w:rPr>
          <w:rFonts w:cstheme="minorHAnsi"/>
        </w:rPr>
        <w:t xml:space="preserve"> effect of site dryness on growth</w:t>
      </w:r>
      <w:r w:rsidR="004639A9" w:rsidRPr="00F30BF0">
        <w:rPr>
          <w:rFonts w:cstheme="minorHAnsi"/>
        </w:rPr>
        <w:t xml:space="preserve">, where smaller stems grew </w:t>
      </w:r>
      <w:r w:rsidR="006271C9" w:rsidRPr="00F30BF0">
        <w:rPr>
          <w:rFonts w:cstheme="minorHAnsi"/>
        </w:rPr>
        <w:t>slow</w:t>
      </w:r>
      <w:r w:rsidR="0071532B">
        <w:rPr>
          <w:rFonts w:cstheme="minorHAnsi"/>
        </w:rPr>
        <w:t>er</w:t>
      </w:r>
      <w:r w:rsidR="004639A9" w:rsidRPr="00F30BF0">
        <w:rPr>
          <w:rFonts w:cstheme="minorHAnsi"/>
        </w:rPr>
        <w:t xml:space="preserve"> on dry sites and larger stems grew </w:t>
      </w:r>
      <w:r w:rsidR="006271C9" w:rsidRPr="00F30BF0">
        <w:rPr>
          <w:rFonts w:cstheme="minorHAnsi"/>
        </w:rPr>
        <w:t>faster</w:t>
      </w:r>
      <w:r w:rsidR="004639A9" w:rsidRPr="00F30BF0">
        <w:rPr>
          <w:rFonts w:cstheme="minorHAnsi"/>
        </w:rPr>
        <w:t xml:space="preserve"> on dry sites</w:t>
      </w:r>
      <w:r w:rsidR="006F5E9A"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_Ref94611931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3</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_Ref94609644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Table 2</w:t>
      </w:r>
      <w:r w:rsidR="004639A9" w:rsidRPr="00F30BF0">
        <w:rPr>
          <w:rFonts w:cstheme="minorHAnsi"/>
        </w:rPr>
        <w:fldChar w:fldCharType="end"/>
      </w:r>
      <w:r w:rsidR="006F5E9A" w:rsidRPr="00F30BF0">
        <w:rPr>
          <w:rFonts w:cstheme="minorHAnsi"/>
        </w:rPr>
        <w:t>)</w:t>
      </w:r>
      <w:r w:rsidR="004639A9" w:rsidRPr="00F30BF0">
        <w:rPr>
          <w:rFonts w:cstheme="minorHAnsi"/>
        </w:rPr>
        <w:t>. However, n</w:t>
      </w:r>
      <w:r w:rsidR="006F5E9A" w:rsidRPr="00F30BF0">
        <w:rPr>
          <w:rFonts w:cstheme="minorHAnsi"/>
        </w:rPr>
        <w:t xml:space="preserve">either effect was strong enough to </w:t>
      </w:r>
      <w:r w:rsidR="004639A9" w:rsidRPr="00F30BF0">
        <w:rPr>
          <w:rFonts w:cstheme="minorHAnsi"/>
        </w:rPr>
        <w:t>substantially reduce the asymptotic population growth rate relative to the unstressed scenario (</w:t>
      </w:r>
      <w:r w:rsidR="004639A9" w:rsidRPr="00F30BF0">
        <w:rPr>
          <w:rFonts w:cstheme="minorHAnsi"/>
        </w:rPr>
        <w:fldChar w:fldCharType="begin"/>
      </w:r>
      <w:r w:rsidR="004639A9" w:rsidRPr="00F30BF0">
        <w:rPr>
          <w:rFonts w:cstheme="minorHAnsi"/>
        </w:rPr>
        <w:instrText xml:space="preserve"> REF _Ref94616225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4639A9" w:rsidRPr="00F30BF0">
        <w:t xml:space="preserve">Figure </w:t>
      </w:r>
      <w:r w:rsidR="004639A9" w:rsidRPr="00F30BF0">
        <w:rPr>
          <w:noProof/>
        </w:rPr>
        <w:t>6</w:t>
      </w:r>
      <w:r w:rsidR="004639A9" w:rsidRPr="00F30BF0">
        <w:rPr>
          <w:rFonts w:cstheme="minorHAnsi"/>
        </w:rPr>
        <w:fldChar w:fldCharType="end"/>
      </w:r>
      <w:r w:rsidR="004639A9" w:rsidRPr="00F30BF0">
        <w:rPr>
          <w:rFonts w:cstheme="minorHAnsi"/>
        </w:rPr>
        <w:t xml:space="preserve">, </w:t>
      </w:r>
      <w:r w:rsidR="004639A9" w:rsidRPr="00F30BF0">
        <w:rPr>
          <w:rFonts w:cstheme="minorHAnsi"/>
        </w:rPr>
        <w:fldChar w:fldCharType="begin"/>
      </w:r>
      <w:r w:rsidR="004639A9" w:rsidRPr="00F30BF0">
        <w:rPr>
          <w:rFonts w:cstheme="minorHAnsi"/>
        </w:rPr>
        <w:instrText xml:space="preserve"> REF _Ref94619410 \h </w:instrText>
      </w:r>
      <w:r w:rsidR="00F30BF0">
        <w:rPr>
          <w:rFonts w:cstheme="minorHAnsi"/>
        </w:rPr>
        <w:instrText xml:space="preserve"> \* MERGEFORMAT </w:instrText>
      </w:r>
      <w:r w:rsidR="004639A9" w:rsidRPr="00F30BF0">
        <w:rPr>
          <w:rFonts w:cstheme="minorHAnsi"/>
        </w:rPr>
      </w:r>
      <w:r w:rsidR="004639A9" w:rsidRPr="00F30BF0">
        <w:rPr>
          <w:rFonts w:cstheme="minorHAnsi"/>
        </w:rPr>
        <w:fldChar w:fldCharType="separate"/>
      </w:r>
      <w:r w:rsidR="00364352">
        <w:t>Supplementary Table</w:t>
      </w:r>
      <w:r w:rsidR="00364352">
        <w:t xml:space="preserve"> </w:t>
      </w:r>
      <w:r w:rsidR="004639A9" w:rsidRPr="00F30BF0">
        <w:rPr>
          <w:rFonts w:cstheme="minorHAnsi"/>
        </w:rPr>
        <w:fldChar w:fldCharType="end"/>
      </w:r>
      <w:r w:rsidR="00364352">
        <w:rPr>
          <w:rFonts w:cstheme="minorHAnsi"/>
        </w:rPr>
        <w:t>1</w:t>
      </w:r>
      <w:r w:rsidR="004639A9" w:rsidRPr="00F30BF0">
        <w:rPr>
          <w:rFonts w:cstheme="minorHAnsi"/>
        </w:rPr>
        <w:t xml:space="preserve">). </w:t>
      </w:r>
      <w:r w:rsidR="00A37AF9">
        <w:rPr>
          <w:rFonts w:cstheme="minorHAnsi"/>
        </w:rPr>
        <w:t xml:space="preserve">Though the extreme drought from 2012-2016 resulted in beetle epidemics that caused massive mortality among sugar pine </w:t>
      </w:r>
      <w:r w:rsidR="00A37AF9">
        <w:rPr>
          <w:rFonts w:cstheme="minorHAnsi"/>
        </w:rPr>
        <w:fldChar w:fldCharType="begin" w:fldLock="1"/>
      </w:r>
      <w:r w:rsidR="000144C2">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A37AF9">
        <w:rPr>
          <w:rFonts w:cstheme="minorHAnsi"/>
        </w:rPr>
        <w:fldChar w:fldCharType="separate"/>
      </w:r>
      <w:r w:rsidR="00A37AF9" w:rsidRPr="00A37AF9">
        <w:rPr>
          <w:rFonts w:cstheme="minorHAnsi"/>
          <w:noProof/>
        </w:rPr>
        <w:t xml:space="preserve">(Stephenson </w:t>
      </w:r>
      <w:r w:rsidR="00A37AF9" w:rsidRPr="00A37AF9">
        <w:rPr>
          <w:rFonts w:cstheme="minorHAnsi"/>
          <w:i/>
          <w:noProof/>
        </w:rPr>
        <w:t>et al.</w:t>
      </w:r>
      <w:r w:rsidR="00A37AF9" w:rsidRPr="00A37AF9">
        <w:rPr>
          <w:rFonts w:cstheme="minorHAnsi"/>
          <w:noProof/>
        </w:rPr>
        <w:t>, 2019)</w:t>
      </w:r>
      <w:r w:rsidR="00A37AF9">
        <w:rPr>
          <w:rFonts w:cstheme="minorHAnsi"/>
        </w:rPr>
        <w:fldChar w:fldCharType="end"/>
      </w:r>
      <w:r w:rsidR="00A37AF9">
        <w:rPr>
          <w:rFonts w:cstheme="minorHAnsi"/>
        </w:rPr>
        <w:t xml:space="preserve">, drought may be a necessary but not sufficient condition for causing such epidemics, with some droughts not resulting in widespread mortality. </w:t>
      </w:r>
      <w:r w:rsidR="000144C2">
        <w:rPr>
          <w:rFonts w:cstheme="minorHAnsi"/>
        </w:rPr>
        <w:t xml:space="preserve">Once an outbreak is underway, beetles often preferentially kill large individuals </w:t>
      </w:r>
      <w:r w:rsidR="000144C2">
        <w:rPr>
          <w:rFonts w:cstheme="minorHAnsi"/>
        </w:rPr>
        <w:fldChar w:fldCharType="begin" w:fldLock="1"/>
      </w:r>
      <w:r w:rsidR="00047C53">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selection","type":"article-journal","volume":"107"},"uris":["http://www.mendeley.com/documents/?uuid=d8a6e281-c347-4611-b383-37213f77f42c"]}],"mendeley":{"formattedCitation":"(Stephenson &lt;i&gt;et al.&lt;/i&gt;, 2019)","plainTextFormattedCitation":"(Stephenson et al., 2019)","previouslyFormattedCitation":"(Stephenson &lt;i&gt;et al.&lt;/i&gt;, 2019)"},"properties":{"noteIndex":0},"schema":"https://github.com/citation-style-language/schema/raw/master/csl-citation.json"}</w:instrText>
      </w:r>
      <w:r w:rsidR="000144C2">
        <w:rPr>
          <w:rFonts w:cstheme="minorHAnsi"/>
        </w:rPr>
        <w:fldChar w:fldCharType="separate"/>
      </w:r>
      <w:r w:rsidR="000144C2" w:rsidRPr="000144C2">
        <w:rPr>
          <w:rFonts w:cstheme="minorHAnsi"/>
          <w:noProof/>
        </w:rPr>
        <w:t xml:space="preserve">(Stephenson </w:t>
      </w:r>
      <w:r w:rsidR="000144C2" w:rsidRPr="000144C2">
        <w:rPr>
          <w:rFonts w:cstheme="minorHAnsi"/>
          <w:i/>
          <w:noProof/>
        </w:rPr>
        <w:t>et al.</w:t>
      </w:r>
      <w:r w:rsidR="000144C2" w:rsidRPr="000144C2">
        <w:rPr>
          <w:rFonts w:cstheme="minorHAnsi"/>
          <w:noProof/>
        </w:rPr>
        <w:t>, 2019)</w:t>
      </w:r>
      <w:r w:rsidR="000144C2">
        <w:rPr>
          <w:rFonts w:cstheme="minorHAnsi"/>
        </w:rPr>
        <w:fldChar w:fldCharType="end"/>
      </w:r>
      <w:r w:rsidR="003E41BD">
        <w:rPr>
          <w:rFonts w:cstheme="minorHAnsi"/>
        </w:rPr>
        <w:t>, and localized beetle outbreaks could explain the low survival of the largest trees in our data. However, this finding is based on relatively few data points and should be interpreted with caution.</w:t>
      </w:r>
      <w:r w:rsidR="000144C2">
        <w:rPr>
          <w:rFonts w:cstheme="minorHAnsi"/>
        </w:rPr>
        <w:t xml:space="preserve"> </w:t>
      </w:r>
      <w:r w:rsidR="002C7D13" w:rsidRPr="00F30BF0">
        <w:rPr>
          <w:rFonts w:cstheme="minorHAnsi"/>
        </w:rPr>
        <w:t xml:space="preserve">This uncertainty regarding the </w:t>
      </w:r>
      <w:r w:rsidR="00047C53">
        <w:rPr>
          <w:rFonts w:cstheme="minorHAnsi"/>
        </w:rPr>
        <w:t xml:space="preserve">outlook for the largest individuals, which are an important ecological resource </w:t>
      </w:r>
      <w:r w:rsidR="00047C53">
        <w:rPr>
          <w:rFonts w:cstheme="minorHAnsi"/>
        </w:rPr>
        <w:fldChar w:fldCharType="begin" w:fldLock="1"/>
      </w:r>
      <w:r w:rsidR="00047C53">
        <w:rPr>
          <w:rFonts w:cstheme="minorHAnsi"/>
        </w:rPr>
        <w:instrText>ADDIN CSL_CITATION {"citationItems":[{"id":"ITEM-1","itemData":{"DOI":"10.1111/geb.12747","ISSN":"14668238","abstract":"Aim: To examine the contribution of large-diameter trees to biomass, stand structure, and species richness across forest biomes. Location: Global. Time period: Early 21st century. Major taxa studied: Woody plants. Methods: We examined the contribution of large trees to forest density, richness and biomass using a global network of 48 large (from 2 to 60 ha) forest plots representing 5,601,473 stems across 9,298 species and 210 plant families. This contribution was assessed using three metrics: the largest 1% of trees ≥ 1 cm diameter at breast height (DBH), all trees ≥ 60 cm DBH, and those rank-ordered largest trees that cumulatively comprise 50% of forest biomass. Results: Averaged across these 48 forest plots, the largest 1% of trees ≥ 1 cm DBH comprised 50% of aboveground live biomass, with hectare-scale standard deviation of 26%. Trees ≥ 60 cm DBH comprised 41% of aboveground live tree biomass. The size of the largest trees correlated with total forest biomass (r2 =.62, p &lt;.001). Large-diameter trees in high biomass forests represented far fewer species relative to overall forest richness (r2 =.45, p &lt;.001). Forests with more diverse large-diameter tree communities were comprised of smaller trees (r2 =.33, p &lt;.001). Lower large-diameter richness was associated with large-diameter trees being individuals of more common species (r2 =.17, p =.002). The concentration of biomass in the largest 1% of trees declined with increasing absolute latitude (r2 =.46, p &lt;.001), as did forest density (r2 =.31, p &lt;.001). Forest structural complexity increased with increasing absolute latitude (r2 =.26, p &lt;.001). Main conclusions: Because large-diameter trees constitute roughly half of the mature forest biomass worldwide, their dynamics and sensitivities to environmental change represent potentially large controls on global forest carbon cycling. We recommend managing forests for conservation of existing large-diameter trees or those that can soon reach large diameters as a simple way to conserve and potentially enhance ecosystem services.","author":[{"dropping-particle":"","family":"Lutz","given":"James A.","non-dropping-particle":"","parse-names":false,"suffix":""},{"dropping-particle":"","family":"Furniss","given":"Tucker J.","non-dropping-particle":"","parse-names":false,"suffix":""},{"dropping-particle":"","family":"Johnson","given":"Daniel J.","non-dropping-particle":"","parse-names":false,"suffix":""},{"dropping-particle":"","family":"Davies","given":"Stuart J.","non-dropping-particle":"","parse-names":false,"suffix":""},{"dropping-particle":"","family":"Allen","given":"David","non-dropping-particle":"","parse-names":false,"suffix":""},{"dropping-particle":"","family":"Alonso","given":"Alfonso","non-dropping-particle":"","parse-names":false,"suffix":""},{"dropping-particle":"","family":"Anderson-Teixeira","given":"Kristina J.","non-dropping-particle":"","parse-names":false,"suffix":""},{"dropping-particle":"","family":"Andrade","given":"Ana","non-dropping-particle":"","parse-names":false,"suffix":""},{"dropping-particle":"","family":"Baltzer","given":"Jennifer","non-dropping-particle":"","parse-names":false,"suffix":""},{"dropping-particle":"","family":"Becker","given":"Kendall M.L.","non-dropping-particle":"","parse-names":false,"suffix":""},{"dropping-particle":"","family":"Blomdahl","given":"Erika M.","non-dropping-particle":"","parse-names":false,"suffix":""},{"dropping-particle":"","family":"Bourg","given":"Norman A.","non-dropping-particle":"","parse-names":false,"suffix":""},{"dropping-particle":"","family":"Bunyavejchewin","given":"Sarayudh","non-dropping-particle":"","parse-names":false,"suffix":""},{"dropping-particle":"","family":"Burslem","given":"David F.R.P.","non-dropping-particle":"","parse-names":false,"suffix":""},{"dropping-particle":"","family":"Cansler","given":"C. Alina","non-dropping-particle":"","parse-names":false,"suffix":""},{"dropping-particle":"","family":"Cao","given":"Ke","non-dropping-particle":"","parse-names":false,"suffix":""},{"dropping-particle":"","family":"Cao","given":"Min","non-dropping-particle":"","parse-names":false,"suffix":""},{"dropping-particle":"","family":"Cárdenas","given":"Dairon","non-dropping-particle":"","parse-names":false,"suffix":""},{"dropping-particle":"","family":"Chang","given":"Li Wan","non-dropping-particle":"","parse-names":false,"suffix":""},{"dropping-particle":"","family":"Chao","given":"Kuo Jung","non-dropping-particle":"","parse-names":false,"suffix":""},{"dropping-particle":"","family":"Chao","given":"Wei Chun","non-dropping-particle":"","parse-names":false,"suffix":""},{"dropping-particle":"","family":"Chiang","given":"Jyh Min","non-dropping-particle":"","parse-names":false,"suffix":""},{"dropping-particle":"","family":"Chu","given":"Chengjin","non-dropping-particle":"","parse-names":false,"suffix":""},{"dropping-particle":"","family":"Chuyong","given":"George B.","non-dropping-particle":"","parse-names":false,"suffix":""},{"dropping-particle":"","family":"Clay","given":"Keith","non-dropping-particle":"","parse-names":false,"suffix":""},{"dropping-particle":"","family":"Condit","given":"Richard","non-dropping-particle":"","parse-names":false,"suffix":""},{"dropping-particle":"","family":"Cordell","given":"Susan","non-dropping-particle":"","parse-names":false,"suffix":""},{"dropping-particle":"","family":"Dattaraja","given":"Handanakere S.","non-dropping-particle":"","parse-names":false,"suffix":""},{"dropping-particle":"","family":"Duque","given":"Alvaro","non-dropping-particle":"","parse-names":false,"suffix":""},{"dropping-particle":"","family":"Ewango","given":"Corneille E.N.","non-dropping-particle":"","parse-names":false,"suffix":""},{"dropping-particle":"","family":"Fischer","given":"Gunter A.","non-dropping-particle":"","parse-names":false,"suffix":""},{"dropping-particle":"","family":"Fletcher","given":"Christine","non-dropping-particle":"","parse-names":false,"suffix":""},{"dropping-particle":"","family":"Freund","given":"James A.","non-dropping-particle":"","parse-names":false,"suffix":""},{"dropping-particle":"","family":"Giardina","given":"Christian","non-dropping-particle":"","parse-names":false,"suffix":""},{"dropping-particle":"","family":"Germain","given":"Sara J.","non-dropping-particle":"","parse-names":false,"suffix":""},{"dropping-particle":"","family":"Gilbert","given":"Gregory S.","non-dropping-particle":"","parse-names":false,"suffix":""},{"dropping-particle":"","family":"Hao","given":"Zhanqing","non-dropping-particle":"","parse-names":false,"suffix":""},{"dropping-particle":"","family":"Hart","given":"Terese","non-dropping-particle":"","parse-names":false,"suffix":""},{"dropping-particle":"","family":"Hau","given":"Billy C.H.","non-dropping-particle":"","parse-names":false,"suffix":""},{"dropping-particle":"","family":"He","given":"Fangliang","non-dropping-particle":"","parse-names":false,"suffix":""},{"dropping-particle":"","family":"Hector","given":"Andrew","non-dropping-particle":"","parse-names":false,"suffix":""},{"dropping-particle":"","family":"Howe","given":"Robert W.","non-dropping-particle":"","parse-names":false,"suffix":""},{"dropping-particle":"","family":"Hsieh","given":"Chang Fu","non-dropping-particle":"","parse-names":false,"suffix":""},{"dropping-particle":"","family":"Hu","given":"Yue Hua","non-dropping-particle":"","parse-names":false,"suffix":""},{"dropping-particle":"","family":"Hubbell","given":"Stephen P.","non-dropping-particle":"","parse-names":false,"suffix":""},{"dropping-particle":"","family":"Inman-Narahari","given":"Faith M.","non-dropping-particle":"","parse-names":false,"suffix":""},{"dropping-particle":"","family":"Itoh","given":"Akira","non-dropping-particle":"","parse-names":false,"suffix":""},{"dropping-particle":"","family":"Janík","given":"David","non-dropping-particle":"","parse-names":false,"suffix":""},{"dropping-particle":"","family":"Kassim","given":"Abdul Rahman","non-dropping-particle":"","parse-names":false,"suffix":""},{"dropping-particle":"","family":"Kenfack","given":"David","non-dropping-particle":"","parse-names":false,"suffix":""},{"dropping-particle":"","family":"Korte","given":"Lisa","non-dropping-particle":"","parse-names":false,"suffix":""},{"dropping-particle":"","family":"Král","given":"Kamil","non-dropping-particle":"","parse-names":false,"suffix":""},{"dropping-particle":"","family":"Larson","given":"Andrew J.","non-dropping-particle":"","parse-names":false,"suffix":""},{"dropping-particle":"De","family":"Li","given":"Yi","non-dropping-particle":"","parse-names":false,"suffix":""},{"dropping-particle":"","family":"Lin","given":"Yiching","non-dropping-particle":"","parse-names":false,"suffix":""},{"dropping-particle":"","family":"Liu","given":"Shirong","non-dropping-particle":"","parse-names":false,"suffix":""},{"dropping-particle":"","family":"Lum","given":"Shawn","non-dropping-particle":"","parse-names":false,"suffix":""},{"dropping-particle":"","family":"Ma","given":"Keping","non-dropping-particle":"","parse-names":false,"suffix":""},{"dropping-particle":"","family":"Makana","given":"Jean Remy","non-dropping-particle":"","parse-names":false,"suffix":""},{"dropping-particle":"","family":"Malhi","given":"Yadvinder","non-dropping-particle":"","parse-names":false,"suffix":""},{"dropping-particle":"","family":"McMahon","given":"Sean M.","non-dropping-particle":"","parse-names":false,"suffix":""},{"dropping-particle":"","family":"McShea","given":"William J.","non-dropping-particle":"","parse-names":false,"suffix":""},{"dropping-particle":"","family":"Memiaghe","given":"Hervé R.","non-dropping-particle":"","parse-names":false,"suffix":""},{"dropping-particle":"","family":"Mi","given":"Xiangcheng","non-dropping-particle":"","parse-names":false,"suffix":""},{"dropping-particle":"","family":"Morecroft","given":"Michael","non-dropping-particle":"","parse-names":false,"suffix":""},{"dropping-particle":"","family":"Musili","given":"Paul M.","non-dropping-particle":"","parse-names":false,"suffix":""},{"dropping-particle":"","family":"Myers","given":"Jonathan A.","non-dropping-particle":"","parse-names":false,"suffix":""},{"dropping-particle":"","family":"Novotny","given":"Vojtech","non-dropping-particle":"","parse-names":false,"suffix":""},{"dropping-particle":"","family":"Oliveira","given":"Alexandre","non-dropping-particle":"de","parse-names":false,"suffix":""},{"dropping-particle":"","family":"Ong","given":"Perry","non-dropping-particle":"","parse-names":false,"suffix":""},{"dropping-particle":"","family":"Orwig","given":"David A.","non-dropping-particle":"","parse-names":false,"suffix":""},{"dropping-particle":"","family":"Ostertag","given":"Rebecca","non-dropping-particle":"","parse-names":false,"suffix":""},{"dropping-particle":"","family":"Parker","given":"Geoffrey G.","non-dropping-particle":"","parse-names":false,"suffix":""},{"dropping-particle":"","family":"Patankar","given":"Rajit","non-dropping-particle":"","parse-names":false,"suffix":""},{"dropping-particle":"","family":"Phillips","given":"Richard P.","non-dropping-particle":"","parse-names":false,"suffix":""},{"dropping-particle":"","family":"Reynolds","given":"Glen","non-dropping-particle":"","parse-names":false,"suffix":""},{"dropping-particle":"","family":"Sack","given":"Lawren","non-dropping-particle":"","parse-names":false,"suffix":""},{"dropping-particle":"","family":"Song","given":"Guo Zhang M.","non-dropping-particle":"","parse-names":false,"suffix":""},{"dropping-particle":"","family":"Su","given":"Sheng Hsin","non-dropping-particle":"","parse-names":false,"suffix":""},{"dropping-particle":"","family":"Sukumar","given":"Raman","non-dropping-particle":"","parse-names":false,"suffix":""},{"dropping-particle":"","family":"Sun","given":"I. Fang","non-dropping-particle":"","parse-names":false,"suffix":""},{"dropping-particle":"","family":"Suresh","given":"Hebbalalu S.","non-dropping-particle":"","parse-names":false,"suffix":""},{"dropping-particle":"","family":"Swanson","given":"Mark E.","non-dropping-particle":"","parse-names":false,"suffix":""},{"dropping-particle":"","family":"Tan","given":"Sylvester","non-dropping-particle":"","parse-names":false,"suffix":""},{"dropping-particle":"","family":"Thomas","given":"Duncan W.","non-dropping-particle":"","parse-names":false,"suffix":""},{"dropping-particle":"","family":"Thompson","given":"Jill","non-dropping-particle":"","parse-names":false,"suffix":""},{"dropping-particle":"","family":"Uriarte","given":"Maria","non-dropping-particle":"","parse-names":false,"suffix":""},{"dropping-particle":"","family":"Valencia","given":"Renato","non-dropping-particle":"","parse-names":false,"suffix":""},{"dropping-particle":"","family":"Vicentini","given":"Alberto","non-dropping-particle":"","parse-names":false,"suffix":""},{"dropping-particle":"","family":"Vrška","given":"Tomáš","non-dropping-particle":"","parse-names":false,"suffix":""},{"dropping-particle":"","family":"Wang","given":"Xugao","non-dropping-particle":"","parse-names":false,"suffix":""},{"dropping-particle":"","family":"Weiblen","given":"George D.","non-dropping-particle":"","parse-names":false,"suffix":""},{"dropping-particle":"","family":"Wolf","given":"Amy","non-dropping-particle":"","parse-names":false,"suffix":""},{"dropping-particle":"","family":"Wu","given":"Shu Hui","non-dropping-particle":"","parse-names":false,"suffix":""},{"dropping-particle":"","family":"Xu","given":"Han","non-dropping-particle":"","parse-names":false,"suffix":""},{"dropping-particle":"","family":"Yamakura","given":"Takuo","non-dropping-particle":"","parse-names":false,"suffix":""},{"dropping-particle":"","family":"Yap","given":"Sandra","non-dropping-particle":"","parse-names":false,"suffix":""},{"dropping-particle":"","family":"Zimmerman","given":"Jess K.","non-dropping-particle":"","parse-names":false,"suffix":""}],"container-title":"Global Ecology and Biogeography","id":"ITEM-1","issue":"7","issued":{"date-parts":[["2018"]]},"page":"849-864","title":"Global importance of large-diameter trees","type":"article-journal","volume":"27"},"uris":["http://www.mendeley.com/documents/?uuid=4cce4722-d96c-497f-987b-7ff4cf9cc13a"]}],"mendeley":{"formattedCitation":"(Lutz &lt;i&gt;et al.&lt;/i&gt;, 2018)","plainTextFormattedCitation":"(Lutz et al., 2018)","previouslyFormattedCitation":"(Lutz &lt;i&gt;et al.&lt;/i&gt;, 2018)"},"properties":{"noteIndex":0},"schema":"https://github.com/citation-style-language/schema/raw/master/csl-citation.json"}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(Lutz </w:t>
      </w:r>
      <w:r w:rsidR="00047C53" w:rsidRPr="00047C53">
        <w:rPr>
          <w:rFonts w:cstheme="minorHAnsi"/>
          <w:i/>
          <w:noProof/>
        </w:rPr>
        <w:t>et al.</w:t>
      </w:r>
      <w:r w:rsidR="00047C53" w:rsidRPr="00047C53">
        <w:rPr>
          <w:rFonts w:cstheme="minorHAnsi"/>
          <w:noProof/>
        </w:rPr>
        <w:t>, 2018)</w:t>
      </w:r>
      <w:r w:rsidR="00047C53">
        <w:rPr>
          <w:rFonts w:cstheme="minorHAnsi"/>
        </w:rPr>
        <w:fldChar w:fldCharType="end"/>
      </w:r>
      <w:r w:rsidR="00047C53">
        <w:rPr>
          <w:rFonts w:cstheme="minorHAnsi"/>
        </w:rPr>
        <w:t>, highlights a need</w:t>
      </w:r>
      <w:r w:rsidR="002C7D13" w:rsidRPr="00F30BF0">
        <w:rPr>
          <w:rFonts w:cstheme="minorHAnsi"/>
        </w:rPr>
        <w:t xml:space="preserve"> for fu</w:t>
      </w:r>
      <w:r w:rsidR="00047C53">
        <w:rPr>
          <w:rFonts w:cstheme="minorHAnsi"/>
        </w:rPr>
        <w:t>rther</w:t>
      </w:r>
      <w:r w:rsidR="002C7D13" w:rsidRPr="00F30BF0">
        <w:rPr>
          <w:rFonts w:cstheme="minorHAnsi"/>
        </w:rPr>
        <w:t xml:space="preserve"> research. </w:t>
      </w:r>
    </w:p>
    <w:p w14:paraId="124BCF37" w14:textId="01545082" w:rsidR="009B0C1C" w:rsidRPr="00F30BF0" w:rsidRDefault="009B0C1C" w:rsidP="008A7245">
      <w:pPr>
        <w:spacing w:line="360" w:lineRule="auto"/>
        <w:ind w:firstLine="360"/>
        <w:rPr>
          <w:rFonts w:cstheme="minorHAnsi"/>
        </w:rPr>
      </w:pPr>
      <w:r w:rsidRPr="00F30BF0">
        <w:rPr>
          <w:rFonts w:cstheme="minorHAnsi"/>
        </w:rPr>
        <w:t>An important limitation of this study is that we did not test for interaction between stressors in shaping vital rates of sugar pine. The literature suggests that</w:t>
      </w:r>
      <w:r w:rsidR="00BF1ABD" w:rsidRPr="00F30BF0">
        <w:rPr>
          <w:rFonts w:cstheme="minorHAnsi"/>
        </w:rPr>
        <w:t xml:space="preserve"> a variety</w:t>
      </w:r>
      <w:r w:rsidRPr="00F30BF0">
        <w:rPr>
          <w:rFonts w:cstheme="minorHAnsi"/>
        </w:rPr>
        <w:t xml:space="preserve"> such interactions may be important</w:t>
      </w:r>
      <w:r w:rsidR="00BF1ABD" w:rsidRPr="00F30BF0">
        <w:rPr>
          <w:rFonts w:cstheme="minorHAnsi"/>
        </w:rPr>
        <w:t xml:space="preserve">. For example, moisture stress increases the likelihood of regeneration failure, which may be a </w:t>
      </w:r>
      <w:r w:rsidR="00BF1ABD" w:rsidRPr="00F30BF0">
        <w:rPr>
          <w:rFonts w:cstheme="minorHAnsi"/>
        </w:rPr>
        <w:lastRenderedPageBreak/>
        <w:t xml:space="preserve">particularly acute problem in postfire landscapes where seed sources and shade trees may be limited </w:t>
      </w:r>
      <w:r w:rsidR="0071532B">
        <w:rPr>
          <w:rFonts w:cstheme="minorHAnsi"/>
        </w:rPr>
        <w:fldChar w:fldCharType="begin" w:fldLock="1"/>
      </w:r>
      <w:r w:rsidR="002C19B3">
        <w:rPr>
          <w:rFonts w:cstheme="minorHAnsi"/>
        </w:rPr>
        <w:instrText>ADDIN CSL_CITATION {"citationItems":[{"id":"ITEM-1","itemData":{"DOI":"10.1073/pnas.1815107116","ISSN":"10916490","PMID":"30858310","abstract":"Climate change is increasing fire activity in the western United States, which has the potential to accelerate climate-induced shifts in vegetation communities. Wildfire can catalyze vegetation change by killing adult trees that could otherwise persist in climate conditions no longer suitable for seedling establishment and survival. Recently documented declines in postfire conifer recruitment in thewestern United States may be an example of this phenomenon. However, the role of annual climate variation and its interaction with long-term climate trends in driving these changes is poorly resolved. Here we examine the relationship between annual climate and postfire tree regeneration of two dominant, low-elevation conifers (ponderosa pine and Douglas-fir) using annually resolved establishment dates from 2,935 destructively sampled trees from 33 wildfires across four regions in the western United States. We show that regeneration had a nonlinear response to annual climate conditions, with distinct thresholds for recruitment based on vapor pressure deficit, soil moisture, and maximum surface temperature. At dry sites across our study region, seasonal to annual climate conditions over the past 20 years have crossed these thresholds, such that conditions have become increasingly unsuitable for regeneration. High fire severity and low seed availability further reduced the probability of postfire regeneration. Together, our results demonstrate that climate change combined with high severity fire is leading to increasingly fewer opportunities for seedlings to establish after wildfires and may lead to ecosystem transitions in low-elevation ponderosa pine and Douglas-fir forests across the western United States.","author":[{"dropping-particle":"","family":"Davis","given":"Kimberley T.","non-dropping-particle":"","parse-names":false,"suffix":""},{"dropping-particle":"","family":"Dobrowski","given":"Solomon Z.","non-dropping-particle":"","parse-names":false,"suffix":""},{"dropping-particle":"","family":"Higuera","given":"Philip E.","non-dropping-particle":"","parse-names":false,"suffix":""},{"dropping-particle":"","family":"Holden","given":"Zachary A.","non-dropping-particle":"","parse-names":false,"suffix":""},{"dropping-particle":"","family":"Veblen","given":"Thomas T.","non-dropping-particle":"","parse-names":false,"suffix":""},{"dropping-particle":"","family":"Rother","given":"Monica T.","non-dropping-particle":"","parse-names":false,"suffix":""},{"dropping-particle":"","family":"Parks","given":"Sean A.","non-dropping-particle":"","parse-names":false,"suffix":""},{"dropping-particle":"","family":"Sala","given":"Anna","non-dropping-particle":"","parse-names":false,"suffix":""},{"dropping-particle":"","family":"Maneta","given":"Marco P.","non-dropping-particle":"","parse-names":false,"suffix":""}],"container-title":"Proceedings of the National Academy of Sciences of the United States of America","id":"ITEM-1","issue":"13","issued":{"date-parts":[["2019"]]},"page":"6193-6198","title":"Wildfires and climate change push low-elevation forests across a critical climate threshold for tree regeneration","type":"article-journal","volume":"116"},"uris":["http://www.mendeley.com/documents/?uuid=371a7944-1853-43c0-bbe0-6cfe794db39c"]},{"id":"ITEM-2","itemData":{"DOI":"10.1002/eap.2280","ISSN":"19395582","PMID":"33331069","abstract":"Large, severe fires are becoming more frequent in many forest types across the western United States and have resulted in tree mortality across tens of thousands of hectares. Conifer regeneration in these areas is limited because seeds must travel long distances to reach the interior of large burned patches and establishment is jeopardized by increasingly hot and dry conditions. To better inform postfire management in low elevation forests of California, USA, we collected 5-yr postfire recovery data from 1,234 study plots in 19 wildfires that burned from 2004–2012 and 18 yrs of seed production data from 216 seed fall traps (1999–2017). We used these data in conjunction with spatially extensive climate, topography, forest composition, and burn severity surfaces to construct taxon-specific, spatially explicit models of conifer regeneration that incorporate climate conditions and seed availability during postfire recovery windows. We found that after accounting for other predictors both postfire and historical precipitation were strong predictors of regeneration, suggesting that both direct effects of postfire moisture conditions and biological inertia from historical climate may play a role in regeneration. Alternatively, postfire regeneration may simply be driven by postfire climate and apparent relationships with historical climate could be spurious. The estimated sensitivity of regeneration to postfire seed availability was strongest in firs and all conifers combined and weaker in pines. Seed production exhibited high temporal variability with seed production varying by over two orders of magnitude among years. Our models indicate that during droughts postfire conifer regeneration declines most substantially in low-to-moderate elevation forests. These findings enhance our mechanistic understanding of forecasted and historically documented shifts in the distribution of trees.","author":[{"dropping-particle":"","family":"Stewart","given":"Joseph A.E.","non-dropping-particle":"","parse-names":false,"suffix":""},{"dropping-particle":"","family":"Mantgem","given":"Phillip J.","non-dropping-particle":"van","parse-names":false,"suffix":""},{"dropping-particle":"","family":"Young","given":"Derek J.N.","non-dropping-particle":"","parse-names":false,"suffix":""},{"dropping-particle":"","family":"Shive","given":"Kristen L.","non-dropping-particle":"","parse-names":false,"suffix":""},{"dropping-particle":"","family":"Preisler","given":"Haiganoush K.","non-dropping-particle":"","parse-names":false,"suffix":""},{"dropping-particle":"","family":"Das","given":"Adrian J.","non-dropping-particle":"","parse-names":false,"suffix":""},{"dropping-particle":"","family":"Stephenson","given":"Nathan L.","non-dropping-particle":"","parse-names":false,"suffix":""},{"dropping-particle":"","family":"Keeley","given":"Jon E.","non-dropping-particle":"","parse-names":false,"suffix":""},{"dropping-particle":"","family":"Safford","given":"Hugh D.","non-dropping-particle":"","parse-names":false,"suffix":""},{"dropping-particle":"","family":"Wright","given":"Micah C.","non-dropping-particle":"","parse-names":false,"suffix":""},{"dropping-particle":"","family":"Welch","given":"Kevin R.","non-dropping-particle":"","parse-names":false,"suffix":""},{"dropping-particle":"","family":"Thorne","given":"James H.","non-dropping-particle":"","parse-names":false,"suffix":""}],"container-title":"Ecological Applications","id":"ITEM-2","issue":"3","issued":{"date-parts":[["2021"]]},"page":"1-14","title":"Effects of postfire climate and seed availability on postfire conifer regeneration","type":"article-journal","volume":"31"},"uris":["http://www.mendeley.com/documents/?uuid=76e0b1c0-bae5-446e-90ce-1c9503882636"]}],"mendeley":{"formattedCitation":"(Davis &lt;i&gt;et al.&lt;/i&gt;, 2019; Stewart &lt;i&gt;et al.&lt;/i&gt;, 2021)","plainTextFormattedCitation":"(Davis et al., 2019; Stewart et al., 2021)","previouslyFormattedCitation":"(Davis &lt;i&gt;et al.&lt;/i&gt;, 2019; Stewart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(Davis </w:t>
      </w:r>
      <w:r w:rsidR="00EB4A84" w:rsidRPr="00EB4A84">
        <w:rPr>
          <w:rFonts w:cstheme="minorHAnsi"/>
          <w:i/>
          <w:noProof/>
        </w:rPr>
        <w:t>et al.</w:t>
      </w:r>
      <w:r w:rsidR="00EB4A84" w:rsidRPr="00EB4A84">
        <w:rPr>
          <w:rFonts w:cstheme="minorHAnsi"/>
          <w:noProof/>
        </w:rPr>
        <w:t xml:space="preserve">, 2019; Stewart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A warmer and dryer climate may provide some relief from WPBR for sugar pine, as the disease’s climatic envelope shifts upslope away from existing populations of sugar pine </w:t>
      </w:r>
      <w:r w:rsidR="0071532B">
        <w:rPr>
          <w:rFonts w:cstheme="minorHAnsi"/>
        </w:rPr>
        <w:fldChar w:fldCharType="begin" w:fldLock="1"/>
      </w:r>
      <w:r w:rsidR="002C19B3">
        <w:rPr>
          <w:rFonts w:cstheme="minorHAnsi"/>
        </w:rPr>
        <w:instrText>ADDIN CSL_CITATION {"citationItems":[{"id":"ITEM-1","itemData":{"DOI":"10.1111/j.1439-0329.2011.00732.x","ISSN":"14374781","abstract":"In 2004-2006, a California-wide survey was conducted to evaluate the incidence and distribution of Cronartium ribicola, cause of white pine blister rust (WPBR), in the high-elevation white pine forests. WPBR occurrence varied considerably within and between regions, and little to no disease was found in the Basin and Range, eastern Sierra Nevada and Transverse and Peninsular mountain ranges. Field surveys revealed no evidence of rust on Great Basin bristlecone, limber or the southern subspecies of foxtail pine. Rust incidence for western white pine was highest in the North Coast region (42% of trees surveyed), followed by the Klamath (18%) and northern Sierra Nevada (14%). For whitebark pine, WPBR incidence averaged 24% in the northern Sierra Nevada; this was considerably greater than other regions where whitebark pine was found infected. Latitudinal trends in WPBR incidence (i.e. greater in the north) may correspond with earlier introductions of C. ribicola into these regions, reflecting the southward spread of the pathogen since its introduction from the north in the early 1900s and environmental conditions favourable for infection. Distance from inoculum sources and potentially host phenology may also be important factors influencing the distribution of C. ribicola. © 2011 Blackwell Verlag GmbH.","author":[{"dropping-particle":"","family":"Maloney","given":"P. E.","non-dropping-particle":"","parse-names":false,"suffix":""}],"container-title":"Forest Pathology","id":"ITEM-1","issue":"4","issued":{"date-parts":[["2011"]]},"page":"308-316","title":"Incidence and distribution of white pine blister rust in the high-elevation forests of California","type":"article-journal","volume":"41"},"uris":["http://www.mendeley.com/documents/?uuid=4592bd57-75a0-43be-a1f5-6088cf4dc878"]},{"id":"ITEM-2","itemData":{"DOI":"10.1038/s41467-021-25182-6","ISSN":"20411723","abstract":"Range shifts of infectious plant disease are expected under climate change. As plant diseases move, emergent abiotic-biotic interactions are predicted to modify their distributions, leading to unexpected changes in disease risk. Evidence of these complex range shifts due to climate change, however, remains largely speculative. Here, we combine a long-term study of the infectious tree disease, white pine blister rust, with a six-year field assessment of drought-disease interactions in the southern Sierra Nevada. We find that climate change between 1996 and 2016 moved the climate optimum of the disease into higher elevations. The nonlinear climate change-disease relationship contributed to an estimated 5.5 (4.4–6.6) percentage points (p.p.) decline in disease prevalence in arid regions and an estimated 6.8 (5.8–7.9) p.p. increase in colder regions. Though climate change likely expanded the suitable area for blister rust by 777.9 (1.0–1392.9) km2 into previously inhospitable regions, the combination of host-pathogen and drought-disease interactions contributed to a substantial decrease (32.79%) in mean disease prevalence between surveys. Specifically, declining alternate host abundance suppressed infection probabilities at high elevations, even as climatic conditions became more suitable. Further, drought-disease interactions varied in strength and direction across an aridity gradient—likely decreasing infection risk at low elevations while simultaneously increasing infection risk at high elevations. These results highlight the critical role of aridity in modifying host-pathogen-drought interactions. Variation in aridity across topographic gradients can strongly mediate plant disease range shifts in response to climate change.","author":[{"dropping-particle":"","family":"Dudney","given":"Joan","non-dropping-particle":"","parse-names":false,"suffix":""},{"dropping-particle":"","family":"Willing","given":"Claire E.","non-dropping-particle":"","parse-names":false,"suffix":""},{"dropping-particle":"","family":"Das","given":"Adrian J.","non-dropping-particle":"","parse-names":false,"suffix":""},{"dropping-particle":"","family":"Latimer","given":"Andrew M.","non-dropping-particle":"","parse-names":false,"suffix":""},{"dropping-particle":"","family":"Nesmith","given":"Jonathan C. B.","non-dropping-particle":"","parse-names":false,"suffix":""},{"dropping-particle":"","family":"Battles","given":"John J.","non-dropping-particle":"","parse-names":false,"suffix":""}],"container-title":"Nature Communications","id":"ITEM-2","issue":"1","issued":{"date-parts":[["2021"]]},"publisher":"Springer US","title":"Nonlinear shifts in infectious rust disease due to climate change","type":"article-journal","volume":"12"},"uris":["http://www.mendeley.com/documents/?uuid=10496e7a-ba49-4a8b-bdc2-011e99900f4a"]}],"mendeley":{"formattedCitation":"(Maloney, 2011; Dudney &lt;i&gt;et al.&lt;/i&gt;, 2021)","plainTextFormattedCitation":"(Maloney, 2011; Dudney et al., 2021)","previouslyFormattedCitation":"(Maloney, 2011; Dudney &lt;i&gt;et al.&lt;/i&gt;, 2021)"},"properties":{"noteIndex":0},"schema":"https://github.com/citation-style-language/schema/raw/master/csl-citation.json"}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(Maloney, 2011; Dudney </w:t>
      </w:r>
      <w:r w:rsidR="00EB4A84" w:rsidRPr="00EB4A84">
        <w:rPr>
          <w:rFonts w:cstheme="minorHAnsi"/>
          <w:i/>
          <w:noProof/>
        </w:rPr>
        <w:t>et al.</w:t>
      </w:r>
      <w:r w:rsidR="00EB4A84" w:rsidRPr="00EB4A84">
        <w:rPr>
          <w:rFonts w:cstheme="minorHAnsi"/>
          <w:noProof/>
        </w:rPr>
        <w:t>, 2021)</w:t>
      </w:r>
      <w:r w:rsidR="0071532B">
        <w:rPr>
          <w:rFonts w:cstheme="minorHAnsi"/>
        </w:rPr>
        <w:fldChar w:fldCharType="end"/>
      </w:r>
      <w:r w:rsidR="00BF1ABD" w:rsidRPr="00F30BF0">
        <w:rPr>
          <w:rFonts w:cstheme="minorHAnsi"/>
        </w:rPr>
        <w:t xml:space="preserve">. </w:t>
      </w:r>
      <w:commentRangeStart w:id="73"/>
      <w:r w:rsidR="00BF1ABD" w:rsidRPr="00F30BF0">
        <w:rPr>
          <w:rFonts w:cstheme="minorHAnsi"/>
        </w:rPr>
        <w:t>A relationship between fire exclusion, stand density, and WPBR infection has been suggested</w:t>
      </w:r>
      <w:r w:rsidR="00832E90">
        <w:rPr>
          <w:rFonts w:cstheme="minorHAnsi"/>
        </w:rPr>
        <w:t xml:space="preserve"> </w:t>
      </w:r>
      <w:r w:rsidR="00047C53">
        <w:rPr>
          <w:rFonts w:cstheme="minorHAnsi"/>
        </w:rPr>
        <w:fldChar w:fldCharType="begin" w:fldLock="1"/>
      </w:r>
      <w:r w:rsidR="00047C5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2020)"},"properties":{"noteIndex":0},"schema":"https://github.com/citation-style-language/schema/raw/master/csl-citation.json"}</w:instrText>
      </w:r>
      <w:r w:rsidR="00047C53">
        <w:rPr>
          <w:rFonts w:cstheme="minorHAnsi"/>
        </w:rPr>
        <w:fldChar w:fldCharType="separate"/>
      </w:r>
      <w:r w:rsidR="00047C53" w:rsidRPr="00047C53">
        <w:rPr>
          <w:rFonts w:cstheme="minorHAnsi"/>
          <w:noProof/>
        </w:rPr>
        <w:t xml:space="preserve">(Dudney </w:t>
      </w:r>
      <w:r w:rsidR="00047C53" w:rsidRPr="00047C53">
        <w:rPr>
          <w:rFonts w:cstheme="minorHAnsi"/>
          <w:i/>
          <w:noProof/>
        </w:rPr>
        <w:t>et al.</w:t>
      </w:r>
      <w:r w:rsidR="00047C53" w:rsidRPr="00047C53">
        <w:rPr>
          <w:rFonts w:cstheme="minorHAnsi"/>
          <w:noProof/>
        </w:rPr>
        <w:t>, 2020)</w:t>
      </w:r>
      <w:r w:rsidR="00047C53">
        <w:rPr>
          <w:rFonts w:cstheme="minorHAnsi"/>
        </w:rPr>
        <w:fldChar w:fldCharType="end"/>
      </w:r>
      <w:r w:rsidR="00BF1ABD" w:rsidRPr="00F30BF0">
        <w:rPr>
          <w:rFonts w:cstheme="minorHAnsi"/>
        </w:rPr>
        <w:t xml:space="preserve">, but evidence is mixed with some studies finding that conspecific basal area was an important driver of sugar pine mortality </w:t>
      </w:r>
      <w:r w:rsidR="0071532B">
        <w:rPr>
          <w:rFonts w:cstheme="minorHAnsi"/>
        </w:rPr>
        <w:fldChar w:fldCharType="begin" w:fldLock="1"/>
      </w:r>
      <w:r w:rsidR="002C19B3">
        <w:rPr>
          <w:rFonts w:cstheme="minorHAnsi"/>
        </w:rPr>
        <w:instrText>ADDIN CSL_CITATION {"citationItems":[{"id":"ITEM-1","itemData":{"DOI":"10.1890/07-0524.1","ISSN":"00129658","PMID":"18589538","abstract":"For many species of long-lived organisms, such as trees, survival appears to be the most critical vital rate affecting population persistence. However, methods commonly used to quantify tree death, such as relating tree mortality risk solely to diameter growth, almost certainly do not account for important spatial processes. Our goal in this study was to detect and, if present, to quantify the relevance of such processes. For this purpose, we examined purely spatial aspects of mortality for four species, Abies concolor, Abies magnifica, Calocedrus decurrens, and Pinus lambertiana, in an old-growth conifer forest in the Sierra Nevada of California, USA. The analysis was performed using data from nine fully mapped long-term monitoring plots. In three cases, the results unequivocally supported the inclusion of spatial information in models used to predict mortality. For Abies concolor, our results suggested that growth rate may not always adequately capture increased mortality risk due to competition. We also found evidence of a facilitative effect for this species, with mortality risk decreasing with proximity to conspecific neighbors. For Pinus lambertiana, mortality risk increased with density of conspecific neighbors, in keeping with a mechanism of increased pathogen or insect pressure (i.e., a Janzen-Connell type effect). Finally, we found that models estimating risk of being crushed were strongly improved by the inclusion of a simple index of spatial proximity. Not only did spatial indices improve models, those improvements were relevant for mortality prediction. For P. lambertiana, spatial factors were important for estimation of mortality risk regardless of growth rate. For A. concolor, although most of the population fell within spatial conditions in which mortality risk was well described by growth, trees that died occurred outside those conditions in a disproportionate fashion. Furthermore, as stands of A. concolor become increasingly dense, such spatial factors are likely to become increasingly important. In general, models that fail to account for spatial pattern are at risk of failure as conditions change. © 2008 by the Ecological Society of America.","author":[{"dropping-particle":"","family":"Das","given":"Adrian","non-dropping-particle":"","parse-names":false,"suffix":""},{"dropping-particle":"","family":"Battles","given":"John","non-dropping-particle":"","parse-names":false,"suffix":""},{"dropping-particle":"","family":"Mantgem","given":"Phillip J.","non-dropping-particle":"Van","parse-names":false,"suffix":""},{"dropping-particle":"","family":"Stephenson","given":"Nathan L.","non-dropping-particle":"","parse-names":false,"suffix":""}],"container-title":"Ecology","id":"ITEM-1","issue":"6","issued":{"date-parts":[["2008"]]},"page":"1744-1756","title":"Spatial elements of mortality risk in old-growth forests","type":"article-journal","volume":"89"},"uris":["http://www.mendeley.com/documents/?uuid=883aefb5-9323-4312-8f8f-ea507ebf99cb"]}],"mendeley":{"formattedCitation":"(Das &lt;i&gt;et al.&lt;/i&gt;, 2008)","plainTextFormattedCitation":"(Das et al., 2008)","previouslyFormattedCitation":"(Das &lt;i&gt;et al.&lt;/i&gt;, 2008)"},"properties":{"noteIndex":0},"schema":"https://github.com/citation-style-language/schema/raw/master/csl-citation.json"}</w:instrText>
      </w:r>
      <w:r w:rsidR="0071532B">
        <w:rPr>
          <w:rFonts w:cstheme="minorHAnsi"/>
        </w:rPr>
        <w:fldChar w:fldCharType="separate"/>
      </w:r>
      <w:r w:rsidR="00EB4A84" w:rsidRPr="00EB4A84">
        <w:rPr>
          <w:rFonts w:cstheme="minorHAnsi"/>
          <w:noProof/>
        </w:rPr>
        <w:t xml:space="preserve">(Das </w:t>
      </w:r>
      <w:r w:rsidR="00EB4A84" w:rsidRPr="00EB4A84">
        <w:rPr>
          <w:rFonts w:cstheme="minorHAnsi"/>
          <w:i/>
          <w:noProof/>
        </w:rPr>
        <w:t>et al.</w:t>
      </w:r>
      <w:r w:rsidR="00EB4A84" w:rsidRPr="00EB4A84">
        <w:rPr>
          <w:rFonts w:cstheme="minorHAnsi"/>
          <w:noProof/>
        </w:rPr>
        <w:t>, 2008)</w:t>
      </w:r>
      <w:r w:rsidR="0071532B">
        <w:rPr>
          <w:rFonts w:cstheme="minorHAnsi"/>
        </w:rPr>
        <w:fldChar w:fldCharType="end"/>
      </w:r>
      <w:r w:rsidR="00BF1ABD" w:rsidRPr="00F30BF0">
        <w:rPr>
          <w:rFonts w:cstheme="minorHAnsi"/>
        </w:rPr>
        <w:t xml:space="preserve"> but others </w:t>
      </w:r>
      <w:r w:rsidR="006838F2" w:rsidRPr="00F30BF0">
        <w:rPr>
          <w:rFonts w:cstheme="minorHAnsi"/>
        </w:rPr>
        <w:t xml:space="preserve">failing to find evidence linking fire exclusion to elevated rates of WPBR infection </w:t>
      </w:r>
      <w:r w:rsidR="00E813D6">
        <w:rPr>
          <w:rFonts w:cstheme="minorHAnsi"/>
        </w:rPr>
        <w:fldChar w:fldCharType="begin" w:fldLock="1"/>
      </w:r>
      <w:r w:rsidR="002C19B3">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J.","non-dropping-particle":"","parse-names":false,"suffix":""}],"container-title":"Ecosphere","id":"ITEM-2","issue":"October","issued":{"date-parts":[["2020"]]},"page":"e03263","title":"Compounding effects of white pine blister rust, mountain pine beetle, and fire threaten four white pine species","type":"article-journal","volume":"11"},"uris":["http://www.mendeley.com/documents/?uuid=54eba3d7-5ed4-4e44-a51e-b1150e7c2215"]}],"mendeley":{"formattedCitation":"(Van Mantgem &lt;i&gt;et al.&lt;/i&gt;, 2004; Dudney &lt;i&gt;et al.&lt;/i&gt;, 2020)","plainTextFormattedCitation":"(Van Mantgem et al., 2004; Dudney et al., 2020)","previouslyFormattedCitation":"(Van Mantgem &lt;i&gt;et al.&lt;/i&gt;, 2004; Dudney &lt;i&gt;et al.&lt;/i&gt;, 2020)"},"properties":{"noteIndex":0},"schema":"https://github.com/citation-style-language/schema/raw/master/csl-citation.json"}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2004; Dudney </w:t>
      </w:r>
      <w:r w:rsidR="00EB4A84" w:rsidRPr="00EB4A84">
        <w:rPr>
          <w:rFonts w:cstheme="minorHAnsi"/>
          <w:i/>
          <w:noProof/>
        </w:rPr>
        <w:t>et al.</w:t>
      </w:r>
      <w:r w:rsidR="00EB4A84" w:rsidRPr="00EB4A84">
        <w:rPr>
          <w:rFonts w:cstheme="minorHAnsi"/>
          <w:noProof/>
        </w:rPr>
        <w:t>, 2020)</w:t>
      </w:r>
      <w:r w:rsidR="00E813D6">
        <w:rPr>
          <w:rFonts w:cstheme="minorHAnsi"/>
        </w:rPr>
        <w:fldChar w:fldCharType="end"/>
      </w:r>
      <w:r w:rsidR="006838F2" w:rsidRPr="00F30BF0">
        <w:rPr>
          <w:rFonts w:cstheme="minorHAnsi"/>
        </w:rPr>
        <w:t xml:space="preserve">. </w:t>
      </w:r>
      <w:r w:rsidR="00D70E5C" w:rsidRPr="00F30BF0">
        <w:rPr>
          <w:rFonts w:cstheme="minorHAnsi"/>
        </w:rPr>
        <w:t xml:space="preserve">Stress caused by drought and/or competition may decrease trees’ ability to resist wildfire </w:t>
      </w:r>
      <w:r w:rsidR="00E813D6">
        <w:rPr>
          <w:rFonts w:cstheme="minorHAnsi"/>
        </w:rPr>
        <w:fldChar w:fldCharType="begin" w:fldLock="1"/>
      </w:r>
      <w:r w:rsidR="00AE693D">
        <w:rPr>
          <w:rFonts w:cstheme="minorHAnsi"/>
        </w:rPr>
        <w:instrText>ADDIN CSL_CITATION {"citationItems":[{"id":"ITEM-1","itemData":{"DOI":"10.1139/cjfr-2014-0449","ISSN":"12086037","abstract":"Tree mortality is a vital component of forest management in the context of prescribed fires: however, few studies have examined the effect of prefire tree health on postfire mortality. This is especially relevant for sugar pine (Pinus lambertiana Douglas), a species experiencing population declines due to a suite of anthropogenic factors. Using data from an old-growth mixed-conifer forest in Sequoia National Park, we evaluated the effects of fire, tree size, prefire radial growth, and crown condition on postfire mortality. Models based only on tree size and measures of fire damage were compared with models that included tree size, fire damage, and prefire tree health (e.g., measures of prefire tree radial growth or crown condition). Immediately following the fire, the inclusion of different metrics of prefire tree health produced variable improvements over the models that included only tree size and measures of fire damage, as models that included measures of crown condition performed better than fire-only models, but models that included measures of prefire radial growth did not perform better. However, 5 years following the fire, sugar pine mortality was best predicted by models that included measures of both fire damage and prefire tree health, specifically, diameter at breast height (DBH, 1.37 m), crown scorch, 30-year mean growth, and the number of sharp declines in growth over a 30-year period. This suggests that factors that influence prefire tree health (e.g., drought, competition, pathogens, etc.) may partially determine postfire mortality, especially when accounting for delayed mortality following fire.","author":[{"dropping-particle":"","family":"Nesmith","given":"Jonathan C.B.","non-dropping-particle":"","parse-names":false,"suffix":""},{"dropping-particle":"","family":"Das","given":"Adrian J.","non-dropping-particle":"","parse-names":false,"suffix":""},{"dropping-particle":"","family":"O’Hara","given":"Kevin L.","non-dropping-particle":"","parse-names":false,"suffix":""},{"dropping-particle":"","family":"Mantgem","given":"Phillip J.","non-dropping-particle":"van","parse-names":false,"suffix":""}],"container-title":"Canadian Journal of Forest Research","id":"ITEM-1","issue":"7","issued":{"date-parts":[["2015"]]},"page":"910-919","title":"The influence of prefire tree growth and crown condition on postfire mortality of sugar pine following prescribed fire in Sequoia National Park","type":"article-journal","volume":"45"},"uris":["http://www.mendeley.com/documents/?uuid=cd8ba33c-48ac-44de-90c9-962cbecf6d95"]},{"id":"ITEM-2","itemData":{"DOI":"10.1002/eap.1778","ISSN":"19395582","PMID":"30151923","abstract":"Tree mortality is an important outcome of many forest fires. Extensive tree injuries from fire may lead directly to mortality, but environmental and biological stressors may also contribute to tree death. However, there is little evidence showing how the combined effects of two common stressors, drought and competition, influence post-fire mortality. Geographically broad observations of three common western coniferous trees subjected to prescribed fire showed the likelihood of post-fire mortality was related to intermediate-term (10 yr) pre-fire average radial growth, an important component of tree vigor. Path analysis showed that indices of competition and drought stress prior to fire can be described in terms of joint effects on growth, indirectly affecting post-fire mortality. Our results suggest that the conditions that govern the relationship between growth and mortality in unburned stands may also apply to post-fire environments. Thus, biotic and abiotic changes that affect growth negatively (e.g., drought stress) or positively (e.g., growth releases following thinning treatments) prior to fire may influence expressed fire severity, independent of fire intensity (e.g., heat flux, residence time). These relationships suggest that tree mortality may increase under stressful climatic or stand conditions even if fire behavior remains constant.","author":[{"dropping-particle":"","family":"Mantgem","given":"Phillip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L.","non-dropping-particle":"","parse-names":false,"suffix":""}],"container-title":"Ecological Applications","id":"ITEM-2","issue":"7","issued":{"date-parts":[["2018"]]},"page":"1730-1739","title":"Pre-fire drought and competition mediate post-fire conifer mortality in western U.S. National Parks","type":"article-journal","volume":"28"},"uris":["http://www.mendeley.com/documents/?uuid=58cc14e0-6ea7-4354-b0b5-262696f8bc85"]},{"id":"ITEM-3","itemData":{"DOI":"10.1071/WF19020","ISSN":"10498001","abstract":"Fire severity in forests is often defined in terms of post-fire tree mortality, yet the influences on tree mortality following fire are not fully understood. Pre-fire growth may serve as an index of vigour, indicating resource availability and the capacity to recover from injury and defend against pests. For trees that are not killed immediately by severe fire injury, tree growth patterns could therefore partially predict post-fire mortality probabilities. Here, we consider the influence of multiple growth patterns on post-fire tree mortality for three common conifer species in the western USA. Using observations from 1 to 9 years following prescribed fires in USA national parks across five western states, we show that post-fire conifer mortality was related not only to fire-caused injuries (crown scorch and bole char), but also to average growth rate and long-term (25 years) growth patterns (counts of abrupt growth declines and possibly growth trends). Our results suggest that pre-fire conditions affecting tree vigour may influence post-fire tree mortality probabilities. Environmental conditions (such as rising temperatures and moisture stress), independent of fire intensity, may thus cause expressed fire severity to increase in western forests.","author":[{"dropping-particle":"","family":"Mantgem","given":"Phillip J.","non-dropping-particle":"Van","parse-names":false,"suffix":""},{"dropping-particle":"","family":"Falk","given":"Donald A.","non-dropping-particle":"","parse-names":false,"suffix":""},{"dropping-particle":"","family":"Williams","given":"Emma C.","non-dropping-particle":"","parse-names":false,"suffix":""},{"dropping-particle":"","family":"Das","given":"Adrian J.","non-dropping-particle":"","parse-names":false,"suffix":""},{"dropping-particle":"","family":"Stephenson","given":"Nathan L.","non-dropping-particle":"","parse-names":false,"suffix":""}],"container-title":"International Journal of Wildland Fire","id":"ITEM-3","issue":"6","issued":{"date-parts":[["2020"]]},"page":"513-518","title":"The influence of pre-fire growth patterns on post-fire tree mortality for common conifers in western US parks","type":"article-journal","volume":"29"},"uris":["http://www.mendeley.com/documents/?uuid=b3d0e54b-2bb5-4c84-8aca-648ac7a9fb32"]},{"id":"ITEM-4","itemData":{"DOI":"10.1071/WF18031","ISSN":"1049-8001","author":[{"dropping-particle":"","family":"Furniss","given":"T. J.","non-dropping-particle":"","parse-names":false,"suffix":""},{"dropping-particle":"","family":"Larson","given":"A. J.","non-dropping-particle":"","parse-names":false,"suffix":""},{"dropping-particle":"","family":"Kane","given":"V. R.","non-dropping-particle":"","parse-names":false,"suffix":""},{"dropping-particle":"","family":"Lutz","given":"J. A.","non-dropping-particle":"","parse-names":false,"suffix":""}],"container-title":"International Journal of Wildland Fire","id":"ITEM-4","issued":{"date-parts":[["2018"]]},"page":"in press","title":"Multi-scale assessment of post-fire tree mortality models","type":"article-journal"},"uris":["http://www.mendeley.com/documents/?uuid=5dce8c9b-16a7-4930-9de8-231f1ca41bb7"]},{"id":"ITEM-5","itemData":{"DOI":"10.1002/eap.2507","ISSN":"1051-0761","abstract":"In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Applications","id":"ITEM-5","issue":"June 2021","issued":{"date-parts":[["2021"]]},"page":"1-14","title":"Crowding, climate, and the case for social distancing among trees","type":"article-journal"},"uris":["http://www.mendeley.com/documents/?uuid=923f9f80-0634-4566-ac74-bb9eb698fef4"]}],"mendeley":{"formattedCitation":"(Nesmith &lt;i&gt;et al.&lt;/i&gt;, 2015; Furniss &lt;i&gt;et al.&lt;/i&gt;, 2018, 2021; van Mantgem &lt;i&gt;et al.&lt;/i&gt;, 2018; Van Mantgem &lt;i&gt;et al.&lt;/i&gt;, 2020)","plainTextFormattedCitation":"(Nesmith et al., 2015; Furniss et al., 2018, 2021; van Mantgem et al., 2018; Van Mantgem et al., 2020)","previouslyFormattedCitation":"(Nesmith &lt;i&gt;et al.&lt;/i&gt;, 2015; Furniss &lt;i&gt;et al.&lt;/i&gt;, 2018, 2021; van Mantgem &lt;i&gt;et al.&lt;/i&gt;, 2018; Van Mantgem &lt;i&gt;et al.&lt;/i&gt;, 2020)"},"properties":{"noteIndex":0},"schema":"https://github.com/citation-style-language/schema/raw/master/csl-citation.json"}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(Nesmith </w:t>
      </w:r>
      <w:r w:rsidR="00AE693D" w:rsidRPr="00AE693D">
        <w:rPr>
          <w:rFonts w:cstheme="minorHAnsi"/>
          <w:i/>
          <w:noProof/>
        </w:rPr>
        <w:t>et al.</w:t>
      </w:r>
      <w:r w:rsidR="00AE693D" w:rsidRPr="00AE693D">
        <w:rPr>
          <w:rFonts w:cstheme="minorHAnsi"/>
          <w:noProof/>
        </w:rPr>
        <w:t xml:space="preserve">, 2015; Furniss </w:t>
      </w:r>
      <w:r w:rsidR="00AE693D" w:rsidRPr="00AE693D">
        <w:rPr>
          <w:rFonts w:cstheme="minorHAnsi"/>
          <w:i/>
          <w:noProof/>
        </w:rPr>
        <w:t>et al.</w:t>
      </w:r>
      <w:r w:rsidR="00AE693D" w:rsidRPr="00AE693D">
        <w:rPr>
          <w:rFonts w:cstheme="minorHAnsi"/>
          <w:noProof/>
        </w:rPr>
        <w:t xml:space="preserve">, 2018, 2021; van Mantgem </w:t>
      </w:r>
      <w:r w:rsidR="00AE693D" w:rsidRPr="00AE693D">
        <w:rPr>
          <w:rFonts w:cstheme="minorHAnsi"/>
          <w:i/>
          <w:noProof/>
        </w:rPr>
        <w:t>et al.</w:t>
      </w:r>
      <w:r w:rsidR="00AE693D" w:rsidRPr="00AE693D">
        <w:rPr>
          <w:rFonts w:cstheme="minorHAnsi"/>
          <w:noProof/>
        </w:rPr>
        <w:t xml:space="preserve">, 2018; Van Mantgem </w:t>
      </w:r>
      <w:r w:rsidR="00AE693D" w:rsidRPr="00AE693D">
        <w:rPr>
          <w:rFonts w:cstheme="minorHAnsi"/>
          <w:i/>
          <w:noProof/>
        </w:rPr>
        <w:t>et al.</w:t>
      </w:r>
      <w:r w:rsidR="00AE693D" w:rsidRPr="00AE693D">
        <w:rPr>
          <w:rFonts w:cstheme="minorHAnsi"/>
          <w:noProof/>
        </w:rPr>
        <w:t>, 2020)</w:t>
      </w:r>
      <w:r w:rsidR="00E813D6">
        <w:rPr>
          <w:rFonts w:cstheme="minorHAnsi"/>
        </w:rPr>
        <w:fldChar w:fldCharType="end"/>
      </w:r>
      <w:r w:rsidR="00D70E5C" w:rsidRPr="00F30BF0">
        <w:rPr>
          <w:rFonts w:cstheme="minorHAnsi"/>
        </w:rPr>
        <w:t xml:space="preserve">, and beetle epidemics may kill off the largest and most fire-resistant individuals </w:t>
      </w:r>
      <w:r w:rsidR="00E813D6">
        <w:rPr>
          <w:rFonts w:cstheme="minorHAnsi"/>
        </w:rPr>
        <w:fldChar w:fldCharType="begin" w:fldLock="1"/>
      </w:r>
      <w:r w:rsidR="00021D10">
        <w:rPr>
          <w:rFonts w:cstheme="minorHAnsi"/>
        </w:rPr>
        <w:instrText>ADDIN CSL_CITATION {"citationItems":[{"id":"ITEM-1","itemData":{"DOI":"10.1111/1365-2745.13176","ISSN":"13652745","abstract":"During drought, the tree subpopulations (such as size or vigour classes) that suffer disproportionate mortality can be conceptually arrayed along a continuum defined by the actions of biotic agents, particularly insects. At one extreme, stress dominates: insects are absent or simply kill the most physiologically stressed trees. At the opposite extreme, host selection dominates: outbreaking insects kill trees independently of their stress, instead selecting trees based on size or other traits. Intermediate responses are also possible. Yet for mixed-species forests, we lack a broad understanding of the relative importance of insects in determining exactly which subpopulations of trees suffer disproportionate mortality during drought, and whether these subpopulations differ among co-occurring tree species. During an extreme drought, we documented the roles of native bark beetles in the mortality of five tree species in California’s Sierra Nevada. We analysed the patterns and agents of tree mortality in 12 permanent plots and the patterns of mortality in 89 temporary plots. Most tree mortality was associated with bark beetles. However, the growth rates (an indicator of chronic stress) and sizes of trees that suffered greatest bark beetle-related mortality differed sharply among tree taxa, variously conforming with domination by stress (Abies concolor), domination by host selection (Pinus lambertiana and P. ponderosa) or a mix of the two (Calocedrus decurrens). Quercus kelloggii mortality remained relatively low. Thus, even during extreme drought substantial proportions of stressed trees survived because they were of sizes that mostly avoided fatal insect attack. Conversely, substantial proportions of comparatively unstressed trees died because they were of sizes that were selectively killed by outbreaking insects. Synthesis. Native bark beetles were primarily responsible for determining which subpopulations of trees suffered greatest mortality during drought. However, idiosyncratic host-tree selection by the different bark beetle taxa meant that the tree subpopulations suffering greatest mortality differed strikingly among tree taxa—for example, high mortality of small trees of one species, but of large trees of another. If idiosyncratic host-tree selection by biotic mortality agents proves to be a generally common phenomenon, it could help explain weak broadscale correlations between tree traits and tree mortality during drought.","author":[{"dropping-particle":"","family":"Stephenson","given":"Nathan L.","non-dropping-particle":"","parse-names":false,"suffix":""},{"dropping-particle":"","family":"Das","given":"Adrian J.","non-dropping-particle":"","parse-names":false,"suffix":""},{"dropping-particle":"","family":"Ampersee","given":"Nicholas J.","non-dropping-particle":"","parse-names":false,"suffix":""},{"dropping-particle":"","family":"Bulaon","given":"Beverly M.","non-dropping-particle":"","parse-names":false,"suffix":""},{"dropping-particle":"","family":"Yee","given":"Julie L.","non-dropping-particle":"","parse-names":false,"suffix":""}],"container-title":"Journal of Ecology","id":"ITEM-1","issue":"5","issued":{"date-parts":[["2019"]]},"note":"followup: which trees die after Rx fire? still insect-selected (big trees) or stress selected (small trees)? Does the size of the average insect-killed tree increase or decrease with time since fire? does this vary by species?","page":"2383-2401","title":"Which trees die during drought? The key role of insect host-tree selection","type":"article-journal","volume":"107"},"uris":["http://www.mendeley.com/documents/?uuid=d8a6e281-c347-4611-b383-37213f77f42c"]},{"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Mortality?","type":"article-journal","volume":"12"},"uris":["http://www.mendeley.com/documents/?uuid=27f300f3-6aa3-4e67-9ff2-302a5568e9e8"]}],"mendeley":{"formattedCitation":"(Stephenson &lt;i&gt;et al.&lt;/i&gt;, 2019; Steel &lt;i&gt;et al.&lt;/i&gt;, 2021)","plainTextFormattedCitation":"(Stephenson et al., 2019; Steel et al., 2021)","previouslyFormattedCitation":"(Stephenson &lt;i&gt;et al.&lt;/i&gt;, 2019; Steel &lt;i&gt;et al.&lt;/i&gt;, 2021)"},"properties":{"noteIndex":0},"schema":"https://github.com/citation-style-language/schema/raw/master/csl-citation.json"}</w:instrText>
      </w:r>
      <w:r w:rsidR="00E813D6">
        <w:rPr>
          <w:rFonts w:cstheme="minorHAnsi"/>
        </w:rPr>
        <w:fldChar w:fldCharType="separate"/>
      </w:r>
      <w:r w:rsidR="00021D10" w:rsidRPr="00021D10">
        <w:rPr>
          <w:rFonts w:cstheme="minorHAnsi"/>
          <w:noProof/>
        </w:rPr>
        <w:t xml:space="preserve">(Stephenson </w:t>
      </w:r>
      <w:r w:rsidR="00021D10" w:rsidRPr="00021D10">
        <w:rPr>
          <w:rFonts w:cstheme="minorHAnsi"/>
          <w:i/>
          <w:noProof/>
        </w:rPr>
        <w:t>et al.</w:t>
      </w:r>
      <w:r w:rsidR="00021D10" w:rsidRPr="00021D10">
        <w:rPr>
          <w:rFonts w:cstheme="minorHAnsi"/>
          <w:noProof/>
        </w:rPr>
        <w:t xml:space="preserve">, 2019; Steel </w:t>
      </w:r>
      <w:r w:rsidR="00021D10" w:rsidRPr="00021D10">
        <w:rPr>
          <w:rFonts w:cstheme="minorHAnsi"/>
          <w:i/>
          <w:noProof/>
        </w:rPr>
        <w:t>et al.</w:t>
      </w:r>
      <w:r w:rsidR="00021D10" w:rsidRPr="00021D10">
        <w:rPr>
          <w:rFonts w:cstheme="minorHAnsi"/>
          <w:noProof/>
        </w:rPr>
        <w:t>, 2021)</w:t>
      </w:r>
      <w:r w:rsidR="00E813D6">
        <w:rPr>
          <w:rFonts w:cstheme="minorHAnsi"/>
        </w:rPr>
        <w:fldChar w:fldCharType="end"/>
      </w:r>
      <w:r w:rsidR="00D70E5C" w:rsidRPr="00F30BF0">
        <w:rPr>
          <w:rFonts w:cstheme="minorHAnsi"/>
        </w:rPr>
        <w:t>. Drought and density both alter the fuelbed in ways that may increase the intensity of wildfires</w:t>
      </w:r>
      <w:r w:rsidR="00D45C6F" w:rsidRPr="00F30BF0">
        <w:rPr>
          <w:rFonts w:cstheme="minorHAnsi"/>
        </w:rPr>
        <w:t xml:space="preserve"> </w:t>
      </w:r>
      <w:r w:rsidR="00E813D6">
        <w:rPr>
          <w:rFonts w:cstheme="minorHAnsi"/>
        </w:rPr>
        <w:fldChar w:fldCharType="begin" w:fldLock="1"/>
      </w:r>
      <w:r w:rsidR="002C19B3">
        <w:rPr>
          <w:rFonts w:cstheme="minorHAnsi"/>
        </w:rPr>
        <w:instrText>ADDIN CSL_CITATION {"citationItems":[{"id":"ITEM-1","itemData":{"DOI":"10.1093/biosci/bix146","ISBN":"0006-3568","ISSN":"0006-3568","abstract":"Massive tree mortality has occurred rapidly in frequent-fire-adapted forests of the Sierra Nevada, California. This mortality is a product of acute drought compounded by the long-established removal of a key ecosystem process: frequent, low- to moderate-intensity fire. The recent tree mortality has many implications for the future of these forests and the ecological goods and services they provide to society. Future wildfire hazard following this mortality can be generally characterized by decreased crown fire potential and increased surface fire intensity in the short to intermediate term. The scale of present tree mortality is so large that greater potential for “mass fire” exists in the coming decades, driven by the amount and continuity of dry, combustible, large woody material that could produce large, severe fires. For long-term adaptation to climate change, we highlight the importance of moving beyond triage of dead and dying trees to making “green” (live) forests more resilient.","author":[{"dropping-particle":"","family":"Stephens","given":"Scott L.","non-dropping-particle":"","parse-names":false,"suffix":""},{"dropping-particle":"","family":"Collins","given":"Brandon M.","non-dropping-particle":"","parse-names":false,"suffix":""},{"dropping-particle":"","family":"Fettig","given":"Christopher J.","non-dropping-particle":"","parse-names":false,"suffix":""},{"dropping-particle":"","family":"Finney","given":"Mark A.","non-dropping-particle":"","parse-names":false,"suffix":""},{"dropping-particle":"","family":"Hoffman","given":"Chad M.","non-dropping-particle":"","parse-names":false,"suffix":""},{"dropping-particle":"","family":"Knapp","given":"Eric E.","non-dropping-particle":"","parse-names":false,"suffix":""},{"dropping-particle":"","family":"North","given":"Malcolm P.","non-dropping-particle":"","parse-names":false,"suffix":""},{"dropping-particle":"","family":"Safford","given":"Hugh","non-dropping-particle":"","parse-names":false,"suffix":""},{"dropping-particle":"","family":"Wayman","given":"Rebecca B.","non-dropping-particle":"","parse-names":false,"suffix":""}],"container-title":"BioScience","id":"ITEM-1","issue":"X","issued":{"date-parts":[["2018"]]},"page":"1-12","title":"Drought, Tree Mortality, and Wildfire in Forests Adapted to Frequent Fire","type":"article-journal","volume":"XX"},"uris":["http://www.mendeley.com/documents/?uuid=83a571e8-0d79-4b5a-8bd3-aaef26a39cd2"]},{"id":"ITEM-2","itemData":{"DOI":"10.1016/j.foreco.2012.02.005","ISSN":"03781127","abstract":"Millions of trees killed by bark beetles in western North America have raised concerns about subsequent wildfire, but studies have reported a range of conclusions, often seemingly contradictory, about effects on fuels and wildfire. In this study, we reviewed and synthesized the published literature on modifications to fuels and fire characteristics following beetle-caused tree mortality. We found 39 studies addressing this topic with a variety of methods including fuels measurements, fire behavior simulations, an experiment, and observations of fire occurrence, severity, or frequency. From these publications, we developed a conceptual framework describing expected changes of fuels and fire behavior. Some characteristics of fuels and fire are enhanced following outbreaks and others are unchanged or diminished, with time since outbreak a key factor influencing changes. We also quantified areas of higher and lower confidence in our framework based on the number of studies addressing a particular area as well as agreement among studies. The published literature agrees about responses in many conditions, including fuels measurements and changes in stands with longer times since outbreak, and so we assigned higher confidence to our conceptual framework for these conditions. Disagreement or gaps in knowledge exist in several conditions, particularly in early postoutbreak phases and crown fire behavior responses, leading to low confidence in our framework in these areas and highlighting the need for future research. Our findings resolved some of the controversy about effects of bark beetles on fire through more specificity about time since outbreak and fuels or fire characteristic. Recognition of the type of study question was also important in resolving controversy: some publications assessed whether beetle-caused tree mortality caused differences relative to unattacked locations, whereas other publications assessed differences relative to other drivers of wildfire such as climate. However, some disagreement among studies remained. Given the large areas of recent bark beetle and wildfire disturbances and expected effects of climate change, land and fire managers need more confidence in key areas when making decisions about treatments to reduce future fire hazard and when fighting fires. © 2012 Elsevier B.V.","author":[{"dropping-particle":"","family":"Hicke","given":"Jeffrey A.","non-dropping-particle":"","parse-names":false,"suffix":""},{"dropping-particle":"","family":"Johnson","given":"Morris C.","non-dropping-particle":"","parse-names":false,"suffix":""},{"dropping-particle":"","family":"Hayes","given":"Jane L.","non-dropping-particle":"","parse-names":false,"suffix":""},{"dropping-particle":"","family":"Preisler","given":"Haiganoush K.","non-dropping-particle":"","parse-names":false,"suffix":""}],"container-title":"Forest Ecology and Management","id":"ITEM-2","issued":{"date-parts":[["2012"]]},"page":"81-90","publisher":"Elsevier B.V.","title":"Effects of bark beetle-caused tree mortality on wildfire","type":"article-journal","volume":"271"},"uris":["http://www.mendeley.com/documents/?uuid=bdfd1573-8416-4817-b574-9059b40c9bdf"]},{"id":"ITEM-3","itemData":{"DOI":"10.1002/eap.2287","ISSN":"19395582","PMID":"33426715","abstract":"In temperate forests, elevated frequency of drought related disturbances will likely increase the incidence of interactions between disturbances such as bark beetle epidemics and wildfires. Our understanding of the influence of recent drought and insect-induced tree mortality on wildfire severity has largely lacked information from forests adapted to frequent fire. A recent unprecedented tree mortality event in California’s Sierra Nevada provides an opportunity to examine this disturbance interaction in historically frequent-fire forests. Using field data collected within areas of recent tree mortality that subsequently burned in wildfire, we examined whether and under what conditions wildfire severity relates to severity of prefire tree mortality in Sierra Nevada mixed-conifer forests. We collected data on 180 plots within the 2015 Rough Fire and 2016 Cedar Fire footprints (California, USA). Our analyses identified prefire tree mortality as influential on all measures of wildfire severity (basal area killed by fire, RdNBR, and canopy torch) on the Cedar Fire, although it was less influential than fire weather (relative humidity). Prefire tree mortality was influential on two of three fire-severity measures on the Rough Fire, and was the most important predictor of basal area killed by fire; topographic position was influential on two metrics. On the Cedar Fire, the influence of prefire mortality on basal area killed by fire was greater under milder weather conditions. All measures of fire severity increased as prefire mortality increased up to prefire mortality levels of approximately 30–40%; further increases did not result in greater fire severity. The interacting disturbances shifted a pine-dominated system (Rough Fire) to a cedar–pine–fir system, while the pre-disturbance fir–cedar system (Cedar Fire) saw its dominant species unchanged. Managers of historically frequent-fire forests will benefit from utilizing this information when prioritizing fuels reduction treatments in areas of recent tree mortality, as it is the first empirical study to document a relationship between prefire mortality and subsequent wildfire severity in these systems. This study contributes to a growing body of evidence that the influence of prefire tree mortality on wildfire severity in temperate coniferous forests may depend on other conditions capable of driving extreme wildfire behavior, such as weather.","author":[{"dropping-particle":"","family":"Wayman","given":"Rebecca B.","non-dropping-particle":"","parse-names":false,"suffix":""},{"dropping-particle":"","family":"Safford","given":"Hugh D.","non-dropping-particle":"","parse-names":false,"suffix":""}],"container-title":"Ecological Applications","id":"ITEM-3","issue":"3","issued":{"date-parts":[["2021"]]},"note":"severe weather can swamp fuel and topographic conditions\n\nimplication is causal (red phase -&amp;gt; changes in fuel structure), but equally plausible is a correlation (drought stress / epidemic BB pop -&amp;gt; red phase mortality AND reduced individual-level file resistance)\n\npositive effect of drought mortality on fire severity caps out at ~40% drought mortality, but well below 100% severity; this is super interesting","page":"1-19","title":"Recent bark beetle outbreaks influence wildfire severity in mixed-conifer forests of the Sierra Nevada, California, USA","type":"article-journal","volume":"31"},"uris":["http://www.mendeley.com/documents/?uuid=6b2a85d6-0253-4578-b2ab-f78ffe9b857e"]}],"mendeley":{"formattedCitation":"(Hicke &lt;i&gt;et al.&lt;/i&gt;, 2012; Stephens &lt;i&gt;et al.&lt;/i&gt;, 2018; Wayman and Safford, 2021)","plainTextFormattedCitation":"(Hicke et al., 2012; Stephens et al., 2018; Wayman and Safford, 2021)","previouslyFormattedCitation":"(Hicke &lt;i&gt;et al.&lt;/i&gt;, 2012; Stephens &lt;i&gt;et al.&lt;/i&gt;, 2018; Wayman and Safford, 2021)"},"properties":{"noteIndex":0},"schema":"https://github.com/citation-style-language/schema/raw/master/csl-citation.json"}</w:instrText>
      </w:r>
      <w:r w:rsidR="00E813D6">
        <w:rPr>
          <w:rFonts w:cstheme="minorHAnsi"/>
        </w:rPr>
        <w:fldChar w:fldCharType="separate"/>
      </w:r>
      <w:r w:rsidR="00EB4A84" w:rsidRPr="00EB4A84">
        <w:rPr>
          <w:rFonts w:cstheme="minorHAnsi"/>
          <w:noProof/>
        </w:rPr>
        <w:t xml:space="preserve">(Hicke </w:t>
      </w:r>
      <w:r w:rsidR="00EB4A84" w:rsidRPr="00EB4A84">
        <w:rPr>
          <w:rFonts w:cstheme="minorHAnsi"/>
          <w:i/>
          <w:noProof/>
        </w:rPr>
        <w:t>et al.</w:t>
      </w:r>
      <w:r w:rsidR="00EB4A84" w:rsidRPr="00EB4A84">
        <w:rPr>
          <w:rFonts w:cstheme="minorHAnsi"/>
          <w:noProof/>
        </w:rPr>
        <w:t xml:space="preserve">, 2012; Stephens </w:t>
      </w:r>
      <w:r w:rsidR="00EB4A84" w:rsidRPr="00EB4A84">
        <w:rPr>
          <w:rFonts w:cstheme="minorHAnsi"/>
          <w:i/>
          <w:noProof/>
        </w:rPr>
        <w:t>et al.</w:t>
      </w:r>
      <w:r w:rsidR="00EB4A84" w:rsidRPr="00EB4A84">
        <w:rPr>
          <w:rFonts w:cstheme="minorHAnsi"/>
          <w:noProof/>
        </w:rPr>
        <w:t>, 2018; Wayman and Safford, 2021)</w:t>
      </w:r>
      <w:r w:rsidR="00E813D6">
        <w:rPr>
          <w:rFonts w:cstheme="minorHAnsi"/>
        </w:rPr>
        <w:fldChar w:fldCharType="end"/>
      </w:r>
      <w:r w:rsidR="00D45C6F" w:rsidRPr="00F30BF0">
        <w:rPr>
          <w:rFonts w:cstheme="minorHAnsi"/>
        </w:rPr>
        <w:t xml:space="preserve">. </w:t>
      </w:r>
      <w:r w:rsidR="009F381B" w:rsidRPr="00F30BF0">
        <w:rPr>
          <w:rFonts w:cstheme="minorHAnsi"/>
        </w:rPr>
        <w:t xml:space="preserve">Likewise, wildfires may decrease trees’ ability to resist bark beetles, facilitating epidemic outbreaks in the event of a post-fire drought </w:t>
      </w:r>
      <w:r w:rsidR="00E813D6">
        <w:rPr>
          <w:rFonts w:cstheme="minorHAnsi"/>
        </w:rPr>
        <w:fldChar w:fldCharType="begin" w:fldLock="1"/>
      </w:r>
      <w:r w:rsidR="00307D27">
        <w:rPr>
          <w:rFonts w:cstheme="minorHAnsi"/>
        </w:rPr>
        <w:instrText>ADDIN CSL_CITATION {"citationItems":[{"id":"ITEM-1","itemData":{"DOI":"10.1139/x2012-147","ISBN":"0045-5067","ISSN":"0045-5067","abstract":"Bark beetles can cause substantial mortality of trees that would otherwise survive fire injuries. Resin response of fire-injured northern Rocky Mountain ponderosa pine (Pinus ponderosa Douglas ex P. Lawson &amp; C. Lawson) and specific injuries that contribute to increased bark beetle attack susceptibility and brood production are unknown. We monitored ponderosa pine mortality and resin flow and bark beetle colonization and reproduction following a prescribed fire in Idaho and a wildfire in Montana. The level of fire-caused tree injury differed between the two sites, and the level of tree injury most susceptible to bark beetle attack and colonization also differed. Strip-attacked trees alive 3 years post-fire had lower levels of bole and crown injury than trees mass attacked and killed by bark beetles, suggesting that fire-injured trees were less well defended. Brood production of western pine beetle (Dendroctonus brevicomis LeConte) did not differ between fire-injured and uninjured trees, although mountain pine beetle (Dendroctonus ponderosae Hopkins) brood production was low in both tree types, potentially due to competition with faster developing bark beetle species that also colonized trees. Despite a large number of live trees remaining at both sites, bark beetle response to fire-injured trees pulsed and receded within 2 years post-fire, potentially due to a limited number of trees that could be easily colonized.","author":[{"dropping-particle":"","family":"Davis","given":"Ryan S","non-dropping-particle":"","parse-names":false,"suffix":""},{"dropping-particle":"","family":"Hood","given":"Sharon","non-dropping-particle":"","parse-names":false,"suffix":""},{"dropping-particle":"","family":"Bentz","given":"Barbara J","non-dropping-particle":"","parse-names":false,"suffix":""}],"container-title":"Canadian Journal of Forest Research-Revue Canadienne De Recherche Forestiere","id":"ITEM-1","issue":"12","issued":{"date-parts":[["2012"]]},"page":"2022-2036","title":"Fire-injured ponderosa pine provide a pulsed resource for bark beetles","type":"article-journal","volume":"42"},"uris":["http://www.mendeley.com/documents/?uuid=b48fe7a1-921e-4743-b78b-7bb3d931a4bf"]},{"id":"ITEM-2","itemData":{"DOI":"10.1002/eap.2507","ISSN":"1051-0761","abstract":"In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trees","type":"article-journal"},"uris":["http://www.mendeley.com/documents/?uuid=923f9f80-0634-4566-ac74-bb9eb698fef4"]}],"mendeley":{"formattedCitation":"(Davis, Hood and Bentz, 2012; Furniss &lt;i&gt;et al.&lt;/i&gt;, 2021)","plainTextFormattedCitation":"(Davis, Hood and Bentz, 2012; Furniss et al., 2021)","previouslyFormattedCitation":"(Davis, Hood and Bentz, 2012; Furniss &lt;i&gt;et al.&lt;/i&gt;, 2021)"},"properties":{"noteIndex":0},"schema":"https://github.com/citation-style-language/schema/raw/master/csl-citation.json"}</w:instrText>
      </w:r>
      <w:r w:rsidR="00E813D6">
        <w:rPr>
          <w:rFonts w:cstheme="minorHAnsi"/>
        </w:rPr>
        <w:fldChar w:fldCharType="separate"/>
      </w:r>
      <w:r w:rsidR="00AE693D" w:rsidRPr="00AE693D">
        <w:rPr>
          <w:rFonts w:cstheme="minorHAnsi"/>
          <w:noProof/>
        </w:rPr>
        <w:t xml:space="preserve">(Davis, Hood and Bentz, 2012; Furniss </w:t>
      </w:r>
      <w:r w:rsidR="00AE693D" w:rsidRPr="00AE693D">
        <w:rPr>
          <w:rFonts w:cstheme="minorHAnsi"/>
          <w:i/>
          <w:noProof/>
        </w:rPr>
        <w:t>et al.</w:t>
      </w:r>
      <w:r w:rsidR="00AE693D" w:rsidRPr="00AE693D">
        <w:rPr>
          <w:rFonts w:cstheme="minorHAnsi"/>
          <w:noProof/>
        </w:rPr>
        <w:t>, 2021)</w:t>
      </w:r>
      <w:r w:rsidR="00E813D6">
        <w:rPr>
          <w:rFonts w:cstheme="minorHAnsi"/>
        </w:rPr>
        <w:fldChar w:fldCharType="end"/>
      </w:r>
      <w:r w:rsidR="009F381B" w:rsidRPr="00F30BF0">
        <w:rPr>
          <w:rFonts w:cstheme="minorHAnsi"/>
        </w:rPr>
        <w:t>.</w:t>
      </w:r>
      <w:r w:rsidR="00D45C6F" w:rsidRPr="00F30BF0">
        <w:rPr>
          <w:rFonts w:cstheme="minorHAnsi"/>
        </w:rPr>
        <w:t xml:space="preserve"> </w:t>
      </w:r>
      <w:r w:rsidR="00307D27">
        <w:rPr>
          <w:rFonts w:cstheme="minorHAnsi"/>
        </w:rPr>
        <w:t xml:space="preserve">Competition tends to reduce trees’ ability to resist drought and beetle epidemics </w:t>
      </w:r>
      <w:r w:rsidR="00307D27">
        <w:rPr>
          <w:rFonts w:cstheme="minorHAnsi"/>
        </w:rPr>
        <w:fldChar w:fldCharType="begin" w:fldLock="1"/>
      </w:r>
      <w:r w:rsidR="005E7ECB">
        <w:rPr>
          <w:rFonts w:cstheme="minorHAnsi"/>
        </w:rPr>
        <w:instrText>ADDIN CSL_CITATION {"citationItems":[{"id":"ITEM-1","itemData":{"DOI":"10.1002/eap.2507","ISSN":"1051-0761","abstract":"In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Applications","id":"ITEM-1","issue":"June 2021","issued":{"date-parts":[["2021"]]},"page":"1-14","title":"Crowding, climate, and the case for social distancing among trees","type":"article-journal"},"uris":["http://www.mendeley.com/documents/?uuid=923f9f80-0634-4566-ac74-bb9eb698fef4"]},{"id":"ITEM-2","itemData":{"DOI":"10.1111/ele.12711","ISSN":"1461023X","author":[{"dropping-particle":"","family":"Young","given":"Derek J. N.","non-dropping-particle":"","parse-names":false,"suffix":""},{"dropping-particle":"","family":"Stevens","given":"Jens T.","non-dropping-particle":"","parse-names":false,"suffix":""},{"dropping-particle":"","family":"Earles","given":"J. Mason","non-dropping-particle":"","parse-names":false,"suffix":""},{"dropping-particle":"","family":"Moore","given":"Jeffrey","non-dropping-particle":"","parse-names":false,"suffix":""},{"dropping-particle":"","family":"Ellis","given":"Adam","non-dropping-particle":"","parse-names":false,"suffix":""},{"dropping-particle":"","family":"Jirka","given":"Amy L.","non-dropping-particle":"","parse-names":false,"suffix":""},{"dropping-particle":"","family":"Latimer","given":"Andrew M.","non-dropping-particle":"","parse-names":false,"suffix":""}],"container-title":"Ecology Letters","id":"ITEM-2","issue":"1","issued":{"date-parts":[["2017"]]},"page":"78-86","title":"Long-term climate and competition explain forest mortality patterns under extreme drought","type":"article-journal","volume":"20"},"uris":["http://www.mendeley.com/documents/?uuid=11db3a96-5a65-4eb7-b92a-5cde2681bbb2"]}],"mendeley":{"formattedCitation":"(Young &lt;i&gt;et al.&lt;/i&gt;, 2017; Furniss &lt;i&gt;et al.&lt;/i&gt;, 2021)","plainTextFormattedCitation":"(Young et al., 2017; Furniss et al., 2021)","previouslyFormattedCitation":"(Young &lt;i&gt;et al.&lt;/i&gt;, 2017; Furniss &lt;i&gt;et al.&lt;/i&gt;, 2021)"},"properties":{"noteIndex":0},"schema":"https://github.com/citation-style-language/schema/raw/master/csl-citation.json"}</w:instrText>
      </w:r>
      <w:r w:rsidR="00307D27">
        <w:rPr>
          <w:rFonts w:cstheme="minorHAnsi"/>
        </w:rPr>
        <w:fldChar w:fldCharType="separate"/>
      </w:r>
      <w:r w:rsidR="00307D27" w:rsidRPr="00307D27">
        <w:rPr>
          <w:rFonts w:cstheme="minorHAnsi"/>
          <w:noProof/>
        </w:rPr>
        <w:t xml:space="preserve">(Young </w:t>
      </w:r>
      <w:r w:rsidR="00307D27" w:rsidRPr="00307D27">
        <w:rPr>
          <w:rFonts w:cstheme="minorHAnsi"/>
          <w:i/>
          <w:noProof/>
        </w:rPr>
        <w:t>et al.</w:t>
      </w:r>
      <w:r w:rsidR="00307D27" w:rsidRPr="00307D27">
        <w:rPr>
          <w:rFonts w:cstheme="minorHAnsi"/>
          <w:noProof/>
        </w:rPr>
        <w:t xml:space="preserve">, 2017; Furniss </w:t>
      </w:r>
      <w:r w:rsidR="00307D27" w:rsidRPr="00307D27">
        <w:rPr>
          <w:rFonts w:cstheme="minorHAnsi"/>
          <w:i/>
          <w:noProof/>
        </w:rPr>
        <w:t>et al.</w:t>
      </w:r>
      <w:r w:rsidR="00307D27" w:rsidRPr="00307D27">
        <w:rPr>
          <w:rFonts w:cstheme="minorHAnsi"/>
          <w:noProof/>
        </w:rPr>
        <w:t>, 2021)</w:t>
      </w:r>
      <w:r w:rsidR="00307D27">
        <w:rPr>
          <w:rFonts w:cstheme="minorHAnsi"/>
        </w:rPr>
        <w:fldChar w:fldCharType="end"/>
      </w:r>
      <w:r w:rsidR="00307D27">
        <w:rPr>
          <w:rFonts w:cstheme="minorHAnsi"/>
        </w:rPr>
        <w:t xml:space="preserve">. </w:t>
      </w:r>
      <w:commentRangeStart w:id="74"/>
      <w:r w:rsidR="00D45C6F" w:rsidRPr="00F30BF0">
        <w:rPr>
          <w:rFonts w:cstheme="minorHAnsi"/>
        </w:rPr>
        <w:t xml:space="preserve">Finally, there is potential for stressors to mitigate one another, primarily by a mechanism where mortality caused by one stressor results in less competitive stress and increased resilience to other stressors </w:t>
      </w:r>
      <w:r w:rsidR="006E2D9F">
        <w:rPr>
          <w:rFonts w:cstheme="minorHAnsi"/>
        </w:rPr>
        <w:fldChar w:fldCharType="begin" w:fldLock="1"/>
      </w:r>
      <w:r w:rsidR="002C19B3">
        <w:rPr>
          <w:rFonts w:cstheme="minorHAnsi"/>
        </w:rPr>
        <w:instrText>ADDIN CSL_CITATION {"citationItems":[{"id":"ITEM-1","itemData":{"DOI":"10.1016/j.foreco.2021.120004","ISSN":"03781127","author":[{"dropping-particle":"","family":"North","given":"Malcolm P.","non-dropping-particle":"","parse-names":false,"suffix":""},{"dropping-particle":"","family":"Tompkins","given":"Ryan E.","non-dropping-particle":"","parse-names":false,"suffix":""},{"dropping-particle":"","family":"Bernal","given":"Alexis A.","non-dropping-particle":"","parse-names":false,"suffix":""},{"dropping-particle":"","family":"Collins","given":"Brandon M.","non-dropping-particle":"","parse-names":false,"suffix":""},{"dropping-particle":"","family":"Stephens","given":"Scott L.","non-dropping-particle":"","parse-names":false,"suffix":""},{"dropping-particle":"","family":"York","given":"Robert A.","non-dropping-particle":"","parse-names":false,"suffix":""}],"container-title":"Forest Ecology and Management","id":"ITEM-1","issue":"November 2021","issued":{"date-parts":[["2022"]]},"page":"120004","publisher":"Elsevier B.V.","title":"Operational resilience in western US frequent-fire forests","type":"article-journal","volume":"507"},"uris":["http://www.mendeley.com/documents/?uuid=465230a6-1d96-4a43-8dec-1e3c5870286d"]},{"id":"ITEM-2","itemData":{"DOI":"10.4996/fireecology.1201013","author":[{"dropping-particle":"","family":"Mantgem","given":"Philip J.","non-dropping-particle":"van","parse-names":false,"suffix":""},{"dropping-particle":"","family":"Caprio","given":"Anthony C.","non-dropping-particle":"","parse-names":false,"suffix":""},{"dropping-particle":"","family":"Stephenson","given":"Nathan L.","non-dropping-particle":"","parse-names":false,"suffix":""},{"dropping-particle":"","family":"Das","given":"Adrian J.","non-dropping-particle":"","parse-names":false,"suffix":""}],"container-title":"Fire Ecology","id":"ITEM-2","issue":"1","issued":{"date-parts":[["2016"]]},"page":"5-15","title":"Does Prescribed Fire Promote Resistance To Drought in Low Elevation Forests of the Sierra Nevada, California, Usa?","type":"article-journal","volume":"12"},"uris":["http://www.mendeley.com/documents/?uuid=a2a16642-586b-4123-bc0c-4ec90fc1da8b"]},{"id":"ITEM-3","itemData":{"DOI":"10.1111/gcb.14543","ISSN":"13652486","abstract":"A century of fire suppression across the Western United States has led to more crowded forests and increased competition for resources. Studies of forest thinning or stand conditions after mortality events have provided indirect evidence for how competition can promote drought stress and predispose forests to severe fire and/or bark beetle outbreaks. Here, we demonstrate linkages between fire deficits and increasing drought stress through analyses of annually resolved tree-ring growth, fire scars, and carbon isotope discrimination (Δ 13 C) across a dry mixed-conifer forest landscape. Fire deficits across the study area have increased the sensitivity of leaf gas exchange to drought stress over the past &gt;100 years. Since 1910, stand basal area in these forests has more than doubled and fire-return intervals have increased from 25 to 140 years. Meanwhile, the portion of interannual variation in tree-ring Δ 13 C explained by the Palmer Drought Severity Index has more than doubled in ca. 300–500-year-old Pinus ponderosa as well as in fire-intolerant, ca. 90–190-year-old Abies grandis. Drought stress has increased in stands with a basal area of ≥25 m 2 /ha in 1910, as indicated by negative temporal Δ 13 C trends, whereas stands with basal area ≤25 m 2 /ha in 1910, due to frequent or intense wildfire activity in decades beforehand, were initially buffered from increased drought stress and have benefited more from rising ambient carbon dioxide concentrations, [CO 2 ], as demonstrated by positive temporal Δ 13 C trends. Furthermore, the average Δ 13 C response across all P. ponderosa since 1830 indicates that photosynthetic assimilation rates and stomatal conductance have been reduced by ~10% and ~20%, respectively, compared to expected trends due to increasing [CO 2 ]. Although disturbance legacies contribute to local-scale intensity of drought stress, fire deficits have reduced drought resistance of mixed-conifer forests and made them more susceptible to challenges by pests and pathogens and other disturbances.","author":[{"dropping-particle":"","family":"Voelker","given":"Steven L.","non-dropping-particle":"","parse-names":false,"suffix":""},{"dropping-particle":"","family":"Merschel","given":"Andrew G.","non-dropping-particle":"","parse-names":false,"suffix":""},{"dropping-particle":"","family":"Meinzer","given":"Frederick C.","non-dropping-particle":"","parse-names":false,"suffix":""},{"dropping-particle":"","family":"Ulrich","given":"Danielle E.M.","non-dropping-particle":"","parse-names":false,"suffix":""},{"dropping-particle":"","family":"Spies","given":"Thomas A.","non-dropping-particle":"","parse-names":false,"suffix":""},{"dropping-particle":"","family":"Still","given":"Christopher J.","non-dropping-particle":"","parse-names":false,"suffix":""}],"container-title":"Global Change Biology","id":"ITEM-3","issue":"4","issued":{"date-parts":[["2019"]]},"page":"1247-1262","title":"Fire deficits have increased drought sensitivity in dry conifer forests: Fire frequency and tree-ring carbon isotope evidence from Central Oregon","type":"article-journal","volume":"25"},"uris":["http://www.mendeley.com/documents/?uuid=9142c91d-cd4f-4631-ad88-9407d08c0bc5"]}],"mendeley":{"formattedCitation":"(van Mantgem &lt;i&gt;et al.&lt;/i&gt;, 2016; Voelker &lt;i&gt;et al.&lt;/i&gt;, 2019; North &lt;i&gt;et al.&lt;/i&gt;, 2022)","plainTextFormattedCitation":"(van Mantgem et al., 2016; Voelker et al., 2019; North et al., 2022)","previouslyFormattedCitation":"(van Mantgem &lt;i&gt;et al.&lt;/i&gt;, 2016; Voelker &lt;i&gt;et al.&lt;/i&gt;, 2019; North &lt;i&gt;et al.&lt;/i&gt;, 2022)"},"properties":{"noteIndex":0},"schema":"https://github.com/citation-style-language/schema/raw/master/csl-citation.json"}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(van Mantgem </w:t>
      </w:r>
      <w:r w:rsidR="00EB4A84" w:rsidRPr="00EB4A84">
        <w:rPr>
          <w:rFonts w:cstheme="minorHAnsi"/>
          <w:i/>
          <w:noProof/>
        </w:rPr>
        <w:t>et al.</w:t>
      </w:r>
      <w:r w:rsidR="00EB4A84" w:rsidRPr="00EB4A84">
        <w:rPr>
          <w:rFonts w:cstheme="minorHAnsi"/>
          <w:noProof/>
        </w:rPr>
        <w:t xml:space="preserve">, 2016; Voelker </w:t>
      </w:r>
      <w:r w:rsidR="00EB4A84" w:rsidRPr="00EB4A84">
        <w:rPr>
          <w:rFonts w:cstheme="minorHAnsi"/>
          <w:i/>
          <w:noProof/>
        </w:rPr>
        <w:t>et al.</w:t>
      </w:r>
      <w:r w:rsidR="00EB4A84" w:rsidRPr="00EB4A84">
        <w:rPr>
          <w:rFonts w:cstheme="minorHAnsi"/>
          <w:noProof/>
        </w:rPr>
        <w:t xml:space="preserve">, 2019; North </w:t>
      </w:r>
      <w:r w:rsidR="00EB4A84" w:rsidRPr="00EB4A84">
        <w:rPr>
          <w:rFonts w:cstheme="minorHAnsi"/>
          <w:i/>
          <w:noProof/>
        </w:rPr>
        <w:t>et al.</w:t>
      </w:r>
      <w:r w:rsidR="00EB4A84" w:rsidRPr="00EB4A84">
        <w:rPr>
          <w:rFonts w:cstheme="minorHAnsi"/>
          <w:noProof/>
        </w:rPr>
        <w:t>, 2022)</w:t>
      </w:r>
      <w:r w:rsidR="006E2D9F">
        <w:rPr>
          <w:rFonts w:cstheme="minorHAnsi"/>
        </w:rPr>
        <w:fldChar w:fldCharType="end"/>
      </w:r>
      <w:r w:rsidR="00D45C6F" w:rsidRPr="00F30BF0">
        <w:rPr>
          <w:rFonts w:cstheme="minorHAnsi"/>
        </w:rPr>
        <w:t xml:space="preserve">. </w:t>
      </w:r>
      <w:r w:rsidR="00EA5263">
        <w:rPr>
          <w:rFonts w:cstheme="minorHAnsi"/>
        </w:rPr>
        <w:t>For example, wildfire could reduce basal area, leaving the surviving trees better able to resist drought over the long term.</w:t>
      </w:r>
      <w:r w:rsidR="009F381B" w:rsidRPr="00F30BF0">
        <w:rPr>
          <w:rFonts w:cstheme="minorHAnsi"/>
        </w:rPr>
        <w:t xml:space="preserve"> </w:t>
      </w:r>
      <w:commentRangeEnd w:id="74"/>
      <w:r w:rsidR="002626E1">
        <w:rPr>
          <w:rStyle w:val="CommentReference"/>
        </w:rPr>
        <w:commentReference w:id="74"/>
      </w:r>
      <w:r w:rsidR="006838F2" w:rsidRPr="00F30BF0">
        <w:rPr>
          <w:rFonts w:cstheme="minorHAnsi"/>
        </w:rPr>
        <w:t xml:space="preserve">Exploring how stressors are likely to interact and shape population dynamics is another goal for future research. </w:t>
      </w:r>
      <w:commentRangeEnd w:id="73"/>
      <w:r w:rsidR="00832E90">
        <w:rPr>
          <w:rStyle w:val="CommentReference"/>
        </w:rPr>
        <w:commentReference w:id="73"/>
      </w:r>
    </w:p>
    <w:p w14:paraId="05C821C7" w14:textId="1AA13184" w:rsidR="000B464D" w:rsidRPr="00F30BF0" w:rsidRDefault="009B0C1C" w:rsidP="00D70E5C">
      <w:pPr>
        <w:spacing w:line="360" w:lineRule="auto"/>
        <w:ind w:firstLine="360"/>
        <w:rPr>
          <w:rFonts w:cstheme="minorHAnsi"/>
        </w:rPr>
      </w:pPr>
      <w:commentRangeStart w:id="75"/>
      <w:r w:rsidRPr="00F30BF0">
        <w:rPr>
          <w:rFonts w:cstheme="minorHAnsi"/>
        </w:rPr>
        <w:t>There are several other limitations to this study.</w:t>
      </w:r>
      <w:r w:rsidR="006838F2" w:rsidRPr="00F30BF0">
        <w:rPr>
          <w:rFonts w:cstheme="minorHAnsi"/>
        </w:rPr>
        <w:t xml:space="preserve"> </w:t>
      </w:r>
      <w:commentRangeEnd w:id="75"/>
      <w:r w:rsidR="00832E90">
        <w:rPr>
          <w:rStyle w:val="CommentReference"/>
        </w:rPr>
        <w:commentReference w:id="75"/>
      </w:r>
      <w:r w:rsidR="00512388" w:rsidRPr="00F30BF0">
        <w:rPr>
          <w:rFonts w:cstheme="minorHAnsi"/>
        </w:rPr>
        <w:t>First, the indirect monitoring of fecundity via size-class-tallies frustrates our ability to quantify the impact of size and stressors on recruitment. This results in uncertainty about how rare stressors, in particular WPBR, affect reproduction. Second, the limitations of the FIA data increase uncertainty about the effects of some stressors. In particular, the presence of WPBR on individual trees (and thus on their subplots) may be difficult to detect</w:t>
      </w:r>
      <w:r w:rsidR="006E2D9F">
        <w:rPr>
          <w:rFonts w:cstheme="minorHAnsi"/>
        </w:rPr>
        <w:t xml:space="preserve"> </w:t>
      </w:r>
      <w:r w:rsidR="006E2D9F">
        <w:rPr>
          <w:rFonts w:cstheme="minorHAnsi"/>
        </w:rPr>
        <w:fldChar w:fldCharType="begin" w:fldLock="1"/>
      </w:r>
      <w:r w:rsidR="002C19B3">
        <w:rPr>
          <w:rFonts w:cstheme="minorHAnsi"/>
        </w:rPr>
        <w:instrText>ADDIN CSL_CITATION {"citationItems":[{"id":"ITEM-1","itemData":{"DOI":"10.1002/ecs2.3263","author":[{"dropping-particle":"","family":"Dudney","given":"Joan C.","non-dropping-particle":"","parse-names":false,"suffix":""},{"dropping-particle":"","family":"Nesmith","given":"Jonathan C.B.","non-dropping-particle":"","parse-names":false,"suffix":""},{"dropping-particle":"","family":"Cahill","given":"Matthew C.","non-dropping-particle":"","parse-names":false,"suffix":""},{"dropping-particle":"","family":"Cribbs","given":"Jennifer E.","non-dropping-particle":"","parse-names":false,"suffix":""},{"dropping-particle":"","family":"Duriscoe","given":"Dan M.","non-dropping-particle":"","parse-names":false,"suffix":""},{"dropping-particle":"","family":"Das","given":"Adrian J.","non-dropping-particle":"","parse-names":false,"suffix":""},{"dropping-particle":"","family":"Stephenson","given":"Nathan L.","non-dropping-particle":"","parse-names":false,"suffix":""},{"dropping-particle":"","family":"Battles","given":"John J.","non-dropping-particle":"","parse-names":false,"suffix":""}],"container-title":"Ecosphere","id":"ITEM-1","issue":"October","issued":{"date-parts":[["2020"]]},"page":"e03263","title":"Compounding effects of white pine blister rust, mountain pine beetle, and fire threaten four white pine species","type":"article-journal","volume":"11"},"uris":["http://www.mendeley.com/documents/?uuid=54eba3d7-5ed4-4e44-a51e-b1150e7c2215"]}],"mendeley":{"formattedCitation":"(Dudney &lt;i&gt;et al.&lt;/i&gt;, 2020)","plainTextFormattedCitation":"(Dudney et al., 2020)","previouslyFormattedCitation":"(Dudney &lt;i&gt;et al.&lt;/i&gt;, 2020)"},"properties":{"noteIndex":0},"schema":"https://github.com/citation-style-language/schema/raw/master/csl-citation.json"}</w:instrText>
      </w:r>
      <w:r w:rsidR="006E2D9F">
        <w:rPr>
          <w:rFonts w:cstheme="minorHAnsi"/>
        </w:rPr>
        <w:fldChar w:fldCharType="separate"/>
      </w:r>
      <w:r w:rsidR="00EB4A84" w:rsidRPr="00EB4A84">
        <w:rPr>
          <w:rFonts w:cstheme="minorHAnsi"/>
          <w:noProof/>
        </w:rPr>
        <w:t xml:space="preserve">(Dudney </w:t>
      </w:r>
      <w:r w:rsidR="00EB4A84" w:rsidRPr="00EB4A84">
        <w:rPr>
          <w:rFonts w:cstheme="minorHAnsi"/>
          <w:i/>
          <w:noProof/>
        </w:rPr>
        <w:t>et al.</w:t>
      </w:r>
      <w:r w:rsidR="00EB4A84" w:rsidRPr="00EB4A84">
        <w:rPr>
          <w:rFonts w:cstheme="minorHAnsi"/>
          <w:noProof/>
        </w:rPr>
        <w:t>, 2020)</w:t>
      </w:r>
      <w:r w:rsidR="006E2D9F">
        <w:rPr>
          <w:rFonts w:cstheme="minorHAnsi"/>
        </w:rPr>
        <w:fldChar w:fldCharType="end"/>
      </w:r>
      <w:r w:rsidR="004E6FBC" w:rsidRPr="00F30BF0">
        <w:rPr>
          <w:rFonts w:cstheme="minorHAnsi"/>
        </w:rPr>
        <w:t>, and</w:t>
      </w:r>
      <w:r w:rsidR="00512388" w:rsidRPr="00F30BF0">
        <w:rPr>
          <w:rFonts w:cstheme="minorHAnsi"/>
        </w:rPr>
        <w:t xml:space="preserve"> is likely that WPBR was only detected in this study where it has caused a particularly severe infection in a sampled tree</w:t>
      </w:r>
      <w:r w:rsidR="004E6FBC" w:rsidRPr="00F30BF0">
        <w:rPr>
          <w:rFonts w:cstheme="minorHAnsi"/>
        </w:rPr>
        <w:t>. There are two likely effects of this sampling bias towards under detection:</w:t>
      </w:r>
      <w:r w:rsidR="00512388" w:rsidRPr="00F30BF0">
        <w:rPr>
          <w:rFonts w:cstheme="minorHAnsi"/>
        </w:rPr>
        <w:t xml:space="preserve"> Our data may underreport the true prevalence of WPBR and overestimate the true impact of its presence on a subplot. </w:t>
      </w:r>
      <w:commentRangeStart w:id="76"/>
      <w:r w:rsidR="004E6FBC" w:rsidRPr="00F30BF0">
        <w:rPr>
          <w:rFonts w:cstheme="minorHAnsi"/>
        </w:rPr>
        <w:t>Likewise, this study used nominal, rather than actual, FIA coordinates to extract drought and site dryness data for each plot from the terraClimate data</w:t>
      </w:r>
      <w:commentRangeEnd w:id="76"/>
      <w:r w:rsidR="00832E90">
        <w:rPr>
          <w:rStyle w:val="CommentReference"/>
        </w:rPr>
        <w:commentReference w:id="76"/>
      </w:r>
      <w:r w:rsidR="004E6FBC" w:rsidRPr="00F30BF0">
        <w:rPr>
          <w:rFonts w:cstheme="minorHAnsi"/>
        </w:rPr>
        <w:t xml:space="preserve">. Though the resolution of the terraClimate data is similar to the scale at which plot coordinates are fuzzed, the </w:t>
      </w:r>
      <w:r w:rsidR="006E2D9F">
        <w:rPr>
          <w:rFonts w:cstheme="minorHAnsi"/>
        </w:rPr>
        <w:t xml:space="preserve">fuzzing and </w:t>
      </w:r>
      <w:r w:rsidR="004E6FBC" w:rsidRPr="00F30BF0">
        <w:rPr>
          <w:rFonts w:cstheme="minorHAnsi"/>
        </w:rPr>
        <w:t xml:space="preserve">swapping of plot coordinates likely introduced error between the true drought and site dryness experienced on a </w:t>
      </w:r>
      <w:r w:rsidR="004E6FBC" w:rsidRPr="00F30BF0">
        <w:rPr>
          <w:rFonts w:cstheme="minorHAnsi"/>
        </w:rPr>
        <w:lastRenderedPageBreak/>
        <w:t xml:space="preserve">plot and the measured drought and site dryness appearing in our data. This </w:t>
      </w:r>
      <w:r w:rsidR="006E2D9F">
        <w:rPr>
          <w:rFonts w:cstheme="minorHAnsi"/>
        </w:rPr>
        <w:t xml:space="preserve">noisy measurement of climate conditions </w:t>
      </w:r>
      <w:r w:rsidR="004E6FBC" w:rsidRPr="00F30BF0">
        <w:rPr>
          <w:rFonts w:cstheme="minorHAnsi"/>
        </w:rPr>
        <w:t xml:space="preserve">could result in an underestimation of the </w:t>
      </w:r>
      <w:r w:rsidR="006E2D9F">
        <w:rPr>
          <w:rFonts w:cstheme="minorHAnsi"/>
        </w:rPr>
        <w:t xml:space="preserve">true </w:t>
      </w:r>
      <w:r w:rsidR="004E6FBC" w:rsidRPr="00F30BF0">
        <w:rPr>
          <w:rFonts w:cstheme="minorHAnsi"/>
        </w:rPr>
        <w:t xml:space="preserve">effects of drought and site dryness. </w:t>
      </w:r>
    </w:p>
    <w:p w14:paraId="17611A37" w14:textId="60A68183" w:rsidR="00277ED1" w:rsidRPr="00F30BF0" w:rsidRDefault="009B0C1C" w:rsidP="00277ED1">
      <w:pPr>
        <w:spacing w:line="360" w:lineRule="auto"/>
        <w:ind w:firstLine="360"/>
        <w:rPr>
          <w:rFonts w:cstheme="minorHAnsi"/>
        </w:rPr>
      </w:pPr>
      <w:r w:rsidRPr="00F30BF0">
        <w:rPr>
          <w:rFonts w:cstheme="minorHAnsi"/>
        </w:rPr>
        <w:t xml:space="preserve">Despite these limitations, this study is the first range-wide assessment of stressors impacting the vital rates and population dynamics of sugar pine. The analysis described here allows direct comparison of the influence of fire, WPBR, stand density, </w:t>
      </w:r>
      <w:r w:rsidR="00403C76" w:rsidRPr="00F30BF0">
        <w:rPr>
          <w:rFonts w:cstheme="minorHAnsi"/>
        </w:rPr>
        <w:t>short-term</w:t>
      </w:r>
      <w:r w:rsidRPr="00F30BF0">
        <w:rPr>
          <w:rFonts w:cstheme="minorHAnsi"/>
        </w:rPr>
        <w:t xml:space="preserve"> drought</w:t>
      </w:r>
      <w:r w:rsidR="00403C76" w:rsidRPr="00F30BF0">
        <w:rPr>
          <w:rFonts w:cstheme="minorHAnsi"/>
        </w:rPr>
        <w:t>, and long-term site dryness</w:t>
      </w:r>
      <w:r w:rsidR="00817E66" w:rsidRPr="00F30BF0">
        <w:rPr>
          <w:rFonts w:cstheme="minorHAnsi"/>
        </w:rPr>
        <w:t>,</w:t>
      </w:r>
      <w:r w:rsidRPr="00F30BF0">
        <w:rPr>
          <w:rFonts w:cstheme="minorHAnsi"/>
        </w:rPr>
        <w:t xml:space="preserve"> provid</w:t>
      </w:r>
      <w:r w:rsidR="00817E66" w:rsidRPr="00F30BF0">
        <w:rPr>
          <w:rFonts w:cstheme="minorHAnsi"/>
        </w:rPr>
        <w:t>ing</w:t>
      </w:r>
      <w:r w:rsidRPr="00F30BF0">
        <w:rPr>
          <w:rFonts w:cstheme="minorHAnsi"/>
        </w:rPr>
        <w:t xml:space="preserve"> valuable guidance for managers seeking to conserve sugar pine</w:t>
      </w:r>
      <w:r w:rsidR="00403C76" w:rsidRPr="00F30BF0">
        <w:rPr>
          <w:rFonts w:cstheme="minorHAnsi"/>
        </w:rPr>
        <w:t xml:space="preserve">. </w:t>
      </w:r>
      <w:r w:rsidR="00817E66" w:rsidRPr="00F30BF0">
        <w:rPr>
          <w:rFonts w:cstheme="minorHAnsi"/>
        </w:rPr>
        <w:t xml:space="preserve">The importance of fire in shaping the population trajectory of sugar pine is a core finding here, and a core takeaway is that managers seeking to conserve sugar pine must address the threat of </w:t>
      </w:r>
      <w:r w:rsidR="006E2387" w:rsidRPr="00F30BF0">
        <w:rPr>
          <w:rFonts w:cstheme="minorHAnsi"/>
        </w:rPr>
        <w:t xml:space="preserve">wildfire. </w:t>
      </w:r>
      <w:commentRangeStart w:id="77"/>
      <w:r w:rsidR="00EF6399" w:rsidRPr="00F30BF0">
        <w:rPr>
          <w:rFonts w:cstheme="minorHAnsi"/>
        </w:rPr>
        <w:t>Though managers may take comfort that the median asymptotic population growth rate across all sampled subplots</w:t>
      </w:r>
      <w:r w:rsidR="006E2D9F">
        <w:rPr>
          <w:rFonts w:cstheme="minorHAnsi"/>
        </w:rPr>
        <w:t xml:space="preserve"> (</w:t>
      </w:r>
      <w:r w:rsidR="00EF6399" w:rsidRPr="00F30BF0">
        <w:rPr>
          <w:rFonts w:cstheme="minorHAnsi"/>
        </w:rPr>
        <w:t>as predicted from posterior-median parameter values</w:t>
      </w:r>
      <w:r w:rsidR="006E2D9F">
        <w:rPr>
          <w:rFonts w:cstheme="minorHAnsi"/>
        </w:rPr>
        <w:t>)</w:t>
      </w:r>
      <w:r w:rsidR="00EF6399" w:rsidRPr="00F30BF0">
        <w:rPr>
          <w:rFonts w:cstheme="minorHAnsi"/>
        </w:rPr>
        <w:t xml:space="preserve"> was above one (</w:t>
      </w:r>
      <w:r w:rsidR="006D25A7" w:rsidRPr="00F30BF0">
        <w:rPr>
          <w:rFonts w:cstheme="minorHAnsi"/>
        </w:rPr>
        <w:t>1.0</w:t>
      </w:r>
      <w:r w:rsidR="00CB550D">
        <w:rPr>
          <w:rFonts w:cstheme="minorHAnsi"/>
        </w:rPr>
        <w:t>7</w:t>
      </w:r>
      <w:r w:rsidR="006D25A7" w:rsidRPr="00F30BF0">
        <w:rPr>
          <w:rFonts w:cstheme="minorHAnsi"/>
        </w:rPr>
        <w:t xml:space="preserve">, see </w:t>
      </w:r>
      <w:r w:rsidR="006D25A7" w:rsidRPr="00F30BF0">
        <w:rPr>
          <w:rFonts w:cstheme="minorHAnsi"/>
        </w:rPr>
        <w:fldChar w:fldCharType="begin"/>
      </w:r>
      <w:r w:rsidR="006D25A7" w:rsidRPr="00F30BF0">
        <w:rPr>
          <w:rFonts w:cstheme="minorHAnsi"/>
        </w:rPr>
        <w:instrText xml:space="preserve"> REF _Ref94620208 \h </w:instrText>
      </w:r>
      <w:r w:rsidR="00F30BF0">
        <w:rPr>
          <w:rFonts w:cstheme="minorHAnsi"/>
        </w:rPr>
        <w:instrText xml:space="preserve"> \* MERGEFORMAT </w:instrText>
      </w:r>
      <w:r w:rsidR="006D25A7" w:rsidRPr="00F30BF0">
        <w:rPr>
          <w:rFonts w:cstheme="minorHAnsi"/>
        </w:rPr>
      </w:r>
      <w:r w:rsidR="006D25A7" w:rsidRPr="00F30BF0">
        <w:rPr>
          <w:rFonts w:cstheme="minorHAnsi"/>
        </w:rPr>
        <w:fldChar w:fldCharType="separate"/>
      </w:r>
      <w:r w:rsidR="006D25A7" w:rsidRPr="00F30BF0">
        <w:t xml:space="preserve">Figure </w:t>
      </w:r>
      <w:r w:rsidR="006D25A7" w:rsidRPr="00F30BF0">
        <w:rPr>
          <w:noProof/>
        </w:rPr>
        <w:t>7</w:t>
      </w:r>
      <w:r w:rsidR="006D25A7" w:rsidRPr="00F30BF0">
        <w:rPr>
          <w:rFonts w:cstheme="minorHAnsi"/>
        </w:rPr>
        <w:fldChar w:fldCharType="end"/>
      </w:r>
      <w:r w:rsidR="006D25A7" w:rsidRPr="00F30BF0">
        <w:rPr>
          <w:rFonts w:cstheme="minorHAnsi"/>
        </w:rPr>
        <w:t>), population decline is predicted for more than a third of subplots where sugar pine is currently present. Furthermore, the asymptotic population growth rate assumes that the stressors impacting sugar pine’s vital rates will remain constant</w:t>
      </w:r>
      <w:r w:rsidR="0021575D" w:rsidRPr="00F30BF0">
        <w:rPr>
          <w:rFonts w:cstheme="minorHAnsi"/>
        </w:rPr>
        <w:t>, whereas in reality we expect the prevalence of these stressors, particularly fire, to increase over time</w:t>
      </w:r>
      <w:r w:rsidR="00CB550D">
        <w:rPr>
          <w:rFonts w:cstheme="minorHAnsi"/>
        </w:rPr>
        <w:t xml:space="preserve"> </w:t>
      </w:r>
      <w:r w:rsidR="00CB550D">
        <w:rPr>
          <w:rFonts w:cstheme="minorHAnsi"/>
        </w:rPr>
        <w:fldChar w:fldCharType="begin" w:fldLock="1"/>
      </w:r>
      <w:r w:rsidR="002C19B3">
        <w:rPr>
          <w:rFonts w:cstheme="minorHAnsi"/>
        </w:rPr>
        <w:instrText>ADDIN CSL_CITATION {"citationItems":[{"id":"ITEM-1","itemData":{"author":[{"dropping-particle":"","family":"Westerling","given":"Anthony Leroy","non-dropping-particle":"","parse-names":false,"suffix":""}],"collection-title":"California's Fourth Climate Change Assessment, California Energy Comission","id":"ITEM-1","issued":{"date-parts":[["2018"]]},"number":"CCCA4-CEC-2018-014","title":"Wildfire Simulations for the Fourth California Climate Assessment: Projecting Changes in Extreme Wildfire Events with a Warming Climate","type":"report"},"uris":["http://www.mendeley.com/documents/?uuid=4f4c761c-1ccd-4d78-b041-13b5263871c5"]},{"id":"ITEM-2","itemData":{"DOI":"10.1029/2020GL089858","ISSN":"19448007","abstract":"Increases in burned area across the western United States (US) since the mid-1980s have been widely documented and linked partially to climate factors, yet evaluations of trends in fire severity are lacking. Here we evaluate fire severity trends and their interannual relationships to climate for western US forests from 1985 to 2017. Significant increases in annual area burned at high severity (AABhs) were observed across most ecoregions, with an overall eightfold increase in AABhs across western US forests. The relationships we identified between the annual fire severity metrics and climate, as well as the observed and projected trend toward warmer and drier fire seasons, suggest that climate change will contribute to increased fire severity in future decades where fuels remain abundant. The growing prevalence of high-severity fire in western US forests has important implications to forest ecosystems, including an increased probability of fire-catalyzed conversions from forest to alternative vegetation types.","author":[{"dropping-particle":"","family":"Parks","given":"S. A.","non-dropping-particle":"","parse-names":false,"suffix":""},{"dropping-particle":"","family":"Abatzoglou","given":"J. T.","non-dropping-particle":"","parse-names":false,"suffix":""}],"container-title":"Geophysical Research Letters","id":"ITEM-2","issue":"22","issued":{"date-parts":[["2020"]]},"page":"1-10","title":"Warmer and Drier Fire Seasons Contribute to Increases in Area Burned at High Severity in Western US Forests From 1985 to 2017","type":"article-journal","volume":"47"},"uris":["http://www.mendeley.com/documents/?uuid=c62781ce-2164-4b01-b721-ce147287a476"]}],"mendeley":{"formattedCitation":"(Westerling, 2018; Parks and Abatzoglou, 2020)","plainTextFormattedCitation":"(Westerling, 2018; Parks and Abatzoglou, 2020)","previouslyFormattedCitation":"(Westerling, 2018; Parks and Abatzoglou, 2020)"},"properties":{"noteIndex":0},"schema":"https://github.com/citation-style-language/schema/raw/master/csl-citation.json"}</w:instrText>
      </w:r>
      <w:r w:rsidR="00CB550D">
        <w:rPr>
          <w:rFonts w:cstheme="minorHAnsi"/>
        </w:rPr>
        <w:fldChar w:fldCharType="separate"/>
      </w:r>
      <w:r w:rsidR="00EB4A84" w:rsidRPr="00EB4A84">
        <w:rPr>
          <w:rFonts w:cstheme="minorHAnsi"/>
          <w:noProof/>
        </w:rPr>
        <w:t>(Westerling, 2018; Parks and Abatzoglou, 2020)</w:t>
      </w:r>
      <w:r w:rsidR="00CB550D">
        <w:rPr>
          <w:rFonts w:cstheme="minorHAnsi"/>
        </w:rPr>
        <w:fldChar w:fldCharType="end"/>
      </w:r>
      <w:r w:rsidR="0021575D" w:rsidRPr="00F30BF0">
        <w:rPr>
          <w:rFonts w:cstheme="minorHAnsi"/>
        </w:rPr>
        <w:t xml:space="preserve">. </w:t>
      </w:r>
      <w:commentRangeEnd w:id="77"/>
      <w:r w:rsidR="00832E90">
        <w:rPr>
          <w:rStyle w:val="CommentReference"/>
        </w:rPr>
        <w:commentReference w:id="77"/>
      </w:r>
    </w:p>
    <w:p w14:paraId="1734FEBC" w14:textId="49002B9C" w:rsidR="009B0C1C" w:rsidRDefault="00277ED1" w:rsidP="00277ED1">
      <w:pPr>
        <w:spacing w:line="360" w:lineRule="auto"/>
        <w:ind w:firstLine="360"/>
        <w:rPr>
          <w:rFonts w:cstheme="minorHAnsi"/>
          <w:sz w:val="20"/>
          <w:szCs w:val="20"/>
        </w:rPr>
      </w:pPr>
      <w:r w:rsidRPr="00F30BF0">
        <w:rPr>
          <w:rFonts w:cstheme="minorHAnsi"/>
        </w:rPr>
        <w:t xml:space="preserve">This study’s findings, which point at fire and neighborhood basal area as major stressors of sugar pine, suggest that fuel treatments with a density reduction component could substantially benefit sugar pine populations. </w:t>
      </w:r>
      <w:r w:rsidR="006E2387" w:rsidRPr="00F30BF0">
        <w:rPr>
          <w:rFonts w:cstheme="minorHAnsi"/>
        </w:rPr>
        <w:t xml:space="preserve">Fuel treatments to reduce or rearrange the dead biomass which fuels wildfires have been proven to reduce the hazard of severe wildfire </w:t>
      </w:r>
      <w:commentRangeStart w:id="78"/>
      <w:r w:rsidR="00EB4A84">
        <w:rPr>
          <w:rFonts w:cstheme="minorHAnsi"/>
        </w:rPr>
        <w:fldChar w:fldCharType="begin" w:fldLock="1"/>
      </w:r>
      <w:r w:rsidR="002C19B3">
        <w:rPr>
          <w:rFonts w:cstheme="minorHAnsi"/>
        </w:rPr>
        <w:instrText>ADDIN CSL_CITATION {"citationItems":[{"id":"ITEM-1","itemData":{"DOI":"10.1002/ecs2.3198","ISSN":"21508925","abstract":"Forests are the largest terrestrial carbon stock, and disturbance regimes can have large effects on the structure and function of forests. Many dry temperate forests in the western United States are adapted to a regime of frequent, low-to-moderate severity fire. The disruption of this disturbance regime over the last century has shifted forest conditions, making them more susceptible to high-severity fire. Fuel treatments have been shown to effectively reduce wildfire hazard, often with co-benefits to ecological values. However, the effects of fuel treatments on forest carbon are complex, often characterized by direct costs (e.g., carbon emissions from prescribed fire) and wildfire-contingent benefits (increased resistance of live tree carbon to wildfire). In this study, we employ risk-sensitive carbon accounting and empirical data from a replicated field experiment to evaluate the stand-scale carbon effects of four management regimes over a 14-yr period in a historically frequent-fire adapted forest. All three active treatment regimes immediately increased stable live tree carbon stocks over no-treatment controls. In most contexts examined, mechanical-only or no-treatment controls will maximize expected total carbon stocks when incorporating wildfire risk and the carbon stability of live biomass, dead biomass, and offsite forest products, although we acknowledge our wildfire modeling may underestimate C losses, particularly in the control stands. Undoubtedly, many other ecosystem and social values besides carbon will be important factors that influence fuel and restoration treatments.","author":[{"dropping-particle":"","family":"Foster","given":"Daniel E.","non-dropping-particle":"","parse-names":false,"suffix":""},{"dropping-particle":"","family":"Battles","given":"John J.","non-dropping-particle":"","parse-names":false,"suffix":""},{"dropping-particle":"","family":"Collins","given":"Brandon M.","non-dropping-particle":"","parse-names":false,"suffix":""},{"dropping-particle":"","family":"York","given":"Robert A.","non-dropping-particle":"","parse-names":false,"suffix":""},{"dropping-particle":"","family":"Stephens","given":"Scott L.","non-dropping-particle":"","parse-names":false,"suffix":""}],"container-title":"Ecosphere","id":"ITEM-1","issue":"8","issued":{"date-parts":[["2020"]]},"title":"Potential wildfire and carbon stability in frequent-fire forests in the Sierra Nevada: trade-offs from a long-term study","type":"article-journal","volume":"11"},"uris":["http://www.mendeley.com/documents/?uuid=eb2bae80-149d-4e46-be37-b171fce5c7f0"]}],"mendeley":{"formattedCitation":"(Foster &lt;i&gt;et al.&lt;/i&gt;, 2020)","plainTextFormattedCitation":"(Foster et al., 2020)","previouslyFormattedCitation":"(Foster &lt;i&gt;et al.&lt;/i&gt;, 2020)"},"properties":{"noteIndex":0},"schema":"https://github.com/citation-style-language/schema/raw/master/csl-citation.json"}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(Foster </w:t>
      </w:r>
      <w:r w:rsidR="00EB4A84" w:rsidRPr="00EB4A84">
        <w:rPr>
          <w:rFonts w:cstheme="minorHAnsi"/>
          <w:i/>
          <w:noProof/>
        </w:rPr>
        <w:t>et al.</w:t>
      </w:r>
      <w:r w:rsidR="00EB4A84" w:rsidRPr="00EB4A84">
        <w:rPr>
          <w:rFonts w:cstheme="minorHAnsi"/>
          <w:noProof/>
        </w:rPr>
        <w:t>, 2020)</w:t>
      </w:r>
      <w:r w:rsidR="00EB4A84">
        <w:rPr>
          <w:rFonts w:cstheme="minorHAnsi"/>
        </w:rPr>
        <w:fldChar w:fldCharType="end"/>
      </w:r>
      <w:commentRangeEnd w:id="78"/>
      <w:r w:rsidR="00B13331">
        <w:rPr>
          <w:rStyle w:val="CommentReference"/>
        </w:rPr>
        <w:commentReference w:id="78"/>
      </w:r>
      <w:r w:rsidR="006E2387" w:rsidRPr="00F30BF0">
        <w:rPr>
          <w:rFonts w:cstheme="minorHAnsi"/>
        </w:rPr>
        <w:t xml:space="preserve">, and in many cases have the co-benefit of reducing basal area </w:t>
      </w:r>
      <w:r w:rsidR="00CB550D">
        <w:rPr>
          <w:rFonts w:cstheme="minorHAnsi"/>
        </w:rPr>
        <w:fldChar w:fldCharType="begin" w:fldLock="1"/>
      </w:r>
      <w:r w:rsidR="002C19B3">
        <w:rPr>
          <w:rFonts w:cstheme="minorHAnsi"/>
        </w:rPr>
        <w:instrText>ADDIN CSL_CITATION {"citationItems":[{"id":"ITEM-1","itemData":{"DOI":"10.1093/jofore/fvab026","abstract":"A significant increase in treatment pace and scale is needed to restore dry western US forest resilience owing to increasingly frequent and severe wildfire and drought. We propose a pyrosilviculture approach to directly increase large-scale fire use and modify current thinning treatments to optimize future fire incorporation. Recommendations include leveraging wildfire’s “treatment” in areas burned at low and moderate severity with subsequent pyrosilviculture management, identifying managed wildfire zones, and facilitating and financing prescribed fire with “anchor,” “ecosystem asset,” and “revenue” focused thinning treatments. Pyrosilviculture would also expand prescribed-burn and managed-wildfire objectives to include reducing stand density, increasing forest heterogeneity, and selecting for tree species and phenotypes better adapted to changing climate and disturbance regimes. The potential benefits and limitations of this approach are discussed. Fire is inevitable in dry western US forests and pyrosilviculture focuses on proactively shifting more of that fire into managed large-scale burns needed to restore ecosystem resilience.A management paradigm shift in fire use is needed to restore western forest landscape resilience. We propose a “pyrosilviculture” approach with the goals of directly increasing prescribed fire and managed wildfire and modifying thinning treatments to optimize more managed fire. Changes include leveraging low- and moderate-wildfire burn areas as treatments, identifying managed wildfire zones, and three thinning treatments designed to expand and finance prescribed fire to connect dispersed treatments. We also suggest that large-scale fire be used to reduce forest density, increase structural heterogeneity, and select for tree species and phenotypes adapted to changing climate and fire conditions.","author":[{"dropping-particle":"","family":"North","given":"Malcolm P.","non-dropping-particle":"","parse-names":false,"suffix":""},{"dropping-particle":"","family":"York","given":"R A","non-dropping-particle":"","parse-names":false,"suffix":""},{"dropping-particle":"","family":"Collins","given":"B M","non-dropping-particle":"","parse-names":false,"suffix":""},{"dropping-particle":"","family":"Hurteau","given":"M D","non-dropping-particle":"","parse-names":false,"suffix":""},{"dropping-particle":"","family":"Jones","given":"G M","non-dropping-particle":"","parse-names":false,"suffix":""},{"dropping-particle":"","family":"Knapp","given":"E E","non-dropping-particle":"","parse-names":false,"suffix":""},{"dropping-particle":"","family":"Kobziar","given":"L","non-dropping-particle":"","parse-names":false,"suffix":""},{"dropping-particle":"","family":"Mccann","given":"H","non-dropping-particle":"","parse-names":false,"suffix":""},{"dropping-particle":"","family":"Meyer","given":"M D","non-dropping-particle":"","parse-names":false,"suffix":""},{"dropping-particle":"","family":"Stephens","given":"S L","non-dropping-particle":"","parse-names":false,"suffix":""},{"dropping-particle":"","family":"Tompkins","given":"R E","non-dropping-particle":"","parse-names":false,"suffix":""},{"dropping-particle":"","family":"Tubbesing","given":"C L","non-dropping-particle":"","parse-names":false,"suffix":""}],"container-title":"Journal of Forestry","id":"ITEM-1","issued":{"date-parts":[["2021"]]},"page":"1-25","title":"Pyrosilviculture needed for landscape resilience of dry western United States forests","type":"article-journal"},"uris":["http://www.mendeley.com/documents/?uuid=b3619aba-ae0c-4035-a4b8-a3472681f9cd"]},{"id":"ITEM-2","itemData":{"DOI":"10.1016/j.foreco.2016.01.034","ISSN":"03781127","abstract":"Increasingly, objectives for forests with moderate- or mixed-severity fire regimes are to restore successionally diverse landscapes that are resistant and resilient to current and future stressors. Maintaining native species and characteristic processes requires this successional diversity, but methods to achieve it are poorly explained in the literature. In the Inland Pacific US, large, old, early seral trees were a key historical feature of many young and old forest successional patches, especially where fires frequently occurred. Large, old trees are naturally fire-tolerant, but today are often threatened by dense understory cohorts that create fuel ladders that alter likely post-fire successional pathways. Reducing these understories can contribute to resistance by creating conditions where canopy trees will survive disturbances and climatic stressors; these survivors are important seed sources, soil protectors, and critical habitat elements. Historical timber harvesting has skewed tree size and age class distributions, created hard edges, and altered native patch sizes. Manipulating these altered forests to promote development of larger patches of older, larger, and more widely-spaced trees with diverse understories will increase landscape resistance to severe fires, and enhance wildlife habitat for underrepresented conditions.Closed-canopy, multi-layered patches that develop in hot, dry summer environments are vulnerable to droughts, and they increase landscape vulnerability to insect outbreaks and severe wildfires. These same patches provide habitat for species such as the northern spotted owl, which has benefited from increased habitat area. Regional and local planning will be critical for gauging risks, evaluating trade-offs, and restoring dynamics that can support these and other species. The goal will be to manage for heterogeneous landscapes that include variably-sized patches of (1) young, middle-aged, and old, closed-canopy forests growing in upper montane, northerly aspect, and valley bottom settings, (2) a similar diversity of open-canopy, fire-tolerant patches growing on ridgetops, southerly aspects, and lower montane settings, and (3) significant montane chaparral and grassland areas. Tools to achieve this goal include managed wildfire, prescribed burning, and variable density thinning at small to large scales. Specifics on \"how much and where?\" will vary according to physiographic, topographic and historical templates, and regulatory …","author":[{"dropping-particle":"","family":"Hessburg","given":"Paul F.","non-dropping-particle":"","parse-names":false,"suffix":""},{"dropping-particle":"","family":"Spies","given":"Thomas A.","non-dropping-particle":"","parse-names":false,"suffix":""},{"dropping-particle":"","family":"Perry","given":"David A.","non-dropping-particle":"","parse-names":false,"suffix":""},{"dropping-particle":"","family":"Skinner","given":"Carl N.","non-dropping-particle":"","parse-names":false,"suffix":""},{"dropping-particle":"","family":"Taylor","given":"Alan H.","non-dropping-particle":"","parse-names":false,"suffix":""},{"dropping-particle":"","family":"Brown","given":"Peter M.","non-dropping-particle":"","parse-names":false,"suffix":""},{"dropping-particle":"","family":"Stephens","given":"Scott L.","non-dropping-particle":"","parse-names":false,"suffix":""},{"dropping-particle":"","family":"Larson","given":"Andrew J.","non-dropping-particle":"","parse-names":false,"suffix":""},{"dropping-particle":"","family":"Churchill","given":"Derek J.","non-dropping-particle":"","parse-names":false,"suffix":""},{"dropping-particle":"","family":"Povak","given":"Nicholas A.","non-dropping-particle":"","parse-names":false,"suffix":""},{"dropping-particle":"","family":"Singleton","given":"Peter H.","non-dropping-particle":"","parse-names":false,"suffix":""},{"dropping-particle":"","family":"McComb","given":"Brenda","non-dropping-particle":"","parse-names":false,"suffix":""},{"dropping-particle":"","family":"Zielinski","given":"William J.","non-dropping-particle":"","parse-names":false,"suffix":""},{"dropping-particle":"","family":"Collins","given":"Brandon M.","non-dropping-particle":"","parse-names":false,"suffix":""},{"dropping-particle":"","family":"Salter","given":"R. Brion","non-dropping-particle":"","parse-names":false,"suffix":""},{"dropping-particle":"","family":"Keane","given":"John J.","non-dropping-particle":"","parse-names":false,"suffix":""},{"dropping-particle":"","family":"Franklin","given":"Jerry F.","non-dropping-particle":"","parse-names":false,"suffix":""},{"dropping-particle":"","family":"Riegel","given":"Greg","non-dropping-particle":"","parse-names":false,"suffix":""}],"container-title":"Forest Ecology and Management","id":"ITEM-2","issued":{"date-parts":[["2016"]]},"page":"221-250","publisher":"Elsevier B.V.","title":"Tamm Review: Management of mixed-severity fire regime forests in Oregon, Washington, and Northern California","type":"article-journal","volume":"366"},"uris":["http://www.mendeley.com/documents/?uuid=dcb615f9-320f-4ed4-9c01-338995dd9133"]}],"mendeley":{"formattedCitation":"(Hessburg &lt;i&gt;et al.&lt;/i&gt;, 2016; North &lt;i&gt;et al.&lt;/i&gt;, 2021)","plainTextFormattedCitation":"(Hessburg et al., 2016; North et al., 2021)","previouslyFormattedCitation":"(Hessburg &lt;i&gt;et al.&lt;/i&gt;, 2016; North &lt;i&gt;et al.&lt;/i&gt;, 2021)"},"properties":{"noteIndex":0},"schema":"https://github.com/citation-style-language/schema/raw/master/csl-citation.json"}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(Hessburg </w:t>
      </w:r>
      <w:r w:rsidR="00EB4A84" w:rsidRPr="00EB4A84">
        <w:rPr>
          <w:rFonts w:cstheme="minorHAnsi"/>
          <w:i/>
          <w:noProof/>
        </w:rPr>
        <w:t>et al.</w:t>
      </w:r>
      <w:r w:rsidR="00EB4A84" w:rsidRPr="00EB4A84">
        <w:rPr>
          <w:rFonts w:cstheme="minorHAnsi"/>
          <w:noProof/>
        </w:rPr>
        <w:t xml:space="preserve">, 2016; North </w:t>
      </w:r>
      <w:r w:rsidR="00EB4A84" w:rsidRPr="00EB4A84">
        <w:rPr>
          <w:rFonts w:cstheme="minorHAnsi"/>
          <w:i/>
          <w:noProof/>
        </w:rPr>
        <w:t>et al.</w:t>
      </w:r>
      <w:r w:rsidR="00EB4A84" w:rsidRPr="00EB4A84">
        <w:rPr>
          <w:rFonts w:cstheme="minorHAnsi"/>
          <w:noProof/>
        </w:rPr>
        <w:t>, 2021)</w:t>
      </w:r>
      <w:r w:rsidR="00CB550D">
        <w:rPr>
          <w:rFonts w:cstheme="minorHAnsi"/>
        </w:rPr>
        <w:fldChar w:fldCharType="end"/>
      </w:r>
      <w:r w:rsidR="006E2387" w:rsidRPr="00F30BF0">
        <w:rPr>
          <w:rFonts w:cstheme="minorHAnsi"/>
        </w:rPr>
        <w:t>. Our findings, and other studies examining the effects of prescribed fire on sugar pine mortality</w:t>
      </w:r>
      <w:r w:rsidR="00213912" w:rsidRPr="00F30BF0">
        <w:rPr>
          <w:rFonts w:cstheme="minorHAnsi"/>
        </w:rPr>
        <w:t xml:space="preserve"> </w:t>
      </w:r>
      <w:r w:rsidR="00CB550D">
        <w:rPr>
          <w:rFonts w:cstheme="minorHAnsi"/>
        </w:rPr>
        <w:fldChar w:fldCharType="begin" w:fldLock="1"/>
      </w:r>
      <w:r w:rsidR="00021D10">
        <w:rPr>
          <w:rFonts w:cstheme="minorHAnsi"/>
        </w:rPr>
        <w:instrText>ADDIN CSL_CITATION {"citationItems":[{"id":"ITEM-1","itemData":{"DOI":"10.1890/03-5109","ISSN":"10510761","abstract":"An introduced pathogen, white pine blister rust (Cronartium ribicola), has caused declines in five-needled pines throughout North America. Simultaneously, fire exclusion has resulted in dense stands in many forest types, which may create additional stress for these generally shade-intolerant pines. Fire exclusion also allows fuels to accumulate, and it is unclear how affected populations will respond to the reintroduction of fire. Although white pine blister rust and fire exclusion are widely recognized threats, long-term demographic data that document the effects of these stressors are rare. We present population trends from 2168 individuals over 5-15 years for an affected species, sugar pine (Pinus lambertiana), at several burned and unburned sites in the Sierra Nevada of California. Size-based matrix models indicate that most unburned populations have negative growth rates (λ range: 0.82-1.04). The growth rate of most populations was, however, indistinguishable from replacement levels (λ = 1.0), implying that, if populations are indeed declining, the progression of any such decline is slow, and longer observations are needed to clearly determine population trends. We found significant differences among population growth rates, primarily due to variation in recruitment rates. Deaths associated with blister rust and stress (i.e., resource competition) were common, suggesting significant roles for both blister rust and fire exclusion in determining population trajectories. Data from 15 prescribed fires showed that the immediate effect of burning was the death of many small trees, with the frequency of mortality returning to pre-fire levels within five years. In spite of a poor prognosis for sugar pine, our results suggest that we have time to apply and refine management strategies to protect this species.","author":[{"dropping-particle":"","family":"Mantgem","given":"Phillip J.","non-dropping-particle":"Van","parse-names":false,"suffix":""},{"dropping-particle":"","family":"Stephenson","given":"Nathan L.","non-dropping-particle":"","parse-names":false,"suffix":""},{"dropping-particle":"","family":"Keifer","given":"Mary Beth","non-dropping-particle":"","parse-names":false,"suffix":""},{"dropping-particle":"","family":"Keeley","given":"Jon","non-dropping-particle":"","parse-names":false,"suffix":""}],"container-title":"Ecological Applications","id":"ITEM-1","issue":"5","issued":{"date-parts":[["2004"]]},"page":"1590-1602","title":"Effects of an introduced pathogen and fire exclusion on the demography of sugar pine","type":"article-journal","volume":"14"},"uris":["http://www.mendeley.com/documents/?uuid=4017c084-8b81-48ae-b134-e117d840d93b"]},{"id":"ITEM-2","itemData":{"DOI":"10.1002/ecs2.3344","author":[{"dropping-particle":"","family":"Steel","given":"Zachary","non-dropping-particle":"","parse-names":false,"suffix":""},{"dropping-particle":"","family":"Goodwin","given":"Marissa","non-dropping-particle":"","parse-names":false,"suffix":""},{"dropping-particle":"","family":"Meyer","given":"Marc","non-dropping-particle":"","parse-names":false,"suffix":""},{"dropping-particle":"","family":"Fricker","given":"G.A.","non-dropping-particle":"","parse-names":false,"suffix":""},{"dropping-particle":"","family":"Zald","given":"Harold","non-dropping-particle":"","parse-names":false,"suffix":""},{"dropping-particle":"","family":"Hurteau","given":"Matthew D.","non-dropping-particle":"","parse-names":false,"suffix":""}],"container-title":"Ecosphere","id":"ITEM-2","issue":"January","issued":{"date-parts":[["2021"]]},"title":"Do Forest Fuel Reduction Treatments Confer Resistance to Beetle Infestation and Drought Mortality?","type":"article-journal","volume":"12"},"uris":["http://www.mendeley.com/documents/?uuid=27f300f3-6aa3-4e67-9ff2-302a5568e9e8"]}],"mendeley":{"formattedCitation":"(Van Mantgem &lt;i&gt;et al.&lt;/i&gt;, 2004; Steel &lt;i&gt;et al.&lt;/i&gt;, 2021)","plainTextFormattedCitation":"(Van Mantgem et al., 2004; Steel et al., 2021)","previouslyFormattedCitation":"(Van Mantgem &lt;i&gt;et al.&lt;/i&gt;, 2004; Steel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(Van Mantgem </w:t>
      </w:r>
      <w:r w:rsidR="00021D10" w:rsidRPr="00021D10">
        <w:rPr>
          <w:rFonts w:cstheme="minorHAnsi"/>
          <w:i/>
          <w:noProof/>
        </w:rPr>
        <w:t>et al.</w:t>
      </w:r>
      <w:r w:rsidR="00021D10" w:rsidRPr="00021D10">
        <w:rPr>
          <w:rFonts w:cstheme="minorHAnsi"/>
          <w:noProof/>
        </w:rPr>
        <w:t xml:space="preserve">, 2004; Steel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6E2387" w:rsidRPr="00F30BF0">
        <w:rPr>
          <w:rFonts w:cstheme="minorHAnsi"/>
        </w:rPr>
        <w:t xml:space="preserve">, suggest that </w:t>
      </w:r>
      <w:r w:rsidR="00213912" w:rsidRPr="00F30BF0">
        <w:rPr>
          <w:rFonts w:cstheme="minorHAnsi"/>
        </w:rPr>
        <w:t>managers should be deliberate in their application of prescribed fire to reduce wildfire hazard</w:t>
      </w:r>
      <w:r w:rsidR="0046219E" w:rsidRPr="00F30BF0">
        <w:rPr>
          <w:rFonts w:cstheme="minorHAnsi"/>
        </w:rPr>
        <w:t xml:space="preserve"> and consider</w:t>
      </w:r>
      <w:r w:rsidR="00504371" w:rsidRPr="00F30BF0">
        <w:rPr>
          <w:rFonts w:cstheme="minorHAnsi"/>
        </w:rPr>
        <w:t xml:space="preserve"> </w:t>
      </w:r>
      <w:r w:rsidR="00021D10">
        <w:rPr>
          <w:rFonts w:cstheme="minorHAnsi"/>
        </w:rPr>
        <w:t xml:space="preserve">measures such as raking or local density reduction </w:t>
      </w:r>
      <w:r w:rsidR="00504371" w:rsidRPr="00F30BF0">
        <w:rPr>
          <w:rFonts w:cstheme="minorHAnsi"/>
        </w:rPr>
        <w:t xml:space="preserve">to protect individual trees where pre-fire fuels are abundant </w:t>
      </w:r>
      <w:r w:rsidR="00CB550D">
        <w:rPr>
          <w:rFonts w:cstheme="minorHAnsi"/>
        </w:rPr>
        <w:fldChar w:fldCharType="begin" w:fldLock="1"/>
      </w:r>
      <w:r w:rsidR="00B23450">
        <w:rPr>
          <w:rFonts w:cstheme="minorHAnsi"/>
        </w:rPr>
        <w:instrText>ADDIN CSL_CITATION {"citationItems":[{"id":"ITEM-1","itemData":{"DOI":"10.4996/fireecology.0603097","ISSN":"19339747","abstract":"Prescribed fire is an important tool for fuel reduction, the control of competing vegetation, and forest restoration. The accumulated fuels associated with historical fire exclusion can cause undesirably high tree mortality rates following prescribed fires and wildfires. This is especially true for sugar pine (Pinus lambertiana Douglas), which is already negatively affected by the introduced pathogen white pine blister rust (Cronartium ribicola J.C. Fisch. ex Rabenh). We tested the efficacy of raking away fuels around the base of sugar pine to reduce mortality following prescribed fire in Sequoia and Kings Canyon national parks, California, USA. This study was conducted in three prescribed fires and included 457 trees, half of which had the fuels around their bases raked away to mineral soil to 0.5 m away from the stem. Fire effects were assessed and tree mortality was recorded for three years after prescribed fires. Overall, raking had no detectable effect on mortality: raked trees averaged 30 % mortality compared to 36 % for unraked trees. There was a significant effect, however, between the interaction of raking and average pre-treatment forest floor fuel depth: the predicted probability of survival of a 50 cm dbh tree was 0.94 vs. 0.96 when average pre-treatment fuel depth was 0 cm for a raked and unraked tree, respectively. When average pre-treatment forest floor fuel depth was 30 cm, the predicted probability of survival for a raked 50 cm dbh tree was 0.60 compared to only 0.07 for an unraked tree. Raking did not affect mortality when fire intensity, measured as percent crown volume scorched, was very low (0 % scorch) or very high (&gt;80 % scorch), but the raking treatment significantly increased the proportion of trees that survived by 9.6 % for trees that burned under moderate fire intensity (1 % to 80 % scorch). Raking significantly reduced the likelihood of bole charring and bark beetle activity three years post fire. Fuel depth and anticipated fire intensity need to be accounted for to maximize the effectiveness of the treatments. Raking is an important management option to reduce tree mortality from prescribed fire, but is most effective under specific fuel and burning conditions.","author":[{"dropping-particle":"","family":"Nesmith","given":"Jonathan C.B.","non-dropping-particle":"","parse-names":false,"suffix":""},{"dropping-particle":"","family":"O'Hara","given":"Kevin L.","non-dropping-particle":"","parse-names":false,"suffix":""},{"dropping-particle":"","family":"Mantgem","given":"Phillip J.","non-dropping-particle":"van","parse-names":false,"suffix":""},{"dropping-particle":"","family":"Valpine","given":"Perry","non-dropping-particle":"de","parse-names":false,"suffix":""}],"container-title":"Fire Ecology","id":"ITEM-1","issue":"3","issued":{"date-parts":[["2010"]]},"page":"97-116","title":"The effects of raking on sugar pine mortality following prescribed fire in sequoia and kings canyon national parks, California, USA","type":"article-journal","volume":"6"},"uris":["http://www.mendeley.com/documents/?uuid=91857416-acb2-4d75-832b-dd4e289658a4"]},{"id":"ITEM-2","itemData":{"DOI":"10.1002/eap.2507","ISSN":"1051-0761","abstract":"In an emerging era of megadisturbance, bolstering forest resilience to wildfire, insects, and drought has become a central objective in many western forests. Climate has received considerable attention as a driver of these disturbances, but few studies have examined the complexities of climate-vegetation-disturbance interactions. Current strategies for creating resilient forests often rely on retrospective approaches, seeking to impart resilience by restoring historical conditions to contemporary landscapes, but historical conditions are becoming increasingly unattainable amidst modern bioclimatic conditions. What becomes an appropriate benchmark for resilience when we have novel forests, rapidly changing climate, and unprecedented disturbance regimes? We combined two longitudinal datasets-each representing some of the most comprehensive spatially explicit, annual tree mortality data in existence-in a post-hoc factorial design to examine the non-linear relationships between fire, climate, forest spatial structure, and bark beetles. We found that while pre-fire drought elevated mortality risk, advantageous local neighborhoods could offset these effects. Surprisingly, mortality risk (Pm) was higher in crowded local neighborhoods that burned in wet years (Pm = 42%) compared with sparse neighborhoods that burned during drought (Pm = 30%). Risk of beetle attack was also increased by drought, but lower conspecific crowding impeded the otherwise positive interaction between fire and beetle attack. Antecedent fire increased drought-related mortality over short timespans (&lt;7 yrs) but reduced mortality over longer intervals. These results clarify interacting disturbance dynamics and provide a mechanistic underpinning for forest restoration strategies. Importantly, they demonstrate the potential for managed fire and silvicultural strategies to offset climate effects and bolster resilience to fire, beetles, and drought.","author":[{"dropping-particle":"","family":"Furniss","given":"Tucker J.","non-dropping-particle":"","parse-names":false,"suffix":""},{"dropping-particle":"","family":"Das","given":"Adrian J.","non-dropping-particle":"","parse-names":false,"suffix":""},{"dropping-particle":"","family":"Mantgem","given":"Phillip J.","non-dropping-particle":"","parse-names":false,"suffix":""},{"dropping-particle":"","family":"Stephenson","given":"Nathan L.","non-dropping-particle":"","parse-names":false,"suffix":""},{"dropping-particle":"","family":"Lutz","given":"James A.","non-dropping-particle":"","parse-names":false,"suffix":""}],"container-title":"Ecological Applications","id":"ITEM-2","issue":"June 2021","issued":{"date-parts":[["2021"]]},"page":"1-14","title":"Crowding, climate, and the case for social distancing among trees","type":"article-journal"},"uris":["http://www.mendeley.com/documents/?uuid=923f9f80-0634-4566-ac74-bb9eb698fef4"]}],"mendeley":{"formattedCitation":"(Nesmith &lt;i&gt;et al.&lt;/i&gt;, 2010; Furniss &lt;i&gt;et al.&lt;/i&gt;, 2021)","plainTextFormattedCitation":"(Nesmith et al., 2010; Furniss et al., 2021)","previouslyFormattedCitation":"(Nesmith &lt;i&gt;et al.&lt;/i&gt;, 2010; Furniss &lt;i&gt;et al.&lt;/i&gt;, 2021)"},"properties":{"noteIndex":0},"schema":"https://github.com/citation-style-language/schema/raw/master/csl-citation.json"}</w:instrText>
      </w:r>
      <w:r w:rsidR="00CB550D">
        <w:rPr>
          <w:rFonts w:cstheme="minorHAnsi"/>
        </w:rPr>
        <w:fldChar w:fldCharType="separate"/>
      </w:r>
      <w:r w:rsidR="00021D10" w:rsidRPr="00021D10">
        <w:rPr>
          <w:rFonts w:cstheme="minorHAnsi"/>
          <w:noProof/>
        </w:rPr>
        <w:t xml:space="preserve">(Nesmith </w:t>
      </w:r>
      <w:r w:rsidR="00021D10" w:rsidRPr="00021D10">
        <w:rPr>
          <w:rFonts w:cstheme="minorHAnsi"/>
          <w:i/>
          <w:noProof/>
        </w:rPr>
        <w:t>et al.</w:t>
      </w:r>
      <w:r w:rsidR="00021D10" w:rsidRPr="00021D10">
        <w:rPr>
          <w:rFonts w:cstheme="minorHAnsi"/>
          <w:noProof/>
        </w:rPr>
        <w:t xml:space="preserve">, 2010; Furniss </w:t>
      </w:r>
      <w:r w:rsidR="00021D10" w:rsidRPr="00021D10">
        <w:rPr>
          <w:rFonts w:cstheme="minorHAnsi"/>
          <w:i/>
          <w:noProof/>
        </w:rPr>
        <w:t>et al.</w:t>
      </w:r>
      <w:r w:rsidR="00021D10" w:rsidRPr="00021D10">
        <w:rPr>
          <w:rFonts w:cstheme="minorHAnsi"/>
          <w:noProof/>
        </w:rPr>
        <w:t>, 2021)</w:t>
      </w:r>
      <w:r w:rsidR="00CB550D">
        <w:rPr>
          <w:rFonts w:cstheme="minorHAnsi"/>
        </w:rPr>
        <w:fldChar w:fldCharType="end"/>
      </w:r>
      <w:r w:rsidR="00504371" w:rsidRPr="00F30BF0">
        <w:rPr>
          <w:rFonts w:cstheme="minorHAnsi"/>
        </w:rPr>
        <w:t xml:space="preserve">. </w:t>
      </w:r>
      <w:r w:rsidR="0046219E" w:rsidRPr="00F30BF0">
        <w:rPr>
          <w:rFonts w:cstheme="minorHAnsi"/>
        </w:rPr>
        <w:t xml:space="preserve">Mechanical fuel treatments will provide some protection from wildfire and are often </w:t>
      </w:r>
      <w:commentRangeStart w:id="79"/>
      <w:r w:rsidR="0046219E" w:rsidRPr="00F30BF0">
        <w:rPr>
          <w:rFonts w:cstheme="minorHAnsi"/>
        </w:rPr>
        <w:t>applied alongside timber harvests</w:t>
      </w:r>
      <w:commentRangeEnd w:id="79"/>
      <w:r w:rsidR="00832E90">
        <w:rPr>
          <w:rStyle w:val="CommentReference"/>
        </w:rPr>
        <w:commentReference w:id="79"/>
      </w:r>
      <w:r w:rsidR="0046219E" w:rsidRPr="00F30BF0">
        <w:rPr>
          <w:rFonts w:cstheme="minorHAnsi"/>
        </w:rPr>
        <w:t xml:space="preserve">, for a dual benefit of reducing wildfire hazard and competition </w:t>
      </w:r>
      <w:r w:rsidR="00CB550D">
        <w:rPr>
          <w:rFonts w:cstheme="minorHAnsi"/>
        </w:rPr>
        <w:fldChar w:fldCharType="begin" w:fldLock="1"/>
      </w:r>
      <w:r w:rsidR="002C19B3">
        <w:rPr>
          <w:rFonts w:cstheme="minorHAnsi"/>
        </w:rPr>
        <w:instrText>ADDIN CSL_CITATION {"citationItems":[{"id":"ITEM-1","itemData":{"DOI":"10.1890/14-0971.1","abstract":"Fuel treatment implementation in dry forest types throughout the western United States is likely to increase in pace and scale in response to increasing incidence of large wildfires. While it is clear that properly implemented fuel treatments are effective at reducing hazardous fire potential, there are ancillary ecological effects that can impact forest resilience either positively or negatively depending on the specific elements examined, as well as treatment type, timing, and intensity. In this study, we use overstory tree growth responses, measured seven years after the most common fuel treatments, to estimate forest health. Across the five species analyzed, observed mortality and future vulnerability were consistently low in the mechanical- only treatment. Fire-only was similar to the control for all species except Douglas-fir, while mechanical-plus-fire had high observed mortality and future vulnerability for white fir and sugar pine. Given that overstory trees largely dictate the function of forests and services they provide (e.g., wildlife habitat, carbon sequestration, soil stability) these results have implications for understanding longer-term impacts of common fuel treatments on forest resilience.","author":[{"dropping-particle":"","family":"Collins","given":"B. M.","non-dropping-particle":"","parse-names":false,"suffix":""},{"dropping-particle":"","family":"Das","given":"Adrian J.","non-dropping-particle":"","parse-names":false,"suffix":""},{"dropping-particle":"","family":"Battles","given":"John J","non-dropping-particle":"","parse-names":false,"suffix":""},{"dropping-particle":"","family":"Fry","given":"Danny L.","non-dropping-particle":"","parse-names":false,"suffix":""},{"dropping-particle":"","family":"Krasnow","given":"Kevin D.","non-dropping-particle":"","parse-names":false,"suffix":""},{"dropping-particle":"","family":"Stephens","given":"Scott L.","non-dropping-particle":"","parse-names":false,"suffix":""}],"container-title":"Ecological Applications","id":"ITEM-1","issue":"8","issued":{"date-parts":[["2014"]]},"page":"1879-1886","title":"Beyond Reducing Fire Hazard","type":"article-journal","volume":"24"},"uris":["http://www.mendeley.com/documents/?uuid=5d441a06-fa7d-41bd-a013-5a6bab0ce109"]},{"id":"ITEM-2","itemData":{"DOI":"10.1002/eap.1902","author":[{"dropping-particle":"","family":"Restaino","given":"Christina","non-dropping-particle":"","parse-names":false,"suffix":""},{"dropping-particle":"","family":"Young","given":"Derek J.N.","non-dropping-particle":"","parse-names":false,"suffix":""},{"dropping-particle":"","family":"Estes","given":"Becky","non-dropping-particle":"","parse-names":false,"suffix":""},{"dropping-particle":"","family":"Gross","given":"Shana","non-dropping-particle":"","parse-names":false,"suffix":""},{"dropping-particle":"","family":"Wuenschel","given":"Amarina","non-dropping-particle":"","parse-names":false,"suffix":""},{"dropping-particle":"","family":"Meyer","given":"Marc","non-dropping-particle":"","parse-names":false,"suffix":""},{"dropping-particle":"","family":"Safford","given":"Hugh","non-dropping-particle":"","parse-names":false,"suffix":""}],"container-title":"Ecological Applications","id":"ITEM-2","issue":"December 2017","issued":{"date-parts":[["2019"]]},"page":"1-14","title":"Forest structure and climate mediate drought-induced tree mortality in forests of the Sierra Nevada , USA","type":"article-journal","volume":"29"},"uris":["http://www.mendeley.com/documents/?uuid=fab20f86-8948-4d2c-85ba-9a0ff200ff1e"]}],"mendeley":{"formattedCitation":"(Collins &lt;i&gt;et al.&lt;/i&gt;, 2014; Restaino &lt;i&gt;et al.&lt;/i&gt;, 2019)","plainTextFormattedCitation":"(Collins et al., 2014; Restaino et al., 2019)","previouslyFormattedCitation":"(Collins &lt;i&gt;et al.&lt;/i&gt;, 2014; Restaino &lt;i&gt;et al.&lt;/i&gt;, 2019)"},"properties":{"noteIndex":0},"schema":"https://github.com/citation-style-language/schema/raw/master/csl-citation.json"}</w:instrText>
      </w:r>
      <w:r w:rsidR="00CB550D">
        <w:rPr>
          <w:rFonts w:cstheme="minorHAnsi"/>
        </w:rPr>
        <w:fldChar w:fldCharType="separate"/>
      </w:r>
      <w:r w:rsidR="00EB4A84" w:rsidRPr="00EB4A84">
        <w:rPr>
          <w:rFonts w:cstheme="minorHAnsi"/>
          <w:noProof/>
        </w:rPr>
        <w:t xml:space="preserve">(Collins </w:t>
      </w:r>
      <w:r w:rsidR="00EB4A84" w:rsidRPr="00EB4A84">
        <w:rPr>
          <w:rFonts w:cstheme="minorHAnsi"/>
          <w:i/>
          <w:noProof/>
        </w:rPr>
        <w:t>et al.</w:t>
      </w:r>
      <w:r w:rsidR="00EB4A84" w:rsidRPr="00EB4A84">
        <w:rPr>
          <w:rFonts w:cstheme="minorHAnsi"/>
          <w:noProof/>
        </w:rPr>
        <w:t xml:space="preserve">, 2014; Restaino </w:t>
      </w:r>
      <w:r w:rsidR="00EB4A84" w:rsidRPr="00EB4A84">
        <w:rPr>
          <w:rFonts w:cstheme="minorHAnsi"/>
          <w:i/>
          <w:noProof/>
        </w:rPr>
        <w:t>et al.</w:t>
      </w:r>
      <w:r w:rsidR="00EB4A84" w:rsidRPr="00EB4A84">
        <w:rPr>
          <w:rFonts w:cstheme="minorHAnsi"/>
          <w:noProof/>
        </w:rPr>
        <w:t>, 2019)</w:t>
      </w:r>
      <w:r w:rsidR="00CB550D">
        <w:rPr>
          <w:rFonts w:cstheme="minorHAnsi"/>
        </w:rPr>
        <w:fldChar w:fldCharType="end"/>
      </w:r>
      <w:r w:rsidR="0046219E" w:rsidRPr="00F30BF0">
        <w:rPr>
          <w:rFonts w:cstheme="minorHAnsi"/>
        </w:rPr>
        <w:t xml:space="preserve">. On burned landscapes, managers can take advantage of established programs producing WPBR-resistant seedlings </w:t>
      </w:r>
      <w:r w:rsidRPr="00F30BF0">
        <w:rPr>
          <w:rFonts w:cstheme="minorHAnsi"/>
        </w:rPr>
        <w:t xml:space="preserve">in reforestation efforts aimed at restoring sugar pine on landscapes impacted by high severity fire </w:t>
      </w:r>
      <w:r w:rsidR="00EB4A84">
        <w:rPr>
          <w:rFonts w:cstheme="minorHAnsi"/>
        </w:rPr>
        <w:fldChar w:fldCharType="begin" w:fldLock="1"/>
      </w:r>
      <w:r w:rsidR="002C19B3">
        <w:rPr>
          <w:rFonts w:cstheme="minorHAnsi"/>
        </w:rPr>
        <w:instrText>ADDIN CSL_CITATION {"citationItems":[{"id":"ITEM-1","itemData":{"author":[{"dropping-particle":"","family":"Kinloch","given":"B B","non-dropping-particle":"","parse-names":false,"suffix":""},{"dropping-particle":"","family":"Sniezko","given":"R A","non-dropping-particle":"","parse-names":false,"suffix":""},{"dropping-particle":"","family":"Savin","given":"D P","non-dropping-particle":"","parse-names":false,"suffix":""},{"dropping-particle":"","family":"Danchok","given":"R","non-dropping-particle":"","parse-names":false,"suffix":""},{"dropping-particle":"","family":"Kegley","given":"A","non-dropping-particle":"","parse-names":false,"suffix":""}],"container-title":"Schoettle, Anna W.; Sniezko, Richard A.; Kliejunas, John T., eds. 2018. Proceedings of the IUFRO joint conference: Genetics of five-needle pines, rusts of forest trees, and Strobusphere; 2014 June 15–20; Fort Collins, CO. Proc. RMRS-P-76. Fort Collins, CO","id":"ITEM-1","issued":{"date-parts":[["2018"]]},"page":"124-128","title":"Patterns of Variation in Blister Rust Resistance in Sugar Pine ( Pinus lambertiana )","type":"paper-conference"},"uris":["http://www.mendeley.com/documents/?uuid=bc10b7dc-0889-45c9-96ba-82c65d7a265d"]}],"mendeley":{"formattedCitation":"(Kinloch &lt;i&gt;et al.&lt;/i&gt;, 2018)","plainTextFormattedCitation":"(Kinloch et al., 2018)","previouslyFormattedCitation":"(Kinloch &lt;i&gt;et al.&lt;/i&gt;,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(Kinloch </w:t>
      </w:r>
      <w:r w:rsidR="00EB4A84" w:rsidRPr="00EB4A84">
        <w:rPr>
          <w:rFonts w:cstheme="minorHAnsi"/>
          <w:i/>
          <w:noProof/>
        </w:rPr>
        <w:t>et al.</w:t>
      </w:r>
      <w:r w:rsidR="00EB4A84" w:rsidRPr="00EB4A84">
        <w:rPr>
          <w:rFonts w:cstheme="minorHAnsi"/>
          <w:noProof/>
        </w:rPr>
        <w:t>, 2018)</w:t>
      </w:r>
      <w:r w:rsidR="00EB4A84">
        <w:rPr>
          <w:rFonts w:cstheme="minorHAnsi"/>
        </w:rPr>
        <w:fldChar w:fldCharType="end"/>
      </w:r>
      <w:r w:rsidRPr="00F30BF0">
        <w:rPr>
          <w:rFonts w:cstheme="minorHAnsi"/>
        </w:rPr>
        <w:t xml:space="preserve">. Investments in artificial regeneration should likewise be made deliberately and secured with follow up treatments for wildfire hazard </w:t>
      </w:r>
      <w:r w:rsidR="00EB4A84">
        <w:rPr>
          <w:rFonts w:cstheme="minorHAnsi"/>
        </w:rPr>
        <w:fldChar w:fldCharType="begin" w:fldLock="1"/>
      </w:r>
      <w:r w:rsidR="002C19B3">
        <w:rPr>
          <w:rFonts w:cstheme="minorHAnsi"/>
        </w:rPr>
        <w:instrText>ADDIN CSL_CITATION {"citationItems":[{"id":"ITEM-1","itemData":{"DOI":"10.1016/j.foreco.2018.09.007","ISBN":"9781594770913","ISSN":"03781127","abstract":"The increasing frequency and severity of fire and drought events have negatively impacted the capacity and success of reforestation efforts in many dry, western U.S. forests. Challenges to reforestation include the cost and safety concerns of replanting large areas of standing dead trees, and high seedling and sapling mortality rates due to water stress, competing vegetation, and repeat fires that burn young plantations. Standard reforestation practices have emphasized establishing dense conifer cover with gridded planting, sometimes called ‘pines in lines’ followed by shrub control and pre-commercial thinning. Resources for such intensive management are increasingly limited, reducing the capacity for young plantations to develop early resilience to fire and drought. This paper summarizes recent research on the conditions under which current standard reforestation practices in the western U.S. may need adjustment, and suggests how these practices might be modified to improve their success. In particular we examine where and when plantations with regular tree spacing elevate the risk of future mortality, and how planting density, spatial arrangement, and species composition might be modified to increase seedling and sapling survival through recurring drought and fire events. Within large areas of contiguous mortality, we suggest a “three zone” approach to reforestation following a major disturbance that includes; (a) working with natural recruitment within a peripheral zone near live tree seed sources; (b) in a second zone, beyond effective seed dispersal range but in accessible areas, planting a combination of clustered and regularly spaced seedlings that varies with microsite water availability and potential fire behavior; and (c) a final zone defined by remote, steep terrain that in practice limits reforestation efforts to the establishment of founder stands. We also emphasize the early use of prescribed fire to build resilience in developing stands subject to increasingly common wildfires and drought events. Finally, we highlight limits to our current understanding of how young stands may respond and develop under these proposed planting and silvicultural practices, and identify areas where new research could help refine them.","author":[{"dropping-particle":"","family":"North","given":"Malcolm P.","non-dropping-particle":"","parse-names":false,"suffix":""},{"dropping-particle":"","family":"Stevens","given":"Jens T.","non-dropping-particle":"","parse-names":false,"suffix":""},{"dropping-particle":"","family":"Greene","given":"David F.","non-dropping-particle":"","parse-names":false,"suffix":""},{"dropping-particle":"","family":"Coppoletta","given":"Michelle","non-dropping-particle":"","parse-names":false,"suffix":""},{"dropping-particle":"","family":"Knapp","given":"Eric E.","non-dropping-particle":"","parse-names":false,"suffix":""},{"dropping-particle":"","family":"Latimer","given":"Andrew M.","non-dropping-particle":"","parse-names":false,"suffix":""},{"dropping-particle":"","family":"Restaino","given":"Christina M.","non-dropping-particle":"","parse-names":false,"suffix":""},{"dropping-particle":"","family":"Tompkins","given":"Ryan E.","non-dropping-particle":"","parse-names":false,"suffix":""},{"dropping-particle":"","family":"Welch","given":"Kevin R.","non-dropping-particle":"","parse-names":false,"suffix":""},{"dropping-particle":"","family":"York","given":"Rob A.","non-dropping-particle":"","parse-names":false,"suffix":""},{"dropping-particle":"","family":"Young","given":"Derek J.N.","non-dropping-particle":"","parse-names":false,"suffix":""},{"dropping-particle":"","family":"Axelson","given":"Jodi N.","non-dropping-particle":"","parse-names":false,"suffix":""},{"dropping-particle":"","family":"Buckley","given":"Tom N.","non-dropping-particle":"","parse-names":false,"suffix":""},{"dropping-particle":"","family":"Estes","given":"Becky L.","non-dropping-particle":"","parse-names":false,"suffix":""},{"dropping-particle":"","family":"Hager","given":"Rachel N.","non-dropping-particle":"","parse-names":false,"suffix":""},{"dropping-particle":"","family":"Long","given":"Jonathan W.","non-dropping-particle":"","parse-names":false,"suffix":""},{"dropping-particle":"","family":"Meyer","given":"Marc D.","non-dropping-particle":"","parse-names":false,"suffix":""},{"dropping-particle":"","family":"Ostoja","given":"Steven M.","non-dropping-particle":"","parse-names":false,"suffix":""},{"dropping-particle":"","family":"Safford","given":"Hugh D.","non-dropping-particle":"","parse-names":false,"suffix":""},{"dropping-particle":"","family":"Shive","given":"Kristen L.","non-dropping-particle":"","parse-names":false,"suffix":""},{"dropping-particle":"","family":"Tubbesing","given":"Carmen L.","non-dropping-particle":"","parse-names":false,"suffix":""},{"dropping-particle":"","family":"Vice","given":"Heather","non-dropping-particle":"","parse-names":false,"suffix":""},{"dropping-particle":"","family":"Walsh","given":"Dana","non-dropping-particle":"","parse-names":false,"suffix":""},{"dropping-particle":"","family":"Werner","given":"Chhaya M.","non-dropping-particle":"","parse-names":false,"suffix":""},{"dropping-particle":"","family":"Wyrsch","given":"Peter","non-dropping-particle":"","parse-names":false,"suffix":""}],"container-title":"Forest Ecology and Management","id":"ITEM-1","issue":"July 2018","issued":{"date-parts":[["2019"]]},"page":"209-224","title":"Tamm Review: Reforestation for resilience in dry western U.S. forests","type":"article-journal","volume":"432"},"uris":["http://www.mendeley.com/documents/?uuid=4ca71152-bbb4-4682-9438-f468bbf36faf"]}],"mendeley":{"formattedCitation":"(North &lt;i&gt;et al.&lt;/i&gt;, 2019)","plainTextFormattedCitation":"(North et al., 2019)","previouslyFormattedCitation":"(North &lt;i&gt;et al.&lt;/i&gt;, 2019)"},"properties":{"noteIndex":0},"schema":"https://github.com/citation-style-language/schema/raw/master/csl-citation.json"}</w:instrText>
      </w:r>
      <w:r w:rsidR="00EB4A84">
        <w:rPr>
          <w:rFonts w:cstheme="minorHAnsi"/>
        </w:rPr>
        <w:fldChar w:fldCharType="separate"/>
      </w:r>
      <w:r w:rsidR="00EB4A84" w:rsidRPr="00EB4A84">
        <w:rPr>
          <w:rFonts w:cstheme="minorHAnsi"/>
          <w:noProof/>
        </w:rPr>
        <w:t xml:space="preserve">(North </w:t>
      </w:r>
      <w:r w:rsidR="00EB4A84" w:rsidRPr="00EB4A84">
        <w:rPr>
          <w:rFonts w:cstheme="minorHAnsi"/>
          <w:i/>
          <w:noProof/>
        </w:rPr>
        <w:t>et al.</w:t>
      </w:r>
      <w:r w:rsidR="00EB4A84" w:rsidRPr="00EB4A84">
        <w:rPr>
          <w:rFonts w:cstheme="minorHAnsi"/>
          <w:noProof/>
        </w:rPr>
        <w:t>, 2019)</w:t>
      </w:r>
      <w:r w:rsidR="00EB4A84">
        <w:rPr>
          <w:rFonts w:cstheme="minorHAnsi"/>
        </w:rPr>
        <w:fldChar w:fldCharType="end"/>
      </w:r>
      <w:r w:rsidRPr="00F30BF0">
        <w:rPr>
          <w:rFonts w:cstheme="minorHAnsi"/>
        </w:rPr>
        <w:t xml:space="preserve"> and pruning to limit the effects of WPBR </w:t>
      </w:r>
      <w:r w:rsidR="00EB4A84">
        <w:rPr>
          <w:rFonts w:cstheme="minorHAnsi"/>
        </w:rPr>
        <w:fldChar w:fldCharType="begin" w:fldLock="1"/>
      </w:r>
      <w:r w:rsidR="002C19B3">
        <w:rPr>
          <w:rFonts w:cstheme="minorHAnsi"/>
        </w:rPr>
        <w:instrText>ADDIN CSL_CITATION {"citationItems":[{"id":"ITEM-1","itemData":{"author":[{"dropping-particle":"","family":"Bronson","given":"J","non-dropping-particle":"","parse-names":false,"suffix":""},{"dropping-particle":"","family":"Petrick","given":"J","non-dropping-particle":"","parse-names":false,"suffix":""},{"dropping-particle":"","family":"Danchok","given":"R","non-dropping-particle":"","parse-names":false,"suffix":""}],"id":"ITEM-1","issued":{"date-parts":[["2018"]]},"page":"205-208","title":"Efficacy of Early Pruning to Reduce the Incidence of White Pine Blister Rust on Sugar Pine ( Pinus lambertiana )","type":"article-journal"},"uris":["http://www.mendeley.com/documents/?uuid=33d2d0eb-5d50-4613-bfc1-c02e7d341a31"]}],"mendeley":{"formattedCitation":"(Bronson, Petrick and Danchok, 2018)","plainTextFormattedCitation":"(Bronson, Petrick and Danchok, 2018)","previouslyFormattedCitation":"(Bronson, Petrick and Danchok, 2018)"},"properties":{"noteIndex":0},"schema":"https://github.com/citation-style-language/schema/raw/master/csl-citation.json"}</w:instrText>
      </w:r>
      <w:r w:rsidR="00EB4A84">
        <w:rPr>
          <w:rFonts w:cstheme="minorHAnsi"/>
        </w:rPr>
        <w:fldChar w:fldCharType="separate"/>
      </w:r>
      <w:r w:rsidR="00EB4A84" w:rsidRPr="00EB4A84">
        <w:rPr>
          <w:rFonts w:cstheme="minorHAnsi"/>
          <w:noProof/>
        </w:rPr>
        <w:t>(Bronson, Petrick and Danchok, 2018)</w:t>
      </w:r>
      <w:r w:rsidR="00EB4A84">
        <w:rPr>
          <w:rFonts w:cstheme="minorHAnsi"/>
        </w:rPr>
        <w:fldChar w:fldCharType="end"/>
      </w:r>
      <w:r w:rsidRPr="00F30BF0">
        <w:rPr>
          <w:rFonts w:cstheme="minorHAnsi"/>
        </w:rPr>
        <w:t xml:space="preserve">. </w:t>
      </w:r>
      <w:commentRangeStart w:id="80"/>
      <w:r w:rsidR="0021575D" w:rsidRPr="00F30BF0">
        <w:rPr>
          <w:rFonts w:cstheme="minorHAnsi"/>
        </w:rPr>
        <w:t xml:space="preserve">The findings of this study indicate that managers </w:t>
      </w:r>
      <w:r w:rsidR="0021575D" w:rsidRPr="00F30BF0">
        <w:rPr>
          <w:rFonts w:cstheme="minorHAnsi"/>
        </w:rPr>
        <w:lastRenderedPageBreak/>
        <w:t xml:space="preserve">can substantially benefit sugar pine populations by investing resources in addressing the tractable challenges posed by fire, densification, and white pine blister </w:t>
      </w:r>
      <w:commentRangeStart w:id="81"/>
      <w:r w:rsidR="0021575D" w:rsidRPr="00F30BF0">
        <w:rPr>
          <w:rFonts w:cstheme="minorHAnsi"/>
        </w:rPr>
        <w:t>rust</w:t>
      </w:r>
      <w:commentRangeEnd w:id="81"/>
      <w:r w:rsidR="00832E90">
        <w:rPr>
          <w:rStyle w:val="CommentReference"/>
        </w:rPr>
        <w:commentReference w:id="81"/>
      </w:r>
      <w:r w:rsidR="0021575D" w:rsidRPr="00F30BF0">
        <w:rPr>
          <w:rFonts w:cstheme="minorHAnsi"/>
        </w:rPr>
        <w:t>.</w:t>
      </w:r>
      <w:commentRangeEnd w:id="80"/>
      <w:r w:rsidR="002626E1">
        <w:rPr>
          <w:rStyle w:val="CommentReference"/>
        </w:rPr>
        <w:commentReference w:id="80"/>
      </w:r>
    </w:p>
    <w:p w14:paraId="36A15EFE" w14:textId="393E695D" w:rsidR="00EB4A84" w:rsidRDefault="0038352F" w:rsidP="00277ED1">
      <w:pPr>
        <w:spacing w:line="360" w:lineRule="auto"/>
        <w:rPr>
          <w:rFonts w:cstheme="minorHAnsi"/>
          <w:sz w:val="20"/>
          <w:szCs w:val="20"/>
        </w:rPr>
      </w:pPr>
      <w:r>
        <w:rPr>
          <w:rFonts w:cstheme="minorHAnsi"/>
          <w:sz w:val="20"/>
          <w:szCs w:val="20"/>
        </w:rPr>
        <w:t xml:space="preserve"> </w:t>
      </w:r>
    </w:p>
    <w:p w14:paraId="2A5CD66D" w14:textId="77777777" w:rsidR="00EB4A84" w:rsidRDefault="00EB4A84">
      <w:pPr>
        <w:rPr>
          <w:rFonts w:cstheme="minorHAnsi"/>
          <w:sz w:val="20"/>
          <w:szCs w:val="20"/>
        </w:rPr>
      </w:pPr>
      <w:r>
        <w:rPr>
          <w:rFonts w:cstheme="minorHAnsi"/>
          <w:sz w:val="20"/>
          <w:szCs w:val="20"/>
        </w:rPr>
        <w:br w:type="page"/>
      </w:r>
    </w:p>
    <w:p w14:paraId="600BA178" w14:textId="7C3B7446" w:rsidR="00277ED1" w:rsidRDefault="00EB4A84" w:rsidP="00EB4A84">
      <w:pPr>
        <w:pStyle w:val="Heading1"/>
        <w:rPr>
          <w:rFonts w:eastAsia="AR PL SungtiL GB"/>
          <w:lang w:eastAsia="zh-CN" w:bidi="hi-IN"/>
        </w:rPr>
      </w:pPr>
      <w:r>
        <w:rPr>
          <w:rFonts w:eastAsia="AR PL SungtiL GB"/>
          <w:lang w:eastAsia="zh-CN" w:bidi="hi-IN"/>
        </w:rPr>
        <w:lastRenderedPageBreak/>
        <w:t>References</w:t>
      </w:r>
    </w:p>
    <w:p w14:paraId="3B86B8F9" w14:textId="34E0EEF8" w:rsidR="00047C53" w:rsidRPr="00047C53" w:rsidRDefault="00EB4A84" w:rsidP="00047C53">
      <w:pPr>
        <w:widowControl w:val="0"/>
        <w:autoSpaceDE w:val="0"/>
        <w:autoSpaceDN w:val="0"/>
        <w:adjustRightInd w:val="0"/>
        <w:spacing w:line="240" w:lineRule="auto"/>
        <w:rPr>
          <w:rFonts w:ascii="Calibri" w:hAnsi="Calibri" w:cs="Calibri"/>
          <w:noProof/>
          <w:szCs w:val="24"/>
        </w:rPr>
      </w:pPr>
      <w:r>
        <w:rPr>
          <w:lang w:eastAsia="zh-CN" w:bidi="hi-IN"/>
        </w:rPr>
        <w:fldChar w:fldCharType="begin" w:fldLock="1"/>
      </w:r>
      <w:r>
        <w:rPr>
          <w:lang w:eastAsia="zh-CN" w:bidi="hi-IN"/>
        </w:rPr>
        <w:instrText xml:space="preserve">ADDIN Mendeley Bibliography CSL_BIBLIOGRAPHY </w:instrText>
      </w:r>
      <w:r>
        <w:rPr>
          <w:lang w:eastAsia="zh-CN" w:bidi="hi-IN"/>
        </w:rPr>
        <w:fldChar w:fldCharType="separate"/>
      </w:r>
      <w:r w:rsidR="00047C53" w:rsidRPr="00047C53">
        <w:rPr>
          <w:rFonts w:ascii="Calibri" w:hAnsi="Calibri" w:cs="Calibri"/>
          <w:noProof/>
          <w:szCs w:val="24"/>
        </w:rPr>
        <w:t xml:space="preserve">Abatzoglou, J. T. </w:t>
      </w:r>
      <w:r w:rsidR="00047C53" w:rsidRPr="00047C53">
        <w:rPr>
          <w:rFonts w:ascii="Calibri" w:hAnsi="Calibri" w:cs="Calibri"/>
          <w:i/>
          <w:iCs/>
          <w:noProof/>
          <w:szCs w:val="24"/>
        </w:rPr>
        <w:t>et al.</w:t>
      </w:r>
      <w:r w:rsidR="00047C53" w:rsidRPr="00047C53">
        <w:rPr>
          <w:rFonts w:ascii="Calibri" w:hAnsi="Calibri" w:cs="Calibri"/>
          <w:noProof/>
          <w:szCs w:val="24"/>
        </w:rPr>
        <w:t xml:space="preserve"> (2018) ‘TerraClimate, a high-resolution global dataset of monthly climate and climatic water balance from 1958-2015’, </w:t>
      </w:r>
      <w:r w:rsidR="00047C53" w:rsidRPr="00047C53">
        <w:rPr>
          <w:rFonts w:ascii="Calibri" w:hAnsi="Calibri" w:cs="Calibri"/>
          <w:i/>
          <w:iCs/>
          <w:noProof/>
          <w:szCs w:val="24"/>
        </w:rPr>
        <w:t>Scientific Data</w:t>
      </w:r>
      <w:r w:rsidR="00047C53" w:rsidRPr="00047C53">
        <w:rPr>
          <w:rFonts w:ascii="Calibri" w:hAnsi="Calibri" w:cs="Calibri"/>
          <w:noProof/>
          <w:szCs w:val="24"/>
        </w:rPr>
        <w:t>, 5, pp. 1–12. doi: 10.1038/sdata.2017.191.</w:t>
      </w:r>
    </w:p>
    <w:p w14:paraId="3A72F07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Aitken, S. N. and Whitlock, M. C. (2013) ‘Assisted Gene Flow to Facilitate Local Adaptation to Climate Change’, </w:t>
      </w:r>
      <w:r w:rsidRPr="00047C53">
        <w:rPr>
          <w:rFonts w:ascii="Calibri" w:hAnsi="Calibri" w:cs="Calibri"/>
          <w:i/>
          <w:iCs/>
          <w:noProof/>
          <w:szCs w:val="24"/>
        </w:rPr>
        <w:t>Annual Review of Ecology, evolution, and Systematics</w:t>
      </w:r>
      <w:r w:rsidRPr="00047C53">
        <w:rPr>
          <w:rFonts w:ascii="Calibri" w:hAnsi="Calibri" w:cs="Calibri"/>
          <w:noProof/>
          <w:szCs w:val="24"/>
        </w:rPr>
        <w:t>, 44, pp. 367–88. doi: 10.1146/annurev-ecolsys-110512-135747.</w:t>
      </w:r>
    </w:p>
    <w:p w14:paraId="667FCE0F"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Alizadeh, M. R. </w:t>
      </w:r>
      <w:r w:rsidRPr="00047C53">
        <w:rPr>
          <w:rFonts w:ascii="Calibri" w:hAnsi="Calibri" w:cs="Calibri"/>
          <w:i/>
          <w:iCs/>
          <w:noProof/>
          <w:szCs w:val="24"/>
        </w:rPr>
        <w:t>et al.</w:t>
      </w:r>
      <w:r w:rsidRPr="00047C53">
        <w:rPr>
          <w:rFonts w:ascii="Calibri" w:hAnsi="Calibri" w:cs="Calibri"/>
          <w:noProof/>
          <w:szCs w:val="24"/>
        </w:rPr>
        <w:t xml:space="preserve"> (2021) ‘Warming enabled upslope advance in western US forest fires’, </w:t>
      </w:r>
      <w:r w:rsidRPr="00047C53">
        <w:rPr>
          <w:rFonts w:ascii="Calibri" w:hAnsi="Calibri" w:cs="Calibri"/>
          <w:i/>
          <w:iCs/>
          <w:noProof/>
          <w:szCs w:val="24"/>
        </w:rPr>
        <w:t>Proceedings of the National Academy of Sciences of the United States of America</w:t>
      </w:r>
      <w:r w:rsidRPr="00047C53">
        <w:rPr>
          <w:rFonts w:ascii="Calibri" w:hAnsi="Calibri" w:cs="Calibri"/>
          <w:noProof/>
          <w:szCs w:val="24"/>
        </w:rPr>
        <w:t>, 118(22), pp. 1–14. doi: 10.1073/pnas.2009717118.</w:t>
      </w:r>
    </w:p>
    <w:p w14:paraId="5011049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Angell, N., Waring, K. M. and Graves, T. A. (2014) ‘Predicting height growth of sugar pine regeneration using stand and individual tree characteristics’, </w:t>
      </w:r>
      <w:r w:rsidRPr="00047C53">
        <w:rPr>
          <w:rFonts w:ascii="Calibri" w:hAnsi="Calibri" w:cs="Calibri"/>
          <w:i/>
          <w:iCs/>
          <w:noProof/>
          <w:szCs w:val="24"/>
        </w:rPr>
        <w:t>Forestry</w:t>
      </w:r>
      <w:r w:rsidRPr="00047C53">
        <w:rPr>
          <w:rFonts w:ascii="Calibri" w:hAnsi="Calibri" w:cs="Calibri"/>
          <w:noProof/>
          <w:szCs w:val="24"/>
        </w:rPr>
        <w:t>, 87(1), pp. 85–97. doi: 10.1093/forestry/cpt028.</w:t>
      </w:r>
    </w:p>
    <w:p w14:paraId="37E916D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Ansley, J.-A. S. and Battles, J. J. (1998) ‘Forest Composition , Structure , and Change in an Old-Growth Mixed Conifer Forest in the Northern Sierra Nevada Author ( s ): Jolie-Anne S . Ansley and John J . Battles Published by : Torrey Botanical Society Stable URL : http://www.jstor.org/stable/29972’, </w:t>
      </w:r>
      <w:r w:rsidRPr="00047C53">
        <w:rPr>
          <w:rFonts w:ascii="Calibri" w:hAnsi="Calibri" w:cs="Calibri"/>
          <w:i/>
          <w:iCs/>
          <w:noProof/>
          <w:szCs w:val="24"/>
        </w:rPr>
        <w:t>The Journal of the Torrey Botanical Society</w:t>
      </w:r>
      <w:r w:rsidRPr="00047C53">
        <w:rPr>
          <w:rFonts w:ascii="Calibri" w:hAnsi="Calibri" w:cs="Calibri"/>
          <w:noProof/>
          <w:szCs w:val="24"/>
        </w:rPr>
        <w:t>, 125(4), pp. 297–308.</w:t>
      </w:r>
    </w:p>
    <w:p w14:paraId="041D88ED"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Bechtold, W. A. and Patterson, P. L. (2005) ‘The Enhanced Forest Inventory and Analysis Program — National Sampling Design and Estimation Procedures’, </w:t>
      </w:r>
      <w:r w:rsidRPr="00047C53">
        <w:rPr>
          <w:rFonts w:ascii="Calibri" w:hAnsi="Calibri" w:cs="Calibri"/>
          <w:i/>
          <w:iCs/>
          <w:noProof/>
          <w:szCs w:val="24"/>
        </w:rPr>
        <w:t>USDA General Technical Report</w:t>
      </w:r>
      <w:r w:rsidRPr="00047C53">
        <w:rPr>
          <w:rFonts w:ascii="Calibri" w:hAnsi="Calibri" w:cs="Calibri"/>
          <w:noProof/>
          <w:szCs w:val="24"/>
        </w:rPr>
        <w:t>, SRS-80, p. 85.</w:t>
      </w:r>
    </w:p>
    <w:p w14:paraId="7C1AB1A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Bell, D. M., Bradford, J. B. and Lauenroth, W. K. (2014) ‘Early indicators of change: Divergent climate envelopes between tree life stages imply range shifts in the western United States’, </w:t>
      </w:r>
      <w:r w:rsidRPr="00047C53">
        <w:rPr>
          <w:rFonts w:ascii="Calibri" w:hAnsi="Calibri" w:cs="Calibri"/>
          <w:i/>
          <w:iCs/>
          <w:noProof/>
          <w:szCs w:val="24"/>
        </w:rPr>
        <w:t>Global Ecology and Biogeography</w:t>
      </w:r>
      <w:r w:rsidRPr="00047C53">
        <w:rPr>
          <w:rFonts w:ascii="Calibri" w:hAnsi="Calibri" w:cs="Calibri"/>
          <w:noProof/>
          <w:szCs w:val="24"/>
        </w:rPr>
        <w:t>, 23(2), pp. 168–180. doi: 10.1111/geb.12109.</w:t>
      </w:r>
    </w:p>
    <w:p w14:paraId="271D5CE9"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Bohlman, G. N., Safford, H. D. and Skinner, C. N. (2021) ‘Natural range of variation for yellow pine and mixed-conifer forests in northwestern California and southwestern Oregon’, </w:t>
      </w:r>
      <w:r w:rsidRPr="00047C53">
        <w:rPr>
          <w:rFonts w:ascii="Calibri" w:hAnsi="Calibri" w:cs="Calibri"/>
          <w:i/>
          <w:iCs/>
          <w:noProof/>
          <w:szCs w:val="24"/>
        </w:rPr>
        <w:t>Gen. Tech. Rep. PSW-GTR-273. Albany, CA: US Department of Agriculture, Forest Service, Pacific Southwest Research Station. 146 p.</w:t>
      </w:r>
      <w:r w:rsidRPr="00047C53">
        <w:rPr>
          <w:rFonts w:ascii="Calibri" w:hAnsi="Calibri" w:cs="Calibri"/>
          <w:noProof/>
          <w:szCs w:val="24"/>
        </w:rPr>
        <w:t>, 273(November).</w:t>
      </w:r>
    </w:p>
    <w:p w14:paraId="2C820E05"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Bohner, T. and Diez, J. (2021) ‘Tree resistance and recovery from drought mediated by multiple abiotic and biotic processes across a large geographic gradient’, </w:t>
      </w:r>
      <w:r w:rsidRPr="00047C53">
        <w:rPr>
          <w:rFonts w:ascii="Calibri" w:hAnsi="Calibri" w:cs="Calibri"/>
          <w:i/>
          <w:iCs/>
          <w:noProof/>
          <w:szCs w:val="24"/>
        </w:rPr>
        <w:t>Science of The Total Environment</w:t>
      </w:r>
      <w:r w:rsidRPr="00047C53">
        <w:rPr>
          <w:rFonts w:ascii="Calibri" w:hAnsi="Calibri" w:cs="Calibri"/>
          <w:noProof/>
          <w:szCs w:val="24"/>
        </w:rPr>
        <w:t>, 789, p. 147744. doi: 10.1016/j.scitotenv.2021.147744.</w:t>
      </w:r>
    </w:p>
    <w:p w14:paraId="14609236"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Bronson, J., Petrick, J. and Danchok, R. (2018) ‘Efficacy of Early Pruning to Reduce the Incidence of White Pine Blister Rust on Sugar Pine ( Pinus lambertiana )’, pp. 205–208.</w:t>
      </w:r>
    </w:p>
    <w:p w14:paraId="57D5E48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Collins, B. M. </w:t>
      </w:r>
      <w:r w:rsidRPr="00047C53">
        <w:rPr>
          <w:rFonts w:ascii="Calibri" w:hAnsi="Calibri" w:cs="Calibri"/>
          <w:i/>
          <w:iCs/>
          <w:noProof/>
          <w:szCs w:val="24"/>
        </w:rPr>
        <w:t>et al.</w:t>
      </w:r>
      <w:r w:rsidRPr="00047C53">
        <w:rPr>
          <w:rFonts w:ascii="Calibri" w:hAnsi="Calibri" w:cs="Calibri"/>
          <w:noProof/>
          <w:szCs w:val="24"/>
        </w:rPr>
        <w:t xml:space="preserve"> (2014) ‘Beyond Reducing Fire Hazard’, </w:t>
      </w:r>
      <w:r w:rsidRPr="00047C53">
        <w:rPr>
          <w:rFonts w:ascii="Calibri" w:hAnsi="Calibri" w:cs="Calibri"/>
          <w:i/>
          <w:iCs/>
          <w:noProof/>
          <w:szCs w:val="24"/>
        </w:rPr>
        <w:t>Ecological Applications</w:t>
      </w:r>
      <w:r w:rsidRPr="00047C53">
        <w:rPr>
          <w:rFonts w:ascii="Calibri" w:hAnsi="Calibri" w:cs="Calibri"/>
          <w:noProof/>
          <w:szCs w:val="24"/>
        </w:rPr>
        <w:t>, 24(8), pp. 1879–1886. doi: 10.1890/14-0971.1.</w:t>
      </w:r>
    </w:p>
    <w:p w14:paraId="43ACF0C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Coop, J. D. </w:t>
      </w:r>
      <w:r w:rsidRPr="00047C53">
        <w:rPr>
          <w:rFonts w:ascii="Calibri" w:hAnsi="Calibri" w:cs="Calibri"/>
          <w:i/>
          <w:iCs/>
          <w:noProof/>
          <w:szCs w:val="24"/>
        </w:rPr>
        <w:t>et al.</w:t>
      </w:r>
      <w:r w:rsidRPr="00047C53">
        <w:rPr>
          <w:rFonts w:ascii="Calibri" w:hAnsi="Calibri" w:cs="Calibri"/>
          <w:noProof/>
          <w:szCs w:val="24"/>
        </w:rPr>
        <w:t xml:space="preserve"> (2020) ‘Wildfire-Driven Forest Conversion in Western North American Landscapes’, </w:t>
      </w:r>
      <w:r w:rsidRPr="00047C53">
        <w:rPr>
          <w:rFonts w:ascii="Calibri" w:hAnsi="Calibri" w:cs="Calibri"/>
          <w:i/>
          <w:iCs/>
          <w:noProof/>
          <w:szCs w:val="24"/>
        </w:rPr>
        <w:t>BioScience</w:t>
      </w:r>
      <w:r w:rsidRPr="00047C53">
        <w:rPr>
          <w:rFonts w:ascii="Calibri" w:hAnsi="Calibri" w:cs="Calibri"/>
          <w:noProof/>
          <w:szCs w:val="24"/>
        </w:rPr>
        <w:t>, 70(8), pp. 659–673. doi: 10.1093/biosci/biaa061.</w:t>
      </w:r>
    </w:p>
    <w:p w14:paraId="5C9CCA3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Das, A. </w:t>
      </w:r>
      <w:r w:rsidRPr="00047C53">
        <w:rPr>
          <w:rFonts w:ascii="Calibri" w:hAnsi="Calibri" w:cs="Calibri"/>
          <w:i/>
          <w:iCs/>
          <w:noProof/>
          <w:szCs w:val="24"/>
        </w:rPr>
        <w:t>et al.</w:t>
      </w:r>
      <w:r w:rsidRPr="00047C53">
        <w:rPr>
          <w:rFonts w:ascii="Calibri" w:hAnsi="Calibri" w:cs="Calibri"/>
          <w:noProof/>
          <w:szCs w:val="24"/>
        </w:rPr>
        <w:t xml:space="preserve"> (2008) ‘Spatial elements of mortality risk in old-growth forests’, </w:t>
      </w:r>
      <w:r w:rsidRPr="00047C53">
        <w:rPr>
          <w:rFonts w:ascii="Calibri" w:hAnsi="Calibri" w:cs="Calibri"/>
          <w:i/>
          <w:iCs/>
          <w:noProof/>
          <w:szCs w:val="24"/>
        </w:rPr>
        <w:t>Ecology</w:t>
      </w:r>
      <w:r w:rsidRPr="00047C53">
        <w:rPr>
          <w:rFonts w:ascii="Calibri" w:hAnsi="Calibri" w:cs="Calibri"/>
          <w:noProof/>
          <w:szCs w:val="24"/>
        </w:rPr>
        <w:t>, 89(6), pp. 1744–1756. doi: 10.1890/07-0524.1.</w:t>
      </w:r>
    </w:p>
    <w:p w14:paraId="0605AED8"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Das, A. (2012) ‘The effect of size and competition on tree growth rate in old-growth coniferous forests’, </w:t>
      </w:r>
      <w:r w:rsidRPr="00047C53">
        <w:rPr>
          <w:rFonts w:ascii="Calibri" w:hAnsi="Calibri" w:cs="Calibri"/>
          <w:i/>
          <w:iCs/>
          <w:noProof/>
          <w:szCs w:val="24"/>
        </w:rPr>
        <w:t>Canadian Journal of Forest Research</w:t>
      </w:r>
      <w:r w:rsidRPr="00047C53">
        <w:rPr>
          <w:rFonts w:ascii="Calibri" w:hAnsi="Calibri" w:cs="Calibri"/>
          <w:noProof/>
          <w:szCs w:val="24"/>
        </w:rPr>
        <w:t>, 42(11), pp. 1983–1995. doi: 10.1139/x2012-142.</w:t>
      </w:r>
    </w:p>
    <w:p w14:paraId="23113D4F"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Das, A. J. </w:t>
      </w:r>
      <w:r w:rsidRPr="00047C53">
        <w:rPr>
          <w:rFonts w:ascii="Calibri" w:hAnsi="Calibri" w:cs="Calibri"/>
          <w:i/>
          <w:iCs/>
          <w:noProof/>
          <w:szCs w:val="24"/>
        </w:rPr>
        <w:t>et al.</w:t>
      </w:r>
      <w:r w:rsidRPr="00047C53">
        <w:rPr>
          <w:rFonts w:ascii="Calibri" w:hAnsi="Calibri" w:cs="Calibri"/>
          <w:noProof/>
          <w:szCs w:val="24"/>
        </w:rPr>
        <w:t xml:space="preserve"> (2007) ‘The relationship between tree growth patterns and likelihood of mortality: A study of two tree species in the Sierra Nevada’, </w:t>
      </w:r>
      <w:r w:rsidRPr="00047C53">
        <w:rPr>
          <w:rFonts w:ascii="Calibri" w:hAnsi="Calibri" w:cs="Calibri"/>
          <w:i/>
          <w:iCs/>
          <w:noProof/>
          <w:szCs w:val="24"/>
        </w:rPr>
        <w:t>Canadian Journal of Forest Research</w:t>
      </w:r>
      <w:r w:rsidRPr="00047C53">
        <w:rPr>
          <w:rFonts w:ascii="Calibri" w:hAnsi="Calibri" w:cs="Calibri"/>
          <w:noProof/>
          <w:szCs w:val="24"/>
        </w:rPr>
        <w:t xml:space="preserve">, 37(3), pp. 580–597. </w:t>
      </w:r>
      <w:r w:rsidRPr="00047C53">
        <w:rPr>
          <w:rFonts w:ascii="Calibri" w:hAnsi="Calibri" w:cs="Calibri"/>
          <w:noProof/>
          <w:szCs w:val="24"/>
        </w:rPr>
        <w:lastRenderedPageBreak/>
        <w:t>doi: 10.1139/X06-262.</w:t>
      </w:r>
    </w:p>
    <w:p w14:paraId="6769B2F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Das, A. J. </w:t>
      </w:r>
      <w:r w:rsidRPr="00047C53">
        <w:rPr>
          <w:rFonts w:ascii="Calibri" w:hAnsi="Calibri" w:cs="Calibri"/>
          <w:i/>
          <w:iCs/>
          <w:noProof/>
          <w:szCs w:val="24"/>
        </w:rPr>
        <w:t>et al.</w:t>
      </w:r>
      <w:r w:rsidRPr="00047C53">
        <w:rPr>
          <w:rFonts w:ascii="Calibri" w:hAnsi="Calibri" w:cs="Calibri"/>
          <w:noProof/>
          <w:szCs w:val="24"/>
        </w:rPr>
        <w:t xml:space="preserve"> (2013) ‘Climatic Correlates of Tree Mortality in Water- and Energy-Limited Forests’, </w:t>
      </w:r>
      <w:r w:rsidRPr="00047C53">
        <w:rPr>
          <w:rFonts w:ascii="Calibri" w:hAnsi="Calibri" w:cs="Calibri"/>
          <w:i/>
          <w:iCs/>
          <w:noProof/>
          <w:szCs w:val="24"/>
        </w:rPr>
        <w:t>PLoS ONE</w:t>
      </w:r>
      <w:r w:rsidRPr="00047C53">
        <w:rPr>
          <w:rFonts w:ascii="Calibri" w:hAnsi="Calibri" w:cs="Calibri"/>
          <w:noProof/>
          <w:szCs w:val="24"/>
        </w:rPr>
        <w:t>, 8(7). doi: 10.1371/journal.pone.0069917.</w:t>
      </w:r>
    </w:p>
    <w:p w14:paraId="5D02F768"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Davis, K. T. </w:t>
      </w:r>
      <w:r w:rsidRPr="00047C53">
        <w:rPr>
          <w:rFonts w:ascii="Calibri" w:hAnsi="Calibri" w:cs="Calibri"/>
          <w:i/>
          <w:iCs/>
          <w:noProof/>
          <w:szCs w:val="24"/>
        </w:rPr>
        <w:t>et al.</w:t>
      </w:r>
      <w:r w:rsidRPr="00047C53">
        <w:rPr>
          <w:rFonts w:ascii="Calibri" w:hAnsi="Calibri" w:cs="Calibri"/>
          <w:noProof/>
          <w:szCs w:val="24"/>
        </w:rPr>
        <w:t xml:space="preserve"> (2019) ‘Wildfires and climate change push low-elevation forests across a critical climate threshold for tree regeneration’, </w:t>
      </w:r>
      <w:r w:rsidRPr="00047C53">
        <w:rPr>
          <w:rFonts w:ascii="Calibri" w:hAnsi="Calibri" w:cs="Calibri"/>
          <w:i/>
          <w:iCs/>
          <w:noProof/>
          <w:szCs w:val="24"/>
        </w:rPr>
        <w:t>Proceedings of the National Academy of Sciences of the United States of America</w:t>
      </w:r>
      <w:r w:rsidRPr="00047C53">
        <w:rPr>
          <w:rFonts w:ascii="Calibri" w:hAnsi="Calibri" w:cs="Calibri"/>
          <w:noProof/>
          <w:szCs w:val="24"/>
        </w:rPr>
        <w:t>, 116(13), pp. 6193–6198. doi: 10.1073/pnas.1815107116.</w:t>
      </w:r>
    </w:p>
    <w:p w14:paraId="55DA3688"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Davis, R. S., Hood, S. and Bentz, B. J. (2012) ‘Fire-injured ponderosa pine provide a pulsed resource for bark beetles’, </w:t>
      </w:r>
      <w:r w:rsidRPr="00047C53">
        <w:rPr>
          <w:rFonts w:ascii="Calibri" w:hAnsi="Calibri" w:cs="Calibri"/>
          <w:i/>
          <w:iCs/>
          <w:noProof/>
          <w:szCs w:val="24"/>
        </w:rPr>
        <w:t>Canadian Journal of Forest Research-Revue Canadienne De Recherche Forestiere</w:t>
      </w:r>
      <w:r w:rsidRPr="00047C53">
        <w:rPr>
          <w:rFonts w:ascii="Calibri" w:hAnsi="Calibri" w:cs="Calibri"/>
          <w:noProof/>
          <w:szCs w:val="24"/>
        </w:rPr>
        <w:t>, 42(12), pp. 2022–2036. doi: 10.1139/x2012-147.</w:t>
      </w:r>
    </w:p>
    <w:p w14:paraId="2F6AF2DF"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Dudney, J. </w:t>
      </w:r>
      <w:r w:rsidRPr="00047C53">
        <w:rPr>
          <w:rFonts w:ascii="Calibri" w:hAnsi="Calibri" w:cs="Calibri"/>
          <w:i/>
          <w:iCs/>
          <w:noProof/>
          <w:szCs w:val="24"/>
        </w:rPr>
        <w:t>et al.</w:t>
      </w:r>
      <w:r w:rsidRPr="00047C53">
        <w:rPr>
          <w:rFonts w:ascii="Calibri" w:hAnsi="Calibri" w:cs="Calibri"/>
          <w:noProof/>
          <w:szCs w:val="24"/>
        </w:rPr>
        <w:t xml:space="preserve"> (2021) ‘Nonlinear shifts in infectious rust disease due to climate change’, </w:t>
      </w:r>
      <w:r w:rsidRPr="00047C53">
        <w:rPr>
          <w:rFonts w:ascii="Calibri" w:hAnsi="Calibri" w:cs="Calibri"/>
          <w:i/>
          <w:iCs/>
          <w:noProof/>
          <w:szCs w:val="24"/>
        </w:rPr>
        <w:t>Nature Communications</w:t>
      </w:r>
      <w:r w:rsidRPr="00047C53">
        <w:rPr>
          <w:rFonts w:ascii="Calibri" w:hAnsi="Calibri" w:cs="Calibri"/>
          <w:noProof/>
          <w:szCs w:val="24"/>
        </w:rPr>
        <w:t>, 12(1). doi: 10.1038/s41467-021-25182-6.</w:t>
      </w:r>
    </w:p>
    <w:p w14:paraId="34F42B55"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Dudney, J. C. </w:t>
      </w:r>
      <w:r w:rsidRPr="00047C53">
        <w:rPr>
          <w:rFonts w:ascii="Calibri" w:hAnsi="Calibri" w:cs="Calibri"/>
          <w:i/>
          <w:iCs/>
          <w:noProof/>
          <w:szCs w:val="24"/>
        </w:rPr>
        <w:t>et al.</w:t>
      </w:r>
      <w:r w:rsidRPr="00047C53">
        <w:rPr>
          <w:rFonts w:ascii="Calibri" w:hAnsi="Calibri" w:cs="Calibri"/>
          <w:noProof/>
          <w:szCs w:val="24"/>
        </w:rPr>
        <w:t xml:space="preserve"> (2020) ‘Compounding effects of white pine blister rust, mountain pine beetle, and fire threaten four white pine species’, </w:t>
      </w:r>
      <w:r w:rsidRPr="00047C53">
        <w:rPr>
          <w:rFonts w:ascii="Calibri" w:hAnsi="Calibri" w:cs="Calibri"/>
          <w:i/>
          <w:iCs/>
          <w:noProof/>
          <w:szCs w:val="24"/>
        </w:rPr>
        <w:t>Ecosphere</w:t>
      </w:r>
      <w:r w:rsidRPr="00047C53">
        <w:rPr>
          <w:rFonts w:ascii="Calibri" w:hAnsi="Calibri" w:cs="Calibri"/>
          <w:noProof/>
          <w:szCs w:val="24"/>
        </w:rPr>
        <w:t>, 11(October), p. e03263. doi: 10.1002/ecs2.3263.</w:t>
      </w:r>
    </w:p>
    <w:p w14:paraId="162F18F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Eitzel, M. </w:t>
      </w:r>
      <w:r w:rsidRPr="00047C53">
        <w:rPr>
          <w:rFonts w:ascii="Calibri" w:hAnsi="Calibri" w:cs="Calibri"/>
          <w:i/>
          <w:iCs/>
          <w:noProof/>
          <w:szCs w:val="24"/>
        </w:rPr>
        <w:t>et al.</w:t>
      </w:r>
      <w:r w:rsidRPr="00047C53">
        <w:rPr>
          <w:rFonts w:ascii="Calibri" w:hAnsi="Calibri" w:cs="Calibri"/>
          <w:noProof/>
          <w:szCs w:val="24"/>
        </w:rPr>
        <w:t xml:space="preserve"> (2013) ‘Estimating tree growth from complex forest monitoring data’, </w:t>
      </w:r>
      <w:r w:rsidRPr="00047C53">
        <w:rPr>
          <w:rFonts w:ascii="Calibri" w:hAnsi="Calibri" w:cs="Calibri"/>
          <w:i/>
          <w:iCs/>
          <w:noProof/>
          <w:szCs w:val="24"/>
        </w:rPr>
        <w:t>Ecological Applications</w:t>
      </w:r>
      <w:r w:rsidRPr="00047C53">
        <w:rPr>
          <w:rFonts w:ascii="Calibri" w:hAnsi="Calibri" w:cs="Calibri"/>
          <w:noProof/>
          <w:szCs w:val="24"/>
        </w:rPr>
        <w:t>, 23(6), pp. 1288–1296. doi: 10.1890/12-0504.1.</w:t>
      </w:r>
    </w:p>
    <w:p w14:paraId="27DCD72E"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Fettig, C. J. </w:t>
      </w:r>
      <w:r w:rsidRPr="00047C53">
        <w:rPr>
          <w:rFonts w:ascii="Calibri" w:hAnsi="Calibri" w:cs="Calibri"/>
          <w:i/>
          <w:iCs/>
          <w:noProof/>
          <w:szCs w:val="24"/>
        </w:rPr>
        <w:t>et al.</w:t>
      </w:r>
      <w:r w:rsidRPr="00047C53">
        <w:rPr>
          <w:rFonts w:ascii="Calibri" w:hAnsi="Calibri" w:cs="Calibri"/>
          <w:noProof/>
          <w:szCs w:val="24"/>
        </w:rPr>
        <w:t xml:space="preserve"> (2019) ‘Tree mortality following drought in the central and southern Sierra Nevada, California, U.S.’, </w:t>
      </w:r>
      <w:r w:rsidRPr="00047C53">
        <w:rPr>
          <w:rFonts w:ascii="Calibri" w:hAnsi="Calibri" w:cs="Calibri"/>
          <w:i/>
          <w:iCs/>
          <w:noProof/>
          <w:szCs w:val="24"/>
        </w:rPr>
        <w:t>Forest Ecology and Management</w:t>
      </w:r>
      <w:r w:rsidRPr="00047C53">
        <w:rPr>
          <w:rFonts w:ascii="Calibri" w:hAnsi="Calibri" w:cs="Calibri"/>
          <w:noProof/>
          <w:szCs w:val="24"/>
        </w:rPr>
        <w:t>, 432(August 2018), pp. 164–178. doi: 10.1016/j.foreco.2018.09.006.</w:t>
      </w:r>
    </w:p>
    <w:p w14:paraId="5E37BC5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Foster, D. E. </w:t>
      </w:r>
      <w:r w:rsidRPr="00047C53">
        <w:rPr>
          <w:rFonts w:ascii="Calibri" w:hAnsi="Calibri" w:cs="Calibri"/>
          <w:i/>
          <w:iCs/>
          <w:noProof/>
          <w:szCs w:val="24"/>
        </w:rPr>
        <w:t>et al.</w:t>
      </w:r>
      <w:r w:rsidRPr="00047C53">
        <w:rPr>
          <w:rFonts w:ascii="Calibri" w:hAnsi="Calibri" w:cs="Calibri"/>
          <w:noProof/>
          <w:szCs w:val="24"/>
        </w:rPr>
        <w:t xml:space="preserve"> (2020) ‘Potential wildfire and carbon stability in frequent-fire forests in the Sierra Nevada: trade-offs from a long-term study’, </w:t>
      </w:r>
      <w:r w:rsidRPr="00047C53">
        <w:rPr>
          <w:rFonts w:ascii="Calibri" w:hAnsi="Calibri" w:cs="Calibri"/>
          <w:i/>
          <w:iCs/>
          <w:noProof/>
          <w:szCs w:val="24"/>
        </w:rPr>
        <w:t>Ecosphere</w:t>
      </w:r>
      <w:r w:rsidRPr="00047C53">
        <w:rPr>
          <w:rFonts w:ascii="Calibri" w:hAnsi="Calibri" w:cs="Calibri"/>
          <w:noProof/>
          <w:szCs w:val="24"/>
        </w:rPr>
        <w:t>, 11(8). doi: 10.1002/ecs2.3198.</w:t>
      </w:r>
    </w:p>
    <w:p w14:paraId="1B40BA56"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Furniss, T. J. </w:t>
      </w:r>
      <w:r w:rsidRPr="00047C53">
        <w:rPr>
          <w:rFonts w:ascii="Calibri" w:hAnsi="Calibri" w:cs="Calibri"/>
          <w:i/>
          <w:iCs/>
          <w:noProof/>
          <w:szCs w:val="24"/>
        </w:rPr>
        <w:t>et al.</w:t>
      </w:r>
      <w:r w:rsidRPr="00047C53">
        <w:rPr>
          <w:rFonts w:ascii="Calibri" w:hAnsi="Calibri" w:cs="Calibri"/>
          <w:noProof/>
          <w:szCs w:val="24"/>
        </w:rPr>
        <w:t xml:space="preserve"> (2018) ‘Multi-scale assessment of post-fire tree mortality models’, </w:t>
      </w:r>
      <w:r w:rsidRPr="00047C53">
        <w:rPr>
          <w:rFonts w:ascii="Calibri" w:hAnsi="Calibri" w:cs="Calibri"/>
          <w:i/>
          <w:iCs/>
          <w:noProof/>
          <w:szCs w:val="24"/>
        </w:rPr>
        <w:t>International Journal of Wildland Fire</w:t>
      </w:r>
      <w:r w:rsidRPr="00047C53">
        <w:rPr>
          <w:rFonts w:ascii="Calibri" w:hAnsi="Calibri" w:cs="Calibri"/>
          <w:noProof/>
          <w:szCs w:val="24"/>
        </w:rPr>
        <w:t>, p. in press. doi: 10.1071/WF18031.</w:t>
      </w:r>
    </w:p>
    <w:p w14:paraId="1D39243A"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Furniss, T. J. </w:t>
      </w:r>
      <w:r w:rsidRPr="00047C53">
        <w:rPr>
          <w:rFonts w:ascii="Calibri" w:hAnsi="Calibri" w:cs="Calibri"/>
          <w:i/>
          <w:iCs/>
          <w:noProof/>
          <w:szCs w:val="24"/>
        </w:rPr>
        <w:t>et al.</w:t>
      </w:r>
      <w:r w:rsidRPr="00047C53">
        <w:rPr>
          <w:rFonts w:ascii="Calibri" w:hAnsi="Calibri" w:cs="Calibri"/>
          <w:noProof/>
          <w:szCs w:val="24"/>
        </w:rPr>
        <w:t xml:space="preserve"> (2021) ‘Crowding, climate, and the case for social distancing among trees’, </w:t>
      </w:r>
      <w:r w:rsidRPr="00047C53">
        <w:rPr>
          <w:rFonts w:ascii="Calibri" w:hAnsi="Calibri" w:cs="Calibri"/>
          <w:i/>
          <w:iCs/>
          <w:noProof/>
          <w:szCs w:val="24"/>
        </w:rPr>
        <w:t>Ecological Applications</w:t>
      </w:r>
      <w:r w:rsidRPr="00047C53">
        <w:rPr>
          <w:rFonts w:ascii="Calibri" w:hAnsi="Calibri" w:cs="Calibri"/>
          <w:noProof/>
          <w:szCs w:val="24"/>
        </w:rPr>
        <w:t>, (June 2021), pp. 1–14. doi: 10.1002/eap.2507.</w:t>
      </w:r>
    </w:p>
    <w:p w14:paraId="342F744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Geils, B. W., Hummer, K. E. and Hunt, R. S. (2010) ‘White pines, Ribes, and blister rust: A review and synthesis’, </w:t>
      </w:r>
      <w:r w:rsidRPr="00047C53">
        <w:rPr>
          <w:rFonts w:ascii="Calibri" w:hAnsi="Calibri" w:cs="Calibri"/>
          <w:i/>
          <w:iCs/>
          <w:noProof/>
          <w:szCs w:val="24"/>
        </w:rPr>
        <w:t>Forest Pathology</w:t>
      </w:r>
      <w:r w:rsidRPr="00047C53">
        <w:rPr>
          <w:rFonts w:ascii="Calibri" w:hAnsi="Calibri" w:cs="Calibri"/>
          <w:noProof/>
          <w:szCs w:val="24"/>
        </w:rPr>
        <w:t>, 40(3–4), pp. 147–185. doi: 10.1111/j.1439-0329.2010.00654.x.</w:t>
      </w:r>
    </w:p>
    <w:p w14:paraId="1B8C8BE8"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Harry, D. E., Jenkinson, J. L. and Kinloch, B. B. (1983) ‘Early Growth of Sugar Pine from an Elevational Transect’, </w:t>
      </w:r>
      <w:r w:rsidRPr="00047C53">
        <w:rPr>
          <w:rFonts w:ascii="Calibri" w:hAnsi="Calibri" w:cs="Calibri"/>
          <w:i/>
          <w:iCs/>
          <w:noProof/>
          <w:szCs w:val="24"/>
        </w:rPr>
        <w:t>Forest Science</w:t>
      </w:r>
      <w:r w:rsidRPr="00047C53">
        <w:rPr>
          <w:rFonts w:ascii="Calibri" w:hAnsi="Calibri" w:cs="Calibri"/>
          <w:noProof/>
          <w:szCs w:val="24"/>
        </w:rPr>
        <w:t>, 29(3), pp. 660–669. Available at: http://www.ingentaconnect.com/content/saf/fs/1983/00000029/00000003/art00027.</w:t>
      </w:r>
    </w:p>
    <w:p w14:paraId="79DFFB06"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Hessburg, P. F. </w:t>
      </w:r>
      <w:r w:rsidRPr="00047C53">
        <w:rPr>
          <w:rFonts w:ascii="Calibri" w:hAnsi="Calibri" w:cs="Calibri"/>
          <w:i/>
          <w:iCs/>
          <w:noProof/>
          <w:szCs w:val="24"/>
        </w:rPr>
        <w:t>et al.</w:t>
      </w:r>
      <w:r w:rsidRPr="00047C53">
        <w:rPr>
          <w:rFonts w:ascii="Calibri" w:hAnsi="Calibri" w:cs="Calibri"/>
          <w:noProof/>
          <w:szCs w:val="24"/>
        </w:rPr>
        <w:t xml:space="preserve"> (2016) ‘Tamm Review: Management of mixed-severity fire regime forests in Oregon, Washington, and Northern California’, </w:t>
      </w:r>
      <w:r w:rsidRPr="00047C53">
        <w:rPr>
          <w:rFonts w:ascii="Calibri" w:hAnsi="Calibri" w:cs="Calibri"/>
          <w:i/>
          <w:iCs/>
          <w:noProof/>
          <w:szCs w:val="24"/>
        </w:rPr>
        <w:t>Forest Ecology and Management</w:t>
      </w:r>
      <w:r w:rsidRPr="00047C53">
        <w:rPr>
          <w:rFonts w:ascii="Calibri" w:hAnsi="Calibri" w:cs="Calibri"/>
          <w:noProof/>
          <w:szCs w:val="24"/>
        </w:rPr>
        <w:t>, 366, pp. 221–250. doi: 10.1016/j.foreco.2016.01.034.</w:t>
      </w:r>
    </w:p>
    <w:p w14:paraId="20AE1AC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Hicke, J. A. </w:t>
      </w:r>
      <w:r w:rsidRPr="00047C53">
        <w:rPr>
          <w:rFonts w:ascii="Calibri" w:hAnsi="Calibri" w:cs="Calibri"/>
          <w:i/>
          <w:iCs/>
          <w:noProof/>
          <w:szCs w:val="24"/>
        </w:rPr>
        <w:t>et al.</w:t>
      </w:r>
      <w:r w:rsidRPr="00047C53">
        <w:rPr>
          <w:rFonts w:ascii="Calibri" w:hAnsi="Calibri" w:cs="Calibri"/>
          <w:noProof/>
          <w:szCs w:val="24"/>
        </w:rPr>
        <w:t xml:space="preserve"> (2012) ‘Effects of bark beetle-caused tree mortality on wildfire’, </w:t>
      </w:r>
      <w:r w:rsidRPr="00047C53">
        <w:rPr>
          <w:rFonts w:ascii="Calibri" w:hAnsi="Calibri" w:cs="Calibri"/>
          <w:i/>
          <w:iCs/>
          <w:noProof/>
          <w:szCs w:val="24"/>
        </w:rPr>
        <w:t>Forest Ecology and Management</w:t>
      </w:r>
      <w:r w:rsidRPr="00047C53">
        <w:rPr>
          <w:rFonts w:ascii="Calibri" w:hAnsi="Calibri" w:cs="Calibri"/>
          <w:noProof/>
          <w:szCs w:val="24"/>
        </w:rPr>
        <w:t>, 271, pp. 81–90. doi: 10.1016/j.foreco.2012.02.005.</w:t>
      </w:r>
    </w:p>
    <w:p w14:paraId="52461909"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Hood, S. M., Smith, S. L. and Cluck, D. R. (2010) ‘Predicting mortality for five California conifers following wildfire’, </w:t>
      </w:r>
      <w:r w:rsidRPr="00047C53">
        <w:rPr>
          <w:rFonts w:ascii="Calibri" w:hAnsi="Calibri" w:cs="Calibri"/>
          <w:i/>
          <w:iCs/>
          <w:noProof/>
          <w:szCs w:val="24"/>
        </w:rPr>
        <w:t>Forest Ecology and Management</w:t>
      </w:r>
      <w:r w:rsidRPr="00047C53">
        <w:rPr>
          <w:rFonts w:ascii="Calibri" w:hAnsi="Calibri" w:cs="Calibri"/>
          <w:noProof/>
          <w:szCs w:val="24"/>
        </w:rPr>
        <w:t>, 260(5), pp. 750–762. doi: 10.1016/j.foreco.2010.05.033.</w:t>
      </w:r>
    </w:p>
    <w:p w14:paraId="663B58D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Kinloch, B. B. </w:t>
      </w:r>
      <w:r w:rsidRPr="00047C53">
        <w:rPr>
          <w:rFonts w:ascii="Calibri" w:hAnsi="Calibri" w:cs="Calibri"/>
          <w:i/>
          <w:iCs/>
          <w:noProof/>
          <w:szCs w:val="24"/>
        </w:rPr>
        <w:t>et al.</w:t>
      </w:r>
      <w:r w:rsidRPr="00047C53">
        <w:rPr>
          <w:rFonts w:ascii="Calibri" w:hAnsi="Calibri" w:cs="Calibri"/>
          <w:noProof/>
          <w:szCs w:val="24"/>
        </w:rPr>
        <w:t xml:space="preserve"> (2018) ‘Patterns of Variation in Blister Rust Resistance in Sugar Pine ( Pinus lambertiana )’, in </w:t>
      </w:r>
      <w:r w:rsidRPr="00047C53">
        <w:rPr>
          <w:rFonts w:ascii="Calibri" w:hAnsi="Calibri" w:cs="Calibri"/>
          <w:i/>
          <w:iCs/>
          <w:noProof/>
          <w:szCs w:val="24"/>
        </w:rPr>
        <w:t xml:space="preserve">Schoettle, Anna W.; Sniezko, Richard A.; Kliejunas, John T., eds. 2018. Proceedings of </w:t>
      </w:r>
      <w:r w:rsidRPr="00047C53">
        <w:rPr>
          <w:rFonts w:ascii="Calibri" w:hAnsi="Calibri" w:cs="Calibri"/>
          <w:i/>
          <w:iCs/>
          <w:noProof/>
          <w:szCs w:val="24"/>
        </w:rPr>
        <w:lastRenderedPageBreak/>
        <w:t>the IUFRO joint conference: Genetics of five-needle pines, rusts of forest trees, and Strobusphere; 2014 June 15–20; Fort Collins, CO. Proc. RMRS-P-76. Fort Collins, CO</w:t>
      </w:r>
      <w:r w:rsidRPr="00047C53">
        <w:rPr>
          <w:rFonts w:ascii="Calibri" w:hAnsi="Calibri" w:cs="Calibri"/>
          <w:noProof/>
          <w:szCs w:val="24"/>
        </w:rPr>
        <w:t>, pp. 124–128.</w:t>
      </w:r>
    </w:p>
    <w:p w14:paraId="0DCB2F0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Kinloch, B. B. and Scheuner, W. H. (1990) ‘Pinus lambertiana Dougl.’, in </w:t>
      </w:r>
      <w:r w:rsidRPr="00047C53">
        <w:rPr>
          <w:rFonts w:ascii="Calibri" w:hAnsi="Calibri" w:cs="Calibri"/>
          <w:i/>
          <w:iCs/>
          <w:noProof/>
          <w:szCs w:val="24"/>
        </w:rPr>
        <w:t>Silvics of North America 1</w:t>
      </w:r>
      <w:r w:rsidRPr="00047C53">
        <w:rPr>
          <w:rFonts w:ascii="Calibri" w:hAnsi="Calibri" w:cs="Calibri"/>
          <w:noProof/>
          <w:szCs w:val="24"/>
        </w:rPr>
        <w:t>, pp. 370–380.</w:t>
      </w:r>
    </w:p>
    <w:p w14:paraId="46D7147A"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Kinloch Jr., B. B., Marosy, M. and Huddleston, M. E. (1996) ‘Sugar pine: status, values, and roles in ecosystems: Proceedings of a symposium presented by the California Sugar Pine Management Committee’, p. 225.</w:t>
      </w:r>
    </w:p>
    <w:p w14:paraId="4439615D"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Latham, P. and Tappeiner, J. (2002) ‘Response of old-growth conifers to reduction in stand density in western Oregon forests’, </w:t>
      </w:r>
      <w:r w:rsidRPr="00047C53">
        <w:rPr>
          <w:rFonts w:ascii="Calibri" w:hAnsi="Calibri" w:cs="Calibri"/>
          <w:i/>
          <w:iCs/>
          <w:noProof/>
          <w:szCs w:val="24"/>
        </w:rPr>
        <w:t>Tree Physiology</w:t>
      </w:r>
      <w:r w:rsidRPr="00047C53">
        <w:rPr>
          <w:rFonts w:ascii="Calibri" w:hAnsi="Calibri" w:cs="Calibri"/>
          <w:noProof/>
          <w:szCs w:val="24"/>
        </w:rPr>
        <w:t>, 22(2–3), pp. 137–146. doi: 10.1093/treephys/22.2-3.137.</w:t>
      </w:r>
    </w:p>
    <w:p w14:paraId="68590CD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Levine, C. R. </w:t>
      </w:r>
      <w:r w:rsidRPr="00047C53">
        <w:rPr>
          <w:rFonts w:ascii="Calibri" w:hAnsi="Calibri" w:cs="Calibri"/>
          <w:i/>
          <w:iCs/>
          <w:noProof/>
          <w:szCs w:val="24"/>
        </w:rPr>
        <w:t>et al.</w:t>
      </w:r>
      <w:r w:rsidRPr="00047C53">
        <w:rPr>
          <w:rFonts w:ascii="Calibri" w:hAnsi="Calibri" w:cs="Calibri"/>
          <w:noProof/>
          <w:szCs w:val="24"/>
        </w:rPr>
        <w:t xml:space="preserve"> (2016) ‘Long-term demographic trends in a fire-suppressed mixed-conifer forest’, </w:t>
      </w:r>
      <w:r w:rsidRPr="00047C53">
        <w:rPr>
          <w:rFonts w:ascii="Calibri" w:hAnsi="Calibri" w:cs="Calibri"/>
          <w:i/>
          <w:iCs/>
          <w:noProof/>
          <w:szCs w:val="24"/>
        </w:rPr>
        <w:t>Canadian Journal of Forest Research</w:t>
      </w:r>
      <w:r w:rsidRPr="00047C53">
        <w:rPr>
          <w:rFonts w:ascii="Calibri" w:hAnsi="Calibri" w:cs="Calibri"/>
          <w:noProof/>
          <w:szCs w:val="24"/>
        </w:rPr>
        <w:t>, 46(5), pp. 745–752. doi: 10.1139/cjfr-2015-0406.</w:t>
      </w:r>
    </w:p>
    <w:p w14:paraId="3B4E8F1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Lutz, J. A. </w:t>
      </w:r>
      <w:r w:rsidRPr="00047C53">
        <w:rPr>
          <w:rFonts w:ascii="Calibri" w:hAnsi="Calibri" w:cs="Calibri"/>
          <w:i/>
          <w:iCs/>
          <w:noProof/>
          <w:szCs w:val="24"/>
        </w:rPr>
        <w:t>et al.</w:t>
      </w:r>
      <w:r w:rsidRPr="00047C53">
        <w:rPr>
          <w:rFonts w:ascii="Calibri" w:hAnsi="Calibri" w:cs="Calibri"/>
          <w:noProof/>
          <w:szCs w:val="24"/>
        </w:rPr>
        <w:t xml:space="preserve"> (2018) ‘Global importance of large-diameter trees’, </w:t>
      </w:r>
      <w:r w:rsidRPr="00047C53">
        <w:rPr>
          <w:rFonts w:ascii="Calibri" w:hAnsi="Calibri" w:cs="Calibri"/>
          <w:i/>
          <w:iCs/>
          <w:noProof/>
          <w:szCs w:val="24"/>
        </w:rPr>
        <w:t>Global Ecology and Biogeography</w:t>
      </w:r>
      <w:r w:rsidRPr="00047C53">
        <w:rPr>
          <w:rFonts w:ascii="Calibri" w:hAnsi="Calibri" w:cs="Calibri"/>
          <w:noProof/>
          <w:szCs w:val="24"/>
        </w:rPr>
        <w:t>, 27(7), pp. 849–864. doi: 10.1111/geb.12747.</w:t>
      </w:r>
    </w:p>
    <w:p w14:paraId="4FD3356C"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Mahalovich, M. and Stritch, L. (2013) ‘Pinus albicaulis. The IUCN Red List of Threatened Species 2013’. Available at: https://dx.doi.org/10.2305/IUCN.UK.2013-1.RLTS.T39049A2885918.en.</w:t>
      </w:r>
    </w:p>
    <w:p w14:paraId="74B55D8D"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Maloney, P. E. (2011) ‘Incidence and distribution of white pine blister rust in the high-elevation forests of California’, </w:t>
      </w:r>
      <w:r w:rsidRPr="00047C53">
        <w:rPr>
          <w:rFonts w:ascii="Calibri" w:hAnsi="Calibri" w:cs="Calibri"/>
          <w:i/>
          <w:iCs/>
          <w:noProof/>
          <w:szCs w:val="24"/>
        </w:rPr>
        <w:t>Forest Pathology</w:t>
      </w:r>
      <w:r w:rsidRPr="00047C53">
        <w:rPr>
          <w:rFonts w:ascii="Calibri" w:hAnsi="Calibri" w:cs="Calibri"/>
          <w:noProof/>
          <w:szCs w:val="24"/>
        </w:rPr>
        <w:t>, 41(4), pp. 308–316. doi: 10.1111/j.1439-0329.2011.00732.x.</w:t>
      </w:r>
    </w:p>
    <w:p w14:paraId="6CD2EAF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Maloney, P. E. </w:t>
      </w:r>
      <w:r w:rsidRPr="00047C53">
        <w:rPr>
          <w:rFonts w:ascii="Calibri" w:hAnsi="Calibri" w:cs="Calibri"/>
          <w:i/>
          <w:iCs/>
          <w:noProof/>
          <w:szCs w:val="24"/>
        </w:rPr>
        <w:t>et al.</w:t>
      </w:r>
      <w:r w:rsidRPr="00047C53">
        <w:rPr>
          <w:rFonts w:ascii="Calibri" w:hAnsi="Calibri" w:cs="Calibri"/>
          <w:noProof/>
          <w:szCs w:val="24"/>
        </w:rPr>
        <w:t xml:space="preserve"> (2011) ‘Population biology of sugar pine (Pinus lambertiana Dougl.) with reference to historical disturbances in the Lake Tahoe Basin: Implications for restoration’, </w:t>
      </w:r>
      <w:r w:rsidRPr="00047C53">
        <w:rPr>
          <w:rFonts w:ascii="Calibri" w:hAnsi="Calibri" w:cs="Calibri"/>
          <w:i/>
          <w:iCs/>
          <w:noProof/>
          <w:szCs w:val="24"/>
        </w:rPr>
        <w:t>Forest Ecology and Management</w:t>
      </w:r>
      <w:r w:rsidRPr="00047C53">
        <w:rPr>
          <w:rFonts w:ascii="Calibri" w:hAnsi="Calibri" w:cs="Calibri"/>
          <w:noProof/>
          <w:szCs w:val="24"/>
        </w:rPr>
        <w:t>, 262(5), pp. 770–779. doi: 10.1016/j.foreco.2011.05.011.</w:t>
      </w:r>
    </w:p>
    <w:p w14:paraId="728C488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Maloney, P. E. </w:t>
      </w:r>
      <w:r w:rsidRPr="00047C53">
        <w:rPr>
          <w:rFonts w:ascii="Calibri" w:hAnsi="Calibri" w:cs="Calibri"/>
          <w:i/>
          <w:iCs/>
          <w:noProof/>
          <w:szCs w:val="24"/>
        </w:rPr>
        <w:t>et al.</w:t>
      </w:r>
      <w:r w:rsidRPr="00047C53">
        <w:rPr>
          <w:rFonts w:ascii="Calibri" w:hAnsi="Calibri" w:cs="Calibri"/>
          <w:noProof/>
          <w:szCs w:val="24"/>
        </w:rPr>
        <w:t xml:space="preserve"> (2012) ‘Ecology of whitebark pine populations in relation to white pine blister rust infection in subalpine forests of the Lake Tahoe Basin, USA: Implications for restoration’, </w:t>
      </w:r>
      <w:r w:rsidRPr="00047C53">
        <w:rPr>
          <w:rFonts w:ascii="Calibri" w:hAnsi="Calibri" w:cs="Calibri"/>
          <w:i/>
          <w:iCs/>
          <w:noProof/>
          <w:szCs w:val="24"/>
        </w:rPr>
        <w:t>Forest Ecology and Management</w:t>
      </w:r>
      <w:r w:rsidRPr="00047C53">
        <w:rPr>
          <w:rFonts w:ascii="Calibri" w:hAnsi="Calibri" w:cs="Calibri"/>
          <w:noProof/>
          <w:szCs w:val="24"/>
        </w:rPr>
        <w:t>, 280, pp. 166–175. doi: 10.1016/j.foreco.2012.05.025.</w:t>
      </w:r>
    </w:p>
    <w:p w14:paraId="0AC6BA8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Maloney, P. E. (2014) ‘The multivariate underpinnings of recruitment for three Pinus species in montane forests of the Sierra Nevada, USA’, </w:t>
      </w:r>
      <w:r w:rsidRPr="00047C53">
        <w:rPr>
          <w:rFonts w:ascii="Calibri" w:hAnsi="Calibri" w:cs="Calibri"/>
          <w:i/>
          <w:iCs/>
          <w:noProof/>
          <w:szCs w:val="24"/>
        </w:rPr>
        <w:t>Plant Ecology</w:t>
      </w:r>
      <w:r w:rsidRPr="00047C53">
        <w:rPr>
          <w:rFonts w:ascii="Calibri" w:hAnsi="Calibri" w:cs="Calibri"/>
          <w:noProof/>
          <w:szCs w:val="24"/>
        </w:rPr>
        <w:t>, 215(2), pp. 261–274. doi: 10.1007/s11258-013-0295-6.</w:t>
      </w:r>
    </w:p>
    <w:p w14:paraId="04EDDCE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w:t>
      </w:r>
      <w:r w:rsidRPr="00047C53">
        <w:rPr>
          <w:rFonts w:ascii="Calibri" w:hAnsi="Calibri" w:cs="Calibri"/>
          <w:i/>
          <w:iCs/>
          <w:noProof/>
          <w:szCs w:val="24"/>
        </w:rPr>
        <w:t>et al.</w:t>
      </w:r>
      <w:r w:rsidRPr="00047C53">
        <w:rPr>
          <w:rFonts w:ascii="Calibri" w:hAnsi="Calibri" w:cs="Calibri"/>
          <w:noProof/>
          <w:szCs w:val="24"/>
        </w:rPr>
        <w:t xml:space="preserve"> (2011) ‘Long-term effects of prescribed fire on mixed conifer forest structure in the Sierra Nevada, California’, </w:t>
      </w:r>
      <w:r w:rsidRPr="00047C53">
        <w:rPr>
          <w:rFonts w:ascii="Calibri" w:hAnsi="Calibri" w:cs="Calibri"/>
          <w:i/>
          <w:iCs/>
          <w:noProof/>
          <w:szCs w:val="24"/>
        </w:rPr>
        <w:t>Forest Ecology and Management</w:t>
      </w:r>
      <w:r w:rsidRPr="00047C53">
        <w:rPr>
          <w:rFonts w:ascii="Calibri" w:hAnsi="Calibri" w:cs="Calibri"/>
          <w:noProof/>
          <w:szCs w:val="24"/>
        </w:rPr>
        <w:t>, 261(6), pp. 989–994. doi: 10.1016/j.foreco.2010.12.013.</w:t>
      </w:r>
    </w:p>
    <w:p w14:paraId="343F5A7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w:t>
      </w:r>
      <w:r w:rsidRPr="00047C53">
        <w:rPr>
          <w:rFonts w:ascii="Calibri" w:hAnsi="Calibri" w:cs="Calibri"/>
          <w:i/>
          <w:iCs/>
          <w:noProof/>
          <w:szCs w:val="24"/>
        </w:rPr>
        <w:t>et al.</w:t>
      </w:r>
      <w:r w:rsidRPr="00047C53">
        <w:rPr>
          <w:rFonts w:ascii="Calibri" w:hAnsi="Calibri" w:cs="Calibri"/>
          <w:noProof/>
          <w:szCs w:val="24"/>
        </w:rPr>
        <w:t xml:space="preserve"> (2016) ‘Does Prescribed Fire Promote Resistance To Drought in Low Elevation Forests of the Sierra Nevada, California, Usa?’, </w:t>
      </w:r>
      <w:r w:rsidRPr="00047C53">
        <w:rPr>
          <w:rFonts w:ascii="Calibri" w:hAnsi="Calibri" w:cs="Calibri"/>
          <w:i/>
          <w:iCs/>
          <w:noProof/>
          <w:szCs w:val="24"/>
        </w:rPr>
        <w:t>Fire Ecology</w:t>
      </w:r>
      <w:r w:rsidRPr="00047C53">
        <w:rPr>
          <w:rFonts w:ascii="Calibri" w:hAnsi="Calibri" w:cs="Calibri"/>
          <w:noProof/>
          <w:szCs w:val="24"/>
        </w:rPr>
        <w:t>, 12(1), pp. 5–15. doi: 10.4996/fireecology.1201013.</w:t>
      </w:r>
    </w:p>
    <w:p w14:paraId="7D7D4516"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w:t>
      </w:r>
      <w:r w:rsidRPr="00047C53">
        <w:rPr>
          <w:rFonts w:ascii="Calibri" w:hAnsi="Calibri" w:cs="Calibri"/>
          <w:i/>
          <w:iCs/>
          <w:noProof/>
          <w:szCs w:val="24"/>
        </w:rPr>
        <w:t>et al.</w:t>
      </w:r>
      <w:r w:rsidRPr="00047C53">
        <w:rPr>
          <w:rFonts w:ascii="Calibri" w:hAnsi="Calibri" w:cs="Calibri"/>
          <w:noProof/>
          <w:szCs w:val="24"/>
        </w:rPr>
        <w:t xml:space="preserve"> (2018) ‘Pre-fire drought and competition mediate post-fire conifer mortality in western U.S. National Parks’, </w:t>
      </w:r>
      <w:r w:rsidRPr="00047C53">
        <w:rPr>
          <w:rFonts w:ascii="Calibri" w:hAnsi="Calibri" w:cs="Calibri"/>
          <w:i/>
          <w:iCs/>
          <w:noProof/>
          <w:szCs w:val="24"/>
        </w:rPr>
        <w:t>Ecological Applications</w:t>
      </w:r>
      <w:r w:rsidRPr="00047C53">
        <w:rPr>
          <w:rFonts w:ascii="Calibri" w:hAnsi="Calibri" w:cs="Calibri"/>
          <w:noProof/>
          <w:szCs w:val="24"/>
        </w:rPr>
        <w:t>, 28(7), pp. 1730–1739. doi: 10.1002/eap.1778.</w:t>
      </w:r>
    </w:p>
    <w:p w14:paraId="49D06B5B"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w:t>
      </w:r>
      <w:r w:rsidRPr="00047C53">
        <w:rPr>
          <w:rFonts w:ascii="Calibri" w:hAnsi="Calibri" w:cs="Calibri"/>
          <w:i/>
          <w:iCs/>
          <w:noProof/>
          <w:szCs w:val="24"/>
        </w:rPr>
        <w:t>et al.</w:t>
      </w:r>
      <w:r w:rsidRPr="00047C53">
        <w:rPr>
          <w:rFonts w:ascii="Calibri" w:hAnsi="Calibri" w:cs="Calibri"/>
          <w:noProof/>
          <w:szCs w:val="24"/>
        </w:rPr>
        <w:t xml:space="preserve"> (2004) ‘Effects of an introduced pathogen and fire exclusion on the demography of sugar pine’, </w:t>
      </w:r>
      <w:r w:rsidRPr="00047C53">
        <w:rPr>
          <w:rFonts w:ascii="Calibri" w:hAnsi="Calibri" w:cs="Calibri"/>
          <w:i/>
          <w:iCs/>
          <w:noProof/>
          <w:szCs w:val="24"/>
        </w:rPr>
        <w:t>Ecological Applications</w:t>
      </w:r>
      <w:r w:rsidRPr="00047C53">
        <w:rPr>
          <w:rFonts w:ascii="Calibri" w:hAnsi="Calibri" w:cs="Calibri"/>
          <w:noProof/>
          <w:szCs w:val="24"/>
        </w:rPr>
        <w:t>, 14(5), pp. 1590–1602. doi: 10.1890/03-5109.</w:t>
      </w:r>
    </w:p>
    <w:p w14:paraId="5BB3606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w:t>
      </w:r>
      <w:r w:rsidRPr="00047C53">
        <w:rPr>
          <w:rFonts w:ascii="Calibri" w:hAnsi="Calibri" w:cs="Calibri"/>
          <w:i/>
          <w:iCs/>
          <w:noProof/>
          <w:szCs w:val="24"/>
        </w:rPr>
        <w:t>et al.</w:t>
      </w:r>
      <w:r w:rsidRPr="00047C53">
        <w:rPr>
          <w:rFonts w:ascii="Calibri" w:hAnsi="Calibri" w:cs="Calibri"/>
          <w:noProof/>
          <w:szCs w:val="24"/>
        </w:rPr>
        <w:t xml:space="preserve"> (2020) ‘The influence of pre-fire growth patterns on post-fire tree mortality for common conifers in western US parks’, </w:t>
      </w:r>
      <w:r w:rsidRPr="00047C53">
        <w:rPr>
          <w:rFonts w:ascii="Calibri" w:hAnsi="Calibri" w:cs="Calibri"/>
          <w:i/>
          <w:iCs/>
          <w:noProof/>
          <w:szCs w:val="24"/>
        </w:rPr>
        <w:t>International Journal of Wildland Fire</w:t>
      </w:r>
      <w:r w:rsidRPr="00047C53">
        <w:rPr>
          <w:rFonts w:ascii="Calibri" w:hAnsi="Calibri" w:cs="Calibri"/>
          <w:noProof/>
          <w:szCs w:val="24"/>
        </w:rPr>
        <w:t>, 29(6), pp. 513–518. doi: 10.1071/WF19020.</w:t>
      </w:r>
    </w:p>
    <w:p w14:paraId="0B85D078"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lastRenderedPageBreak/>
        <w:t xml:space="preserve">Van Mantgem, P. J. and Stephenson, N. L. (2007) ‘Apparent climatically induced increase of tree mortality rates in a temperate forest’, </w:t>
      </w:r>
      <w:r w:rsidRPr="00047C53">
        <w:rPr>
          <w:rFonts w:ascii="Calibri" w:hAnsi="Calibri" w:cs="Calibri"/>
          <w:i/>
          <w:iCs/>
          <w:noProof/>
          <w:szCs w:val="24"/>
        </w:rPr>
        <w:t>Ecology Letters</w:t>
      </w:r>
      <w:r w:rsidRPr="00047C53">
        <w:rPr>
          <w:rFonts w:ascii="Calibri" w:hAnsi="Calibri" w:cs="Calibri"/>
          <w:noProof/>
          <w:szCs w:val="24"/>
        </w:rPr>
        <w:t>, 10(10), pp. 909–916. doi: 10.1111/j.1461-0248.2007.01080.x.</w:t>
      </w:r>
    </w:p>
    <w:p w14:paraId="279B53E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Van Mantgem, P. J., Stephenson, N. L. and Keeley, J. E. (2006) ‘Forest reproduction along a climatic gradient in the Sierra Nevada, California’, </w:t>
      </w:r>
      <w:r w:rsidRPr="00047C53">
        <w:rPr>
          <w:rFonts w:ascii="Calibri" w:hAnsi="Calibri" w:cs="Calibri"/>
          <w:i/>
          <w:iCs/>
          <w:noProof/>
          <w:szCs w:val="24"/>
        </w:rPr>
        <w:t>Forest Ecology and Management</w:t>
      </w:r>
      <w:r w:rsidRPr="00047C53">
        <w:rPr>
          <w:rFonts w:ascii="Calibri" w:hAnsi="Calibri" w:cs="Calibri"/>
          <w:noProof/>
          <w:szCs w:val="24"/>
        </w:rPr>
        <w:t>, 225(1–3), pp. 391–399. doi: 10.1016/j.foreco.2006.01.015.</w:t>
      </w:r>
    </w:p>
    <w:p w14:paraId="0CEE834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Moran, E. V. </w:t>
      </w:r>
      <w:r w:rsidRPr="00047C53">
        <w:rPr>
          <w:rFonts w:ascii="Calibri" w:hAnsi="Calibri" w:cs="Calibri"/>
          <w:i/>
          <w:iCs/>
          <w:noProof/>
          <w:szCs w:val="24"/>
        </w:rPr>
        <w:t>et al.</w:t>
      </w:r>
      <w:r w:rsidRPr="00047C53">
        <w:rPr>
          <w:rFonts w:ascii="Calibri" w:hAnsi="Calibri" w:cs="Calibri"/>
          <w:noProof/>
          <w:szCs w:val="24"/>
        </w:rPr>
        <w:t xml:space="preserve"> (2019) ‘Negative impacts of summer heat on Sierra Nevada tree seedlings’, </w:t>
      </w:r>
      <w:r w:rsidRPr="00047C53">
        <w:rPr>
          <w:rFonts w:ascii="Calibri" w:hAnsi="Calibri" w:cs="Calibri"/>
          <w:i/>
          <w:iCs/>
          <w:noProof/>
          <w:szCs w:val="24"/>
        </w:rPr>
        <w:t>Ecosphere</w:t>
      </w:r>
      <w:r w:rsidRPr="00047C53">
        <w:rPr>
          <w:rFonts w:ascii="Calibri" w:hAnsi="Calibri" w:cs="Calibri"/>
          <w:noProof/>
          <w:szCs w:val="24"/>
        </w:rPr>
        <w:t>, 10(6). doi: 10.1002/ecs2.2776.</w:t>
      </w:r>
    </w:p>
    <w:p w14:paraId="352E599D"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Murray, M. P. and Tomback, D. F. (2010) ‘Clark’s nutcrackers harvest sugar pine seeds from cones’, </w:t>
      </w:r>
      <w:r w:rsidRPr="00047C53">
        <w:rPr>
          <w:rFonts w:ascii="Calibri" w:hAnsi="Calibri" w:cs="Calibri"/>
          <w:i/>
          <w:iCs/>
          <w:noProof/>
          <w:szCs w:val="24"/>
        </w:rPr>
        <w:t>Western North American Naturalist</w:t>
      </w:r>
      <w:r w:rsidRPr="00047C53">
        <w:rPr>
          <w:rFonts w:ascii="Calibri" w:hAnsi="Calibri" w:cs="Calibri"/>
          <w:noProof/>
          <w:szCs w:val="24"/>
        </w:rPr>
        <w:t>, 70(3), pp. 413–414. doi: 10.3398/064.070.0314.</w:t>
      </w:r>
    </w:p>
    <w:p w14:paraId="4E309F5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Nesmith, J. C. B. </w:t>
      </w:r>
      <w:r w:rsidRPr="00047C53">
        <w:rPr>
          <w:rFonts w:ascii="Calibri" w:hAnsi="Calibri" w:cs="Calibri"/>
          <w:i/>
          <w:iCs/>
          <w:noProof/>
          <w:szCs w:val="24"/>
        </w:rPr>
        <w:t>et al.</w:t>
      </w:r>
      <w:r w:rsidRPr="00047C53">
        <w:rPr>
          <w:rFonts w:ascii="Calibri" w:hAnsi="Calibri" w:cs="Calibri"/>
          <w:noProof/>
          <w:szCs w:val="24"/>
        </w:rPr>
        <w:t xml:space="preserve"> (2010) ‘The effects of raking on sugar pine mortality following prescribed fire in sequoia and kings canyon national parks, California, USA’, </w:t>
      </w:r>
      <w:r w:rsidRPr="00047C53">
        <w:rPr>
          <w:rFonts w:ascii="Calibri" w:hAnsi="Calibri" w:cs="Calibri"/>
          <w:i/>
          <w:iCs/>
          <w:noProof/>
          <w:szCs w:val="24"/>
        </w:rPr>
        <w:t>Fire Ecology</w:t>
      </w:r>
      <w:r w:rsidRPr="00047C53">
        <w:rPr>
          <w:rFonts w:ascii="Calibri" w:hAnsi="Calibri" w:cs="Calibri"/>
          <w:noProof/>
          <w:szCs w:val="24"/>
        </w:rPr>
        <w:t>, 6(3), pp. 97–116. doi: 10.4996/fireecology.0603097.</w:t>
      </w:r>
    </w:p>
    <w:p w14:paraId="3A5CEAF9"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Nesmith, J. C. B. </w:t>
      </w:r>
      <w:r w:rsidRPr="00047C53">
        <w:rPr>
          <w:rFonts w:ascii="Calibri" w:hAnsi="Calibri" w:cs="Calibri"/>
          <w:i/>
          <w:iCs/>
          <w:noProof/>
          <w:szCs w:val="24"/>
        </w:rPr>
        <w:t>et al.</w:t>
      </w:r>
      <w:r w:rsidRPr="00047C53">
        <w:rPr>
          <w:rFonts w:ascii="Calibri" w:hAnsi="Calibri" w:cs="Calibri"/>
          <w:noProof/>
          <w:szCs w:val="24"/>
        </w:rPr>
        <w:t xml:space="preserve"> (2015) ‘The influence of prefire tree growth and crown condition on postfire mortality of sugar pine following prescribed fire in Sequoia National Park’, </w:t>
      </w:r>
      <w:r w:rsidRPr="00047C53">
        <w:rPr>
          <w:rFonts w:ascii="Calibri" w:hAnsi="Calibri" w:cs="Calibri"/>
          <w:i/>
          <w:iCs/>
          <w:noProof/>
          <w:szCs w:val="24"/>
        </w:rPr>
        <w:t>Canadian Journal of Forest Research</w:t>
      </w:r>
      <w:r w:rsidRPr="00047C53">
        <w:rPr>
          <w:rFonts w:ascii="Calibri" w:hAnsi="Calibri" w:cs="Calibri"/>
          <w:noProof/>
          <w:szCs w:val="24"/>
        </w:rPr>
        <w:t>, 45(7), pp. 910–919. doi: 10.1139/cjfr-2014-0449.</w:t>
      </w:r>
    </w:p>
    <w:p w14:paraId="19AF38A9"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North, M. P. </w:t>
      </w:r>
      <w:r w:rsidRPr="00047C53">
        <w:rPr>
          <w:rFonts w:ascii="Calibri" w:hAnsi="Calibri" w:cs="Calibri"/>
          <w:i/>
          <w:iCs/>
          <w:noProof/>
          <w:szCs w:val="24"/>
        </w:rPr>
        <w:t>et al.</w:t>
      </w:r>
      <w:r w:rsidRPr="00047C53">
        <w:rPr>
          <w:rFonts w:ascii="Calibri" w:hAnsi="Calibri" w:cs="Calibri"/>
          <w:noProof/>
          <w:szCs w:val="24"/>
        </w:rPr>
        <w:t xml:space="preserve"> (2019) ‘Tamm Review: Reforestation for resilience in dry western U.S. forests’, </w:t>
      </w:r>
      <w:r w:rsidRPr="00047C53">
        <w:rPr>
          <w:rFonts w:ascii="Calibri" w:hAnsi="Calibri" w:cs="Calibri"/>
          <w:i/>
          <w:iCs/>
          <w:noProof/>
          <w:szCs w:val="24"/>
        </w:rPr>
        <w:t>Forest Ecology and Management</w:t>
      </w:r>
      <w:r w:rsidRPr="00047C53">
        <w:rPr>
          <w:rFonts w:ascii="Calibri" w:hAnsi="Calibri" w:cs="Calibri"/>
          <w:noProof/>
          <w:szCs w:val="24"/>
        </w:rPr>
        <w:t>, 432(July 2018), pp. 209–224. doi: 10.1016/j.foreco.2018.09.007.</w:t>
      </w:r>
    </w:p>
    <w:p w14:paraId="721D7BF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North, M. P. </w:t>
      </w:r>
      <w:r w:rsidRPr="00047C53">
        <w:rPr>
          <w:rFonts w:ascii="Calibri" w:hAnsi="Calibri" w:cs="Calibri"/>
          <w:i/>
          <w:iCs/>
          <w:noProof/>
          <w:szCs w:val="24"/>
        </w:rPr>
        <w:t>et al.</w:t>
      </w:r>
      <w:r w:rsidRPr="00047C53">
        <w:rPr>
          <w:rFonts w:ascii="Calibri" w:hAnsi="Calibri" w:cs="Calibri"/>
          <w:noProof/>
          <w:szCs w:val="24"/>
        </w:rPr>
        <w:t xml:space="preserve"> (2021) ‘Pyrosilviculture needed for landscape resilience of dry western United States forests’, </w:t>
      </w:r>
      <w:r w:rsidRPr="00047C53">
        <w:rPr>
          <w:rFonts w:ascii="Calibri" w:hAnsi="Calibri" w:cs="Calibri"/>
          <w:i/>
          <w:iCs/>
          <w:noProof/>
          <w:szCs w:val="24"/>
        </w:rPr>
        <w:t>Journal of Forestry</w:t>
      </w:r>
      <w:r w:rsidRPr="00047C53">
        <w:rPr>
          <w:rFonts w:ascii="Calibri" w:hAnsi="Calibri" w:cs="Calibri"/>
          <w:noProof/>
          <w:szCs w:val="24"/>
        </w:rPr>
        <w:t>, pp. 1–25. doi: 10.1093/jofore/fvab026.</w:t>
      </w:r>
    </w:p>
    <w:p w14:paraId="7028B08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North, M. P. </w:t>
      </w:r>
      <w:r w:rsidRPr="00047C53">
        <w:rPr>
          <w:rFonts w:ascii="Calibri" w:hAnsi="Calibri" w:cs="Calibri"/>
          <w:i/>
          <w:iCs/>
          <w:noProof/>
          <w:szCs w:val="24"/>
        </w:rPr>
        <w:t>et al.</w:t>
      </w:r>
      <w:r w:rsidRPr="00047C53">
        <w:rPr>
          <w:rFonts w:ascii="Calibri" w:hAnsi="Calibri" w:cs="Calibri"/>
          <w:noProof/>
          <w:szCs w:val="24"/>
        </w:rPr>
        <w:t xml:space="preserve"> (2022) ‘Operational resilience in western US frequent-fire forests’, </w:t>
      </w:r>
      <w:r w:rsidRPr="00047C53">
        <w:rPr>
          <w:rFonts w:ascii="Calibri" w:hAnsi="Calibri" w:cs="Calibri"/>
          <w:i/>
          <w:iCs/>
          <w:noProof/>
          <w:szCs w:val="24"/>
        </w:rPr>
        <w:t>Forest Ecology and Management</w:t>
      </w:r>
      <w:r w:rsidRPr="00047C53">
        <w:rPr>
          <w:rFonts w:ascii="Calibri" w:hAnsi="Calibri" w:cs="Calibri"/>
          <w:noProof/>
          <w:szCs w:val="24"/>
        </w:rPr>
        <w:t>, 507(November 2021), p. 120004. doi: 10.1016/j.foreco.2021.120004.</w:t>
      </w:r>
    </w:p>
    <w:p w14:paraId="64082AB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Parks, S. A. and Abatzoglou, J. T. (2020) ‘Warmer and Drier Fire Seasons Contribute to Increases in Area Burned at High Severity in Western US Forests From 1985 to 2017’, </w:t>
      </w:r>
      <w:r w:rsidRPr="00047C53">
        <w:rPr>
          <w:rFonts w:ascii="Calibri" w:hAnsi="Calibri" w:cs="Calibri"/>
          <w:i/>
          <w:iCs/>
          <w:noProof/>
          <w:szCs w:val="24"/>
        </w:rPr>
        <w:t>Geophysical Research Letters</w:t>
      </w:r>
      <w:r w:rsidRPr="00047C53">
        <w:rPr>
          <w:rFonts w:ascii="Calibri" w:hAnsi="Calibri" w:cs="Calibri"/>
          <w:noProof/>
          <w:szCs w:val="24"/>
        </w:rPr>
        <w:t>, 47(22), pp. 1–10. doi: 10.1029/2020GL089858.</w:t>
      </w:r>
    </w:p>
    <w:p w14:paraId="285A9C7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Paz-Kagan, T. </w:t>
      </w:r>
      <w:r w:rsidRPr="00047C53">
        <w:rPr>
          <w:rFonts w:ascii="Calibri" w:hAnsi="Calibri" w:cs="Calibri"/>
          <w:i/>
          <w:iCs/>
          <w:noProof/>
          <w:szCs w:val="24"/>
        </w:rPr>
        <w:t>et al.</w:t>
      </w:r>
      <w:r w:rsidRPr="00047C53">
        <w:rPr>
          <w:rFonts w:ascii="Calibri" w:hAnsi="Calibri" w:cs="Calibri"/>
          <w:noProof/>
          <w:szCs w:val="24"/>
        </w:rPr>
        <w:t xml:space="preserve"> (2017) ‘What mediates tree mortality during drought in the southern Sierra Nevada’, </w:t>
      </w:r>
      <w:r w:rsidRPr="00047C53">
        <w:rPr>
          <w:rFonts w:ascii="Calibri" w:hAnsi="Calibri" w:cs="Calibri"/>
          <w:i/>
          <w:iCs/>
          <w:noProof/>
          <w:szCs w:val="24"/>
        </w:rPr>
        <w:t>Ecological Applications</w:t>
      </w:r>
      <w:r w:rsidRPr="00047C53">
        <w:rPr>
          <w:rFonts w:ascii="Calibri" w:hAnsi="Calibri" w:cs="Calibri"/>
          <w:noProof/>
          <w:szCs w:val="24"/>
        </w:rPr>
        <w:t>, 27(8), pp. 2443–2457. doi: 10.1002/eap.1620.</w:t>
      </w:r>
    </w:p>
    <w:p w14:paraId="37309A9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Restaino, C. </w:t>
      </w:r>
      <w:r w:rsidRPr="00047C53">
        <w:rPr>
          <w:rFonts w:ascii="Calibri" w:hAnsi="Calibri" w:cs="Calibri"/>
          <w:i/>
          <w:iCs/>
          <w:noProof/>
          <w:szCs w:val="24"/>
        </w:rPr>
        <w:t>et al.</w:t>
      </w:r>
      <w:r w:rsidRPr="00047C53">
        <w:rPr>
          <w:rFonts w:ascii="Calibri" w:hAnsi="Calibri" w:cs="Calibri"/>
          <w:noProof/>
          <w:szCs w:val="24"/>
        </w:rPr>
        <w:t xml:space="preserve"> (2019) ‘Forest structure and climate mediate drought-induced tree mortality in forests of the Sierra Nevada , USA’, </w:t>
      </w:r>
      <w:r w:rsidRPr="00047C53">
        <w:rPr>
          <w:rFonts w:ascii="Calibri" w:hAnsi="Calibri" w:cs="Calibri"/>
          <w:i/>
          <w:iCs/>
          <w:noProof/>
          <w:szCs w:val="24"/>
        </w:rPr>
        <w:t>Ecological Applications</w:t>
      </w:r>
      <w:r w:rsidRPr="00047C53">
        <w:rPr>
          <w:rFonts w:ascii="Calibri" w:hAnsi="Calibri" w:cs="Calibri"/>
          <w:noProof/>
          <w:szCs w:val="24"/>
        </w:rPr>
        <w:t>, 29(December 2017), pp. 1–14. doi: 10.1002/eap.1902.</w:t>
      </w:r>
    </w:p>
    <w:p w14:paraId="5EA6FF7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Safford, H. D. and Stevens, J. T. (2017) ‘Natural Range of Variation (NRV) for yellow pine and mixed conifer forests in the bioregional assessment area, including the Sierra Nevada, southern Cascades, and Modoc and Inyo National Forests’, </w:t>
      </w:r>
      <w:r w:rsidRPr="00047C53">
        <w:rPr>
          <w:rFonts w:ascii="Calibri" w:hAnsi="Calibri" w:cs="Calibri"/>
          <w:i/>
          <w:iCs/>
          <w:noProof/>
          <w:szCs w:val="24"/>
        </w:rPr>
        <w:t>Gen. Tech. Rep. PSW-GTR-2562</w:t>
      </w:r>
      <w:r w:rsidRPr="00047C53">
        <w:rPr>
          <w:rFonts w:ascii="Calibri" w:hAnsi="Calibri" w:cs="Calibri"/>
          <w:noProof/>
          <w:szCs w:val="24"/>
        </w:rPr>
        <w:t>, (October), pp. 1–151.</w:t>
      </w:r>
    </w:p>
    <w:p w14:paraId="47A2B6E5"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Schubert, G. H. (1956) </w:t>
      </w:r>
      <w:r w:rsidRPr="00047C53">
        <w:rPr>
          <w:rFonts w:ascii="Calibri" w:hAnsi="Calibri" w:cs="Calibri"/>
          <w:i/>
          <w:iCs/>
          <w:noProof/>
          <w:szCs w:val="24"/>
        </w:rPr>
        <w:t>Effect of fertilizer on cone production of sugar pine</w:t>
      </w:r>
      <w:r w:rsidRPr="00047C53">
        <w:rPr>
          <w:rFonts w:ascii="Calibri" w:hAnsi="Calibri" w:cs="Calibri"/>
          <w:noProof/>
          <w:szCs w:val="24"/>
        </w:rPr>
        <w:t>.</w:t>
      </w:r>
    </w:p>
    <w:p w14:paraId="484F3A0B"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Schwilk, D. W. and Ackerly, D. D. (2001) ‘Flammability and Serotiny as Strategies : Correlated Evolution in Pines evolution correlated as strategies : and serotiny Flammability in pines’, </w:t>
      </w:r>
      <w:r w:rsidRPr="00047C53">
        <w:rPr>
          <w:rFonts w:ascii="Calibri" w:hAnsi="Calibri" w:cs="Calibri"/>
          <w:i/>
          <w:iCs/>
          <w:noProof/>
          <w:szCs w:val="24"/>
        </w:rPr>
        <w:t>Oikos</w:t>
      </w:r>
      <w:r w:rsidRPr="00047C53">
        <w:rPr>
          <w:rFonts w:ascii="Calibri" w:hAnsi="Calibri" w:cs="Calibri"/>
          <w:noProof/>
          <w:szCs w:val="24"/>
        </w:rPr>
        <w:t>, 94, pp. 326–336.</w:t>
      </w:r>
    </w:p>
    <w:p w14:paraId="2272A37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Shive, K. L. </w:t>
      </w:r>
      <w:r w:rsidRPr="00047C53">
        <w:rPr>
          <w:rFonts w:ascii="Calibri" w:hAnsi="Calibri" w:cs="Calibri"/>
          <w:i/>
          <w:iCs/>
          <w:noProof/>
          <w:szCs w:val="24"/>
        </w:rPr>
        <w:t>et al.</w:t>
      </w:r>
      <w:r w:rsidRPr="00047C53">
        <w:rPr>
          <w:rFonts w:ascii="Calibri" w:hAnsi="Calibri" w:cs="Calibri"/>
          <w:noProof/>
          <w:szCs w:val="24"/>
        </w:rPr>
        <w:t xml:space="preserve"> (2018) ‘From the stand scale to the landscape scale: predicting the spatial patterns of forest regeneration after disturbance’, </w:t>
      </w:r>
      <w:r w:rsidRPr="00047C53">
        <w:rPr>
          <w:rFonts w:ascii="Calibri" w:hAnsi="Calibri" w:cs="Calibri"/>
          <w:i/>
          <w:iCs/>
          <w:noProof/>
          <w:szCs w:val="24"/>
        </w:rPr>
        <w:t>Ecological Applications</w:t>
      </w:r>
      <w:r w:rsidRPr="00047C53">
        <w:rPr>
          <w:rFonts w:ascii="Calibri" w:hAnsi="Calibri" w:cs="Calibri"/>
          <w:noProof/>
          <w:szCs w:val="24"/>
        </w:rPr>
        <w:t>, 28(6), pp. 1626–1639. doi: 10.1002/eap.1756.</w:t>
      </w:r>
    </w:p>
    <w:p w14:paraId="22F51206"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lastRenderedPageBreak/>
        <w:t xml:space="preserve">Shriver, R. K. </w:t>
      </w:r>
      <w:r w:rsidRPr="00047C53">
        <w:rPr>
          <w:rFonts w:ascii="Calibri" w:hAnsi="Calibri" w:cs="Calibri"/>
          <w:i/>
          <w:iCs/>
          <w:noProof/>
          <w:szCs w:val="24"/>
        </w:rPr>
        <w:t>et al.</w:t>
      </w:r>
      <w:r w:rsidRPr="00047C53">
        <w:rPr>
          <w:rFonts w:ascii="Calibri" w:hAnsi="Calibri" w:cs="Calibri"/>
          <w:noProof/>
          <w:szCs w:val="24"/>
        </w:rPr>
        <w:t xml:space="preserve"> (2019) ‘Transient population dynamics impede restoration and may promote ecosystem transformation after disturbance’, </w:t>
      </w:r>
      <w:r w:rsidRPr="00047C53">
        <w:rPr>
          <w:rFonts w:ascii="Calibri" w:hAnsi="Calibri" w:cs="Calibri"/>
          <w:i/>
          <w:iCs/>
          <w:noProof/>
          <w:szCs w:val="24"/>
        </w:rPr>
        <w:t>Ecology Letters</w:t>
      </w:r>
      <w:r w:rsidRPr="00047C53">
        <w:rPr>
          <w:rFonts w:ascii="Calibri" w:hAnsi="Calibri" w:cs="Calibri"/>
          <w:noProof/>
          <w:szCs w:val="24"/>
        </w:rPr>
        <w:t>, 22(9), pp. 1357–1366. doi: 10.1111/ele.13291.</w:t>
      </w:r>
    </w:p>
    <w:p w14:paraId="2EC1403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Shriver, R. K. </w:t>
      </w:r>
      <w:r w:rsidRPr="00047C53">
        <w:rPr>
          <w:rFonts w:ascii="Calibri" w:hAnsi="Calibri" w:cs="Calibri"/>
          <w:i/>
          <w:iCs/>
          <w:noProof/>
          <w:szCs w:val="24"/>
        </w:rPr>
        <w:t>et al.</w:t>
      </w:r>
      <w:r w:rsidRPr="00047C53">
        <w:rPr>
          <w:rFonts w:ascii="Calibri" w:hAnsi="Calibri" w:cs="Calibri"/>
          <w:noProof/>
          <w:szCs w:val="24"/>
        </w:rPr>
        <w:t xml:space="preserve"> (2021) ‘Quantifying the demographic vulnerabilities of dry woodlands to climate and competition using range‐wide monitoring data’, </w:t>
      </w:r>
      <w:r w:rsidRPr="00047C53">
        <w:rPr>
          <w:rFonts w:ascii="Calibri" w:hAnsi="Calibri" w:cs="Calibri"/>
          <w:i/>
          <w:iCs/>
          <w:noProof/>
          <w:szCs w:val="24"/>
        </w:rPr>
        <w:t>Ecology</w:t>
      </w:r>
      <w:r w:rsidRPr="00047C53">
        <w:rPr>
          <w:rFonts w:ascii="Calibri" w:hAnsi="Calibri" w:cs="Calibri"/>
          <w:noProof/>
          <w:szCs w:val="24"/>
        </w:rPr>
        <w:t>, 0(0), pp. 1–12. doi: 10.1002/ecy.3425.</w:t>
      </w:r>
    </w:p>
    <w:p w14:paraId="46C8E46E"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Slack, A. W., Kane, J. M. and Knapp, E. E. (2021) ‘Growth and defense inform large sugar pine ( Pinus lambertiana ) mortality in a fire ‐ excluded forest of the central Sierra Nevada’, </w:t>
      </w:r>
      <w:r w:rsidRPr="00047C53">
        <w:rPr>
          <w:rFonts w:ascii="Calibri" w:hAnsi="Calibri" w:cs="Calibri"/>
          <w:i/>
          <w:iCs/>
          <w:noProof/>
          <w:szCs w:val="24"/>
        </w:rPr>
        <w:t>Trees</w:t>
      </w:r>
      <w:r w:rsidRPr="00047C53">
        <w:rPr>
          <w:rFonts w:ascii="Calibri" w:hAnsi="Calibri" w:cs="Calibri"/>
          <w:noProof/>
          <w:szCs w:val="24"/>
        </w:rPr>
        <w:t>, (0123456789). doi: 10.1007/s00468-021-02098-8.</w:t>
      </w:r>
    </w:p>
    <w:p w14:paraId="23F02C2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Steel, Z. </w:t>
      </w:r>
      <w:r w:rsidRPr="00047C53">
        <w:rPr>
          <w:rFonts w:ascii="Calibri" w:hAnsi="Calibri" w:cs="Calibri"/>
          <w:i/>
          <w:iCs/>
          <w:noProof/>
          <w:szCs w:val="24"/>
        </w:rPr>
        <w:t>et al.</w:t>
      </w:r>
      <w:r w:rsidRPr="00047C53">
        <w:rPr>
          <w:rFonts w:ascii="Calibri" w:hAnsi="Calibri" w:cs="Calibri"/>
          <w:noProof/>
          <w:szCs w:val="24"/>
        </w:rPr>
        <w:t xml:space="preserve"> (2021) ‘Do Forest Fuel Reduction Treatments Confer Resistance to Beetle Infestation and Drought Mortality?’, </w:t>
      </w:r>
      <w:r w:rsidRPr="00047C53">
        <w:rPr>
          <w:rFonts w:ascii="Calibri" w:hAnsi="Calibri" w:cs="Calibri"/>
          <w:i/>
          <w:iCs/>
          <w:noProof/>
          <w:szCs w:val="24"/>
        </w:rPr>
        <w:t>Ecosphere</w:t>
      </w:r>
      <w:r w:rsidRPr="00047C53">
        <w:rPr>
          <w:rFonts w:ascii="Calibri" w:hAnsi="Calibri" w:cs="Calibri"/>
          <w:noProof/>
          <w:szCs w:val="24"/>
        </w:rPr>
        <w:t>, 12(January). doi: 10.1002/ecs2.3344.</w:t>
      </w:r>
    </w:p>
    <w:p w14:paraId="4FD98B2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Steel, Z. L., Safford, H. D. and Viers, J. H. (2015) ‘The fire frequency-severity relationship and the legacy of fire suppression in California forests http://www.esajournals.org/doi/pdf/10.1890/ES14-00224.1’, </w:t>
      </w:r>
      <w:r w:rsidRPr="00047C53">
        <w:rPr>
          <w:rFonts w:ascii="Calibri" w:hAnsi="Calibri" w:cs="Calibri"/>
          <w:i/>
          <w:iCs/>
          <w:noProof/>
          <w:szCs w:val="24"/>
        </w:rPr>
        <w:t>Ecosphere</w:t>
      </w:r>
      <w:r w:rsidRPr="00047C53">
        <w:rPr>
          <w:rFonts w:ascii="Calibri" w:hAnsi="Calibri" w:cs="Calibri"/>
          <w:noProof/>
          <w:szCs w:val="24"/>
        </w:rPr>
        <w:t>, 6(1). doi: 10.1890/ES14-00224.1.</w:t>
      </w:r>
    </w:p>
    <w:p w14:paraId="67BB8A7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Stephens, S. C. L. S. </w:t>
      </w:r>
      <w:r w:rsidRPr="00047C53">
        <w:rPr>
          <w:rFonts w:ascii="Calibri" w:hAnsi="Calibri" w:cs="Calibri"/>
          <w:i/>
          <w:iCs/>
          <w:noProof/>
          <w:szCs w:val="24"/>
        </w:rPr>
        <w:t>et al.</w:t>
      </w:r>
      <w:r w:rsidRPr="00047C53">
        <w:rPr>
          <w:rFonts w:ascii="Calibri" w:hAnsi="Calibri" w:cs="Calibri"/>
          <w:noProof/>
          <w:szCs w:val="24"/>
        </w:rPr>
        <w:t xml:space="preserve"> (2015) ‘Historical and current landscape-scale ponderosa pine and mixed conifer forest structure in the Southern Sierra Nevada’, </w:t>
      </w:r>
      <w:r w:rsidRPr="00047C53">
        <w:rPr>
          <w:rFonts w:ascii="Calibri" w:hAnsi="Calibri" w:cs="Calibri"/>
          <w:i/>
          <w:iCs/>
          <w:noProof/>
          <w:szCs w:val="24"/>
        </w:rPr>
        <w:t>Ecosphere</w:t>
      </w:r>
      <w:r w:rsidRPr="00047C53">
        <w:rPr>
          <w:rFonts w:ascii="Calibri" w:hAnsi="Calibri" w:cs="Calibri"/>
          <w:noProof/>
          <w:szCs w:val="24"/>
        </w:rPr>
        <w:t>, 6(May), pp. 1–63.</w:t>
      </w:r>
    </w:p>
    <w:p w14:paraId="20BAEAE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Stephens, S. L. </w:t>
      </w:r>
      <w:r w:rsidRPr="00047C53">
        <w:rPr>
          <w:rFonts w:ascii="Calibri" w:hAnsi="Calibri" w:cs="Calibri"/>
          <w:i/>
          <w:iCs/>
          <w:noProof/>
          <w:szCs w:val="24"/>
        </w:rPr>
        <w:t>et al.</w:t>
      </w:r>
      <w:r w:rsidRPr="00047C53">
        <w:rPr>
          <w:rFonts w:ascii="Calibri" w:hAnsi="Calibri" w:cs="Calibri"/>
          <w:noProof/>
          <w:szCs w:val="24"/>
        </w:rPr>
        <w:t xml:space="preserve"> (2018) ‘Drought, Tree Mortality, and Wildfire in Forests Adapted to Frequent Fire’, </w:t>
      </w:r>
      <w:r w:rsidRPr="00047C53">
        <w:rPr>
          <w:rFonts w:ascii="Calibri" w:hAnsi="Calibri" w:cs="Calibri"/>
          <w:i/>
          <w:iCs/>
          <w:noProof/>
          <w:szCs w:val="24"/>
        </w:rPr>
        <w:t>BioScience</w:t>
      </w:r>
      <w:r w:rsidRPr="00047C53">
        <w:rPr>
          <w:rFonts w:ascii="Calibri" w:hAnsi="Calibri" w:cs="Calibri"/>
          <w:noProof/>
          <w:szCs w:val="24"/>
        </w:rPr>
        <w:t>, XX(X), pp. 1–12. doi: 10.1093/biosci/bix146.</w:t>
      </w:r>
    </w:p>
    <w:p w14:paraId="3DD1FE80"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Stephenson, N. L. (1998) ‘Actual evapotranspiration and deficit: Biologically meaningful correlates of vegetation distribution across spatial scales’, </w:t>
      </w:r>
      <w:r w:rsidRPr="00047C53">
        <w:rPr>
          <w:rFonts w:ascii="Calibri" w:hAnsi="Calibri" w:cs="Calibri"/>
          <w:i/>
          <w:iCs/>
          <w:noProof/>
          <w:szCs w:val="24"/>
        </w:rPr>
        <w:t>Journal of Biogeography</w:t>
      </w:r>
      <w:r w:rsidRPr="00047C53">
        <w:rPr>
          <w:rFonts w:ascii="Calibri" w:hAnsi="Calibri" w:cs="Calibri"/>
          <w:noProof/>
          <w:szCs w:val="24"/>
        </w:rPr>
        <w:t>, 25(5), pp. 855–870. doi: 10.1046/j.1365-2699.1998.00233.x.</w:t>
      </w:r>
    </w:p>
    <w:p w14:paraId="3C1D4DE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Stephenson, N. L. </w:t>
      </w:r>
      <w:r w:rsidRPr="00047C53">
        <w:rPr>
          <w:rFonts w:ascii="Calibri" w:hAnsi="Calibri" w:cs="Calibri"/>
          <w:i/>
          <w:iCs/>
          <w:noProof/>
          <w:szCs w:val="24"/>
        </w:rPr>
        <w:t>et al.</w:t>
      </w:r>
      <w:r w:rsidRPr="00047C53">
        <w:rPr>
          <w:rFonts w:ascii="Calibri" w:hAnsi="Calibri" w:cs="Calibri"/>
          <w:noProof/>
          <w:szCs w:val="24"/>
        </w:rPr>
        <w:t xml:space="preserve"> (2019) ‘Which trees die during drought? The key role of insect host-tree selection’, </w:t>
      </w:r>
      <w:r w:rsidRPr="00047C53">
        <w:rPr>
          <w:rFonts w:ascii="Calibri" w:hAnsi="Calibri" w:cs="Calibri"/>
          <w:i/>
          <w:iCs/>
          <w:noProof/>
          <w:szCs w:val="24"/>
        </w:rPr>
        <w:t>Journal of Ecology</w:t>
      </w:r>
      <w:r w:rsidRPr="00047C53">
        <w:rPr>
          <w:rFonts w:ascii="Calibri" w:hAnsi="Calibri" w:cs="Calibri"/>
          <w:noProof/>
          <w:szCs w:val="24"/>
        </w:rPr>
        <w:t>, 107(5), pp. 2383–2401. doi: 10.1111/1365-2745.13176.</w:t>
      </w:r>
    </w:p>
    <w:p w14:paraId="4B41F20E"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Stevens, J. T. </w:t>
      </w:r>
      <w:r w:rsidRPr="00047C53">
        <w:rPr>
          <w:rFonts w:ascii="Calibri" w:hAnsi="Calibri" w:cs="Calibri"/>
          <w:i/>
          <w:iCs/>
          <w:noProof/>
          <w:szCs w:val="24"/>
        </w:rPr>
        <w:t>et al.</w:t>
      </w:r>
      <w:r w:rsidRPr="00047C53">
        <w:rPr>
          <w:rFonts w:ascii="Calibri" w:hAnsi="Calibri" w:cs="Calibri"/>
          <w:noProof/>
          <w:szCs w:val="24"/>
        </w:rPr>
        <w:t xml:space="preserve"> (2017) ‘Changing spatial patterns of stand-replacing fire in California conifer forests’, </w:t>
      </w:r>
      <w:r w:rsidRPr="00047C53">
        <w:rPr>
          <w:rFonts w:ascii="Calibri" w:hAnsi="Calibri" w:cs="Calibri"/>
          <w:i/>
          <w:iCs/>
          <w:noProof/>
          <w:szCs w:val="24"/>
        </w:rPr>
        <w:t>Forest Ecology and Management</w:t>
      </w:r>
      <w:r w:rsidRPr="00047C53">
        <w:rPr>
          <w:rFonts w:ascii="Calibri" w:hAnsi="Calibri" w:cs="Calibri"/>
          <w:noProof/>
          <w:szCs w:val="24"/>
        </w:rPr>
        <w:t>, 406(August), pp. 28–36. doi: 10.1016/j.foreco.2017.08.051.</w:t>
      </w:r>
    </w:p>
    <w:p w14:paraId="3BEFCED7"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Stewart, J. A. E. </w:t>
      </w:r>
      <w:r w:rsidRPr="00047C53">
        <w:rPr>
          <w:rFonts w:ascii="Calibri" w:hAnsi="Calibri" w:cs="Calibri"/>
          <w:i/>
          <w:iCs/>
          <w:noProof/>
          <w:szCs w:val="24"/>
        </w:rPr>
        <w:t>et al.</w:t>
      </w:r>
      <w:r w:rsidRPr="00047C53">
        <w:rPr>
          <w:rFonts w:ascii="Calibri" w:hAnsi="Calibri" w:cs="Calibri"/>
          <w:noProof/>
          <w:szCs w:val="24"/>
        </w:rPr>
        <w:t xml:space="preserve"> (2021) ‘Effects of postfire climate and seed availability on postfire conifer regeneration’, </w:t>
      </w:r>
      <w:r w:rsidRPr="00047C53">
        <w:rPr>
          <w:rFonts w:ascii="Calibri" w:hAnsi="Calibri" w:cs="Calibri"/>
          <w:i/>
          <w:iCs/>
          <w:noProof/>
          <w:szCs w:val="24"/>
        </w:rPr>
        <w:t>Ecological Applications</w:t>
      </w:r>
      <w:r w:rsidRPr="00047C53">
        <w:rPr>
          <w:rFonts w:ascii="Calibri" w:hAnsi="Calibri" w:cs="Calibri"/>
          <w:noProof/>
          <w:szCs w:val="24"/>
        </w:rPr>
        <w:t>, 31(3), pp. 1–14. doi: 10.1002/eap.2280.</w:t>
      </w:r>
    </w:p>
    <w:p w14:paraId="79DEDA14"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Voelker, S. L. </w:t>
      </w:r>
      <w:r w:rsidRPr="00047C53">
        <w:rPr>
          <w:rFonts w:ascii="Calibri" w:hAnsi="Calibri" w:cs="Calibri"/>
          <w:i/>
          <w:iCs/>
          <w:noProof/>
          <w:szCs w:val="24"/>
        </w:rPr>
        <w:t>et al.</w:t>
      </w:r>
      <w:r w:rsidRPr="00047C53">
        <w:rPr>
          <w:rFonts w:ascii="Calibri" w:hAnsi="Calibri" w:cs="Calibri"/>
          <w:noProof/>
          <w:szCs w:val="24"/>
        </w:rPr>
        <w:t xml:space="preserve"> (2019) ‘Fire deficits have increased drought sensitivity in dry conifer forests: Fire frequency and tree-ring carbon isotope evidence from Central Oregon’, </w:t>
      </w:r>
      <w:r w:rsidRPr="00047C53">
        <w:rPr>
          <w:rFonts w:ascii="Calibri" w:hAnsi="Calibri" w:cs="Calibri"/>
          <w:i/>
          <w:iCs/>
          <w:noProof/>
          <w:szCs w:val="24"/>
        </w:rPr>
        <w:t>Global Change Biology</w:t>
      </w:r>
      <w:r w:rsidRPr="00047C53">
        <w:rPr>
          <w:rFonts w:ascii="Calibri" w:hAnsi="Calibri" w:cs="Calibri"/>
          <w:noProof/>
          <w:szCs w:val="24"/>
        </w:rPr>
        <w:t>, 25(4), pp. 1247–1262. doi: 10.1111/gcb.14543.</w:t>
      </w:r>
    </w:p>
    <w:p w14:paraId="7561388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Wayman, R. B. and Safford, H. D. (2021) ‘Recent bark beetle outbreaks influence wildfire severity in mixed-conifer forests of the Sierra Nevada, California, USA’, </w:t>
      </w:r>
      <w:r w:rsidRPr="00047C53">
        <w:rPr>
          <w:rFonts w:ascii="Calibri" w:hAnsi="Calibri" w:cs="Calibri"/>
          <w:i/>
          <w:iCs/>
          <w:noProof/>
          <w:szCs w:val="24"/>
        </w:rPr>
        <w:t>Ecological Applications</w:t>
      </w:r>
      <w:r w:rsidRPr="00047C53">
        <w:rPr>
          <w:rFonts w:ascii="Calibri" w:hAnsi="Calibri" w:cs="Calibri"/>
          <w:noProof/>
          <w:szCs w:val="24"/>
        </w:rPr>
        <w:t>, 31(3), pp. 1–19. doi: 10.1002/eap.2287.</w:t>
      </w:r>
    </w:p>
    <w:p w14:paraId="2DC1CE2F"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Westerling, A. L. (2018) </w:t>
      </w:r>
      <w:r w:rsidRPr="00047C53">
        <w:rPr>
          <w:rFonts w:ascii="Calibri" w:hAnsi="Calibri" w:cs="Calibri"/>
          <w:i/>
          <w:iCs/>
          <w:noProof/>
          <w:szCs w:val="24"/>
        </w:rPr>
        <w:t>Wildfire Simulations for the Fourth California Climate Assessment: Projecting Changes in Extreme Wildfire Events with a Warming Climate</w:t>
      </w:r>
      <w:r w:rsidRPr="00047C53">
        <w:rPr>
          <w:rFonts w:ascii="Calibri" w:hAnsi="Calibri" w:cs="Calibri"/>
          <w:noProof/>
          <w:szCs w:val="24"/>
        </w:rPr>
        <w:t>. CCCA4-CEC-2018–014. Available at: http://www.climateassessment.ca.gov/techreports/docs/20180827-Projections_CCCA4-CEC-2018-014.pdf.</w:t>
      </w:r>
    </w:p>
    <w:p w14:paraId="7F0FBDC2"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Yeaton, R. I. (1983) ‘The Successional Replacement of Ponderosa Pine by Sugar Pine in the Sierra Nevada Author ( s ): Richard I . Yeaton Source : Bulletin of the Torrey Botanical Club , Jul . - Sep ., 1983 , Vol . 110 , No . 3 ( Jul . - Published by : Torrey Botanical Society ’, 110(3), pp. 292–297.</w:t>
      </w:r>
    </w:p>
    <w:p w14:paraId="19EFAFC5"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lastRenderedPageBreak/>
        <w:t xml:space="preserve">Yeaton, R. I. (1984) ‘Aspects of the Population Biology of Sugar Pine ( Pinus lambertiana Dougl .) on an Elevational Gradient in the Sierra Nevada of Central California’, </w:t>
      </w:r>
      <w:r w:rsidRPr="00047C53">
        <w:rPr>
          <w:rFonts w:ascii="Calibri" w:hAnsi="Calibri" w:cs="Calibri"/>
          <w:i/>
          <w:iCs/>
          <w:noProof/>
          <w:szCs w:val="24"/>
        </w:rPr>
        <w:t>The American Midland Naturalist</w:t>
      </w:r>
      <w:r w:rsidRPr="00047C53">
        <w:rPr>
          <w:rFonts w:ascii="Calibri" w:hAnsi="Calibri" w:cs="Calibri"/>
          <w:noProof/>
          <w:szCs w:val="24"/>
        </w:rPr>
        <w:t>, 111(1), pp. 126–137. Available at: https://www.jstor.org/stable/2425550.</w:t>
      </w:r>
    </w:p>
    <w:p w14:paraId="1B36C873"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York, R. A. </w:t>
      </w:r>
      <w:r w:rsidRPr="00047C53">
        <w:rPr>
          <w:rFonts w:ascii="Calibri" w:hAnsi="Calibri" w:cs="Calibri"/>
          <w:i/>
          <w:iCs/>
          <w:noProof/>
          <w:szCs w:val="24"/>
        </w:rPr>
        <w:t>et al.</w:t>
      </w:r>
      <w:r w:rsidRPr="00047C53">
        <w:rPr>
          <w:rFonts w:ascii="Calibri" w:hAnsi="Calibri" w:cs="Calibri"/>
          <w:noProof/>
          <w:szCs w:val="24"/>
        </w:rPr>
        <w:t xml:space="preserve"> (2004) ‘Group selection management in conifer forests: Relationships between opening size and tree growth’, </w:t>
      </w:r>
      <w:r w:rsidRPr="00047C53">
        <w:rPr>
          <w:rFonts w:ascii="Calibri" w:hAnsi="Calibri" w:cs="Calibri"/>
          <w:i/>
          <w:iCs/>
          <w:noProof/>
          <w:szCs w:val="24"/>
        </w:rPr>
        <w:t>Canadian Journal of Forest Research</w:t>
      </w:r>
      <w:r w:rsidRPr="00047C53">
        <w:rPr>
          <w:rFonts w:ascii="Calibri" w:hAnsi="Calibri" w:cs="Calibri"/>
          <w:noProof/>
          <w:szCs w:val="24"/>
        </w:rPr>
        <w:t>, 34(3), pp. 630–641. doi: 10.1139/x03-222.</w:t>
      </w:r>
    </w:p>
    <w:p w14:paraId="1FB499E1" w14:textId="77777777" w:rsidR="00047C53" w:rsidRPr="00047C53" w:rsidRDefault="00047C53" w:rsidP="00047C53">
      <w:pPr>
        <w:widowControl w:val="0"/>
        <w:autoSpaceDE w:val="0"/>
        <w:autoSpaceDN w:val="0"/>
        <w:adjustRightInd w:val="0"/>
        <w:spacing w:line="240" w:lineRule="auto"/>
        <w:rPr>
          <w:rFonts w:ascii="Calibri" w:hAnsi="Calibri" w:cs="Calibri"/>
          <w:noProof/>
          <w:szCs w:val="24"/>
        </w:rPr>
      </w:pPr>
      <w:r w:rsidRPr="00047C53">
        <w:rPr>
          <w:rFonts w:ascii="Calibri" w:hAnsi="Calibri" w:cs="Calibri"/>
          <w:noProof/>
          <w:szCs w:val="24"/>
        </w:rPr>
        <w:t xml:space="preserve">York, R. A. </w:t>
      </w:r>
      <w:r w:rsidRPr="00047C53">
        <w:rPr>
          <w:rFonts w:ascii="Calibri" w:hAnsi="Calibri" w:cs="Calibri"/>
          <w:i/>
          <w:iCs/>
          <w:noProof/>
          <w:szCs w:val="24"/>
        </w:rPr>
        <w:t>et al.</w:t>
      </w:r>
      <w:r w:rsidRPr="00047C53">
        <w:rPr>
          <w:rFonts w:ascii="Calibri" w:hAnsi="Calibri" w:cs="Calibri"/>
          <w:noProof/>
          <w:szCs w:val="24"/>
        </w:rPr>
        <w:t xml:space="preserve"> (2012) ‘A gap-based approach for regenerating pine species and reducing surface fuels in multi-aged mixed conifer stands in the Sierra Nevada, California’, </w:t>
      </w:r>
      <w:r w:rsidRPr="00047C53">
        <w:rPr>
          <w:rFonts w:ascii="Calibri" w:hAnsi="Calibri" w:cs="Calibri"/>
          <w:i/>
          <w:iCs/>
          <w:noProof/>
          <w:szCs w:val="24"/>
        </w:rPr>
        <w:t>Forestry</w:t>
      </w:r>
      <w:r w:rsidRPr="00047C53">
        <w:rPr>
          <w:rFonts w:ascii="Calibri" w:hAnsi="Calibri" w:cs="Calibri"/>
          <w:noProof/>
          <w:szCs w:val="24"/>
        </w:rPr>
        <w:t>, 85(2), pp. 203–213. doi: 10.1093/forestry/cpr058.</w:t>
      </w:r>
    </w:p>
    <w:p w14:paraId="6E8005C2" w14:textId="77777777" w:rsidR="00047C53" w:rsidRPr="00047C53" w:rsidRDefault="00047C53" w:rsidP="00047C53">
      <w:pPr>
        <w:widowControl w:val="0"/>
        <w:autoSpaceDE w:val="0"/>
        <w:autoSpaceDN w:val="0"/>
        <w:adjustRightInd w:val="0"/>
        <w:spacing w:line="240" w:lineRule="auto"/>
        <w:rPr>
          <w:rFonts w:ascii="Calibri" w:hAnsi="Calibri" w:cs="Calibri"/>
          <w:noProof/>
        </w:rPr>
      </w:pPr>
      <w:r w:rsidRPr="00047C53">
        <w:rPr>
          <w:rFonts w:ascii="Calibri" w:hAnsi="Calibri" w:cs="Calibri"/>
          <w:noProof/>
          <w:szCs w:val="24"/>
        </w:rPr>
        <w:t xml:space="preserve">Young, D. J. N. </w:t>
      </w:r>
      <w:r w:rsidRPr="00047C53">
        <w:rPr>
          <w:rFonts w:ascii="Calibri" w:hAnsi="Calibri" w:cs="Calibri"/>
          <w:i/>
          <w:iCs/>
          <w:noProof/>
          <w:szCs w:val="24"/>
        </w:rPr>
        <w:t>et al.</w:t>
      </w:r>
      <w:r w:rsidRPr="00047C53">
        <w:rPr>
          <w:rFonts w:ascii="Calibri" w:hAnsi="Calibri" w:cs="Calibri"/>
          <w:noProof/>
          <w:szCs w:val="24"/>
        </w:rPr>
        <w:t xml:space="preserve"> (2017) ‘Long-term climate and competition explain forest mortality patterns under extreme drought’, </w:t>
      </w:r>
      <w:r w:rsidRPr="00047C53">
        <w:rPr>
          <w:rFonts w:ascii="Calibri" w:hAnsi="Calibri" w:cs="Calibri"/>
          <w:i/>
          <w:iCs/>
          <w:noProof/>
          <w:szCs w:val="24"/>
        </w:rPr>
        <w:t>Ecology Letters</w:t>
      </w:r>
      <w:r w:rsidRPr="00047C53">
        <w:rPr>
          <w:rFonts w:ascii="Calibri" w:hAnsi="Calibri" w:cs="Calibri"/>
          <w:noProof/>
          <w:szCs w:val="24"/>
        </w:rPr>
        <w:t>, 20(1), pp. 78–86. doi: 10.1111/ele.12711.</w:t>
      </w:r>
    </w:p>
    <w:p w14:paraId="0FE8925A" w14:textId="2BE0F2B3" w:rsidR="00EB4A84" w:rsidRPr="00EB4A84" w:rsidRDefault="00EB4A84" w:rsidP="00EB4A84">
      <w:pPr>
        <w:rPr>
          <w:lang w:eastAsia="zh-CN" w:bidi="hi-IN"/>
        </w:rPr>
      </w:pPr>
      <w:r>
        <w:rPr>
          <w:lang w:eastAsia="zh-CN" w:bidi="hi-IN"/>
        </w:rPr>
        <w:fldChar w:fldCharType="end"/>
      </w:r>
    </w:p>
    <w:p w14:paraId="3ACCEC78" w14:textId="77777777" w:rsidR="00E92F0B" w:rsidRDefault="00E92F0B">
      <w:r>
        <w:br w:type="page"/>
      </w:r>
    </w:p>
    <w:p w14:paraId="6CD474EC" w14:textId="77777777" w:rsidR="00E92F0B" w:rsidRDefault="00E92F0B" w:rsidP="00E92F0B">
      <w:pPr>
        <w:pStyle w:val="Heading1"/>
      </w:pPr>
      <w:r>
        <w:lastRenderedPageBreak/>
        <w:t>Tables</w:t>
      </w:r>
    </w:p>
    <w:p w14:paraId="163535B6" w14:textId="77777777" w:rsidR="00E92F0B" w:rsidRPr="00F25243" w:rsidRDefault="00E92F0B" w:rsidP="00E92F0B"/>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E92F0B" w:rsidRPr="000B07C3" w14:paraId="06C410CE" w14:textId="77777777" w:rsidTr="00514011">
        <w:trPr>
          <w:trHeight w:val="288"/>
        </w:trPr>
        <w:tc>
          <w:tcPr>
            <w:tcW w:w="1354" w:type="dxa"/>
            <w:noWrap/>
            <w:vAlign w:val="bottom"/>
            <w:hideMark/>
          </w:tcPr>
          <w:p w14:paraId="125A5173" w14:textId="77777777" w:rsidR="00E92F0B" w:rsidRPr="008727D0" w:rsidRDefault="00E92F0B" w:rsidP="00514011">
            <w:pPr>
              <w:rPr>
                <w:b/>
                <w:bCs/>
              </w:rPr>
            </w:pPr>
            <w:r w:rsidRPr="00514011">
              <w:rPr>
                <w:rFonts w:ascii="Calibri" w:hAnsi="Calibri" w:cs="Calibri"/>
                <w:b/>
                <w:bCs/>
                <w:color w:val="000000"/>
              </w:rPr>
              <w:t>Parameter</w:t>
            </w:r>
          </w:p>
        </w:tc>
        <w:tc>
          <w:tcPr>
            <w:tcW w:w="960" w:type="dxa"/>
            <w:noWrap/>
            <w:vAlign w:val="bottom"/>
            <w:hideMark/>
          </w:tcPr>
          <w:p w14:paraId="2DF36373" w14:textId="77777777" w:rsidR="00E92F0B" w:rsidRPr="008727D0" w:rsidRDefault="00E92F0B" w:rsidP="00514011">
            <w:pPr>
              <w:rPr>
                <w:b/>
                <w:bCs/>
              </w:rPr>
            </w:pPr>
            <w:r w:rsidRPr="00514011">
              <w:rPr>
                <w:rFonts w:ascii="Calibri" w:hAnsi="Calibri" w:cs="Calibri"/>
                <w:b/>
                <w:bCs/>
                <w:color w:val="000000"/>
              </w:rPr>
              <w:t>Mean</w:t>
            </w:r>
          </w:p>
        </w:tc>
        <w:tc>
          <w:tcPr>
            <w:tcW w:w="960" w:type="dxa"/>
            <w:noWrap/>
            <w:vAlign w:val="bottom"/>
            <w:hideMark/>
          </w:tcPr>
          <w:p w14:paraId="6D3AEEDE" w14:textId="77777777" w:rsidR="00E92F0B" w:rsidRPr="008727D0" w:rsidRDefault="00E92F0B" w:rsidP="00514011">
            <w:pPr>
              <w:rPr>
                <w:b/>
                <w:bCs/>
              </w:rPr>
            </w:pPr>
            <w:r w:rsidRPr="00514011">
              <w:rPr>
                <w:rFonts w:ascii="Calibri" w:hAnsi="Calibri" w:cs="Calibri"/>
                <w:b/>
                <w:bCs/>
                <w:color w:val="000000"/>
              </w:rPr>
              <w:t>Median</w:t>
            </w:r>
          </w:p>
        </w:tc>
        <w:tc>
          <w:tcPr>
            <w:tcW w:w="960" w:type="dxa"/>
            <w:noWrap/>
            <w:vAlign w:val="bottom"/>
            <w:hideMark/>
          </w:tcPr>
          <w:p w14:paraId="08EAAE6B" w14:textId="77777777" w:rsidR="00E92F0B" w:rsidRPr="008727D0" w:rsidRDefault="00E92F0B" w:rsidP="00514011">
            <w:pPr>
              <w:rPr>
                <w:b/>
                <w:bCs/>
              </w:rPr>
            </w:pPr>
            <w:r w:rsidRPr="00514011">
              <w:rPr>
                <w:rFonts w:ascii="Calibri" w:hAnsi="Calibri" w:cs="Calibri"/>
                <w:b/>
                <w:bCs/>
                <w:color w:val="000000"/>
              </w:rPr>
              <w:t>StDev</w:t>
            </w:r>
          </w:p>
        </w:tc>
        <w:tc>
          <w:tcPr>
            <w:tcW w:w="960" w:type="dxa"/>
            <w:noWrap/>
            <w:vAlign w:val="bottom"/>
            <w:hideMark/>
          </w:tcPr>
          <w:p w14:paraId="2E31E469" w14:textId="77777777" w:rsidR="00E92F0B" w:rsidRPr="008727D0" w:rsidRDefault="00E92F0B" w:rsidP="00514011">
            <w:pPr>
              <w:rPr>
                <w:b/>
                <w:bCs/>
              </w:rPr>
            </w:pPr>
            <w:r w:rsidRPr="00514011">
              <w:rPr>
                <w:rFonts w:ascii="Calibri" w:hAnsi="Calibri" w:cs="Calibri"/>
                <w:b/>
                <w:bCs/>
                <w:color w:val="000000"/>
              </w:rPr>
              <w:t>q5</w:t>
            </w:r>
          </w:p>
        </w:tc>
        <w:tc>
          <w:tcPr>
            <w:tcW w:w="960" w:type="dxa"/>
            <w:noWrap/>
            <w:vAlign w:val="bottom"/>
            <w:hideMark/>
          </w:tcPr>
          <w:p w14:paraId="4B146A0F" w14:textId="77777777" w:rsidR="00E92F0B" w:rsidRPr="008727D0" w:rsidRDefault="00E92F0B" w:rsidP="00514011">
            <w:pPr>
              <w:rPr>
                <w:b/>
                <w:bCs/>
              </w:rPr>
            </w:pPr>
            <w:r w:rsidRPr="00514011">
              <w:rPr>
                <w:rFonts w:ascii="Calibri" w:hAnsi="Calibri" w:cs="Calibri"/>
                <w:b/>
                <w:bCs/>
                <w:color w:val="000000"/>
              </w:rPr>
              <w:t>q95</w:t>
            </w:r>
          </w:p>
        </w:tc>
        <w:tc>
          <w:tcPr>
            <w:tcW w:w="960" w:type="dxa"/>
            <w:noWrap/>
            <w:vAlign w:val="bottom"/>
            <w:hideMark/>
          </w:tcPr>
          <w:p w14:paraId="69359A16" w14:textId="77777777" w:rsidR="00E92F0B" w:rsidRPr="008727D0" w:rsidRDefault="00E92F0B" w:rsidP="00514011">
            <w:pPr>
              <w:rPr>
                <w:b/>
                <w:bCs/>
              </w:rPr>
            </w:pPr>
            <w:r w:rsidRPr="00514011">
              <w:rPr>
                <w:rFonts w:ascii="Calibri" w:hAnsi="Calibri" w:cs="Calibri"/>
                <w:b/>
                <w:bCs/>
                <w:color w:val="000000"/>
              </w:rPr>
              <w:t>rhat</w:t>
            </w:r>
          </w:p>
        </w:tc>
        <w:tc>
          <w:tcPr>
            <w:tcW w:w="1008" w:type="dxa"/>
            <w:noWrap/>
            <w:vAlign w:val="bottom"/>
            <w:hideMark/>
          </w:tcPr>
          <w:p w14:paraId="486539A0" w14:textId="77777777" w:rsidR="00E92F0B" w:rsidRPr="008727D0" w:rsidRDefault="00E92F0B" w:rsidP="00514011">
            <w:pPr>
              <w:rPr>
                <w:b/>
                <w:bCs/>
              </w:rPr>
            </w:pPr>
            <w:r w:rsidRPr="00514011">
              <w:rPr>
                <w:rFonts w:ascii="Calibri" w:hAnsi="Calibri" w:cs="Calibri"/>
                <w:b/>
                <w:bCs/>
                <w:color w:val="000000"/>
              </w:rPr>
              <w:t>ess_bulk</w:t>
            </w:r>
          </w:p>
        </w:tc>
        <w:tc>
          <w:tcPr>
            <w:tcW w:w="960" w:type="dxa"/>
            <w:noWrap/>
            <w:vAlign w:val="bottom"/>
            <w:hideMark/>
          </w:tcPr>
          <w:p w14:paraId="6E607DB9" w14:textId="77777777" w:rsidR="00E92F0B" w:rsidRPr="008727D0" w:rsidRDefault="00E92F0B" w:rsidP="00514011">
            <w:pPr>
              <w:rPr>
                <w:b/>
                <w:bCs/>
              </w:rPr>
            </w:pPr>
            <w:r w:rsidRPr="00514011">
              <w:rPr>
                <w:rFonts w:ascii="Calibri" w:hAnsi="Calibri" w:cs="Calibri"/>
                <w:b/>
                <w:bCs/>
                <w:color w:val="000000"/>
              </w:rPr>
              <w:t>ess_tail</w:t>
            </w:r>
          </w:p>
        </w:tc>
      </w:tr>
      <w:tr w:rsidR="00E92F0B" w:rsidRPr="000B07C3" w14:paraId="14752144" w14:textId="77777777" w:rsidTr="00514011">
        <w:trPr>
          <w:trHeight w:val="288"/>
        </w:trPr>
        <w:tc>
          <w:tcPr>
            <w:tcW w:w="1354" w:type="dxa"/>
            <w:noWrap/>
            <w:vAlign w:val="bottom"/>
            <w:hideMark/>
          </w:tcPr>
          <w:p w14:paraId="2AC56636" w14:textId="77777777" w:rsidR="00E92F0B" w:rsidRPr="008727D0" w:rsidRDefault="00E92F0B" w:rsidP="00514011">
            <w:pPr>
              <w:rPr>
                <w:b/>
                <w:bCs/>
              </w:rPr>
            </w:pPr>
            <w:r w:rsidRPr="00514011">
              <w:rPr>
                <w:rFonts w:ascii="Calibri" w:hAnsi="Calibri" w:cs="Calibri"/>
                <w:b/>
                <w:bCs/>
                <w:color w:val="000000"/>
              </w:rPr>
              <w:t>Intercept</w:t>
            </w:r>
          </w:p>
        </w:tc>
        <w:tc>
          <w:tcPr>
            <w:tcW w:w="960" w:type="dxa"/>
            <w:noWrap/>
            <w:vAlign w:val="bottom"/>
            <w:hideMark/>
          </w:tcPr>
          <w:p w14:paraId="71EEE202" w14:textId="77777777" w:rsidR="00E92F0B" w:rsidRPr="000B07C3" w:rsidRDefault="00E92F0B" w:rsidP="00514011">
            <w:r>
              <w:rPr>
                <w:rFonts w:ascii="Calibri" w:hAnsi="Calibri" w:cs="Calibri"/>
                <w:color w:val="000000"/>
              </w:rPr>
              <w:t>1.39</w:t>
            </w:r>
          </w:p>
        </w:tc>
        <w:tc>
          <w:tcPr>
            <w:tcW w:w="960" w:type="dxa"/>
            <w:noWrap/>
            <w:vAlign w:val="bottom"/>
            <w:hideMark/>
          </w:tcPr>
          <w:p w14:paraId="74614FFF" w14:textId="77777777" w:rsidR="00E92F0B" w:rsidRPr="000B07C3" w:rsidRDefault="00E92F0B" w:rsidP="00514011">
            <w:r>
              <w:rPr>
                <w:rFonts w:ascii="Calibri" w:hAnsi="Calibri" w:cs="Calibri"/>
                <w:color w:val="000000"/>
              </w:rPr>
              <w:t>1.38</w:t>
            </w:r>
          </w:p>
        </w:tc>
        <w:tc>
          <w:tcPr>
            <w:tcW w:w="960" w:type="dxa"/>
            <w:noWrap/>
            <w:vAlign w:val="bottom"/>
            <w:hideMark/>
          </w:tcPr>
          <w:p w14:paraId="5446F1C8" w14:textId="77777777" w:rsidR="00E92F0B" w:rsidRPr="000B07C3" w:rsidRDefault="00E92F0B" w:rsidP="00514011">
            <w:r>
              <w:rPr>
                <w:rFonts w:ascii="Calibri" w:hAnsi="Calibri" w:cs="Calibri"/>
                <w:color w:val="000000"/>
              </w:rPr>
              <w:t>0.26</w:t>
            </w:r>
          </w:p>
        </w:tc>
        <w:tc>
          <w:tcPr>
            <w:tcW w:w="960" w:type="dxa"/>
            <w:noWrap/>
            <w:vAlign w:val="bottom"/>
            <w:hideMark/>
          </w:tcPr>
          <w:p w14:paraId="40B66125" w14:textId="77777777" w:rsidR="00E92F0B" w:rsidRPr="000B07C3" w:rsidRDefault="00E92F0B" w:rsidP="00514011">
            <w:r>
              <w:rPr>
                <w:rFonts w:ascii="Calibri" w:hAnsi="Calibri" w:cs="Calibri"/>
                <w:color w:val="000000"/>
              </w:rPr>
              <w:t>0.97</w:t>
            </w:r>
          </w:p>
        </w:tc>
        <w:tc>
          <w:tcPr>
            <w:tcW w:w="960" w:type="dxa"/>
            <w:noWrap/>
            <w:vAlign w:val="bottom"/>
            <w:hideMark/>
          </w:tcPr>
          <w:p w14:paraId="2FB999F7" w14:textId="77777777" w:rsidR="00E92F0B" w:rsidRPr="000B07C3" w:rsidRDefault="00E92F0B" w:rsidP="00514011">
            <w:r>
              <w:rPr>
                <w:rFonts w:ascii="Calibri" w:hAnsi="Calibri" w:cs="Calibri"/>
                <w:color w:val="000000"/>
              </w:rPr>
              <w:t>1.82</w:t>
            </w:r>
          </w:p>
        </w:tc>
        <w:tc>
          <w:tcPr>
            <w:tcW w:w="960" w:type="dxa"/>
            <w:noWrap/>
            <w:vAlign w:val="bottom"/>
            <w:hideMark/>
          </w:tcPr>
          <w:p w14:paraId="7E54642E" w14:textId="77777777" w:rsidR="00E92F0B" w:rsidRPr="000B07C3" w:rsidRDefault="00E92F0B" w:rsidP="00514011">
            <w:r>
              <w:rPr>
                <w:rFonts w:ascii="Calibri" w:hAnsi="Calibri" w:cs="Calibri"/>
                <w:color w:val="000000"/>
              </w:rPr>
              <w:t>1.00</w:t>
            </w:r>
          </w:p>
        </w:tc>
        <w:tc>
          <w:tcPr>
            <w:tcW w:w="1008" w:type="dxa"/>
            <w:noWrap/>
            <w:vAlign w:val="bottom"/>
            <w:hideMark/>
          </w:tcPr>
          <w:p w14:paraId="0694358C" w14:textId="77777777" w:rsidR="00E92F0B" w:rsidRPr="000B07C3" w:rsidRDefault="00E92F0B" w:rsidP="00514011">
            <w:r>
              <w:rPr>
                <w:rFonts w:ascii="Calibri" w:hAnsi="Calibri" w:cs="Calibri"/>
                <w:color w:val="000000"/>
              </w:rPr>
              <w:t>1218.79</w:t>
            </w:r>
          </w:p>
        </w:tc>
        <w:tc>
          <w:tcPr>
            <w:tcW w:w="960" w:type="dxa"/>
            <w:noWrap/>
            <w:vAlign w:val="bottom"/>
            <w:hideMark/>
          </w:tcPr>
          <w:p w14:paraId="7ED6E0A5" w14:textId="77777777" w:rsidR="00E92F0B" w:rsidRPr="000B07C3" w:rsidRDefault="00E92F0B" w:rsidP="00514011">
            <w:r>
              <w:rPr>
                <w:rFonts w:ascii="Calibri" w:hAnsi="Calibri" w:cs="Calibri"/>
                <w:color w:val="000000"/>
              </w:rPr>
              <w:t>1859.83</w:t>
            </w:r>
          </w:p>
        </w:tc>
      </w:tr>
      <w:tr w:rsidR="00E92F0B" w:rsidRPr="000B07C3" w14:paraId="37FAA737" w14:textId="77777777" w:rsidTr="00514011">
        <w:trPr>
          <w:trHeight w:val="288"/>
        </w:trPr>
        <w:tc>
          <w:tcPr>
            <w:tcW w:w="1354" w:type="dxa"/>
            <w:noWrap/>
            <w:vAlign w:val="bottom"/>
            <w:hideMark/>
          </w:tcPr>
          <w:p w14:paraId="6C89E2FA" w14:textId="77777777" w:rsidR="00E92F0B" w:rsidRPr="008727D0" w:rsidRDefault="00E92F0B" w:rsidP="00514011">
            <w:pPr>
              <w:rPr>
                <w:b/>
                <w:bCs/>
              </w:rPr>
            </w:pPr>
            <w:r w:rsidRPr="00514011">
              <w:rPr>
                <w:rFonts w:ascii="Calibri" w:hAnsi="Calibri" w:cs="Calibri"/>
                <w:b/>
                <w:bCs/>
                <w:color w:val="000000"/>
              </w:rPr>
              <w:t>DBH (m)</w:t>
            </w:r>
          </w:p>
        </w:tc>
        <w:tc>
          <w:tcPr>
            <w:tcW w:w="960" w:type="dxa"/>
            <w:noWrap/>
            <w:vAlign w:val="bottom"/>
            <w:hideMark/>
          </w:tcPr>
          <w:p w14:paraId="00D57048" w14:textId="77777777" w:rsidR="00E92F0B" w:rsidRPr="000B07C3" w:rsidRDefault="00E92F0B" w:rsidP="00514011">
            <w:r>
              <w:rPr>
                <w:rFonts w:ascii="Calibri" w:hAnsi="Calibri" w:cs="Calibri"/>
                <w:color w:val="000000"/>
              </w:rPr>
              <w:t>4.31</w:t>
            </w:r>
          </w:p>
        </w:tc>
        <w:tc>
          <w:tcPr>
            <w:tcW w:w="960" w:type="dxa"/>
            <w:noWrap/>
            <w:vAlign w:val="bottom"/>
            <w:hideMark/>
          </w:tcPr>
          <w:p w14:paraId="17413D85" w14:textId="77777777" w:rsidR="00E92F0B" w:rsidRPr="000B07C3" w:rsidRDefault="00E92F0B" w:rsidP="00514011">
            <w:r>
              <w:rPr>
                <w:rFonts w:ascii="Calibri" w:hAnsi="Calibri" w:cs="Calibri"/>
                <w:color w:val="000000"/>
              </w:rPr>
              <w:t>4.29</w:t>
            </w:r>
          </w:p>
        </w:tc>
        <w:tc>
          <w:tcPr>
            <w:tcW w:w="960" w:type="dxa"/>
            <w:noWrap/>
            <w:vAlign w:val="bottom"/>
            <w:hideMark/>
          </w:tcPr>
          <w:p w14:paraId="3CE1D61C" w14:textId="77777777" w:rsidR="00E92F0B" w:rsidRPr="000B07C3" w:rsidRDefault="00E92F0B" w:rsidP="00514011">
            <w:r>
              <w:rPr>
                <w:rFonts w:ascii="Calibri" w:hAnsi="Calibri" w:cs="Calibri"/>
                <w:color w:val="000000"/>
              </w:rPr>
              <w:t>0.77</w:t>
            </w:r>
          </w:p>
        </w:tc>
        <w:tc>
          <w:tcPr>
            <w:tcW w:w="960" w:type="dxa"/>
            <w:noWrap/>
            <w:vAlign w:val="bottom"/>
            <w:hideMark/>
          </w:tcPr>
          <w:p w14:paraId="3EDFB764" w14:textId="77777777" w:rsidR="00E92F0B" w:rsidRPr="000B07C3" w:rsidRDefault="00E92F0B" w:rsidP="00514011">
            <w:r>
              <w:rPr>
                <w:rFonts w:ascii="Calibri" w:hAnsi="Calibri" w:cs="Calibri"/>
                <w:color w:val="000000"/>
              </w:rPr>
              <w:t>3.05</w:t>
            </w:r>
          </w:p>
        </w:tc>
        <w:tc>
          <w:tcPr>
            <w:tcW w:w="960" w:type="dxa"/>
            <w:noWrap/>
            <w:vAlign w:val="bottom"/>
            <w:hideMark/>
          </w:tcPr>
          <w:p w14:paraId="278B56F0" w14:textId="77777777" w:rsidR="00E92F0B" w:rsidRPr="000B07C3" w:rsidRDefault="00E92F0B" w:rsidP="00514011">
            <w:r>
              <w:rPr>
                <w:rFonts w:ascii="Calibri" w:hAnsi="Calibri" w:cs="Calibri"/>
                <w:color w:val="000000"/>
              </w:rPr>
              <w:t>5.58</w:t>
            </w:r>
          </w:p>
        </w:tc>
        <w:tc>
          <w:tcPr>
            <w:tcW w:w="960" w:type="dxa"/>
            <w:noWrap/>
            <w:vAlign w:val="bottom"/>
            <w:hideMark/>
          </w:tcPr>
          <w:p w14:paraId="27930656" w14:textId="77777777" w:rsidR="00E92F0B" w:rsidRPr="000B07C3" w:rsidRDefault="00E92F0B" w:rsidP="00514011">
            <w:r>
              <w:rPr>
                <w:rFonts w:ascii="Calibri" w:hAnsi="Calibri" w:cs="Calibri"/>
                <w:color w:val="000000"/>
              </w:rPr>
              <w:t>1.00</w:t>
            </w:r>
          </w:p>
        </w:tc>
        <w:tc>
          <w:tcPr>
            <w:tcW w:w="1008" w:type="dxa"/>
            <w:noWrap/>
            <w:vAlign w:val="bottom"/>
            <w:hideMark/>
          </w:tcPr>
          <w:p w14:paraId="4E66E037" w14:textId="77777777" w:rsidR="00E92F0B" w:rsidRPr="000B07C3" w:rsidRDefault="00E92F0B" w:rsidP="00514011">
            <w:r>
              <w:rPr>
                <w:rFonts w:ascii="Calibri" w:hAnsi="Calibri" w:cs="Calibri"/>
                <w:color w:val="000000"/>
              </w:rPr>
              <w:t>1225.93</w:t>
            </w:r>
          </w:p>
        </w:tc>
        <w:tc>
          <w:tcPr>
            <w:tcW w:w="960" w:type="dxa"/>
            <w:noWrap/>
            <w:vAlign w:val="bottom"/>
            <w:hideMark/>
          </w:tcPr>
          <w:p w14:paraId="5BB4890D" w14:textId="77777777" w:rsidR="00E92F0B" w:rsidRPr="000B07C3" w:rsidRDefault="00E92F0B" w:rsidP="00514011">
            <w:r>
              <w:rPr>
                <w:rFonts w:ascii="Calibri" w:hAnsi="Calibri" w:cs="Calibri"/>
                <w:color w:val="000000"/>
              </w:rPr>
              <w:t>1840.31</w:t>
            </w:r>
          </w:p>
        </w:tc>
      </w:tr>
      <w:tr w:rsidR="00E92F0B" w:rsidRPr="000B07C3" w14:paraId="4FA4CA14" w14:textId="77777777" w:rsidTr="00514011">
        <w:trPr>
          <w:trHeight w:val="288"/>
        </w:trPr>
        <w:tc>
          <w:tcPr>
            <w:tcW w:w="1354" w:type="dxa"/>
            <w:noWrap/>
            <w:vAlign w:val="bottom"/>
            <w:hideMark/>
          </w:tcPr>
          <w:p w14:paraId="25EDCD9C" w14:textId="77777777" w:rsidR="00E92F0B" w:rsidRPr="008727D0" w:rsidRDefault="00E92F0B" w:rsidP="00514011">
            <w:pPr>
              <w:rPr>
                <w:b/>
                <w:bCs/>
              </w:rPr>
            </w:pPr>
            <w:r w:rsidRPr="00514011">
              <w:rPr>
                <w:rFonts w:ascii="Calibri" w:hAnsi="Calibri" w:cs="Calibri"/>
                <w:b/>
                <w:bCs/>
                <w:color w:val="000000"/>
              </w:rPr>
              <w:t>DBH^2 (m)</w:t>
            </w:r>
          </w:p>
        </w:tc>
        <w:tc>
          <w:tcPr>
            <w:tcW w:w="960" w:type="dxa"/>
            <w:noWrap/>
            <w:vAlign w:val="bottom"/>
            <w:hideMark/>
          </w:tcPr>
          <w:p w14:paraId="2EF5B157" w14:textId="77777777" w:rsidR="00E92F0B" w:rsidRPr="000B07C3" w:rsidRDefault="00E92F0B" w:rsidP="00514011">
            <w:r>
              <w:rPr>
                <w:rFonts w:ascii="Calibri" w:hAnsi="Calibri" w:cs="Calibri"/>
                <w:color w:val="000000"/>
              </w:rPr>
              <w:t>-2.40</w:t>
            </w:r>
          </w:p>
        </w:tc>
        <w:tc>
          <w:tcPr>
            <w:tcW w:w="960" w:type="dxa"/>
            <w:noWrap/>
            <w:vAlign w:val="bottom"/>
            <w:hideMark/>
          </w:tcPr>
          <w:p w14:paraId="22A11E04" w14:textId="77777777" w:rsidR="00E92F0B" w:rsidRPr="000B07C3" w:rsidRDefault="00E92F0B" w:rsidP="00514011">
            <w:r>
              <w:rPr>
                <w:rFonts w:ascii="Calibri" w:hAnsi="Calibri" w:cs="Calibri"/>
                <w:color w:val="000000"/>
              </w:rPr>
              <w:t>-2.39</w:t>
            </w:r>
          </w:p>
        </w:tc>
        <w:tc>
          <w:tcPr>
            <w:tcW w:w="960" w:type="dxa"/>
            <w:noWrap/>
            <w:vAlign w:val="bottom"/>
            <w:hideMark/>
          </w:tcPr>
          <w:p w14:paraId="1A0936E7" w14:textId="77777777" w:rsidR="00E92F0B" w:rsidRPr="000B07C3" w:rsidRDefault="00E92F0B" w:rsidP="00514011">
            <w:r>
              <w:rPr>
                <w:rFonts w:ascii="Calibri" w:hAnsi="Calibri" w:cs="Calibri"/>
                <w:color w:val="000000"/>
              </w:rPr>
              <w:t>0.55</w:t>
            </w:r>
          </w:p>
        </w:tc>
        <w:tc>
          <w:tcPr>
            <w:tcW w:w="960" w:type="dxa"/>
            <w:noWrap/>
            <w:vAlign w:val="bottom"/>
            <w:hideMark/>
          </w:tcPr>
          <w:p w14:paraId="6E8BFF47" w14:textId="77777777" w:rsidR="00E92F0B" w:rsidRPr="000B07C3" w:rsidRDefault="00E92F0B" w:rsidP="00514011">
            <w:r>
              <w:rPr>
                <w:rFonts w:ascii="Calibri" w:hAnsi="Calibri" w:cs="Calibri"/>
                <w:color w:val="000000"/>
              </w:rPr>
              <w:t>-3.29</w:t>
            </w:r>
          </w:p>
        </w:tc>
        <w:tc>
          <w:tcPr>
            <w:tcW w:w="960" w:type="dxa"/>
            <w:noWrap/>
            <w:vAlign w:val="bottom"/>
            <w:hideMark/>
          </w:tcPr>
          <w:p w14:paraId="0BCD2BF3" w14:textId="77777777" w:rsidR="00E92F0B" w:rsidRPr="000B07C3" w:rsidRDefault="00E92F0B" w:rsidP="00514011">
            <w:r>
              <w:rPr>
                <w:rFonts w:ascii="Calibri" w:hAnsi="Calibri" w:cs="Calibri"/>
                <w:color w:val="000000"/>
              </w:rPr>
              <w:t>-1.50</w:t>
            </w:r>
          </w:p>
        </w:tc>
        <w:tc>
          <w:tcPr>
            <w:tcW w:w="960" w:type="dxa"/>
            <w:noWrap/>
            <w:vAlign w:val="bottom"/>
            <w:hideMark/>
          </w:tcPr>
          <w:p w14:paraId="591BC525" w14:textId="77777777" w:rsidR="00E92F0B" w:rsidRPr="000B07C3" w:rsidRDefault="00E92F0B" w:rsidP="00514011">
            <w:r>
              <w:rPr>
                <w:rFonts w:ascii="Calibri" w:hAnsi="Calibri" w:cs="Calibri"/>
                <w:color w:val="000000"/>
              </w:rPr>
              <w:t>1.00</w:t>
            </w:r>
          </w:p>
        </w:tc>
        <w:tc>
          <w:tcPr>
            <w:tcW w:w="1008" w:type="dxa"/>
            <w:noWrap/>
            <w:vAlign w:val="bottom"/>
            <w:hideMark/>
          </w:tcPr>
          <w:p w14:paraId="1966FB4E" w14:textId="77777777" w:rsidR="00E92F0B" w:rsidRPr="000B07C3" w:rsidRDefault="00E92F0B" w:rsidP="00514011">
            <w:r>
              <w:rPr>
                <w:rFonts w:ascii="Calibri" w:hAnsi="Calibri" w:cs="Calibri"/>
                <w:color w:val="000000"/>
              </w:rPr>
              <w:t>1320.76</w:t>
            </w:r>
          </w:p>
        </w:tc>
        <w:tc>
          <w:tcPr>
            <w:tcW w:w="960" w:type="dxa"/>
            <w:noWrap/>
            <w:vAlign w:val="bottom"/>
            <w:hideMark/>
          </w:tcPr>
          <w:p w14:paraId="1EC3912A" w14:textId="77777777" w:rsidR="00E92F0B" w:rsidRPr="000B07C3" w:rsidRDefault="00E92F0B" w:rsidP="00514011">
            <w:r>
              <w:rPr>
                <w:rFonts w:ascii="Calibri" w:hAnsi="Calibri" w:cs="Calibri"/>
                <w:color w:val="000000"/>
              </w:rPr>
              <w:t>2096.45</w:t>
            </w:r>
          </w:p>
        </w:tc>
      </w:tr>
      <w:tr w:rsidR="00E92F0B" w:rsidRPr="000B07C3" w14:paraId="4C321805" w14:textId="77777777" w:rsidTr="00514011">
        <w:trPr>
          <w:trHeight w:val="288"/>
        </w:trPr>
        <w:tc>
          <w:tcPr>
            <w:tcW w:w="1354" w:type="dxa"/>
            <w:noWrap/>
            <w:vAlign w:val="bottom"/>
            <w:hideMark/>
          </w:tcPr>
          <w:p w14:paraId="7FE94897" w14:textId="77777777" w:rsidR="00E92F0B" w:rsidRPr="008727D0" w:rsidRDefault="00E92F0B" w:rsidP="00514011">
            <w:pPr>
              <w:rPr>
                <w:b/>
                <w:bCs/>
              </w:rPr>
            </w:pPr>
            <w:r w:rsidRPr="00514011">
              <w:rPr>
                <w:rFonts w:ascii="Calibri" w:hAnsi="Calibri" w:cs="Calibri"/>
                <w:b/>
                <w:bCs/>
                <w:color w:val="000000"/>
              </w:rPr>
              <w:t>Fire</w:t>
            </w:r>
          </w:p>
        </w:tc>
        <w:tc>
          <w:tcPr>
            <w:tcW w:w="960" w:type="dxa"/>
            <w:noWrap/>
            <w:vAlign w:val="bottom"/>
            <w:hideMark/>
          </w:tcPr>
          <w:p w14:paraId="3392B534" w14:textId="77777777" w:rsidR="00E92F0B" w:rsidRPr="000B07C3" w:rsidRDefault="00E92F0B" w:rsidP="00514011">
            <w:r>
              <w:rPr>
                <w:rFonts w:ascii="Calibri" w:hAnsi="Calibri" w:cs="Calibri"/>
                <w:color w:val="000000"/>
              </w:rPr>
              <w:t>-3.51</w:t>
            </w:r>
          </w:p>
        </w:tc>
        <w:tc>
          <w:tcPr>
            <w:tcW w:w="960" w:type="dxa"/>
            <w:noWrap/>
            <w:vAlign w:val="bottom"/>
            <w:hideMark/>
          </w:tcPr>
          <w:p w14:paraId="1E3E588B" w14:textId="77777777" w:rsidR="00E92F0B" w:rsidRPr="000B07C3" w:rsidRDefault="00E92F0B" w:rsidP="00514011">
            <w:r>
              <w:rPr>
                <w:rFonts w:ascii="Calibri" w:hAnsi="Calibri" w:cs="Calibri"/>
                <w:color w:val="000000"/>
              </w:rPr>
              <w:t>-3.50</w:t>
            </w:r>
          </w:p>
        </w:tc>
        <w:tc>
          <w:tcPr>
            <w:tcW w:w="960" w:type="dxa"/>
            <w:noWrap/>
            <w:vAlign w:val="bottom"/>
            <w:hideMark/>
          </w:tcPr>
          <w:p w14:paraId="58D79F5E" w14:textId="77777777" w:rsidR="00E92F0B" w:rsidRPr="000B07C3" w:rsidRDefault="00E92F0B" w:rsidP="00514011">
            <w:r>
              <w:rPr>
                <w:rFonts w:ascii="Calibri" w:hAnsi="Calibri" w:cs="Calibri"/>
                <w:color w:val="000000"/>
              </w:rPr>
              <w:t>0.56</w:t>
            </w:r>
          </w:p>
        </w:tc>
        <w:tc>
          <w:tcPr>
            <w:tcW w:w="960" w:type="dxa"/>
            <w:noWrap/>
            <w:vAlign w:val="bottom"/>
            <w:hideMark/>
          </w:tcPr>
          <w:p w14:paraId="6309AEF1" w14:textId="77777777" w:rsidR="00E92F0B" w:rsidRPr="000B07C3" w:rsidRDefault="00E92F0B" w:rsidP="00514011">
            <w:r>
              <w:rPr>
                <w:rFonts w:ascii="Calibri" w:hAnsi="Calibri" w:cs="Calibri"/>
                <w:color w:val="000000"/>
              </w:rPr>
              <w:t>-4.45</w:t>
            </w:r>
          </w:p>
        </w:tc>
        <w:tc>
          <w:tcPr>
            <w:tcW w:w="960" w:type="dxa"/>
            <w:noWrap/>
            <w:vAlign w:val="bottom"/>
            <w:hideMark/>
          </w:tcPr>
          <w:p w14:paraId="05892C92" w14:textId="77777777" w:rsidR="00E92F0B" w:rsidRPr="000B07C3" w:rsidRDefault="00E92F0B" w:rsidP="00514011">
            <w:r>
              <w:rPr>
                <w:rFonts w:ascii="Calibri" w:hAnsi="Calibri" w:cs="Calibri"/>
                <w:color w:val="000000"/>
              </w:rPr>
              <w:t>-2.61</w:t>
            </w:r>
          </w:p>
        </w:tc>
        <w:tc>
          <w:tcPr>
            <w:tcW w:w="960" w:type="dxa"/>
            <w:noWrap/>
            <w:vAlign w:val="bottom"/>
            <w:hideMark/>
          </w:tcPr>
          <w:p w14:paraId="7A7F886B" w14:textId="77777777" w:rsidR="00E92F0B" w:rsidRPr="000B07C3" w:rsidRDefault="00E92F0B" w:rsidP="00514011">
            <w:r>
              <w:rPr>
                <w:rFonts w:ascii="Calibri" w:hAnsi="Calibri" w:cs="Calibri"/>
                <w:color w:val="000000"/>
              </w:rPr>
              <w:t>1.00</w:t>
            </w:r>
          </w:p>
        </w:tc>
        <w:tc>
          <w:tcPr>
            <w:tcW w:w="1008" w:type="dxa"/>
            <w:noWrap/>
            <w:vAlign w:val="bottom"/>
            <w:hideMark/>
          </w:tcPr>
          <w:p w14:paraId="09A17799" w14:textId="77777777" w:rsidR="00E92F0B" w:rsidRPr="000B07C3" w:rsidRDefault="00E92F0B" w:rsidP="00514011">
            <w:r>
              <w:rPr>
                <w:rFonts w:ascii="Calibri" w:hAnsi="Calibri" w:cs="Calibri"/>
                <w:color w:val="000000"/>
              </w:rPr>
              <w:t>1364.76</w:t>
            </w:r>
          </w:p>
        </w:tc>
        <w:tc>
          <w:tcPr>
            <w:tcW w:w="960" w:type="dxa"/>
            <w:noWrap/>
            <w:vAlign w:val="bottom"/>
            <w:hideMark/>
          </w:tcPr>
          <w:p w14:paraId="1275CC7A" w14:textId="77777777" w:rsidR="00E92F0B" w:rsidRPr="000B07C3" w:rsidRDefault="00E92F0B" w:rsidP="00514011">
            <w:r>
              <w:rPr>
                <w:rFonts w:ascii="Calibri" w:hAnsi="Calibri" w:cs="Calibri"/>
                <w:color w:val="000000"/>
              </w:rPr>
              <w:t>2179.64</w:t>
            </w:r>
          </w:p>
        </w:tc>
      </w:tr>
      <w:tr w:rsidR="00E92F0B" w:rsidRPr="000B07C3" w14:paraId="52F0CFF6" w14:textId="77777777" w:rsidTr="00514011">
        <w:trPr>
          <w:trHeight w:val="288"/>
        </w:trPr>
        <w:tc>
          <w:tcPr>
            <w:tcW w:w="1354" w:type="dxa"/>
            <w:noWrap/>
            <w:vAlign w:val="bottom"/>
            <w:hideMark/>
          </w:tcPr>
          <w:p w14:paraId="38D05E65" w14:textId="77777777" w:rsidR="00E92F0B" w:rsidRPr="008727D0" w:rsidRDefault="00E92F0B" w:rsidP="00514011">
            <w:pPr>
              <w:rPr>
                <w:b/>
                <w:bCs/>
              </w:rPr>
            </w:pPr>
            <w:r w:rsidRPr="00514011">
              <w:rPr>
                <w:rFonts w:ascii="Calibri" w:hAnsi="Calibri" w:cs="Calibri"/>
                <w:b/>
                <w:bCs/>
                <w:color w:val="000000"/>
              </w:rPr>
              <w:t>WPBR</w:t>
            </w:r>
          </w:p>
        </w:tc>
        <w:tc>
          <w:tcPr>
            <w:tcW w:w="960" w:type="dxa"/>
            <w:noWrap/>
            <w:vAlign w:val="bottom"/>
            <w:hideMark/>
          </w:tcPr>
          <w:p w14:paraId="2CC215B8" w14:textId="77777777" w:rsidR="00E92F0B" w:rsidRPr="000B07C3" w:rsidRDefault="00E92F0B" w:rsidP="00514011">
            <w:r>
              <w:rPr>
                <w:rFonts w:ascii="Calibri" w:hAnsi="Calibri" w:cs="Calibri"/>
                <w:color w:val="000000"/>
              </w:rPr>
              <w:t>-0.96</w:t>
            </w:r>
          </w:p>
        </w:tc>
        <w:tc>
          <w:tcPr>
            <w:tcW w:w="960" w:type="dxa"/>
            <w:noWrap/>
            <w:vAlign w:val="bottom"/>
            <w:hideMark/>
          </w:tcPr>
          <w:p w14:paraId="2CC80332" w14:textId="77777777" w:rsidR="00E92F0B" w:rsidRPr="000B07C3" w:rsidRDefault="00E92F0B" w:rsidP="00514011">
            <w:r>
              <w:rPr>
                <w:rFonts w:ascii="Calibri" w:hAnsi="Calibri" w:cs="Calibri"/>
                <w:color w:val="000000"/>
              </w:rPr>
              <w:t>-0.96</w:t>
            </w:r>
          </w:p>
        </w:tc>
        <w:tc>
          <w:tcPr>
            <w:tcW w:w="960" w:type="dxa"/>
            <w:noWrap/>
            <w:vAlign w:val="bottom"/>
            <w:hideMark/>
          </w:tcPr>
          <w:p w14:paraId="102F565B" w14:textId="77777777" w:rsidR="00E92F0B" w:rsidRPr="000B07C3" w:rsidRDefault="00E92F0B" w:rsidP="00514011">
            <w:r>
              <w:rPr>
                <w:rFonts w:ascii="Calibri" w:hAnsi="Calibri" w:cs="Calibri"/>
                <w:color w:val="000000"/>
              </w:rPr>
              <w:t>0.55</w:t>
            </w:r>
          </w:p>
        </w:tc>
        <w:tc>
          <w:tcPr>
            <w:tcW w:w="960" w:type="dxa"/>
            <w:noWrap/>
            <w:vAlign w:val="bottom"/>
            <w:hideMark/>
          </w:tcPr>
          <w:p w14:paraId="03109596" w14:textId="77777777" w:rsidR="00E92F0B" w:rsidRPr="000B07C3" w:rsidRDefault="00E92F0B" w:rsidP="00514011">
            <w:r>
              <w:rPr>
                <w:rFonts w:ascii="Calibri" w:hAnsi="Calibri" w:cs="Calibri"/>
                <w:color w:val="000000"/>
              </w:rPr>
              <w:t>-1.87</w:t>
            </w:r>
          </w:p>
        </w:tc>
        <w:tc>
          <w:tcPr>
            <w:tcW w:w="960" w:type="dxa"/>
            <w:noWrap/>
            <w:vAlign w:val="bottom"/>
            <w:hideMark/>
          </w:tcPr>
          <w:p w14:paraId="2E475BA2" w14:textId="77777777" w:rsidR="00E92F0B" w:rsidRPr="000B07C3" w:rsidRDefault="00E92F0B" w:rsidP="00514011">
            <w:r>
              <w:rPr>
                <w:rFonts w:ascii="Calibri" w:hAnsi="Calibri" w:cs="Calibri"/>
                <w:color w:val="000000"/>
              </w:rPr>
              <w:t>-0.05</w:t>
            </w:r>
          </w:p>
        </w:tc>
        <w:tc>
          <w:tcPr>
            <w:tcW w:w="960" w:type="dxa"/>
            <w:noWrap/>
            <w:vAlign w:val="bottom"/>
            <w:hideMark/>
          </w:tcPr>
          <w:p w14:paraId="02931BEA" w14:textId="77777777" w:rsidR="00E92F0B" w:rsidRPr="000B07C3" w:rsidRDefault="00E92F0B" w:rsidP="00514011">
            <w:r>
              <w:rPr>
                <w:rFonts w:ascii="Calibri" w:hAnsi="Calibri" w:cs="Calibri"/>
                <w:color w:val="000000"/>
              </w:rPr>
              <w:t>1.00</w:t>
            </w:r>
          </w:p>
        </w:tc>
        <w:tc>
          <w:tcPr>
            <w:tcW w:w="1008" w:type="dxa"/>
            <w:noWrap/>
            <w:vAlign w:val="bottom"/>
            <w:hideMark/>
          </w:tcPr>
          <w:p w14:paraId="60A2A41E" w14:textId="77777777" w:rsidR="00E92F0B" w:rsidRPr="000B07C3" w:rsidRDefault="00E92F0B" w:rsidP="00514011">
            <w:r>
              <w:rPr>
                <w:rFonts w:ascii="Calibri" w:hAnsi="Calibri" w:cs="Calibri"/>
                <w:color w:val="000000"/>
              </w:rPr>
              <w:t>1279.53</w:t>
            </w:r>
          </w:p>
        </w:tc>
        <w:tc>
          <w:tcPr>
            <w:tcW w:w="960" w:type="dxa"/>
            <w:noWrap/>
            <w:vAlign w:val="bottom"/>
            <w:hideMark/>
          </w:tcPr>
          <w:p w14:paraId="5A7EF102" w14:textId="77777777" w:rsidR="00E92F0B" w:rsidRPr="000B07C3" w:rsidRDefault="00E92F0B" w:rsidP="00514011">
            <w:r>
              <w:rPr>
                <w:rFonts w:ascii="Calibri" w:hAnsi="Calibri" w:cs="Calibri"/>
                <w:color w:val="000000"/>
              </w:rPr>
              <w:t>2174.54</w:t>
            </w:r>
          </w:p>
        </w:tc>
      </w:tr>
      <w:tr w:rsidR="00E92F0B" w:rsidRPr="000B07C3" w14:paraId="29EC59A3" w14:textId="77777777" w:rsidTr="00514011">
        <w:trPr>
          <w:trHeight w:val="288"/>
        </w:trPr>
        <w:tc>
          <w:tcPr>
            <w:tcW w:w="1354" w:type="dxa"/>
            <w:noWrap/>
            <w:vAlign w:val="bottom"/>
            <w:hideMark/>
          </w:tcPr>
          <w:p w14:paraId="7B670254" w14:textId="77777777" w:rsidR="00E92F0B" w:rsidRPr="008727D0" w:rsidRDefault="00E92F0B" w:rsidP="00514011">
            <w:pPr>
              <w:rPr>
                <w:b/>
                <w:bCs/>
              </w:rPr>
            </w:pPr>
            <w:r w:rsidRPr="00514011">
              <w:rPr>
                <w:rFonts w:ascii="Calibri" w:hAnsi="Calibri" w:cs="Calibri"/>
                <w:b/>
                <w:bCs/>
                <w:color w:val="000000"/>
              </w:rPr>
              <w:t>Basal Area</w:t>
            </w:r>
          </w:p>
        </w:tc>
        <w:tc>
          <w:tcPr>
            <w:tcW w:w="960" w:type="dxa"/>
            <w:noWrap/>
            <w:vAlign w:val="bottom"/>
            <w:hideMark/>
          </w:tcPr>
          <w:p w14:paraId="39D15B49" w14:textId="77777777" w:rsidR="00E92F0B" w:rsidRPr="000B07C3" w:rsidRDefault="00E92F0B" w:rsidP="00514011">
            <w:r>
              <w:rPr>
                <w:rFonts w:ascii="Calibri" w:hAnsi="Calibri" w:cs="Calibri"/>
                <w:color w:val="000000"/>
              </w:rPr>
              <w:t>-0.81</w:t>
            </w:r>
          </w:p>
        </w:tc>
        <w:tc>
          <w:tcPr>
            <w:tcW w:w="960" w:type="dxa"/>
            <w:noWrap/>
            <w:vAlign w:val="bottom"/>
            <w:hideMark/>
          </w:tcPr>
          <w:p w14:paraId="2FA7C248" w14:textId="77777777" w:rsidR="00E92F0B" w:rsidRPr="000B07C3" w:rsidRDefault="00E92F0B" w:rsidP="00514011">
            <w:r>
              <w:rPr>
                <w:rFonts w:ascii="Calibri" w:hAnsi="Calibri" w:cs="Calibri"/>
                <w:color w:val="000000"/>
              </w:rPr>
              <w:t>-0.81</w:t>
            </w:r>
          </w:p>
        </w:tc>
        <w:tc>
          <w:tcPr>
            <w:tcW w:w="960" w:type="dxa"/>
            <w:noWrap/>
            <w:vAlign w:val="bottom"/>
            <w:hideMark/>
          </w:tcPr>
          <w:p w14:paraId="51D517ED" w14:textId="77777777" w:rsidR="00E92F0B" w:rsidRPr="000B07C3" w:rsidRDefault="00E92F0B" w:rsidP="00514011">
            <w:r>
              <w:rPr>
                <w:rFonts w:ascii="Calibri" w:hAnsi="Calibri" w:cs="Calibri"/>
                <w:color w:val="000000"/>
              </w:rPr>
              <w:t>0.22</w:t>
            </w:r>
          </w:p>
        </w:tc>
        <w:tc>
          <w:tcPr>
            <w:tcW w:w="960" w:type="dxa"/>
            <w:noWrap/>
            <w:vAlign w:val="bottom"/>
            <w:hideMark/>
          </w:tcPr>
          <w:p w14:paraId="7703BBC8" w14:textId="77777777" w:rsidR="00E92F0B" w:rsidRPr="000B07C3" w:rsidRDefault="00E92F0B" w:rsidP="00514011">
            <w:r>
              <w:rPr>
                <w:rFonts w:ascii="Calibri" w:hAnsi="Calibri" w:cs="Calibri"/>
                <w:color w:val="000000"/>
              </w:rPr>
              <w:t>-1.18</w:t>
            </w:r>
          </w:p>
        </w:tc>
        <w:tc>
          <w:tcPr>
            <w:tcW w:w="960" w:type="dxa"/>
            <w:noWrap/>
            <w:vAlign w:val="bottom"/>
            <w:hideMark/>
          </w:tcPr>
          <w:p w14:paraId="6547DBF1" w14:textId="77777777" w:rsidR="00E92F0B" w:rsidRPr="000B07C3" w:rsidRDefault="00E92F0B" w:rsidP="00514011">
            <w:r>
              <w:rPr>
                <w:rFonts w:ascii="Calibri" w:hAnsi="Calibri" w:cs="Calibri"/>
                <w:color w:val="000000"/>
              </w:rPr>
              <w:t>-0.45</w:t>
            </w:r>
          </w:p>
        </w:tc>
        <w:tc>
          <w:tcPr>
            <w:tcW w:w="960" w:type="dxa"/>
            <w:noWrap/>
            <w:vAlign w:val="bottom"/>
            <w:hideMark/>
          </w:tcPr>
          <w:p w14:paraId="10CDA929" w14:textId="77777777" w:rsidR="00E92F0B" w:rsidRPr="000B07C3" w:rsidRDefault="00E92F0B" w:rsidP="00514011">
            <w:r>
              <w:rPr>
                <w:rFonts w:ascii="Calibri" w:hAnsi="Calibri" w:cs="Calibri"/>
                <w:color w:val="000000"/>
              </w:rPr>
              <w:t>1.00</w:t>
            </w:r>
          </w:p>
        </w:tc>
        <w:tc>
          <w:tcPr>
            <w:tcW w:w="1008" w:type="dxa"/>
            <w:noWrap/>
            <w:vAlign w:val="bottom"/>
            <w:hideMark/>
          </w:tcPr>
          <w:p w14:paraId="3CDF3FFE" w14:textId="77777777" w:rsidR="00E92F0B" w:rsidRPr="000B07C3" w:rsidRDefault="00E92F0B" w:rsidP="00514011">
            <w:r>
              <w:rPr>
                <w:rFonts w:ascii="Calibri" w:hAnsi="Calibri" w:cs="Calibri"/>
                <w:color w:val="000000"/>
              </w:rPr>
              <w:t>1463.60</w:t>
            </w:r>
          </w:p>
        </w:tc>
        <w:tc>
          <w:tcPr>
            <w:tcW w:w="960" w:type="dxa"/>
            <w:noWrap/>
            <w:vAlign w:val="bottom"/>
            <w:hideMark/>
          </w:tcPr>
          <w:p w14:paraId="5BA6D2A8" w14:textId="77777777" w:rsidR="00E92F0B" w:rsidRPr="000B07C3" w:rsidRDefault="00E92F0B" w:rsidP="00514011">
            <w:r>
              <w:rPr>
                <w:rFonts w:ascii="Calibri" w:hAnsi="Calibri" w:cs="Calibri"/>
                <w:color w:val="000000"/>
              </w:rPr>
              <w:t>2170.85</w:t>
            </w:r>
          </w:p>
        </w:tc>
      </w:tr>
      <w:tr w:rsidR="00E92F0B" w:rsidRPr="000B07C3" w14:paraId="4D532ADE" w14:textId="77777777" w:rsidTr="00514011">
        <w:trPr>
          <w:trHeight w:val="288"/>
        </w:trPr>
        <w:tc>
          <w:tcPr>
            <w:tcW w:w="1354" w:type="dxa"/>
            <w:noWrap/>
            <w:vAlign w:val="bottom"/>
            <w:hideMark/>
          </w:tcPr>
          <w:p w14:paraId="6B379D8D" w14:textId="77777777" w:rsidR="00E92F0B" w:rsidRPr="008727D0" w:rsidRDefault="00E92F0B" w:rsidP="00514011">
            <w:pPr>
              <w:rPr>
                <w:b/>
                <w:bCs/>
              </w:rPr>
            </w:pPr>
            <w:r w:rsidRPr="00514011">
              <w:rPr>
                <w:rFonts w:ascii="Calibri" w:hAnsi="Calibri" w:cs="Calibri"/>
                <w:b/>
                <w:bCs/>
                <w:color w:val="000000"/>
              </w:rPr>
              <w:t>Drought</w:t>
            </w:r>
          </w:p>
        </w:tc>
        <w:tc>
          <w:tcPr>
            <w:tcW w:w="960" w:type="dxa"/>
            <w:noWrap/>
            <w:vAlign w:val="bottom"/>
            <w:hideMark/>
          </w:tcPr>
          <w:p w14:paraId="4FA4142C" w14:textId="77777777" w:rsidR="00E92F0B" w:rsidRPr="000B07C3" w:rsidRDefault="00E92F0B" w:rsidP="00514011">
            <w:r>
              <w:rPr>
                <w:rFonts w:ascii="Calibri" w:hAnsi="Calibri" w:cs="Calibri"/>
                <w:color w:val="000000"/>
              </w:rPr>
              <w:t>-0.34</w:t>
            </w:r>
          </w:p>
        </w:tc>
        <w:tc>
          <w:tcPr>
            <w:tcW w:w="960" w:type="dxa"/>
            <w:noWrap/>
            <w:vAlign w:val="bottom"/>
            <w:hideMark/>
          </w:tcPr>
          <w:p w14:paraId="64A6AFD4" w14:textId="77777777" w:rsidR="00E92F0B" w:rsidRPr="000B07C3" w:rsidRDefault="00E92F0B" w:rsidP="00514011">
            <w:r>
              <w:rPr>
                <w:rFonts w:ascii="Calibri" w:hAnsi="Calibri" w:cs="Calibri"/>
                <w:color w:val="000000"/>
              </w:rPr>
              <w:t>-0.34</w:t>
            </w:r>
          </w:p>
        </w:tc>
        <w:tc>
          <w:tcPr>
            <w:tcW w:w="960" w:type="dxa"/>
            <w:noWrap/>
            <w:vAlign w:val="bottom"/>
            <w:hideMark/>
          </w:tcPr>
          <w:p w14:paraId="69B43BAB" w14:textId="77777777" w:rsidR="00E92F0B" w:rsidRPr="000B07C3" w:rsidRDefault="00E92F0B" w:rsidP="00514011">
            <w:r>
              <w:rPr>
                <w:rFonts w:ascii="Calibri" w:hAnsi="Calibri" w:cs="Calibri"/>
                <w:color w:val="000000"/>
              </w:rPr>
              <w:t>0.20</w:t>
            </w:r>
          </w:p>
        </w:tc>
        <w:tc>
          <w:tcPr>
            <w:tcW w:w="960" w:type="dxa"/>
            <w:noWrap/>
            <w:vAlign w:val="bottom"/>
            <w:hideMark/>
          </w:tcPr>
          <w:p w14:paraId="4261FF4A" w14:textId="77777777" w:rsidR="00E92F0B" w:rsidRPr="000B07C3" w:rsidRDefault="00E92F0B" w:rsidP="00514011">
            <w:r>
              <w:rPr>
                <w:rFonts w:ascii="Calibri" w:hAnsi="Calibri" w:cs="Calibri"/>
                <w:color w:val="000000"/>
              </w:rPr>
              <w:t>-0.68</w:t>
            </w:r>
          </w:p>
        </w:tc>
        <w:tc>
          <w:tcPr>
            <w:tcW w:w="960" w:type="dxa"/>
            <w:noWrap/>
            <w:vAlign w:val="bottom"/>
            <w:hideMark/>
          </w:tcPr>
          <w:p w14:paraId="448B9080" w14:textId="77777777" w:rsidR="00E92F0B" w:rsidRPr="000B07C3" w:rsidRDefault="00E92F0B" w:rsidP="00514011">
            <w:r>
              <w:rPr>
                <w:rFonts w:ascii="Calibri" w:hAnsi="Calibri" w:cs="Calibri"/>
                <w:color w:val="000000"/>
              </w:rPr>
              <w:t>-0.01</w:t>
            </w:r>
          </w:p>
        </w:tc>
        <w:tc>
          <w:tcPr>
            <w:tcW w:w="960" w:type="dxa"/>
            <w:noWrap/>
            <w:vAlign w:val="bottom"/>
            <w:hideMark/>
          </w:tcPr>
          <w:p w14:paraId="39335771" w14:textId="77777777" w:rsidR="00E92F0B" w:rsidRPr="000B07C3" w:rsidRDefault="00E92F0B" w:rsidP="00514011">
            <w:r>
              <w:rPr>
                <w:rFonts w:ascii="Calibri" w:hAnsi="Calibri" w:cs="Calibri"/>
                <w:color w:val="000000"/>
              </w:rPr>
              <w:t>1.00</w:t>
            </w:r>
          </w:p>
        </w:tc>
        <w:tc>
          <w:tcPr>
            <w:tcW w:w="1008" w:type="dxa"/>
            <w:noWrap/>
            <w:vAlign w:val="bottom"/>
            <w:hideMark/>
          </w:tcPr>
          <w:p w14:paraId="01AE54D5" w14:textId="77777777" w:rsidR="00E92F0B" w:rsidRPr="000B07C3" w:rsidRDefault="00E92F0B" w:rsidP="00514011">
            <w:r>
              <w:rPr>
                <w:rFonts w:ascii="Calibri" w:hAnsi="Calibri" w:cs="Calibri"/>
                <w:color w:val="000000"/>
              </w:rPr>
              <w:t>1113.71</w:t>
            </w:r>
          </w:p>
        </w:tc>
        <w:tc>
          <w:tcPr>
            <w:tcW w:w="960" w:type="dxa"/>
            <w:noWrap/>
            <w:vAlign w:val="bottom"/>
            <w:hideMark/>
          </w:tcPr>
          <w:p w14:paraId="17F92D7F" w14:textId="77777777" w:rsidR="00E92F0B" w:rsidRPr="000B07C3" w:rsidRDefault="00E92F0B" w:rsidP="00514011">
            <w:r>
              <w:rPr>
                <w:rFonts w:ascii="Calibri" w:hAnsi="Calibri" w:cs="Calibri"/>
                <w:color w:val="000000"/>
              </w:rPr>
              <w:t>1900.59</w:t>
            </w:r>
          </w:p>
        </w:tc>
      </w:tr>
      <w:tr w:rsidR="00E92F0B" w:rsidRPr="000B07C3" w14:paraId="70ECCDB0" w14:textId="77777777" w:rsidTr="00514011">
        <w:trPr>
          <w:trHeight w:val="288"/>
        </w:trPr>
        <w:tc>
          <w:tcPr>
            <w:tcW w:w="1354" w:type="dxa"/>
            <w:noWrap/>
            <w:vAlign w:val="bottom"/>
            <w:hideMark/>
          </w:tcPr>
          <w:p w14:paraId="0AA06D4E" w14:textId="77777777" w:rsidR="00E92F0B" w:rsidRPr="008727D0" w:rsidRDefault="00E92F0B" w:rsidP="00514011">
            <w:pPr>
              <w:rPr>
                <w:b/>
                <w:bCs/>
              </w:rPr>
            </w:pPr>
            <w:r w:rsidRPr="00514011">
              <w:rPr>
                <w:rFonts w:ascii="Calibri" w:hAnsi="Calibri" w:cs="Calibri"/>
                <w:b/>
                <w:bCs/>
                <w:color w:val="000000"/>
              </w:rPr>
              <w:t>Site Dryness</w:t>
            </w:r>
          </w:p>
        </w:tc>
        <w:tc>
          <w:tcPr>
            <w:tcW w:w="960" w:type="dxa"/>
            <w:noWrap/>
            <w:vAlign w:val="bottom"/>
            <w:hideMark/>
          </w:tcPr>
          <w:p w14:paraId="478DF6F8" w14:textId="77777777" w:rsidR="00E92F0B" w:rsidRPr="000B07C3" w:rsidRDefault="00E92F0B" w:rsidP="00514011">
            <w:r>
              <w:rPr>
                <w:rFonts w:ascii="Calibri" w:hAnsi="Calibri" w:cs="Calibri"/>
                <w:color w:val="000000"/>
              </w:rPr>
              <w:t>-0.33</w:t>
            </w:r>
          </w:p>
        </w:tc>
        <w:tc>
          <w:tcPr>
            <w:tcW w:w="960" w:type="dxa"/>
            <w:noWrap/>
            <w:vAlign w:val="bottom"/>
            <w:hideMark/>
          </w:tcPr>
          <w:p w14:paraId="2C485353" w14:textId="77777777" w:rsidR="00E92F0B" w:rsidRPr="000B07C3" w:rsidRDefault="00E92F0B" w:rsidP="00514011">
            <w:r>
              <w:rPr>
                <w:rFonts w:ascii="Calibri" w:hAnsi="Calibri" w:cs="Calibri"/>
                <w:color w:val="000000"/>
              </w:rPr>
              <w:t>-0.33</w:t>
            </w:r>
          </w:p>
        </w:tc>
        <w:tc>
          <w:tcPr>
            <w:tcW w:w="960" w:type="dxa"/>
            <w:noWrap/>
            <w:vAlign w:val="bottom"/>
            <w:hideMark/>
          </w:tcPr>
          <w:p w14:paraId="6DB158B6" w14:textId="77777777" w:rsidR="00E92F0B" w:rsidRPr="000B07C3" w:rsidRDefault="00E92F0B" w:rsidP="00514011">
            <w:r>
              <w:rPr>
                <w:rFonts w:ascii="Calibri" w:hAnsi="Calibri" w:cs="Calibri"/>
                <w:color w:val="000000"/>
              </w:rPr>
              <w:t>0.23</w:t>
            </w:r>
          </w:p>
        </w:tc>
        <w:tc>
          <w:tcPr>
            <w:tcW w:w="960" w:type="dxa"/>
            <w:noWrap/>
            <w:vAlign w:val="bottom"/>
            <w:hideMark/>
          </w:tcPr>
          <w:p w14:paraId="47A53BD9" w14:textId="77777777" w:rsidR="00E92F0B" w:rsidRPr="000B07C3" w:rsidRDefault="00E92F0B" w:rsidP="00514011">
            <w:r>
              <w:rPr>
                <w:rFonts w:ascii="Calibri" w:hAnsi="Calibri" w:cs="Calibri"/>
                <w:color w:val="000000"/>
              </w:rPr>
              <w:t>-0.70</w:t>
            </w:r>
          </w:p>
        </w:tc>
        <w:tc>
          <w:tcPr>
            <w:tcW w:w="960" w:type="dxa"/>
            <w:noWrap/>
            <w:vAlign w:val="bottom"/>
            <w:hideMark/>
          </w:tcPr>
          <w:p w14:paraId="28F5C5E1" w14:textId="77777777" w:rsidR="00E92F0B" w:rsidRPr="000B07C3" w:rsidRDefault="00E92F0B" w:rsidP="00514011">
            <w:r>
              <w:rPr>
                <w:rFonts w:ascii="Calibri" w:hAnsi="Calibri" w:cs="Calibri"/>
                <w:color w:val="000000"/>
              </w:rPr>
              <w:t>0.05</w:t>
            </w:r>
          </w:p>
        </w:tc>
        <w:tc>
          <w:tcPr>
            <w:tcW w:w="960" w:type="dxa"/>
            <w:noWrap/>
            <w:vAlign w:val="bottom"/>
            <w:hideMark/>
          </w:tcPr>
          <w:p w14:paraId="77B51E9A" w14:textId="77777777" w:rsidR="00E92F0B" w:rsidRPr="000B07C3" w:rsidRDefault="00E92F0B" w:rsidP="00514011">
            <w:r>
              <w:rPr>
                <w:rFonts w:ascii="Calibri" w:hAnsi="Calibri" w:cs="Calibri"/>
                <w:color w:val="000000"/>
              </w:rPr>
              <w:t>1.00</w:t>
            </w:r>
          </w:p>
        </w:tc>
        <w:tc>
          <w:tcPr>
            <w:tcW w:w="1008" w:type="dxa"/>
            <w:noWrap/>
            <w:vAlign w:val="bottom"/>
            <w:hideMark/>
          </w:tcPr>
          <w:p w14:paraId="7A64004A" w14:textId="77777777" w:rsidR="00E92F0B" w:rsidRPr="000B07C3" w:rsidRDefault="00E92F0B" w:rsidP="00514011">
            <w:r>
              <w:rPr>
                <w:rFonts w:ascii="Calibri" w:hAnsi="Calibri" w:cs="Calibri"/>
                <w:color w:val="000000"/>
              </w:rPr>
              <w:t>1429.15</w:t>
            </w:r>
          </w:p>
        </w:tc>
        <w:tc>
          <w:tcPr>
            <w:tcW w:w="960" w:type="dxa"/>
            <w:noWrap/>
            <w:vAlign w:val="bottom"/>
            <w:hideMark/>
          </w:tcPr>
          <w:p w14:paraId="696C0AF2" w14:textId="77777777" w:rsidR="00E92F0B" w:rsidRPr="000B07C3" w:rsidRDefault="00E92F0B" w:rsidP="00514011">
            <w:r>
              <w:rPr>
                <w:rFonts w:ascii="Calibri" w:hAnsi="Calibri" w:cs="Calibri"/>
                <w:color w:val="000000"/>
              </w:rPr>
              <w:t>2287.44</w:t>
            </w:r>
          </w:p>
        </w:tc>
      </w:tr>
      <w:tr w:rsidR="00E92F0B" w:rsidRPr="000B07C3" w14:paraId="7D14D1DC" w14:textId="77777777" w:rsidTr="00514011">
        <w:trPr>
          <w:trHeight w:val="288"/>
        </w:trPr>
        <w:tc>
          <w:tcPr>
            <w:tcW w:w="1354" w:type="dxa"/>
            <w:noWrap/>
            <w:vAlign w:val="bottom"/>
            <w:hideMark/>
          </w:tcPr>
          <w:p w14:paraId="479BC8BB" w14:textId="77777777" w:rsidR="00E92F0B" w:rsidRPr="008727D0" w:rsidRDefault="00E92F0B" w:rsidP="00514011">
            <w:pPr>
              <w:rPr>
                <w:b/>
                <w:bCs/>
              </w:rPr>
            </w:pPr>
            <w:r w:rsidRPr="00514011">
              <w:rPr>
                <w:rFonts w:ascii="Calibri" w:hAnsi="Calibri" w:cs="Calibri"/>
                <w:b/>
                <w:bCs/>
                <w:color w:val="000000"/>
              </w:rPr>
              <w:t>DBH x Fire</w:t>
            </w:r>
          </w:p>
        </w:tc>
        <w:tc>
          <w:tcPr>
            <w:tcW w:w="960" w:type="dxa"/>
            <w:noWrap/>
            <w:vAlign w:val="bottom"/>
            <w:hideMark/>
          </w:tcPr>
          <w:p w14:paraId="3E708813" w14:textId="77777777" w:rsidR="00E92F0B" w:rsidRPr="000B07C3" w:rsidRDefault="00E92F0B" w:rsidP="00514011">
            <w:r>
              <w:rPr>
                <w:rFonts w:ascii="Calibri" w:hAnsi="Calibri" w:cs="Calibri"/>
                <w:color w:val="000000"/>
              </w:rPr>
              <w:t>2.40</w:t>
            </w:r>
          </w:p>
        </w:tc>
        <w:tc>
          <w:tcPr>
            <w:tcW w:w="960" w:type="dxa"/>
            <w:noWrap/>
            <w:vAlign w:val="bottom"/>
            <w:hideMark/>
          </w:tcPr>
          <w:p w14:paraId="7E210815" w14:textId="77777777" w:rsidR="00E92F0B" w:rsidRPr="000B07C3" w:rsidRDefault="00E92F0B" w:rsidP="00514011">
            <w:r>
              <w:rPr>
                <w:rFonts w:ascii="Calibri" w:hAnsi="Calibri" w:cs="Calibri"/>
                <w:color w:val="000000"/>
              </w:rPr>
              <w:t>2.38</w:t>
            </w:r>
          </w:p>
        </w:tc>
        <w:tc>
          <w:tcPr>
            <w:tcW w:w="960" w:type="dxa"/>
            <w:noWrap/>
            <w:vAlign w:val="bottom"/>
            <w:hideMark/>
          </w:tcPr>
          <w:p w14:paraId="543FFCE6" w14:textId="77777777" w:rsidR="00E92F0B" w:rsidRPr="000B07C3" w:rsidRDefault="00E92F0B" w:rsidP="00514011">
            <w:r>
              <w:rPr>
                <w:rFonts w:ascii="Calibri" w:hAnsi="Calibri" w:cs="Calibri"/>
                <w:color w:val="000000"/>
              </w:rPr>
              <w:t>1.45</w:t>
            </w:r>
          </w:p>
        </w:tc>
        <w:tc>
          <w:tcPr>
            <w:tcW w:w="960" w:type="dxa"/>
            <w:noWrap/>
            <w:vAlign w:val="bottom"/>
            <w:hideMark/>
          </w:tcPr>
          <w:p w14:paraId="35D5D35B" w14:textId="77777777" w:rsidR="00E92F0B" w:rsidRPr="000B07C3" w:rsidRDefault="00E92F0B" w:rsidP="00514011">
            <w:r>
              <w:rPr>
                <w:rFonts w:ascii="Calibri" w:hAnsi="Calibri" w:cs="Calibri"/>
                <w:color w:val="000000"/>
              </w:rPr>
              <w:t>0.10</w:t>
            </w:r>
          </w:p>
        </w:tc>
        <w:tc>
          <w:tcPr>
            <w:tcW w:w="960" w:type="dxa"/>
            <w:noWrap/>
            <w:vAlign w:val="bottom"/>
            <w:hideMark/>
          </w:tcPr>
          <w:p w14:paraId="671A0EB1" w14:textId="77777777" w:rsidR="00E92F0B" w:rsidRPr="000B07C3" w:rsidRDefault="00E92F0B" w:rsidP="00514011">
            <w:r>
              <w:rPr>
                <w:rFonts w:ascii="Calibri" w:hAnsi="Calibri" w:cs="Calibri"/>
                <w:color w:val="000000"/>
              </w:rPr>
              <w:t>4.78</w:t>
            </w:r>
          </w:p>
        </w:tc>
        <w:tc>
          <w:tcPr>
            <w:tcW w:w="960" w:type="dxa"/>
            <w:noWrap/>
            <w:vAlign w:val="bottom"/>
            <w:hideMark/>
          </w:tcPr>
          <w:p w14:paraId="6DB284D3" w14:textId="77777777" w:rsidR="00E92F0B" w:rsidRPr="000B07C3" w:rsidRDefault="00E92F0B" w:rsidP="00514011">
            <w:r>
              <w:rPr>
                <w:rFonts w:ascii="Calibri" w:hAnsi="Calibri" w:cs="Calibri"/>
                <w:color w:val="000000"/>
              </w:rPr>
              <w:t>1.00</w:t>
            </w:r>
          </w:p>
        </w:tc>
        <w:tc>
          <w:tcPr>
            <w:tcW w:w="1008" w:type="dxa"/>
            <w:noWrap/>
            <w:vAlign w:val="bottom"/>
            <w:hideMark/>
          </w:tcPr>
          <w:p w14:paraId="749E7B66" w14:textId="77777777" w:rsidR="00E92F0B" w:rsidRPr="000B07C3" w:rsidRDefault="00E92F0B" w:rsidP="00514011">
            <w:r>
              <w:rPr>
                <w:rFonts w:ascii="Calibri" w:hAnsi="Calibri" w:cs="Calibri"/>
                <w:color w:val="000000"/>
              </w:rPr>
              <w:t>1291.53</w:t>
            </w:r>
          </w:p>
        </w:tc>
        <w:tc>
          <w:tcPr>
            <w:tcW w:w="960" w:type="dxa"/>
            <w:noWrap/>
            <w:vAlign w:val="bottom"/>
            <w:hideMark/>
          </w:tcPr>
          <w:p w14:paraId="7EF0F5DB" w14:textId="77777777" w:rsidR="00E92F0B" w:rsidRPr="000B07C3" w:rsidRDefault="00E92F0B" w:rsidP="00514011">
            <w:r>
              <w:rPr>
                <w:rFonts w:ascii="Calibri" w:hAnsi="Calibri" w:cs="Calibri"/>
                <w:color w:val="000000"/>
              </w:rPr>
              <w:t>2079.10</w:t>
            </w:r>
          </w:p>
        </w:tc>
      </w:tr>
      <w:tr w:rsidR="00E92F0B" w:rsidRPr="000B07C3" w14:paraId="5CD55C04" w14:textId="77777777" w:rsidTr="00514011">
        <w:trPr>
          <w:trHeight w:val="288"/>
        </w:trPr>
        <w:tc>
          <w:tcPr>
            <w:tcW w:w="1354" w:type="dxa"/>
            <w:noWrap/>
            <w:vAlign w:val="bottom"/>
            <w:hideMark/>
          </w:tcPr>
          <w:p w14:paraId="22C3D624" w14:textId="77777777" w:rsidR="00E92F0B" w:rsidRPr="008727D0" w:rsidRDefault="00E92F0B" w:rsidP="00514011">
            <w:pPr>
              <w:rPr>
                <w:b/>
                <w:bCs/>
              </w:rPr>
            </w:pPr>
            <w:r w:rsidRPr="00514011">
              <w:rPr>
                <w:rFonts w:ascii="Calibri" w:hAnsi="Calibri" w:cs="Calibri"/>
                <w:b/>
                <w:bCs/>
                <w:color w:val="000000"/>
              </w:rPr>
              <w:t>DBH^2 x Fire</w:t>
            </w:r>
          </w:p>
        </w:tc>
        <w:tc>
          <w:tcPr>
            <w:tcW w:w="960" w:type="dxa"/>
            <w:noWrap/>
            <w:vAlign w:val="bottom"/>
            <w:hideMark/>
          </w:tcPr>
          <w:p w14:paraId="4DFAE83D" w14:textId="77777777" w:rsidR="00E92F0B" w:rsidRPr="000B07C3" w:rsidRDefault="00E92F0B" w:rsidP="00514011">
            <w:r>
              <w:rPr>
                <w:rFonts w:ascii="Calibri" w:hAnsi="Calibri" w:cs="Calibri"/>
                <w:color w:val="000000"/>
              </w:rPr>
              <w:t>-1.10</w:t>
            </w:r>
          </w:p>
        </w:tc>
        <w:tc>
          <w:tcPr>
            <w:tcW w:w="960" w:type="dxa"/>
            <w:noWrap/>
            <w:vAlign w:val="bottom"/>
            <w:hideMark/>
          </w:tcPr>
          <w:p w14:paraId="2DAC38BD" w14:textId="77777777" w:rsidR="00E92F0B" w:rsidRPr="000B07C3" w:rsidRDefault="00E92F0B" w:rsidP="00514011">
            <w:r>
              <w:rPr>
                <w:rFonts w:ascii="Calibri" w:hAnsi="Calibri" w:cs="Calibri"/>
                <w:color w:val="000000"/>
              </w:rPr>
              <w:t>-1.08</w:t>
            </w:r>
          </w:p>
        </w:tc>
        <w:tc>
          <w:tcPr>
            <w:tcW w:w="960" w:type="dxa"/>
            <w:noWrap/>
            <w:vAlign w:val="bottom"/>
            <w:hideMark/>
          </w:tcPr>
          <w:p w14:paraId="43097690" w14:textId="77777777" w:rsidR="00E92F0B" w:rsidRPr="000B07C3" w:rsidRDefault="00E92F0B" w:rsidP="00514011">
            <w:r>
              <w:rPr>
                <w:rFonts w:ascii="Calibri" w:hAnsi="Calibri" w:cs="Calibri"/>
                <w:color w:val="000000"/>
              </w:rPr>
              <w:t>0.92</w:t>
            </w:r>
          </w:p>
        </w:tc>
        <w:tc>
          <w:tcPr>
            <w:tcW w:w="960" w:type="dxa"/>
            <w:noWrap/>
            <w:vAlign w:val="bottom"/>
            <w:hideMark/>
          </w:tcPr>
          <w:p w14:paraId="5D164C3A" w14:textId="77777777" w:rsidR="00E92F0B" w:rsidRPr="000B07C3" w:rsidRDefault="00E92F0B" w:rsidP="00514011">
            <w:r>
              <w:rPr>
                <w:rFonts w:ascii="Calibri" w:hAnsi="Calibri" w:cs="Calibri"/>
                <w:color w:val="000000"/>
              </w:rPr>
              <w:t>-2.64</w:t>
            </w:r>
          </w:p>
        </w:tc>
        <w:tc>
          <w:tcPr>
            <w:tcW w:w="960" w:type="dxa"/>
            <w:noWrap/>
            <w:vAlign w:val="bottom"/>
            <w:hideMark/>
          </w:tcPr>
          <w:p w14:paraId="3B7725B6" w14:textId="77777777" w:rsidR="00E92F0B" w:rsidRPr="000B07C3" w:rsidRDefault="00E92F0B" w:rsidP="00514011">
            <w:r>
              <w:rPr>
                <w:rFonts w:ascii="Calibri" w:hAnsi="Calibri" w:cs="Calibri"/>
                <w:color w:val="000000"/>
              </w:rPr>
              <w:t>0.35</w:t>
            </w:r>
          </w:p>
        </w:tc>
        <w:tc>
          <w:tcPr>
            <w:tcW w:w="960" w:type="dxa"/>
            <w:noWrap/>
            <w:vAlign w:val="bottom"/>
            <w:hideMark/>
          </w:tcPr>
          <w:p w14:paraId="64EE8C62" w14:textId="77777777" w:rsidR="00E92F0B" w:rsidRPr="000B07C3" w:rsidRDefault="00E92F0B" w:rsidP="00514011">
            <w:r>
              <w:rPr>
                <w:rFonts w:ascii="Calibri" w:hAnsi="Calibri" w:cs="Calibri"/>
                <w:color w:val="000000"/>
              </w:rPr>
              <w:t>1.00</w:t>
            </w:r>
          </w:p>
        </w:tc>
        <w:tc>
          <w:tcPr>
            <w:tcW w:w="1008" w:type="dxa"/>
            <w:noWrap/>
            <w:vAlign w:val="bottom"/>
            <w:hideMark/>
          </w:tcPr>
          <w:p w14:paraId="2E8C8091" w14:textId="77777777" w:rsidR="00E92F0B" w:rsidRPr="000B07C3" w:rsidRDefault="00E92F0B" w:rsidP="00514011">
            <w:r>
              <w:rPr>
                <w:rFonts w:ascii="Calibri" w:hAnsi="Calibri" w:cs="Calibri"/>
                <w:color w:val="000000"/>
              </w:rPr>
              <w:t>1386.52</w:t>
            </w:r>
          </w:p>
        </w:tc>
        <w:tc>
          <w:tcPr>
            <w:tcW w:w="960" w:type="dxa"/>
            <w:noWrap/>
            <w:vAlign w:val="bottom"/>
            <w:hideMark/>
          </w:tcPr>
          <w:p w14:paraId="5F2D02E8" w14:textId="77777777" w:rsidR="00E92F0B" w:rsidRPr="000B07C3" w:rsidRDefault="00E92F0B" w:rsidP="00514011">
            <w:r>
              <w:rPr>
                <w:rFonts w:ascii="Calibri" w:hAnsi="Calibri" w:cs="Calibri"/>
                <w:color w:val="000000"/>
              </w:rPr>
              <w:t>2235.70</w:t>
            </w:r>
          </w:p>
        </w:tc>
      </w:tr>
      <w:tr w:rsidR="00E92F0B" w:rsidRPr="000B07C3" w14:paraId="377C5EBB" w14:textId="77777777" w:rsidTr="00514011">
        <w:trPr>
          <w:trHeight w:val="288"/>
        </w:trPr>
        <w:tc>
          <w:tcPr>
            <w:tcW w:w="1354" w:type="dxa"/>
            <w:noWrap/>
            <w:vAlign w:val="bottom"/>
            <w:hideMark/>
          </w:tcPr>
          <w:p w14:paraId="0037E836" w14:textId="77777777" w:rsidR="00E92F0B" w:rsidRPr="008727D0" w:rsidRDefault="00E92F0B" w:rsidP="00514011">
            <w:pPr>
              <w:rPr>
                <w:b/>
                <w:bCs/>
              </w:rPr>
            </w:pPr>
            <w:r w:rsidRPr="00514011">
              <w:rPr>
                <w:rFonts w:ascii="Calibri" w:hAnsi="Calibri" w:cs="Calibri"/>
                <w:b/>
                <w:bCs/>
                <w:color w:val="000000"/>
              </w:rPr>
              <w:t>DBH x WPBR</w:t>
            </w:r>
          </w:p>
        </w:tc>
        <w:tc>
          <w:tcPr>
            <w:tcW w:w="960" w:type="dxa"/>
            <w:noWrap/>
            <w:vAlign w:val="bottom"/>
            <w:hideMark/>
          </w:tcPr>
          <w:p w14:paraId="7BD42286" w14:textId="77777777" w:rsidR="00E92F0B" w:rsidRPr="000B07C3" w:rsidRDefault="00E92F0B" w:rsidP="00514011">
            <w:r>
              <w:rPr>
                <w:rFonts w:ascii="Calibri" w:hAnsi="Calibri" w:cs="Calibri"/>
                <w:color w:val="000000"/>
              </w:rPr>
              <w:t>0.83</w:t>
            </w:r>
          </w:p>
        </w:tc>
        <w:tc>
          <w:tcPr>
            <w:tcW w:w="960" w:type="dxa"/>
            <w:noWrap/>
            <w:vAlign w:val="bottom"/>
            <w:hideMark/>
          </w:tcPr>
          <w:p w14:paraId="143D76C1" w14:textId="77777777" w:rsidR="00E92F0B" w:rsidRPr="000B07C3" w:rsidRDefault="00E92F0B" w:rsidP="00514011">
            <w:r>
              <w:rPr>
                <w:rFonts w:ascii="Calibri" w:hAnsi="Calibri" w:cs="Calibri"/>
                <w:color w:val="000000"/>
              </w:rPr>
              <w:t>0.82</w:t>
            </w:r>
          </w:p>
        </w:tc>
        <w:tc>
          <w:tcPr>
            <w:tcW w:w="960" w:type="dxa"/>
            <w:noWrap/>
            <w:vAlign w:val="bottom"/>
            <w:hideMark/>
          </w:tcPr>
          <w:p w14:paraId="15018695" w14:textId="77777777" w:rsidR="00E92F0B" w:rsidRPr="000B07C3" w:rsidRDefault="00E92F0B" w:rsidP="00514011">
            <w:r>
              <w:rPr>
                <w:rFonts w:ascii="Calibri" w:hAnsi="Calibri" w:cs="Calibri"/>
                <w:color w:val="000000"/>
              </w:rPr>
              <w:t>1.68</w:t>
            </w:r>
          </w:p>
        </w:tc>
        <w:tc>
          <w:tcPr>
            <w:tcW w:w="960" w:type="dxa"/>
            <w:noWrap/>
            <w:vAlign w:val="bottom"/>
            <w:hideMark/>
          </w:tcPr>
          <w:p w14:paraId="7694CC01" w14:textId="77777777" w:rsidR="00E92F0B" w:rsidRPr="000B07C3" w:rsidRDefault="00E92F0B" w:rsidP="00514011">
            <w:r>
              <w:rPr>
                <w:rFonts w:ascii="Calibri" w:hAnsi="Calibri" w:cs="Calibri"/>
                <w:color w:val="000000"/>
              </w:rPr>
              <w:t>-1.89</w:t>
            </w:r>
          </w:p>
        </w:tc>
        <w:tc>
          <w:tcPr>
            <w:tcW w:w="960" w:type="dxa"/>
            <w:noWrap/>
            <w:vAlign w:val="bottom"/>
            <w:hideMark/>
          </w:tcPr>
          <w:p w14:paraId="45634650" w14:textId="77777777" w:rsidR="00E92F0B" w:rsidRPr="000B07C3" w:rsidRDefault="00E92F0B" w:rsidP="00514011">
            <w:r>
              <w:rPr>
                <w:rFonts w:ascii="Calibri" w:hAnsi="Calibri" w:cs="Calibri"/>
                <w:color w:val="000000"/>
              </w:rPr>
              <w:t>3.62</w:t>
            </w:r>
          </w:p>
        </w:tc>
        <w:tc>
          <w:tcPr>
            <w:tcW w:w="960" w:type="dxa"/>
            <w:noWrap/>
            <w:vAlign w:val="bottom"/>
            <w:hideMark/>
          </w:tcPr>
          <w:p w14:paraId="0C8D3FF6" w14:textId="77777777" w:rsidR="00E92F0B" w:rsidRPr="000B07C3" w:rsidRDefault="00E92F0B" w:rsidP="00514011">
            <w:r>
              <w:rPr>
                <w:rFonts w:ascii="Calibri" w:hAnsi="Calibri" w:cs="Calibri"/>
                <w:color w:val="000000"/>
              </w:rPr>
              <w:t>1.00</w:t>
            </w:r>
          </w:p>
        </w:tc>
        <w:tc>
          <w:tcPr>
            <w:tcW w:w="1008" w:type="dxa"/>
            <w:noWrap/>
            <w:vAlign w:val="bottom"/>
            <w:hideMark/>
          </w:tcPr>
          <w:p w14:paraId="21DB6C21" w14:textId="77777777" w:rsidR="00E92F0B" w:rsidRPr="000B07C3" w:rsidRDefault="00E92F0B" w:rsidP="00514011">
            <w:r>
              <w:rPr>
                <w:rFonts w:ascii="Calibri" w:hAnsi="Calibri" w:cs="Calibri"/>
                <w:color w:val="000000"/>
              </w:rPr>
              <w:t>1482.98</w:t>
            </w:r>
          </w:p>
        </w:tc>
        <w:tc>
          <w:tcPr>
            <w:tcW w:w="960" w:type="dxa"/>
            <w:noWrap/>
            <w:vAlign w:val="bottom"/>
            <w:hideMark/>
          </w:tcPr>
          <w:p w14:paraId="79CFE475" w14:textId="77777777" w:rsidR="00E92F0B" w:rsidRPr="000B07C3" w:rsidRDefault="00E92F0B" w:rsidP="00514011">
            <w:r>
              <w:rPr>
                <w:rFonts w:ascii="Calibri" w:hAnsi="Calibri" w:cs="Calibri"/>
                <w:color w:val="000000"/>
              </w:rPr>
              <w:t>2079.69</w:t>
            </w:r>
          </w:p>
        </w:tc>
      </w:tr>
      <w:tr w:rsidR="00E92F0B" w:rsidRPr="000B07C3" w14:paraId="033F29DA" w14:textId="77777777" w:rsidTr="00514011">
        <w:trPr>
          <w:trHeight w:val="288"/>
        </w:trPr>
        <w:tc>
          <w:tcPr>
            <w:tcW w:w="1354" w:type="dxa"/>
            <w:noWrap/>
            <w:vAlign w:val="bottom"/>
            <w:hideMark/>
          </w:tcPr>
          <w:p w14:paraId="394AFA16" w14:textId="77777777" w:rsidR="00E92F0B" w:rsidRPr="008727D0" w:rsidRDefault="00E92F0B" w:rsidP="00514011">
            <w:pPr>
              <w:rPr>
                <w:b/>
                <w:bCs/>
              </w:rPr>
            </w:pPr>
            <w:r w:rsidRPr="00514011">
              <w:rPr>
                <w:rFonts w:ascii="Calibri" w:hAnsi="Calibri" w:cs="Calibri"/>
                <w:b/>
                <w:bCs/>
                <w:color w:val="000000"/>
              </w:rPr>
              <w:t>DBH^2 x WPBR</w:t>
            </w:r>
          </w:p>
        </w:tc>
        <w:tc>
          <w:tcPr>
            <w:tcW w:w="960" w:type="dxa"/>
            <w:noWrap/>
            <w:vAlign w:val="bottom"/>
            <w:hideMark/>
          </w:tcPr>
          <w:p w14:paraId="0C68E2C8" w14:textId="77777777" w:rsidR="00E92F0B" w:rsidRPr="000B07C3" w:rsidRDefault="00E92F0B" w:rsidP="00514011">
            <w:r>
              <w:rPr>
                <w:rFonts w:ascii="Calibri" w:hAnsi="Calibri" w:cs="Calibri"/>
                <w:color w:val="000000"/>
              </w:rPr>
              <w:t>-0.42</w:t>
            </w:r>
          </w:p>
        </w:tc>
        <w:tc>
          <w:tcPr>
            <w:tcW w:w="960" w:type="dxa"/>
            <w:noWrap/>
            <w:vAlign w:val="bottom"/>
            <w:hideMark/>
          </w:tcPr>
          <w:p w14:paraId="2ED0BC65" w14:textId="77777777" w:rsidR="00E92F0B" w:rsidRPr="000B07C3" w:rsidRDefault="00E92F0B" w:rsidP="00514011">
            <w:r>
              <w:rPr>
                <w:rFonts w:ascii="Calibri" w:hAnsi="Calibri" w:cs="Calibri"/>
                <w:color w:val="000000"/>
              </w:rPr>
              <w:t>-0.40</w:t>
            </w:r>
          </w:p>
        </w:tc>
        <w:tc>
          <w:tcPr>
            <w:tcW w:w="960" w:type="dxa"/>
            <w:noWrap/>
            <w:vAlign w:val="bottom"/>
            <w:hideMark/>
          </w:tcPr>
          <w:p w14:paraId="18D828D7" w14:textId="77777777" w:rsidR="00E92F0B" w:rsidRPr="000B07C3" w:rsidRDefault="00E92F0B" w:rsidP="00514011">
            <w:r>
              <w:rPr>
                <w:rFonts w:ascii="Calibri" w:hAnsi="Calibri" w:cs="Calibri"/>
                <w:color w:val="000000"/>
              </w:rPr>
              <w:t>1.20</w:t>
            </w:r>
          </w:p>
        </w:tc>
        <w:tc>
          <w:tcPr>
            <w:tcW w:w="960" w:type="dxa"/>
            <w:noWrap/>
            <w:vAlign w:val="bottom"/>
            <w:hideMark/>
          </w:tcPr>
          <w:p w14:paraId="37A371C9" w14:textId="77777777" w:rsidR="00E92F0B" w:rsidRPr="000B07C3" w:rsidRDefault="00E92F0B" w:rsidP="00514011">
            <w:r>
              <w:rPr>
                <w:rFonts w:ascii="Calibri" w:hAnsi="Calibri" w:cs="Calibri"/>
                <w:color w:val="000000"/>
              </w:rPr>
              <w:t>-2.39</w:t>
            </w:r>
          </w:p>
        </w:tc>
        <w:tc>
          <w:tcPr>
            <w:tcW w:w="960" w:type="dxa"/>
            <w:noWrap/>
            <w:vAlign w:val="bottom"/>
            <w:hideMark/>
          </w:tcPr>
          <w:p w14:paraId="1450EFE8" w14:textId="77777777" w:rsidR="00E92F0B" w:rsidRPr="000B07C3" w:rsidRDefault="00E92F0B" w:rsidP="00514011">
            <w:r>
              <w:rPr>
                <w:rFonts w:ascii="Calibri" w:hAnsi="Calibri" w:cs="Calibri"/>
                <w:color w:val="000000"/>
              </w:rPr>
              <w:t>1.57</w:t>
            </w:r>
          </w:p>
        </w:tc>
        <w:tc>
          <w:tcPr>
            <w:tcW w:w="960" w:type="dxa"/>
            <w:noWrap/>
            <w:vAlign w:val="bottom"/>
            <w:hideMark/>
          </w:tcPr>
          <w:p w14:paraId="0010607E" w14:textId="77777777" w:rsidR="00E92F0B" w:rsidRPr="000B07C3" w:rsidRDefault="00E92F0B" w:rsidP="00514011">
            <w:r>
              <w:rPr>
                <w:rFonts w:ascii="Calibri" w:hAnsi="Calibri" w:cs="Calibri"/>
                <w:color w:val="000000"/>
              </w:rPr>
              <w:t>1.00</w:t>
            </w:r>
          </w:p>
        </w:tc>
        <w:tc>
          <w:tcPr>
            <w:tcW w:w="1008" w:type="dxa"/>
            <w:noWrap/>
            <w:vAlign w:val="bottom"/>
            <w:hideMark/>
          </w:tcPr>
          <w:p w14:paraId="0F5260A6" w14:textId="77777777" w:rsidR="00E92F0B" w:rsidRPr="000B07C3" w:rsidRDefault="00E92F0B" w:rsidP="00514011">
            <w:r>
              <w:rPr>
                <w:rFonts w:ascii="Calibri" w:hAnsi="Calibri" w:cs="Calibri"/>
                <w:color w:val="000000"/>
              </w:rPr>
              <w:t>1592.54</w:t>
            </w:r>
          </w:p>
        </w:tc>
        <w:tc>
          <w:tcPr>
            <w:tcW w:w="960" w:type="dxa"/>
            <w:noWrap/>
            <w:vAlign w:val="bottom"/>
            <w:hideMark/>
          </w:tcPr>
          <w:p w14:paraId="66526D7C" w14:textId="77777777" w:rsidR="00E92F0B" w:rsidRPr="000B07C3" w:rsidRDefault="00E92F0B" w:rsidP="00514011">
            <w:r>
              <w:rPr>
                <w:rFonts w:ascii="Calibri" w:hAnsi="Calibri" w:cs="Calibri"/>
                <w:color w:val="000000"/>
              </w:rPr>
              <w:t>2189.01</w:t>
            </w:r>
          </w:p>
        </w:tc>
      </w:tr>
      <w:tr w:rsidR="00E92F0B" w:rsidRPr="000B07C3" w14:paraId="37586247" w14:textId="77777777" w:rsidTr="00514011">
        <w:trPr>
          <w:trHeight w:val="288"/>
        </w:trPr>
        <w:tc>
          <w:tcPr>
            <w:tcW w:w="1354" w:type="dxa"/>
            <w:noWrap/>
            <w:vAlign w:val="bottom"/>
            <w:hideMark/>
          </w:tcPr>
          <w:p w14:paraId="29353E81" w14:textId="77777777" w:rsidR="00E92F0B" w:rsidRPr="008727D0" w:rsidRDefault="00E92F0B" w:rsidP="00514011">
            <w:pPr>
              <w:rPr>
                <w:b/>
                <w:bCs/>
              </w:rPr>
            </w:pPr>
            <w:r w:rsidRPr="00514011">
              <w:rPr>
                <w:rFonts w:ascii="Calibri" w:hAnsi="Calibri" w:cs="Calibri"/>
                <w:b/>
                <w:bCs/>
                <w:color w:val="000000"/>
              </w:rPr>
              <w:t>DBH x BA</w:t>
            </w:r>
          </w:p>
        </w:tc>
        <w:tc>
          <w:tcPr>
            <w:tcW w:w="960" w:type="dxa"/>
            <w:noWrap/>
            <w:vAlign w:val="bottom"/>
            <w:hideMark/>
          </w:tcPr>
          <w:p w14:paraId="7AAB9814" w14:textId="77777777" w:rsidR="00E92F0B" w:rsidRPr="000B07C3" w:rsidRDefault="00E92F0B" w:rsidP="00514011">
            <w:r>
              <w:rPr>
                <w:rFonts w:ascii="Calibri" w:hAnsi="Calibri" w:cs="Calibri"/>
                <w:color w:val="000000"/>
              </w:rPr>
              <w:t>0.94</w:t>
            </w:r>
          </w:p>
        </w:tc>
        <w:tc>
          <w:tcPr>
            <w:tcW w:w="960" w:type="dxa"/>
            <w:noWrap/>
            <w:vAlign w:val="bottom"/>
            <w:hideMark/>
          </w:tcPr>
          <w:p w14:paraId="23F63778" w14:textId="77777777" w:rsidR="00E92F0B" w:rsidRPr="000B07C3" w:rsidRDefault="00E92F0B" w:rsidP="00514011">
            <w:r>
              <w:rPr>
                <w:rFonts w:ascii="Calibri" w:hAnsi="Calibri" w:cs="Calibri"/>
                <w:color w:val="000000"/>
              </w:rPr>
              <w:t>0.93</w:t>
            </w:r>
          </w:p>
        </w:tc>
        <w:tc>
          <w:tcPr>
            <w:tcW w:w="960" w:type="dxa"/>
            <w:noWrap/>
            <w:vAlign w:val="bottom"/>
            <w:hideMark/>
          </w:tcPr>
          <w:p w14:paraId="37BAC857" w14:textId="77777777" w:rsidR="00E92F0B" w:rsidRPr="000B07C3" w:rsidRDefault="00E92F0B" w:rsidP="00514011">
            <w:r>
              <w:rPr>
                <w:rFonts w:ascii="Calibri" w:hAnsi="Calibri" w:cs="Calibri"/>
                <w:color w:val="000000"/>
              </w:rPr>
              <w:t>0.55</w:t>
            </w:r>
          </w:p>
        </w:tc>
        <w:tc>
          <w:tcPr>
            <w:tcW w:w="960" w:type="dxa"/>
            <w:noWrap/>
            <w:vAlign w:val="bottom"/>
            <w:hideMark/>
          </w:tcPr>
          <w:p w14:paraId="13A491F7" w14:textId="77777777" w:rsidR="00E92F0B" w:rsidRPr="000B07C3" w:rsidRDefault="00E92F0B" w:rsidP="00514011">
            <w:r>
              <w:rPr>
                <w:rFonts w:ascii="Calibri" w:hAnsi="Calibri" w:cs="Calibri"/>
                <w:color w:val="000000"/>
              </w:rPr>
              <w:t>0.04</w:t>
            </w:r>
          </w:p>
        </w:tc>
        <w:tc>
          <w:tcPr>
            <w:tcW w:w="960" w:type="dxa"/>
            <w:noWrap/>
            <w:vAlign w:val="bottom"/>
            <w:hideMark/>
          </w:tcPr>
          <w:p w14:paraId="2B807AD6" w14:textId="77777777" w:rsidR="00E92F0B" w:rsidRPr="000B07C3" w:rsidRDefault="00E92F0B" w:rsidP="00514011">
            <w:r>
              <w:rPr>
                <w:rFonts w:ascii="Calibri" w:hAnsi="Calibri" w:cs="Calibri"/>
                <w:color w:val="000000"/>
              </w:rPr>
              <w:t>1.83</w:t>
            </w:r>
          </w:p>
        </w:tc>
        <w:tc>
          <w:tcPr>
            <w:tcW w:w="960" w:type="dxa"/>
            <w:noWrap/>
            <w:vAlign w:val="bottom"/>
            <w:hideMark/>
          </w:tcPr>
          <w:p w14:paraId="7AF52FDE" w14:textId="77777777" w:rsidR="00E92F0B" w:rsidRPr="000B07C3" w:rsidRDefault="00E92F0B" w:rsidP="00514011">
            <w:r>
              <w:rPr>
                <w:rFonts w:ascii="Calibri" w:hAnsi="Calibri" w:cs="Calibri"/>
                <w:color w:val="000000"/>
              </w:rPr>
              <w:t>1.00</w:t>
            </w:r>
          </w:p>
        </w:tc>
        <w:tc>
          <w:tcPr>
            <w:tcW w:w="1008" w:type="dxa"/>
            <w:noWrap/>
            <w:vAlign w:val="bottom"/>
            <w:hideMark/>
          </w:tcPr>
          <w:p w14:paraId="2B3A4678" w14:textId="77777777" w:rsidR="00E92F0B" w:rsidRPr="000B07C3" w:rsidRDefault="00E92F0B" w:rsidP="00514011">
            <w:r>
              <w:rPr>
                <w:rFonts w:ascii="Calibri" w:hAnsi="Calibri" w:cs="Calibri"/>
                <w:color w:val="000000"/>
              </w:rPr>
              <w:t>1528.47</w:t>
            </w:r>
          </w:p>
        </w:tc>
        <w:tc>
          <w:tcPr>
            <w:tcW w:w="960" w:type="dxa"/>
            <w:noWrap/>
            <w:vAlign w:val="bottom"/>
            <w:hideMark/>
          </w:tcPr>
          <w:p w14:paraId="75AE35F1" w14:textId="77777777" w:rsidR="00E92F0B" w:rsidRPr="000B07C3" w:rsidRDefault="00E92F0B" w:rsidP="00514011">
            <w:r>
              <w:rPr>
                <w:rFonts w:ascii="Calibri" w:hAnsi="Calibri" w:cs="Calibri"/>
                <w:color w:val="000000"/>
              </w:rPr>
              <w:t>2091.84</w:t>
            </w:r>
          </w:p>
        </w:tc>
      </w:tr>
      <w:tr w:rsidR="00E92F0B" w:rsidRPr="000B07C3" w14:paraId="2C31229B" w14:textId="77777777" w:rsidTr="00514011">
        <w:trPr>
          <w:trHeight w:val="288"/>
        </w:trPr>
        <w:tc>
          <w:tcPr>
            <w:tcW w:w="1354" w:type="dxa"/>
            <w:noWrap/>
            <w:vAlign w:val="bottom"/>
            <w:hideMark/>
          </w:tcPr>
          <w:p w14:paraId="54BEFDDB" w14:textId="77777777" w:rsidR="00E92F0B" w:rsidRPr="008727D0" w:rsidRDefault="00E92F0B" w:rsidP="00514011">
            <w:pPr>
              <w:rPr>
                <w:b/>
                <w:bCs/>
              </w:rPr>
            </w:pPr>
            <w:r w:rsidRPr="00514011">
              <w:rPr>
                <w:rFonts w:ascii="Calibri" w:hAnsi="Calibri" w:cs="Calibri"/>
                <w:b/>
                <w:bCs/>
                <w:color w:val="000000"/>
              </w:rPr>
              <w:t>DBH^2 x BA</w:t>
            </w:r>
          </w:p>
        </w:tc>
        <w:tc>
          <w:tcPr>
            <w:tcW w:w="960" w:type="dxa"/>
            <w:noWrap/>
            <w:vAlign w:val="bottom"/>
            <w:hideMark/>
          </w:tcPr>
          <w:p w14:paraId="3E1DA003" w14:textId="77777777" w:rsidR="00E92F0B" w:rsidRPr="000B07C3" w:rsidRDefault="00E92F0B" w:rsidP="00514011">
            <w:r>
              <w:rPr>
                <w:rFonts w:ascii="Calibri" w:hAnsi="Calibri" w:cs="Calibri"/>
                <w:color w:val="000000"/>
              </w:rPr>
              <w:t>-0.17</w:t>
            </w:r>
          </w:p>
        </w:tc>
        <w:tc>
          <w:tcPr>
            <w:tcW w:w="960" w:type="dxa"/>
            <w:noWrap/>
            <w:vAlign w:val="bottom"/>
            <w:hideMark/>
          </w:tcPr>
          <w:p w14:paraId="11906AAF" w14:textId="77777777" w:rsidR="00E92F0B" w:rsidRPr="000B07C3" w:rsidRDefault="00E92F0B" w:rsidP="00514011">
            <w:r>
              <w:rPr>
                <w:rFonts w:ascii="Calibri" w:hAnsi="Calibri" w:cs="Calibri"/>
                <w:color w:val="000000"/>
              </w:rPr>
              <w:t>-0.17</w:t>
            </w:r>
          </w:p>
        </w:tc>
        <w:tc>
          <w:tcPr>
            <w:tcW w:w="960" w:type="dxa"/>
            <w:noWrap/>
            <w:vAlign w:val="bottom"/>
            <w:hideMark/>
          </w:tcPr>
          <w:p w14:paraId="6C597C03" w14:textId="77777777" w:rsidR="00E92F0B" w:rsidRPr="000B07C3" w:rsidRDefault="00E92F0B" w:rsidP="00514011">
            <w:r>
              <w:rPr>
                <w:rFonts w:ascii="Calibri" w:hAnsi="Calibri" w:cs="Calibri"/>
                <w:color w:val="000000"/>
              </w:rPr>
              <w:t>0.32</w:t>
            </w:r>
          </w:p>
        </w:tc>
        <w:tc>
          <w:tcPr>
            <w:tcW w:w="960" w:type="dxa"/>
            <w:noWrap/>
            <w:vAlign w:val="bottom"/>
            <w:hideMark/>
          </w:tcPr>
          <w:p w14:paraId="3FF76105" w14:textId="77777777" w:rsidR="00E92F0B" w:rsidRPr="000B07C3" w:rsidRDefault="00E92F0B" w:rsidP="00514011">
            <w:r>
              <w:rPr>
                <w:rFonts w:ascii="Calibri" w:hAnsi="Calibri" w:cs="Calibri"/>
                <w:color w:val="000000"/>
              </w:rPr>
              <w:t>-0.68</w:t>
            </w:r>
          </w:p>
        </w:tc>
        <w:tc>
          <w:tcPr>
            <w:tcW w:w="960" w:type="dxa"/>
            <w:noWrap/>
            <w:vAlign w:val="bottom"/>
            <w:hideMark/>
          </w:tcPr>
          <w:p w14:paraId="1051E63E" w14:textId="77777777" w:rsidR="00E92F0B" w:rsidRPr="000B07C3" w:rsidRDefault="00E92F0B" w:rsidP="00514011">
            <w:r>
              <w:rPr>
                <w:rFonts w:ascii="Calibri" w:hAnsi="Calibri" w:cs="Calibri"/>
                <w:color w:val="000000"/>
              </w:rPr>
              <w:t>0.36</w:t>
            </w:r>
          </w:p>
        </w:tc>
        <w:tc>
          <w:tcPr>
            <w:tcW w:w="960" w:type="dxa"/>
            <w:noWrap/>
            <w:vAlign w:val="bottom"/>
            <w:hideMark/>
          </w:tcPr>
          <w:p w14:paraId="30FAA1CE" w14:textId="77777777" w:rsidR="00E92F0B" w:rsidRPr="000B07C3" w:rsidRDefault="00E92F0B" w:rsidP="00514011">
            <w:r>
              <w:rPr>
                <w:rFonts w:ascii="Calibri" w:hAnsi="Calibri" w:cs="Calibri"/>
                <w:color w:val="000000"/>
              </w:rPr>
              <w:t>1.00</w:t>
            </w:r>
          </w:p>
        </w:tc>
        <w:tc>
          <w:tcPr>
            <w:tcW w:w="1008" w:type="dxa"/>
            <w:noWrap/>
            <w:vAlign w:val="bottom"/>
            <w:hideMark/>
          </w:tcPr>
          <w:p w14:paraId="1A1E280A" w14:textId="77777777" w:rsidR="00E92F0B" w:rsidRPr="000B07C3" w:rsidRDefault="00E92F0B" w:rsidP="00514011">
            <w:r>
              <w:rPr>
                <w:rFonts w:ascii="Calibri" w:hAnsi="Calibri" w:cs="Calibri"/>
                <w:color w:val="000000"/>
              </w:rPr>
              <w:t>1630.07</w:t>
            </w:r>
          </w:p>
        </w:tc>
        <w:tc>
          <w:tcPr>
            <w:tcW w:w="960" w:type="dxa"/>
            <w:noWrap/>
            <w:vAlign w:val="bottom"/>
            <w:hideMark/>
          </w:tcPr>
          <w:p w14:paraId="11F2D70F" w14:textId="77777777" w:rsidR="00E92F0B" w:rsidRPr="000B07C3" w:rsidRDefault="00E92F0B" w:rsidP="00514011">
            <w:pPr>
              <w:keepNext/>
            </w:pPr>
            <w:r>
              <w:rPr>
                <w:rFonts w:ascii="Calibri" w:hAnsi="Calibri" w:cs="Calibri"/>
                <w:color w:val="000000"/>
              </w:rPr>
              <w:t>2358.15</w:t>
            </w:r>
          </w:p>
        </w:tc>
      </w:tr>
      <w:tr w:rsidR="00E92F0B" w:rsidRPr="000B07C3" w14:paraId="42EE191D" w14:textId="77777777" w:rsidTr="00514011">
        <w:trPr>
          <w:trHeight w:val="288"/>
        </w:trPr>
        <w:tc>
          <w:tcPr>
            <w:tcW w:w="1354" w:type="dxa"/>
            <w:noWrap/>
            <w:vAlign w:val="bottom"/>
          </w:tcPr>
          <w:p w14:paraId="74096B13" w14:textId="77777777" w:rsidR="00E92F0B" w:rsidRPr="008727D0" w:rsidRDefault="00E92F0B" w:rsidP="00514011">
            <w:pPr>
              <w:rPr>
                <w:b/>
                <w:bCs/>
              </w:rPr>
            </w:pPr>
            <w:r w:rsidRPr="00514011">
              <w:rPr>
                <w:rFonts w:ascii="Calibri" w:hAnsi="Calibri" w:cs="Calibri"/>
                <w:b/>
                <w:bCs/>
                <w:color w:val="000000"/>
              </w:rPr>
              <w:t>DBH x Drought</w:t>
            </w:r>
          </w:p>
        </w:tc>
        <w:tc>
          <w:tcPr>
            <w:tcW w:w="960" w:type="dxa"/>
            <w:noWrap/>
            <w:vAlign w:val="bottom"/>
          </w:tcPr>
          <w:p w14:paraId="285D9EC8" w14:textId="77777777" w:rsidR="00E92F0B" w:rsidRPr="000B07C3" w:rsidRDefault="00E92F0B" w:rsidP="00514011">
            <w:r>
              <w:rPr>
                <w:rFonts w:ascii="Calibri" w:hAnsi="Calibri" w:cs="Calibri"/>
                <w:color w:val="000000"/>
              </w:rPr>
              <w:t>0.49</w:t>
            </w:r>
          </w:p>
        </w:tc>
        <w:tc>
          <w:tcPr>
            <w:tcW w:w="960" w:type="dxa"/>
            <w:noWrap/>
            <w:vAlign w:val="bottom"/>
          </w:tcPr>
          <w:p w14:paraId="2AA12145" w14:textId="77777777" w:rsidR="00E92F0B" w:rsidRPr="000B07C3" w:rsidRDefault="00E92F0B" w:rsidP="00514011">
            <w:r>
              <w:rPr>
                <w:rFonts w:ascii="Calibri" w:hAnsi="Calibri" w:cs="Calibri"/>
                <w:color w:val="000000"/>
              </w:rPr>
              <w:t>0.49</w:t>
            </w:r>
          </w:p>
        </w:tc>
        <w:tc>
          <w:tcPr>
            <w:tcW w:w="960" w:type="dxa"/>
            <w:noWrap/>
            <w:vAlign w:val="bottom"/>
          </w:tcPr>
          <w:p w14:paraId="028619E7" w14:textId="77777777" w:rsidR="00E92F0B" w:rsidRPr="000B07C3" w:rsidRDefault="00E92F0B" w:rsidP="00514011">
            <w:r>
              <w:rPr>
                <w:rFonts w:ascii="Calibri" w:hAnsi="Calibri" w:cs="Calibri"/>
                <w:color w:val="000000"/>
              </w:rPr>
              <w:t>0.58</w:t>
            </w:r>
          </w:p>
        </w:tc>
        <w:tc>
          <w:tcPr>
            <w:tcW w:w="960" w:type="dxa"/>
            <w:noWrap/>
            <w:vAlign w:val="bottom"/>
          </w:tcPr>
          <w:p w14:paraId="6D9C717B" w14:textId="77777777" w:rsidR="00E92F0B" w:rsidRPr="000B07C3" w:rsidRDefault="00E92F0B" w:rsidP="00514011">
            <w:r>
              <w:rPr>
                <w:rFonts w:ascii="Calibri" w:hAnsi="Calibri" w:cs="Calibri"/>
                <w:color w:val="000000"/>
              </w:rPr>
              <w:t>-0.46</w:t>
            </w:r>
          </w:p>
        </w:tc>
        <w:tc>
          <w:tcPr>
            <w:tcW w:w="960" w:type="dxa"/>
            <w:noWrap/>
            <w:vAlign w:val="bottom"/>
          </w:tcPr>
          <w:p w14:paraId="25BA6F3A" w14:textId="77777777" w:rsidR="00E92F0B" w:rsidRPr="000B07C3" w:rsidRDefault="00E92F0B" w:rsidP="00514011">
            <w:r>
              <w:rPr>
                <w:rFonts w:ascii="Calibri" w:hAnsi="Calibri" w:cs="Calibri"/>
                <w:color w:val="000000"/>
              </w:rPr>
              <w:t>1.44</w:t>
            </w:r>
          </w:p>
        </w:tc>
        <w:tc>
          <w:tcPr>
            <w:tcW w:w="960" w:type="dxa"/>
            <w:noWrap/>
            <w:vAlign w:val="bottom"/>
          </w:tcPr>
          <w:p w14:paraId="7C49D211" w14:textId="77777777" w:rsidR="00E92F0B" w:rsidRPr="000B07C3" w:rsidRDefault="00E92F0B" w:rsidP="00514011">
            <w:r>
              <w:rPr>
                <w:rFonts w:ascii="Calibri" w:hAnsi="Calibri" w:cs="Calibri"/>
                <w:color w:val="000000"/>
              </w:rPr>
              <w:t>1.00</w:t>
            </w:r>
          </w:p>
        </w:tc>
        <w:tc>
          <w:tcPr>
            <w:tcW w:w="1008" w:type="dxa"/>
            <w:noWrap/>
            <w:vAlign w:val="bottom"/>
          </w:tcPr>
          <w:p w14:paraId="370CD9C0" w14:textId="77777777" w:rsidR="00E92F0B" w:rsidRPr="000B07C3" w:rsidRDefault="00E92F0B" w:rsidP="00514011">
            <w:r>
              <w:rPr>
                <w:rFonts w:ascii="Calibri" w:hAnsi="Calibri" w:cs="Calibri"/>
                <w:color w:val="000000"/>
              </w:rPr>
              <w:t>1260.66</w:t>
            </w:r>
          </w:p>
        </w:tc>
        <w:tc>
          <w:tcPr>
            <w:tcW w:w="960" w:type="dxa"/>
            <w:noWrap/>
            <w:vAlign w:val="bottom"/>
          </w:tcPr>
          <w:p w14:paraId="030A7318" w14:textId="77777777" w:rsidR="00E92F0B" w:rsidRPr="000B07C3" w:rsidRDefault="00E92F0B" w:rsidP="00514011">
            <w:pPr>
              <w:keepNext/>
            </w:pPr>
            <w:r>
              <w:rPr>
                <w:rFonts w:ascii="Calibri" w:hAnsi="Calibri" w:cs="Calibri"/>
                <w:color w:val="000000"/>
              </w:rPr>
              <w:t>2100.02</w:t>
            </w:r>
          </w:p>
        </w:tc>
      </w:tr>
      <w:tr w:rsidR="00E92F0B" w:rsidRPr="000B07C3" w14:paraId="369E0BF2" w14:textId="77777777" w:rsidTr="00514011">
        <w:trPr>
          <w:trHeight w:val="288"/>
        </w:trPr>
        <w:tc>
          <w:tcPr>
            <w:tcW w:w="1354" w:type="dxa"/>
            <w:noWrap/>
            <w:vAlign w:val="bottom"/>
          </w:tcPr>
          <w:p w14:paraId="43464C9F" w14:textId="77777777" w:rsidR="00E92F0B" w:rsidRPr="008727D0" w:rsidRDefault="00E92F0B" w:rsidP="00514011">
            <w:pPr>
              <w:rPr>
                <w:b/>
                <w:bCs/>
              </w:rPr>
            </w:pPr>
            <w:r w:rsidRPr="00514011">
              <w:rPr>
                <w:rFonts w:ascii="Calibri" w:hAnsi="Calibri" w:cs="Calibri"/>
                <w:b/>
                <w:bCs/>
                <w:color w:val="000000"/>
              </w:rPr>
              <w:t>DBH^2 x Drought</w:t>
            </w:r>
          </w:p>
        </w:tc>
        <w:tc>
          <w:tcPr>
            <w:tcW w:w="960" w:type="dxa"/>
            <w:noWrap/>
            <w:vAlign w:val="bottom"/>
          </w:tcPr>
          <w:p w14:paraId="7AF64D7E" w14:textId="77777777" w:rsidR="00E92F0B" w:rsidRPr="000B07C3" w:rsidRDefault="00E92F0B" w:rsidP="00514011">
            <w:r>
              <w:rPr>
                <w:rFonts w:ascii="Calibri" w:hAnsi="Calibri" w:cs="Calibri"/>
                <w:color w:val="000000"/>
              </w:rPr>
              <w:t>-0.19</w:t>
            </w:r>
          </w:p>
        </w:tc>
        <w:tc>
          <w:tcPr>
            <w:tcW w:w="960" w:type="dxa"/>
            <w:noWrap/>
            <w:vAlign w:val="bottom"/>
          </w:tcPr>
          <w:p w14:paraId="5607E3E4" w14:textId="77777777" w:rsidR="00E92F0B" w:rsidRPr="000B07C3" w:rsidRDefault="00E92F0B" w:rsidP="00514011">
            <w:r>
              <w:rPr>
                <w:rFonts w:ascii="Calibri" w:hAnsi="Calibri" w:cs="Calibri"/>
                <w:color w:val="000000"/>
              </w:rPr>
              <w:t>-0.18</w:t>
            </w:r>
          </w:p>
        </w:tc>
        <w:tc>
          <w:tcPr>
            <w:tcW w:w="960" w:type="dxa"/>
            <w:noWrap/>
            <w:vAlign w:val="bottom"/>
          </w:tcPr>
          <w:p w14:paraId="07BE8B42" w14:textId="77777777" w:rsidR="00E92F0B" w:rsidRPr="000B07C3" w:rsidRDefault="00E92F0B" w:rsidP="00514011">
            <w:r>
              <w:rPr>
                <w:rFonts w:ascii="Calibri" w:hAnsi="Calibri" w:cs="Calibri"/>
                <w:color w:val="000000"/>
              </w:rPr>
              <w:t>0.40</w:t>
            </w:r>
          </w:p>
        </w:tc>
        <w:tc>
          <w:tcPr>
            <w:tcW w:w="960" w:type="dxa"/>
            <w:noWrap/>
            <w:vAlign w:val="bottom"/>
          </w:tcPr>
          <w:p w14:paraId="33F105E5" w14:textId="77777777" w:rsidR="00E92F0B" w:rsidRPr="000B07C3" w:rsidRDefault="00E92F0B" w:rsidP="00514011">
            <w:r>
              <w:rPr>
                <w:rFonts w:ascii="Calibri" w:hAnsi="Calibri" w:cs="Calibri"/>
                <w:color w:val="000000"/>
              </w:rPr>
              <w:t>-0.85</w:t>
            </w:r>
          </w:p>
        </w:tc>
        <w:tc>
          <w:tcPr>
            <w:tcW w:w="960" w:type="dxa"/>
            <w:noWrap/>
            <w:vAlign w:val="bottom"/>
          </w:tcPr>
          <w:p w14:paraId="407BEE65" w14:textId="77777777" w:rsidR="00E92F0B" w:rsidRPr="000B07C3" w:rsidRDefault="00E92F0B" w:rsidP="00514011">
            <w:r>
              <w:rPr>
                <w:rFonts w:ascii="Calibri" w:hAnsi="Calibri" w:cs="Calibri"/>
                <w:color w:val="000000"/>
              </w:rPr>
              <w:t>0.48</w:t>
            </w:r>
          </w:p>
        </w:tc>
        <w:tc>
          <w:tcPr>
            <w:tcW w:w="960" w:type="dxa"/>
            <w:noWrap/>
            <w:vAlign w:val="bottom"/>
          </w:tcPr>
          <w:p w14:paraId="6D75681D" w14:textId="77777777" w:rsidR="00E92F0B" w:rsidRPr="000B07C3" w:rsidRDefault="00E92F0B" w:rsidP="00514011">
            <w:r>
              <w:rPr>
                <w:rFonts w:ascii="Calibri" w:hAnsi="Calibri" w:cs="Calibri"/>
                <w:color w:val="000000"/>
              </w:rPr>
              <w:t>1.00</w:t>
            </w:r>
          </w:p>
        </w:tc>
        <w:tc>
          <w:tcPr>
            <w:tcW w:w="1008" w:type="dxa"/>
            <w:noWrap/>
            <w:vAlign w:val="bottom"/>
          </w:tcPr>
          <w:p w14:paraId="4C280F0E" w14:textId="77777777" w:rsidR="00E92F0B" w:rsidRPr="000B07C3" w:rsidRDefault="00E92F0B" w:rsidP="00514011">
            <w:r>
              <w:rPr>
                <w:rFonts w:ascii="Calibri" w:hAnsi="Calibri" w:cs="Calibri"/>
                <w:color w:val="000000"/>
              </w:rPr>
              <w:t>1394.84</w:t>
            </w:r>
          </w:p>
        </w:tc>
        <w:tc>
          <w:tcPr>
            <w:tcW w:w="960" w:type="dxa"/>
            <w:noWrap/>
            <w:vAlign w:val="bottom"/>
          </w:tcPr>
          <w:p w14:paraId="37D662EE" w14:textId="77777777" w:rsidR="00E92F0B" w:rsidRPr="000B07C3" w:rsidRDefault="00E92F0B" w:rsidP="00514011">
            <w:pPr>
              <w:keepNext/>
            </w:pPr>
            <w:r>
              <w:rPr>
                <w:rFonts w:ascii="Calibri" w:hAnsi="Calibri" w:cs="Calibri"/>
                <w:color w:val="000000"/>
              </w:rPr>
              <w:t>2170.48</w:t>
            </w:r>
          </w:p>
        </w:tc>
      </w:tr>
      <w:tr w:rsidR="00E92F0B" w:rsidRPr="000B07C3" w14:paraId="5ED4A0EA" w14:textId="77777777" w:rsidTr="00514011">
        <w:trPr>
          <w:trHeight w:val="288"/>
        </w:trPr>
        <w:tc>
          <w:tcPr>
            <w:tcW w:w="1354" w:type="dxa"/>
            <w:noWrap/>
            <w:vAlign w:val="bottom"/>
          </w:tcPr>
          <w:p w14:paraId="683D0154" w14:textId="77777777" w:rsidR="00E92F0B" w:rsidRPr="008727D0" w:rsidRDefault="00E92F0B" w:rsidP="00514011">
            <w:pPr>
              <w:rPr>
                <w:b/>
                <w:bCs/>
              </w:rPr>
            </w:pPr>
            <w:r w:rsidRPr="00514011">
              <w:rPr>
                <w:rFonts w:ascii="Calibri" w:hAnsi="Calibri" w:cs="Calibri"/>
                <w:b/>
                <w:bCs/>
                <w:color w:val="000000"/>
              </w:rPr>
              <w:t>DBH x Dryness</w:t>
            </w:r>
          </w:p>
        </w:tc>
        <w:tc>
          <w:tcPr>
            <w:tcW w:w="960" w:type="dxa"/>
            <w:noWrap/>
            <w:vAlign w:val="bottom"/>
          </w:tcPr>
          <w:p w14:paraId="0768D91F" w14:textId="77777777" w:rsidR="00E92F0B" w:rsidRPr="000B07C3" w:rsidRDefault="00E92F0B" w:rsidP="00514011">
            <w:r>
              <w:rPr>
                <w:rFonts w:ascii="Calibri" w:hAnsi="Calibri" w:cs="Calibri"/>
                <w:color w:val="000000"/>
              </w:rPr>
              <w:t>0.60</w:t>
            </w:r>
          </w:p>
        </w:tc>
        <w:tc>
          <w:tcPr>
            <w:tcW w:w="960" w:type="dxa"/>
            <w:noWrap/>
            <w:vAlign w:val="bottom"/>
          </w:tcPr>
          <w:p w14:paraId="5C5E396D" w14:textId="77777777" w:rsidR="00E92F0B" w:rsidRPr="000B07C3" w:rsidRDefault="00E92F0B" w:rsidP="00514011">
            <w:r>
              <w:rPr>
                <w:rFonts w:ascii="Calibri" w:hAnsi="Calibri" w:cs="Calibri"/>
                <w:color w:val="000000"/>
              </w:rPr>
              <w:t>0.61</w:t>
            </w:r>
          </w:p>
        </w:tc>
        <w:tc>
          <w:tcPr>
            <w:tcW w:w="960" w:type="dxa"/>
            <w:noWrap/>
            <w:vAlign w:val="bottom"/>
          </w:tcPr>
          <w:p w14:paraId="25CDE929" w14:textId="77777777" w:rsidR="00E92F0B" w:rsidRPr="000B07C3" w:rsidRDefault="00E92F0B" w:rsidP="00514011">
            <w:r>
              <w:rPr>
                <w:rFonts w:ascii="Calibri" w:hAnsi="Calibri" w:cs="Calibri"/>
                <w:color w:val="000000"/>
              </w:rPr>
              <w:t>0.67</w:t>
            </w:r>
          </w:p>
        </w:tc>
        <w:tc>
          <w:tcPr>
            <w:tcW w:w="960" w:type="dxa"/>
            <w:noWrap/>
            <w:vAlign w:val="bottom"/>
          </w:tcPr>
          <w:p w14:paraId="67768636" w14:textId="77777777" w:rsidR="00E92F0B" w:rsidRPr="000B07C3" w:rsidRDefault="00E92F0B" w:rsidP="00514011">
            <w:r>
              <w:rPr>
                <w:rFonts w:ascii="Calibri" w:hAnsi="Calibri" w:cs="Calibri"/>
                <w:color w:val="000000"/>
              </w:rPr>
              <w:t>-0.53</w:t>
            </w:r>
          </w:p>
        </w:tc>
        <w:tc>
          <w:tcPr>
            <w:tcW w:w="960" w:type="dxa"/>
            <w:noWrap/>
            <w:vAlign w:val="bottom"/>
          </w:tcPr>
          <w:p w14:paraId="4907A7EC" w14:textId="77777777" w:rsidR="00E92F0B" w:rsidRPr="000B07C3" w:rsidRDefault="00E92F0B" w:rsidP="00514011">
            <w:r>
              <w:rPr>
                <w:rFonts w:ascii="Calibri" w:hAnsi="Calibri" w:cs="Calibri"/>
                <w:color w:val="000000"/>
              </w:rPr>
              <w:t>1.69</w:t>
            </w:r>
          </w:p>
        </w:tc>
        <w:tc>
          <w:tcPr>
            <w:tcW w:w="960" w:type="dxa"/>
            <w:noWrap/>
            <w:vAlign w:val="bottom"/>
          </w:tcPr>
          <w:p w14:paraId="45C1EE90" w14:textId="77777777" w:rsidR="00E92F0B" w:rsidRPr="000B07C3" w:rsidRDefault="00E92F0B" w:rsidP="00514011">
            <w:r>
              <w:rPr>
                <w:rFonts w:ascii="Calibri" w:hAnsi="Calibri" w:cs="Calibri"/>
                <w:color w:val="000000"/>
              </w:rPr>
              <w:t>1.00</w:t>
            </w:r>
          </w:p>
        </w:tc>
        <w:tc>
          <w:tcPr>
            <w:tcW w:w="1008" w:type="dxa"/>
            <w:noWrap/>
            <w:vAlign w:val="bottom"/>
          </w:tcPr>
          <w:p w14:paraId="3BE9DE62" w14:textId="77777777" w:rsidR="00E92F0B" w:rsidRPr="000B07C3" w:rsidRDefault="00E92F0B" w:rsidP="00514011">
            <w:r>
              <w:rPr>
                <w:rFonts w:ascii="Calibri" w:hAnsi="Calibri" w:cs="Calibri"/>
                <w:color w:val="000000"/>
              </w:rPr>
              <w:t>1202.08</w:t>
            </w:r>
          </w:p>
        </w:tc>
        <w:tc>
          <w:tcPr>
            <w:tcW w:w="960" w:type="dxa"/>
            <w:noWrap/>
            <w:vAlign w:val="bottom"/>
          </w:tcPr>
          <w:p w14:paraId="160527CD" w14:textId="77777777" w:rsidR="00E92F0B" w:rsidRPr="000B07C3" w:rsidRDefault="00E92F0B" w:rsidP="00514011">
            <w:pPr>
              <w:keepNext/>
            </w:pPr>
            <w:r>
              <w:rPr>
                <w:rFonts w:ascii="Calibri" w:hAnsi="Calibri" w:cs="Calibri"/>
                <w:color w:val="000000"/>
              </w:rPr>
              <w:t>2221.01</w:t>
            </w:r>
          </w:p>
        </w:tc>
      </w:tr>
      <w:tr w:rsidR="00E92F0B" w:rsidRPr="000B07C3" w14:paraId="40131B53" w14:textId="77777777" w:rsidTr="00514011">
        <w:trPr>
          <w:trHeight w:val="288"/>
        </w:trPr>
        <w:tc>
          <w:tcPr>
            <w:tcW w:w="1354" w:type="dxa"/>
            <w:noWrap/>
            <w:vAlign w:val="bottom"/>
          </w:tcPr>
          <w:p w14:paraId="1E2E08C0" w14:textId="77777777" w:rsidR="00E92F0B" w:rsidRPr="008727D0" w:rsidRDefault="00E92F0B" w:rsidP="00514011">
            <w:pPr>
              <w:rPr>
                <w:b/>
                <w:bCs/>
              </w:rPr>
            </w:pPr>
            <w:r w:rsidRPr="00514011">
              <w:rPr>
                <w:rFonts w:ascii="Calibri" w:hAnsi="Calibri" w:cs="Calibri"/>
                <w:b/>
                <w:bCs/>
                <w:color w:val="000000"/>
              </w:rPr>
              <w:t>DBH^2 x Dryness</w:t>
            </w:r>
          </w:p>
        </w:tc>
        <w:tc>
          <w:tcPr>
            <w:tcW w:w="960" w:type="dxa"/>
            <w:noWrap/>
            <w:vAlign w:val="bottom"/>
          </w:tcPr>
          <w:p w14:paraId="67127C1F" w14:textId="77777777" w:rsidR="00E92F0B" w:rsidRPr="000B07C3" w:rsidRDefault="00E92F0B" w:rsidP="00514011">
            <w:r>
              <w:rPr>
                <w:rFonts w:ascii="Calibri" w:hAnsi="Calibri" w:cs="Calibri"/>
                <w:color w:val="000000"/>
              </w:rPr>
              <w:t>-0.56</w:t>
            </w:r>
          </w:p>
        </w:tc>
        <w:tc>
          <w:tcPr>
            <w:tcW w:w="960" w:type="dxa"/>
            <w:noWrap/>
            <w:vAlign w:val="bottom"/>
          </w:tcPr>
          <w:p w14:paraId="4B30B150" w14:textId="77777777" w:rsidR="00E92F0B" w:rsidRPr="000B07C3" w:rsidRDefault="00E92F0B" w:rsidP="00514011">
            <w:r>
              <w:rPr>
                <w:rFonts w:ascii="Calibri" w:hAnsi="Calibri" w:cs="Calibri"/>
                <w:color w:val="000000"/>
              </w:rPr>
              <w:t>-0.57</w:t>
            </w:r>
          </w:p>
        </w:tc>
        <w:tc>
          <w:tcPr>
            <w:tcW w:w="960" w:type="dxa"/>
            <w:noWrap/>
            <w:vAlign w:val="bottom"/>
          </w:tcPr>
          <w:p w14:paraId="260F342A" w14:textId="77777777" w:rsidR="00E92F0B" w:rsidRPr="000B07C3" w:rsidRDefault="00E92F0B" w:rsidP="00514011">
            <w:r>
              <w:rPr>
                <w:rFonts w:ascii="Calibri" w:hAnsi="Calibri" w:cs="Calibri"/>
                <w:color w:val="000000"/>
              </w:rPr>
              <w:t>0.46</w:t>
            </w:r>
          </w:p>
        </w:tc>
        <w:tc>
          <w:tcPr>
            <w:tcW w:w="960" w:type="dxa"/>
            <w:noWrap/>
            <w:vAlign w:val="bottom"/>
          </w:tcPr>
          <w:p w14:paraId="3050EA87" w14:textId="77777777" w:rsidR="00E92F0B" w:rsidRPr="000B07C3" w:rsidRDefault="00E92F0B" w:rsidP="00514011">
            <w:r>
              <w:rPr>
                <w:rFonts w:ascii="Calibri" w:hAnsi="Calibri" w:cs="Calibri"/>
                <w:color w:val="000000"/>
              </w:rPr>
              <w:t>-1.31</w:t>
            </w:r>
          </w:p>
        </w:tc>
        <w:tc>
          <w:tcPr>
            <w:tcW w:w="960" w:type="dxa"/>
            <w:noWrap/>
            <w:vAlign w:val="bottom"/>
          </w:tcPr>
          <w:p w14:paraId="2B420A85" w14:textId="77777777" w:rsidR="00E92F0B" w:rsidRPr="000B07C3" w:rsidRDefault="00E92F0B" w:rsidP="00514011">
            <w:r>
              <w:rPr>
                <w:rFonts w:ascii="Calibri" w:hAnsi="Calibri" w:cs="Calibri"/>
                <w:color w:val="000000"/>
              </w:rPr>
              <w:t>0.20</w:t>
            </w:r>
          </w:p>
        </w:tc>
        <w:tc>
          <w:tcPr>
            <w:tcW w:w="960" w:type="dxa"/>
            <w:noWrap/>
            <w:vAlign w:val="bottom"/>
          </w:tcPr>
          <w:p w14:paraId="1F9A631D" w14:textId="77777777" w:rsidR="00E92F0B" w:rsidRPr="000B07C3" w:rsidRDefault="00E92F0B" w:rsidP="00514011">
            <w:r>
              <w:rPr>
                <w:rFonts w:ascii="Calibri" w:hAnsi="Calibri" w:cs="Calibri"/>
                <w:color w:val="000000"/>
              </w:rPr>
              <w:t>1.00</w:t>
            </w:r>
          </w:p>
        </w:tc>
        <w:tc>
          <w:tcPr>
            <w:tcW w:w="1008" w:type="dxa"/>
            <w:noWrap/>
            <w:vAlign w:val="bottom"/>
          </w:tcPr>
          <w:p w14:paraId="00D91E5D" w14:textId="77777777" w:rsidR="00E92F0B" w:rsidRPr="000B07C3" w:rsidRDefault="00E92F0B" w:rsidP="00514011">
            <w:r>
              <w:rPr>
                <w:rFonts w:ascii="Calibri" w:hAnsi="Calibri" w:cs="Calibri"/>
                <w:color w:val="000000"/>
              </w:rPr>
              <w:t>1280.66</w:t>
            </w:r>
          </w:p>
        </w:tc>
        <w:tc>
          <w:tcPr>
            <w:tcW w:w="960" w:type="dxa"/>
            <w:noWrap/>
            <w:vAlign w:val="bottom"/>
          </w:tcPr>
          <w:p w14:paraId="246E8C8F" w14:textId="77777777" w:rsidR="00E92F0B" w:rsidRPr="000B07C3" w:rsidRDefault="00E92F0B" w:rsidP="00514011">
            <w:pPr>
              <w:keepNext/>
            </w:pPr>
            <w:r>
              <w:rPr>
                <w:rFonts w:ascii="Calibri" w:hAnsi="Calibri" w:cs="Calibri"/>
                <w:color w:val="000000"/>
              </w:rPr>
              <w:t>2221.16</w:t>
            </w:r>
          </w:p>
        </w:tc>
      </w:tr>
      <w:tr w:rsidR="00E92F0B" w:rsidRPr="000B07C3" w14:paraId="7AD5D262" w14:textId="77777777" w:rsidTr="00514011">
        <w:trPr>
          <w:trHeight w:val="288"/>
        </w:trPr>
        <w:tc>
          <w:tcPr>
            <w:tcW w:w="1354" w:type="dxa"/>
            <w:noWrap/>
            <w:vAlign w:val="bottom"/>
          </w:tcPr>
          <w:p w14:paraId="380C082C" w14:textId="77777777" w:rsidR="00E92F0B" w:rsidRPr="008727D0" w:rsidRDefault="00E92F0B" w:rsidP="00514011">
            <w:pPr>
              <w:rPr>
                <w:b/>
                <w:bCs/>
              </w:rPr>
            </w:pPr>
            <w:r w:rsidRPr="00514011">
              <w:rPr>
                <w:rFonts w:ascii="Calibri" w:hAnsi="Calibri" w:cs="Calibri"/>
                <w:b/>
                <w:bCs/>
                <w:color w:val="000000"/>
              </w:rPr>
              <w:t>SD Plots</w:t>
            </w:r>
          </w:p>
        </w:tc>
        <w:tc>
          <w:tcPr>
            <w:tcW w:w="960" w:type="dxa"/>
            <w:noWrap/>
            <w:vAlign w:val="bottom"/>
          </w:tcPr>
          <w:p w14:paraId="40A24704" w14:textId="77777777" w:rsidR="00E92F0B" w:rsidRPr="000B07C3" w:rsidRDefault="00E92F0B" w:rsidP="00514011">
            <w:r>
              <w:rPr>
                <w:rFonts w:ascii="Calibri" w:hAnsi="Calibri" w:cs="Calibri"/>
                <w:color w:val="000000"/>
              </w:rPr>
              <w:t>2.04</w:t>
            </w:r>
          </w:p>
        </w:tc>
        <w:tc>
          <w:tcPr>
            <w:tcW w:w="960" w:type="dxa"/>
            <w:noWrap/>
            <w:vAlign w:val="bottom"/>
          </w:tcPr>
          <w:p w14:paraId="2C8B45C9" w14:textId="77777777" w:rsidR="00E92F0B" w:rsidRPr="000B07C3" w:rsidRDefault="00E92F0B" w:rsidP="00514011">
            <w:r>
              <w:rPr>
                <w:rFonts w:ascii="Calibri" w:hAnsi="Calibri" w:cs="Calibri"/>
                <w:color w:val="000000"/>
              </w:rPr>
              <w:t>2.03</w:t>
            </w:r>
          </w:p>
        </w:tc>
        <w:tc>
          <w:tcPr>
            <w:tcW w:w="960" w:type="dxa"/>
            <w:noWrap/>
            <w:vAlign w:val="bottom"/>
          </w:tcPr>
          <w:p w14:paraId="760107FB" w14:textId="77777777" w:rsidR="00E92F0B" w:rsidRPr="000B07C3" w:rsidRDefault="00E92F0B" w:rsidP="00514011">
            <w:r>
              <w:rPr>
                <w:rFonts w:ascii="Calibri" w:hAnsi="Calibri" w:cs="Calibri"/>
                <w:color w:val="000000"/>
              </w:rPr>
              <w:t>0.16</w:t>
            </w:r>
          </w:p>
        </w:tc>
        <w:tc>
          <w:tcPr>
            <w:tcW w:w="960" w:type="dxa"/>
            <w:noWrap/>
            <w:vAlign w:val="bottom"/>
          </w:tcPr>
          <w:p w14:paraId="209C31D4" w14:textId="77777777" w:rsidR="00E92F0B" w:rsidRPr="000B07C3" w:rsidRDefault="00E92F0B" w:rsidP="00514011">
            <w:r>
              <w:rPr>
                <w:rFonts w:ascii="Calibri" w:hAnsi="Calibri" w:cs="Calibri"/>
                <w:color w:val="000000"/>
              </w:rPr>
              <w:t>1.79</w:t>
            </w:r>
          </w:p>
        </w:tc>
        <w:tc>
          <w:tcPr>
            <w:tcW w:w="960" w:type="dxa"/>
            <w:noWrap/>
            <w:vAlign w:val="bottom"/>
          </w:tcPr>
          <w:p w14:paraId="23305F6B" w14:textId="77777777" w:rsidR="00E92F0B" w:rsidRPr="000B07C3" w:rsidRDefault="00E92F0B" w:rsidP="00514011">
            <w:r>
              <w:rPr>
                <w:rFonts w:ascii="Calibri" w:hAnsi="Calibri" w:cs="Calibri"/>
                <w:color w:val="000000"/>
              </w:rPr>
              <w:t>2.32</w:t>
            </w:r>
          </w:p>
        </w:tc>
        <w:tc>
          <w:tcPr>
            <w:tcW w:w="960" w:type="dxa"/>
            <w:noWrap/>
            <w:vAlign w:val="bottom"/>
          </w:tcPr>
          <w:p w14:paraId="11C957B4" w14:textId="77777777" w:rsidR="00E92F0B" w:rsidRPr="000B07C3" w:rsidRDefault="00E92F0B" w:rsidP="00514011">
            <w:r>
              <w:rPr>
                <w:rFonts w:ascii="Calibri" w:hAnsi="Calibri" w:cs="Calibri"/>
                <w:color w:val="000000"/>
              </w:rPr>
              <w:t>1.00</w:t>
            </w:r>
          </w:p>
        </w:tc>
        <w:tc>
          <w:tcPr>
            <w:tcW w:w="1008" w:type="dxa"/>
            <w:noWrap/>
            <w:vAlign w:val="bottom"/>
          </w:tcPr>
          <w:p w14:paraId="743640F8" w14:textId="77777777" w:rsidR="00E92F0B" w:rsidRPr="000B07C3" w:rsidRDefault="00E92F0B" w:rsidP="00514011">
            <w:r>
              <w:rPr>
                <w:rFonts w:ascii="Calibri" w:hAnsi="Calibri" w:cs="Calibri"/>
                <w:color w:val="000000"/>
              </w:rPr>
              <w:t>1120.85</w:t>
            </w:r>
          </w:p>
        </w:tc>
        <w:tc>
          <w:tcPr>
            <w:tcW w:w="960" w:type="dxa"/>
            <w:noWrap/>
            <w:vAlign w:val="bottom"/>
          </w:tcPr>
          <w:p w14:paraId="60676D37" w14:textId="77777777" w:rsidR="00E92F0B" w:rsidRPr="000B07C3" w:rsidRDefault="00E92F0B" w:rsidP="00514011">
            <w:pPr>
              <w:keepNext/>
            </w:pPr>
            <w:r>
              <w:rPr>
                <w:rFonts w:ascii="Calibri" w:hAnsi="Calibri" w:cs="Calibri"/>
                <w:color w:val="000000"/>
              </w:rPr>
              <w:t>2021.54</w:t>
            </w:r>
          </w:p>
        </w:tc>
      </w:tr>
      <w:tr w:rsidR="00E92F0B" w:rsidRPr="000B07C3" w14:paraId="33BBCC22" w14:textId="77777777" w:rsidTr="00514011">
        <w:trPr>
          <w:trHeight w:val="288"/>
        </w:trPr>
        <w:tc>
          <w:tcPr>
            <w:tcW w:w="1354" w:type="dxa"/>
            <w:noWrap/>
            <w:vAlign w:val="bottom"/>
          </w:tcPr>
          <w:p w14:paraId="77F50005" w14:textId="77777777" w:rsidR="00E92F0B" w:rsidRPr="008727D0" w:rsidRDefault="00E92F0B" w:rsidP="00514011">
            <w:pPr>
              <w:rPr>
                <w:b/>
                <w:bCs/>
              </w:rPr>
            </w:pPr>
            <w:r w:rsidRPr="00514011">
              <w:rPr>
                <w:rFonts w:ascii="Calibri" w:hAnsi="Calibri" w:cs="Calibri"/>
                <w:b/>
                <w:bCs/>
                <w:color w:val="000000"/>
              </w:rPr>
              <w:t>SD Ecoregions</w:t>
            </w:r>
          </w:p>
        </w:tc>
        <w:tc>
          <w:tcPr>
            <w:tcW w:w="960" w:type="dxa"/>
            <w:noWrap/>
            <w:vAlign w:val="bottom"/>
          </w:tcPr>
          <w:p w14:paraId="0D0EBAED" w14:textId="77777777" w:rsidR="00E92F0B" w:rsidRPr="000B07C3" w:rsidRDefault="00E92F0B" w:rsidP="00514011">
            <w:r>
              <w:rPr>
                <w:rFonts w:ascii="Calibri" w:hAnsi="Calibri" w:cs="Calibri"/>
                <w:color w:val="000000"/>
              </w:rPr>
              <w:t>0.27</w:t>
            </w:r>
          </w:p>
        </w:tc>
        <w:tc>
          <w:tcPr>
            <w:tcW w:w="960" w:type="dxa"/>
            <w:noWrap/>
            <w:vAlign w:val="bottom"/>
          </w:tcPr>
          <w:p w14:paraId="0925DA5C" w14:textId="77777777" w:rsidR="00E92F0B" w:rsidRPr="000B07C3" w:rsidRDefault="00E92F0B" w:rsidP="00514011">
            <w:r>
              <w:rPr>
                <w:rFonts w:ascii="Calibri" w:hAnsi="Calibri" w:cs="Calibri"/>
                <w:color w:val="000000"/>
              </w:rPr>
              <w:t>0.25</w:t>
            </w:r>
          </w:p>
        </w:tc>
        <w:tc>
          <w:tcPr>
            <w:tcW w:w="960" w:type="dxa"/>
            <w:noWrap/>
            <w:vAlign w:val="bottom"/>
          </w:tcPr>
          <w:p w14:paraId="0C36C11C" w14:textId="77777777" w:rsidR="00E92F0B" w:rsidRPr="000B07C3" w:rsidRDefault="00E92F0B" w:rsidP="00514011">
            <w:r>
              <w:rPr>
                <w:rFonts w:ascii="Calibri" w:hAnsi="Calibri" w:cs="Calibri"/>
                <w:color w:val="000000"/>
              </w:rPr>
              <w:t>0.17</w:t>
            </w:r>
          </w:p>
        </w:tc>
        <w:tc>
          <w:tcPr>
            <w:tcW w:w="960" w:type="dxa"/>
            <w:noWrap/>
            <w:vAlign w:val="bottom"/>
          </w:tcPr>
          <w:p w14:paraId="2B9AFFCD" w14:textId="77777777" w:rsidR="00E92F0B" w:rsidRPr="000B07C3" w:rsidRDefault="00E92F0B" w:rsidP="00514011">
            <w:r>
              <w:rPr>
                <w:rFonts w:ascii="Calibri" w:hAnsi="Calibri" w:cs="Calibri"/>
                <w:color w:val="000000"/>
              </w:rPr>
              <w:t>0.02</w:t>
            </w:r>
          </w:p>
        </w:tc>
        <w:tc>
          <w:tcPr>
            <w:tcW w:w="960" w:type="dxa"/>
            <w:noWrap/>
            <w:vAlign w:val="bottom"/>
          </w:tcPr>
          <w:p w14:paraId="745430E3" w14:textId="77777777" w:rsidR="00E92F0B" w:rsidRPr="000B07C3" w:rsidRDefault="00E92F0B" w:rsidP="00514011">
            <w:r>
              <w:rPr>
                <w:rFonts w:ascii="Calibri" w:hAnsi="Calibri" w:cs="Calibri"/>
                <w:color w:val="000000"/>
              </w:rPr>
              <w:t>0.57</w:t>
            </w:r>
          </w:p>
        </w:tc>
        <w:tc>
          <w:tcPr>
            <w:tcW w:w="960" w:type="dxa"/>
            <w:noWrap/>
            <w:vAlign w:val="bottom"/>
          </w:tcPr>
          <w:p w14:paraId="5CE4775D" w14:textId="77777777" w:rsidR="00E92F0B" w:rsidRPr="000B07C3" w:rsidRDefault="00E92F0B" w:rsidP="00514011">
            <w:r>
              <w:rPr>
                <w:rFonts w:ascii="Calibri" w:hAnsi="Calibri" w:cs="Calibri"/>
                <w:color w:val="000000"/>
              </w:rPr>
              <w:t>1.02</w:t>
            </w:r>
          </w:p>
        </w:tc>
        <w:tc>
          <w:tcPr>
            <w:tcW w:w="1008" w:type="dxa"/>
            <w:noWrap/>
            <w:vAlign w:val="bottom"/>
          </w:tcPr>
          <w:p w14:paraId="43C41136" w14:textId="77777777" w:rsidR="00E92F0B" w:rsidRPr="000B07C3" w:rsidRDefault="00E92F0B" w:rsidP="00514011">
            <w:r>
              <w:rPr>
                <w:rFonts w:ascii="Calibri" w:hAnsi="Calibri" w:cs="Calibri"/>
                <w:color w:val="000000"/>
              </w:rPr>
              <w:t>317.97</w:t>
            </w:r>
          </w:p>
        </w:tc>
        <w:tc>
          <w:tcPr>
            <w:tcW w:w="960" w:type="dxa"/>
            <w:noWrap/>
            <w:vAlign w:val="bottom"/>
          </w:tcPr>
          <w:p w14:paraId="53D52A12" w14:textId="77777777" w:rsidR="00E92F0B" w:rsidRPr="000B07C3" w:rsidRDefault="00E92F0B" w:rsidP="00514011">
            <w:pPr>
              <w:keepNext/>
            </w:pPr>
            <w:r>
              <w:rPr>
                <w:rFonts w:ascii="Calibri" w:hAnsi="Calibri" w:cs="Calibri"/>
                <w:color w:val="000000"/>
              </w:rPr>
              <w:t>977.47</w:t>
            </w:r>
          </w:p>
        </w:tc>
      </w:tr>
    </w:tbl>
    <w:p w14:paraId="4692F4CA" w14:textId="668F78C4" w:rsidR="00E92F0B" w:rsidRDefault="00245CBF" w:rsidP="00245CBF">
      <w:pPr>
        <w:pStyle w:val="Caption"/>
      </w:pPr>
      <w:bookmarkStart w:id="82" w:name="_Ref104545123"/>
      <w:r>
        <w:t xml:space="preserve">Table </w:t>
      </w:r>
      <w:fldSimple w:instr=" SEQ Table \* ARABIC ">
        <w:r>
          <w:rPr>
            <w:noProof/>
          </w:rPr>
          <w:t>1</w:t>
        </w:r>
      </w:fldSimple>
      <w:bookmarkEnd w:id="82"/>
      <w:r>
        <w:t>:</w:t>
      </w:r>
      <w:r w:rsidR="00E92F0B">
        <w:t>Summary of results for survival sub model, giving the mean, median, standard deviation, 5</w:t>
      </w:r>
      <w:r w:rsidR="00E92F0B" w:rsidRPr="00362541">
        <w:rPr>
          <w:vertAlign w:val="superscript"/>
        </w:rPr>
        <w:t>th</w:t>
      </w:r>
      <w:r w:rsidR="00E92F0B">
        <w:t xml:space="preserve"> percentile, and 95</w:t>
      </w:r>
      <w:r w:rsidR="00E92F0B" w:rsidRPr="00362541">
        <w:rPr>
          <w:vertAlign w:val="superscript"/>
        </w:rPr>
        <w:t>th</w:t>
      </w:r>
      <w:r w:rsidR="00E92F0B">
        <w:t xml:space="preserve"> percentile of posterior samples for each parameter, plus diagnostics R-hat, effective sample size (bulk), and effective sample size (tail).</w:t>
      </w:r>
    </w:p>
    <w:p w14:paraId="323F3779" w14:textId="77777777" w:rsidR="00245CBF" w:rsidRDefault="00245CBF">
      <w:r>
        <w:br w:type="page"/>
      </w:r>
    </w:p>
    <w:tbl>
      <w:tblPr>
        <w:tblStyle w:val="TableGrid"/>
        <w:tblW w:w="0" w:type="auto"/>
        <w:tblLook w:val="04A0" w:firstRow="1" w:lastRow="0" w:firstColumn="1" w:lastColumn="0" w:noHBand="0" w:noVBand="1"/>
      </w:tblPr>
      <w:tblGrid>
        <w:gridCol w:w="1533"/>
        <w:gridCol w:w="746"/>
        <w:gridCol w:w="1052"/>
        <w:gridCol w:w="822"/>
        <w:gridCol w:w="902"/>
        <w:gridCol w:w="902"/>
        <w:gridCol w:w="825"/>
        <w:gridCol w:w="1284"/>
        <w:gridCol w:w="1284"/>
      </w:tblGrid>
      <w:tr w:rsidR="004940F9" w:rsidRPr="00870621" w14:paraId="0A39E06B" w14:textId="77777777" w:rsidTr="004940F9">
        <w:trPr>
          <w:trHeight w:val="288"/>
        </w:trPr>
        <w:tc>
          <w:tcPr>
            <w:tcW w:w="1533" w:type="dxa"/>
            <w:noWrap/>
            <w:hideMark/>
          </w:tcPr>
          <w:p w14:paraId="3E3FEABC" w14:textId="77777777" w:rsidR="00245CBF" w:rsidRPr="00870621" w:rsidRDefault="00245CBF" w:rsidP="00514011">
            <w:pPr>
              <w:rPr>
                <w:b/>
                <w:bCs/>
              </w:rPr>
            </w:pPr>
            <w:r w:rsidRPr="00870621">
              <w:rPr>
                <w:b/>
                <w:bCs/>
              </w:rPr>
              <w:lastRenderedPageBreak/>
              <w:t>Parameter</w:t>
            </w:r>
          </w:p>
        </w:tc>
        <w:tc>
          <w:tcPr>
            <w:tcW w:w="739" w:type="dxa"/>
            <w:noWrap/>
            <w:hideMark/>
          </w:tcPr>
          <w:p w14:paraId="351CF69B" w14:textId="77777777" w:rsidR="00245CBF" w:rsidRPr="00870621" w:rsidRDefault="00245CBF" w:rsidP="00514011">
            <w:pPr>
              <w:rPr>
                <w:b/>
                <w:bCs/>
              </w:rPr>
            </w:pPr>
            <w:r w:rsidRPr="00870621">
              <w:rPr>
                <w:b/>
                <w:bCs/>
              </w:rPr>
              <w:t>Mean</w:t>
            </w:r>
          </w:p>
        </w:tc>
        <w:tc>
          <w:tcPr>
            <w:tcW w:w="1053" w:type="dxa"/>
            <w:noWrap/>
            <w:hideMark/>
          </w:tcPr>
          <w:p w14:paraId="332D56A6" w14:textId="77777777" w:rsidR="00245CBF" w:rsidRPr="00870621" w:rsidRDefault="00245CBF" w:rsidP="00514011">
            <w:pPr>
              <w:rPr>
                <w:b/>
                <w:bCs/>
              </w:rPr>
            </w:pPr>
            <w:r w:rsidRPr="00870621">
              <w:rPr>
                <w:b/>
                <w:bCs/>
              </w:rPr>
              <w:t>Median</w:t>
            </w:r>
          </w:p>
        </w:tc>
        <w:tc>
          <w:tcPr>
            <w:tcW w:w="823" w:type="dxa"/>
            <w:noWrap/>
            <w:hideMark/>
          </w:tcPr>
          <w:p w14:paraId="6D61FCF0" w14:textId="77777777" w:rsidR="00245CBF" w:rsidRPr="00870621" w:rsidRDefault="00245CBF" w:rsidP="00514011">
            <w:pPr>
              <w:rPr>
                <w:b/>
                <w:bCs/>
              </w:rPr>
            </w:pPr>
            <w:r w:rsidRPr="00870621">
              <w:rPr>
                <w:b/>
                <w:bCs/>
              </w:rPr>
              <w:t>StDev</w:t>
            </w:r>
          </w:p>
        </w:tc>
        <w:tc>
          <w:tcPr>
            <w:tcW w:w="903" w:type="dxa"/>
            <w:noWrap/>
            <w:hideMark/>
          </w:tcPr>
          <w:p w14:paraId="63316CD6" w14:textId="77777777" w:rsidR="00245CBF" w:rsidRPr="00870621" w:rsidRDefault="00245CBF" w:rsidP="00514011">
            <w:pPr>
              <w:rPr>
                <w:b/>
                <w:bCs/>
              </w:rPr>
            </w:pPr>
            <w:r w:rsidRPr="00870621">
              <w:rPr>
                <w:b/>
                <w:bCs/>
              </w:rPr>
              <w:t>q5</w:t>
            </w:r>
          </w:p>
        </w:tc>
        <w:tc>
          <w:tcPr>
            <w:tcW w:w="903" w:type="dxa"/>
            <w:noWrap/>
            <w:hideMark/>
          </w:tcPr>
          <w:p w14:paraId="7A292C13" w14:textId="77777777" w:rsidR="00245CBF" w:rsidRPr="00870621" w:rsidRDefault="00245CBF" w:rsidP="00514011">
            <w:pPr>
              <w:rPr>
                <w:b/>
                <w:bCs/>
              </w:rPr>
            </w:pPr>
            <w:r w:rsidRPr="00870621">
              <w:rPr>
                <w:b/>
                <w:bCs/>
              </w:rPr>
              <w:t>q95</w:t>
            </w:r>
          </w:p>
        </w:tc>
        <w:tc>
          <w:tcPr>
            <w:tcW w:w="826" w:type="dxa"/>
            <w:noWrap/>
            <w:hideMark/>
          </w:tcPr>
          <w:p w14:paraId="188CC90B" w14:textId="77777777" w:rsidR="00245CBF" w:rsidRPr="00870621" w:rsidRDefault="00245CBF" w:rsidP="00514011">
            <w:pPr>
              <w:rPr>
                <w:b/>
                <w:bCs/>
              </w:rPr>
            </w:pPr>
            <w:r w:rsidRPr="00870621">
              <w:rPr>
                <w:b/>
                <w:bCs/>
              </w:rPr>
              <w:t>rhat</w:t>
            </w:r>
          </w:p>
        </w:tc>
        <w:tc>
          <w:tcPr>
            <w:tcW w:w="1285" w:type="dxa"/>
            <w:noWrap/>
            <w:hideMark/>
          </w:tcPr>
          <w:p w14:paraId="6C097373" w14:textId="77777777" w:rsidR="00245CBF" w:rsidRPr="00870621" w:rsidRDefault="00245CBF" w:rsidP="00514011">
            <w:pPr>
              <w:rPr>
                <w:b/>
                <w:bCs/>
              </w:rPr>
            </w:pPr>
            <w:r w:rsidRPr="00870621">
              <w:rPr>
                <w:b/>
                <w:bCs/>
              </w:rPr>
              <w:t>ess_bulk</w:t>
            </w:r>
          </w:p>
        </w:tc>
        <w:tc>
          <w:tcPr>
            <w:tcW w:w="1285" w:type="dxa"/>
            <w:noWrap/>
            <w:hideMark/>
          </w:tcPr>
          <w:p w14:paraId="419EF56B" w14:textId="77777777" w:rsidR="00245CBF" w:rsidRPr="00870621" w:rsidRDefault="00245CBF" w:rsidP="00514011">
            <w:pPr>
              <w:rPr>
                <w:b/>
                <w:bCs/>
              </w:rPr>
            </w:pPr>
            <w:r w:rsidRPr="00870621">
              <w:rPr>
                <w:b/>
                <w:bCs/>
              </w:rPr>
              <w:t>ess_tail</w:t>
            </w:r>
          </w:p>
        </w:tc>
      </w:tr>
      <w:tr w:rsidR="004940F9" w:rsidRPr="00870621" w14:paraId="07485478" w14:textId="77777777" w:rsidTr="004940F9">
        <w:trPr>
          <w:trHeight w:val="288"/>
        </w:trPr>
        <w:tc>
          <w:tcPr>
            <w:tcW w:w="1533" w:type="dxa"/>
            <w:noWrap/>
            <w:hideMark/>
          </w:tcPr>
          <w:p w14:paraId="6963147A" w14:textId="77777777" w:rsidR="00245CBF" w:rsidRPr="00870621" w:rsidRDefault="00245CBF" w:rsidP="00514011">
            <w:pPr>
              <w:rPr>
                <w:b/>
                <w:bCs/>
              </w:rPr>
            </w:pPr>
            <w:r w:rsidRPr="00870621">
              <w:rPr>
                <w:b/>
                <w:bCs/>
              </w:rPr>
              <w:t>Intercept</w:t>
            </w:r>
          </w:p>
        </w:tc>
        <w:tc>
          <w:tcPr>
            <w:tcW w:w="739" w:type="dxa"/>
            <w:noWrap/>
            <w:vAlign w:val="bottom"/>
            <w:hideMark/>
          </w:tcPr>
          <w:p w14:paraId="19158196" w14:textId="77777777" w:rsidR="00245CBF" w:rsidRPr="00870621" w:rsidRDefault="00245CBF" w:rsidP="00514011">
            <w:r>
              <w:rPr>
                <w:rFonts w:ascii="Calibri" w:hAnsi="Calibri" w:cs="Calibri"/>
                <w:color w:val="000000"/>
              </w:rPr>
              <w:t>0.038</w:t>
            </w:r>
          </w:p>
        </w:tc>
        <w:tc>
          <w:tcPr>
            <w:tcW w:w="1053" w:type="dxa"/>
            <w:noWrap/>
            <w:vAlign w:val="bottom"/>
            <w:hideMark/>
          </w:tcPr>
          <w:p w14:paraId="6919153B" w14:textId="77777777" w:rsidR="00245CBF" w:rsidRPr="00870621" w:rsidRDefault="00245CBF" w:rsidP="00514011">
            <w:r>
              <w:rPr>
                <w:rFonts w:ascii="Calibri" w:hAnsi="Calibri" w:cs="Calibri"/>
                <w:color w:val="000000"/>
              </w:rPr>
              <w:t>0.038</w:t>
            </w:r>
          </w:p>
        </w:tc>
        <w:tc>
          <w:tcPr>
            <w:tcW w:w="823" w:type="dxa"/>
            <w:noWrap/>
            <w:vAlign w:val="bottom"/>
            <w:hideMark/>
          </w:tcPr>
          <w:p w14:paraId="02506C0D" w14:textId="77777777" w:rsidR="00245CBF" w:rsidRPr="00870621" w:rsidRDefault="00245CBF" w:rsidP="00514011">
            <w:r>
              <w:rPr>
                <w:rFonts w:ascii="Calibri" w:hAnsi="Calibri" w:cs="Calibri"/>
                <w:color w:val="000000"/>
              </w:rPr>
              <w:t>0.002</w:t>
            </w:r>
          </w:p>
        </w:tc>
        <w:tc>
          <w:tcPr>
            <w:tcW w:w="903" w:type="dxa"/>
            <w:noWrap/>
            <w:vAlign w:val="bottom"/>
            <w:hideMark/>
          </w:tcPr>
          <w:p w14:paraId="624DEC9D" w14:textId="77777777" w:rsidR="00245CBF" w:rsidRPr="00870621" w:rsidRDefault="00245CBF" w:rsidP="00514011">
            <w:r>
              <w:rPr>
                <w:rFonts w:ascii="Calibri" w:hAnsi="Calibri" w:cs="Calibri"/>
                <w:color w:val="000000"/>
              </w:rPr>
              <w:t>0.034</w:t>
            </w:r>
          </w:p>
        </w:tc>
        <w:tc>
          <w:tcPr>
            <w:tcW w:w="903" w:type="dxa"/>
            <w:noWrap/>
            <w:vAlign w:val="bottom"/>
            <w:hideMark/>
          </w:tcPr>
          <w:p w14:paraId="627B1E39" w14:textId="77777777" w:rsidR="00245CBF" w:rsidRPr="00870621" w:rsidRDefault="00245CBF" w:rsidP="00514011">
            <w:r>
              <w:rPr>
                <w:rFonts w:ascii="Calibri" w:hAnsi="Calibri" w:cs="Calibri"/>
                <w:color w:val="000000"/>
              </w:rPr>
              <w:t>0.041</w:t>
            </w:r>
          </w:p>
        </w:tc>
        <w:tc>
          <w:tcPr>
            <w:tcW w:w="826" w:type="dxa"/>
            <w:noWrap/>
            <w:vAlign w:val="bottom"/>
            <w:hideMark/>
          </w:tcPr>
          <w:p w14:paraId="284363B9" w14:textId="77777777" w:rsidR="00245CBF" w:rsidRPr="00870621" w:rsidRDefault="00245CBF" w:rsidP="00514011">
            <w:r>
              <w:rPr>
                <w:rFonts w:ascii="Calibri" w:hAnsi="Calibri" w:cs="Calibri"/>
                <w:color w:val="000000"/>
              </w:rPr>
              <w:t>1.00</w:t>
            </w:r>
          </w:p>
        </w:tc>
        <w:tc>
          <w:tcPr>
            <w:tcW w:w="1285" w:type="dxa"/>
            <w:noWrap/>
            <w:vAlign w:val="bottom"/>
            <w:hideMark/>
          </w:tcPr>
          <w:p w14:paraId="3C558314" w14:textId="77777777" w:rsidR="00245CBF" w:rsidRPr="00870621" w:rsidRDefault="00245CBF" w:rsidP="00514011">
            <w:r>
              <w:rPr>
                <w:rFonts w:ascii="Calibri" w:hAnsi="Calibri" w:cs="Calibri"/>
                <w:color w:val="000000"/>
              </w:rPr>
              <w:t>976.04</w:t>
            </w:r>
          </w:p>
        </w:tc>
        <w:tc>
          <w:tcPr>
            <w:tcW w:w="1285" w:type="dxa"/>
            <w:noWrap/>
            <w:vAlign w:val="bottom"/>
            <w:hideMark/>
          </w:tcPr>
          <w:p w14:paraId="37926C0F" w14:textId="77777777" w:rsidR="00245CBF" w:rsidRPr="00870621" w:rsidRDefault="00245CBF" w:rsidP="00514011">
            <w:r>
              <w:rPr>
                <w:rFonts w:ascii="Calibri" w:hAnsi="Calibri" w:cs="Calibri"/>
                <w:color w:val="000000"/>
              </w:rPr>
              <w:t>1615.67</w:t>
            </w:r>
          </w:p>
        </w:tc>
      </w:tr>
      <w:tr w:rsidR="004940F9" w:rsidRPr="00870621" w14:paraId="731E0AF7" w14:textId="77777777" w:rsidTr="004940F9">
        <w:trPr>
          <w:trHeight w:val="288"/>
        </w:trPr>
        <w:tc>
          <w:tcPr>
            <w:tcW w:w="1533" w:type="dxa"/>
            <w:noWrap/>
            <w:hideMark/>
          </w:tcPr>
          <w:p w14:paraId="7CDD2AF9" w14:textId="77777777" w:rsidR="00245CBF" w:rsidRPr="00870621" w:rsidRDefault="00245CBF" w:rsidP="00514011">
            <w:pPr>
              <w:rPr>
                <w:b/>
                <w:bCs/>
              </w:rPr>
            </w:pPr>
            <w:r w:rsidRPr="00870621">
              <w:rPr>
                <w:b/>
                <w:bCs/>
              </w:rPr>
              <w:t>DBH (m)</w:t>
            </w:r>
          </w:p>
        </w:tc>
        <w:tc>
          <w:tcPr>
            <w:tcW w:w="739" w:type="dxa"/>
            <w:noWrap/>
            <w:vAlign w:val="bottom"/>
            <w:hideMark/>
          </w:tcPr>
          <w:p w14:paraId="4BC6992D" w14:textId="77777777" w:rsidR="00245CBF" w:rsidRPr="00870621" w:rsidRDefault="00245CBF" w:rsidP="00514011">
            <w:r>
              <w:rPr>
                <w:rFonts w:ascii="Calibri" w:hAnsi="Calibri" w:cs="Calibri"/>
                <w:color w:val="000000"/>
              </w:rPr>
              <w:t>1.001</w:t>
            </w:r>
          </w:p>
        </w:tc>
        <w:tc>
          <w:tcPr>
            <w:tcW w:w="1053" w:type="dxa"/>
            <w:noWrap/>
            <w:vAlign w:val="bottom"/>
            <w:hideMark/>
          </w:tcPr>
          <w:p w14:paraId="1CEF43F8" w14:textId="77777777" w:rsidR="00245CBF" w:rsidRPr="00870621" w:rsidRDefault="00245CBF" w:rsidP="00514011">
            <w:r>
              <w:rPr>
                <w:rFonts w:ascii="Calibri" w:hAnsi="Calibri" w:cs="Calibri"/>
                <w:color w:val="000000"/>
              </w:rPr>
              <w:t>1.001</w:t>
            </w:r>
          </w:p>
        </w:tc>
        <w:tc>
          <w:tcPr>
            <w:tcW w:w="823" w:type="dxa"/>
            <w:noWrap/>
            <w:vAlign w:val="bottom"/>
            <w:hideMark/>
          </w:tcPr>
          <w:p w14:paraId="220F34CC" w14:textId="77777777" w:rsidR="00245CBF" w:rsidRPr="00870621" w:rsidRDefault="00245CBF" w:rsidP="00514011">
            <w:r>
              <w:rPr>
                <w:rFonts w:ascii="Calibri" w:hAnsi="Calibri" w:cs="Calibri"/>
                <w:color w:val="000000"/>
              </w:rPr>
              <w:t>0.002</w:t>
            </w:r>
          </w:p>
        </w:tc>
        <w:tc>
          <w:tcPr>
            <w:tcW w:w="903" w:type="dxa"/>
            <w:noWrap/>
            <w:vAlign w:val="bottom"/>
            <w:hideMark/>
          </w:tcPr>
          <w:p w14:paraId="3C693653" w14:textId="77777777" w:rsidR="00245CBF" w:rsidRPr="00870621" w:rsidRDefault="00245CBF" w:rsidP="00514011">
            <w:r>
              <w:rPr>
                <w:rFonts w:ascii="Calibri" w:hAnsi="Calibri" w:cs="Calibri"/>
                <w:color w:val="000000"/>
              </w:rPr>
              <w:t>0.998</w:t>
            </w:r>
          </w:p>
        </w:tc>
        <w:tc>
          <w:tcPr>
            <w:tcW w:w="903" w:type="dxa"/>
            <w:noWrap/>
            <w:vAlign w:val="bottom"/>
            <w:hideMark/>
          </w:tcPr>
          <w:p w14:paraId="2B55DB2E" w14:textId="77777777" w:rsidR="00245CBF" w:rsidRPr="00870621" w:rsidRDefault="00245CBF" w:rsidP="00514011">
            <w:r>
              <w:rPr>
                <w:rFonts w:ascii="Calibri" w:hAnsi="Calibri" w:cs="Calibri"/>
                <w:color w:val="000000"/>
              </w:rPr>
              <w:t>1.004</w:t>
            </w:r>
          </w:p>
        </w:tc>
        <w:tc>
          <w:tcPr>
            <w:tcW w:w="826" w:type="dxa"/>
            <w:noWrap/>
            <w:vAlign w:val="bottom"/>
            <w:hideMark/>
          </w:tcPr>
          <w:p w14:paraId="17C64310" w14:textId="77777777" w:rsidR="00245CBF" w:rsidRPr="00870621" w:rsidRDefault="00245CBF" w:rsidP="00514011">
            <w:r>
              <w:rPr>
                <w:rFonts w:ascii="Calibri" w:hAnsi="Calibri" w:cs="Calibri"/>
                <w:color w:val="000000"/>
              </w:rPr>
              <w:t>1.00</w:t>
            </w:r>
          </w:p>
        </w:tc>
        <w:tc>
          <w:tcPr>
            <w:tcW w:w="1285" w:type="dxa"/>
            <w:noWrap/>
            <w:vAlign w:val="bottom"/>
            <w:hideMark/>
          </w:tcPr>
          <w:p w14:paraId="2C077E00" w14:textId="77777777" w:rsidR="00245CBF" w:rsidRPr="00870621" w:rsidRDefault="00245CBF" w:rsidP="00514011">
            <w:r>
              <w:rPr>
                <w:rFonts w:ascii="Calibri" w:hAnsi="Calibri" w:cs="Calibri"/>
                <w:color w:val="000000"/>
              </w:rPr>
              <w:t>3598.48</w:t>
            </w:r>
          </w:p>
        </w:tc>
        <w:tc>
          <w:tcPr>
            <w:tcW w:w="1285" w:type="dxa"/>
            <w:noWrap/>
            <w:vAlign w:val="bottom"/>
            <w:hideMark/>
          </w:tcPr>
          <w:p w14:paraId="3679A0E4" w14:textId="77777777" w:rsidR="00245CBF" w:rsidRPr="00870621" w:rsidRDefault="00245CBF" w:rsidP="00514011">
            <w:r>
              <w:rPr>
                <w:rFonts w:ascii="Calibri" w:hAnsi="Calibri" w:cs="Calibri"/>
                <w:color w:val="000000"/>
              </w:rPr>
              <w:t>3670.58</w:t>
            </w:r>
          </w:p>
        </w:tc>
      </w:tr>
      <w:tr w:rsidR="004940F9" w:rsidRPr="00870621" w14:paraId="0B156E08" w14:textId="77777777" w:rsidTr="004940F9">
        <w:trPr>
          <w:trHeight w:val="288"/>
        </w:trPr>
        <w:tc>
          <w:tcPr>
            <w:tcW w:w="1533" w:type="dxa"/>
            <w:noWrap/>
            <w:hideMark/>
          </w:tcPr>
          <w:p w14:paraId="62979226" w14:textId="77777777" w:rsidR="00245CBF" w:rsidRPr="00870621" w:rsidRDefault="00245CBF" w:rsidP="00514011">
            <w:pPr>
              <w:rPr>
                <w:b/>
                <w:bCs/>
              </w:rPr>
            </w:pPr>
            <w:r w:rsidRPr="00870621">
              <w:rPr>
                <w:b/>
                <w:bCs/>
              </w:rPr>
              <w:t>Fire</w:t>
            </w:r>
          </w:p>
        </w:tc>
        <w:tc>
          <w:tcPr>
            <w:tcW w:w="739" w:type="dxa"/>
            <w:noWrap/>
            <w:vAlign w:val="bottom"/>
            <w:hideMark/>
          </w:tcPr>
          <w:p w14:paraId="6BCEB5B6" w14:textId="77777777" w:rsidR="00245CBF" w:rsidRPr="00870621" w:rsidRDefault="00245CBF" w:rsidP="00514011">
            <w:r>
              <w:rPr>
                <w:rFonts w:ascii="Calibri" w:hAnsi="Calibri" w:cs="Calibri"/>
                <w:color w:val="000000"/>
              </w:rPr>
              <w:t>-0.006</w:t>
            </w:r>
          </w:p>
        </w:tc>
        <w:tc>
          <w:tcPr>
            <w:tcW w:w="1053" w:type="dxa"/>
            <w:noWrap/>
            <w:vAlign w:val="bottom"/>
            <w:hideMark/>
          </w:tcPr>
          <w:p w14:paraId="741DF542" w14:textId="77777777" w:rsidR="00245CBF" w:rsidRPr="00870621" w:rsidRDefault="00245CBF" w:rsidP="00514011">
            <w:r>
              <w:rPr>
                <w:rFonts w:ascii="Calibri" w:hAnsi="Calibri" w:cs="Calibri"/>
                <w:color w:val="000000"/>
              </w:rPr>
              <w:t>-0.006</w:t>
            </w:r>
          </w:p>
        </w:tc>
        <w:tc>
          <w:tcPr>
            <w:tcW w:w="823" w:type="dxa"/>
            <w:noWrap/>
            <w:vAlign w:val="bottom"/>
            <w:hideMark/>
          </w:tcPr>
          <w:p w14:paraId="3C56E5C7" w14:textId="77777777" w:rsidR="00245CBF" w:rsidRPr="00870621" w:rsidRDefault="00245CBF" w:rsidP="00514011">
            <w:r>
              <w:rPr>
                <w:rFonts w:ascii="Calibri" w:hAnsi="Calibri" w:cs="Calibri"/>
                <w:color w:val="000000"/>
              </w:rPr>
              <w:t>0.005</w:t>
            </w:r>
          </w:p>
        </w:tc>
        <w:tc>
          <w:tcPr>
            <w:tcW w:w="903" w:type="dxa"/>
            <w:noWrap/>
            <w:vAlign w:val="bottom"/>
            <w:hideMark/>
          </w:tcPr>
          <w:p w14:paraId="6CB9E66C" w14:textId="77777777" w:rsidR="00245CBF" w:rsidRPr="00870621" w:rsidRDefault="00245CBF" w:rsidP="00514011">
            <w:r>
              <w:rPr>
                <w:rFonts w:ascii="Calibri" w:hAnsi="Calibri" w:cs="Calibri"/>
                <w:color w:val="000000"/>
              </w:rPr>
              <w:t>-0.014</w:t>
            </w:r>
          </w:p>
        </w:tc>
        <w:tc>
          <w:tcPr>
            <w:tcW w:w="903" w:type="dxa"/>
            <w:noWrap/>
            <w:vAlign w:val="bottom"/>
            <w:hideMark/>
          </w:tcPr>
          <w:p w14:paraId="32C9A2FD" w14:textId="77777777" w:rsidR="00245CBF" w:rsidRPr="00870621" w:rsidRDefault="00245CBF" w:rsidP="00514011">
            <w:r>
              <w:rPr>
                <w:rFonts w:ascii="Calibri" w:hAnsi="Calibri" w:cs="Calibri"/>
                <w:color w:val="000000"/>
              </w:rPr>
              <w:t>0.002</w:t>
            </w:r>
          </w:p>
        </w:tc>
        <w:tc>
          <w:tcPr>
            <w:tcW w:w="826" w:type="dxa"/>
            <w:noWrap/>
            <w:vAlign w:val="bottom"/>
            <w:hideMark/>
          </w:tcPr>
          <w:p w14:paraId="7C7E9128" w14:textId="77777777" w:rsidR="00245CBF" w:rsidRPr="00870621" w:rsidRDefault="00245CBF" w:rsidP="00514011">
            <w:r>
              <w:rPr>
                <w:rFonts w:ascii="Calibri" w:hAnsi="Calibri" w:cs="Calibri"/>
                <w:color w:val="000000"/>
              </w:rPr>
              <w:t>1.00</w:t>
            </w:r>
          </w:p>
        </w:tc>
        <w:tc>
          <w:tcPr>
            <w:tcW w:w="1285" w:type="dxa"/>
            <w:noWrap/>
            <w:vAlign w:val="bottom"/>
            <w:hideMark/>
          </w:tcPr>
          <w:p w14:paraId="1E93B627" w14:textId="77777777" w:rsidR="00245CBF" w:rsidRPr="00870621" w:rsidRDefault="00245CBF" w:rsidP="00514011">
            <w:r>
              <w:rPr>
                <w:rFonts w:ascii="Calibri" w:hAnsi="Calibri" w:cs="Calibri"/>
                <w:color w:val="000000"/>
              </w:rPr>
              <w:t>2076.59</w:t>
            </w:r>
          </w:p>
        </w:tc>
        <w:tc>
          <w:tcPr>
            <w:tcW w:w="1285" w:type="dxa"/>
            <w:noWrap/>
            <w:vAlign w:val="bottom"/>
            <w:hideMark/>
          </w:tcPr>
          <w:p w14:paraId="23BFAB25" w14:textId="77777777" w:rsidR="00245CBF" w:rsidRPr="00870621" w:rsidRDefault="00245CBF" w:rsidP="00514011">
            <w:r>
              <w:rPr>
                <w:rFonts w:ascii="Calibri" w:hAnsi="Calibri" w:cs="Calibri"/>
                <w:color w:val="000000"/>
              </w:rPr>
              <w:t>2646.10</w:t>
            </w:r>
          </w:p>
        </w:tc>
      </w:tr>
      <w:tr w:rsidR="004940F9" w:rsidRPr="00870621" w14:paraId="6E01275B" w14:textId="77777777" w:rsidTr="004940F9">
        <w:trPr>
          <w:trHeight w:val="288"/>
        </w:trPr>
        <w:tc>
          <w:tcPr>
            <w:tcW w:w="1533" w:type="dxa"/>
            <w:noWrap/>
            <w:hideMark/>
          </w:tcPr>
          <w:p w14:paraId="502AD63D" w14:textId="77777777" w:rsidR="00245CBF" w:rsidRPr="00870621" w:rsidRDefault="00245CBF" w:rsidP="00514011">
            <w:pPr>
              <w:rPr>
                <w:b/>
                <w:bCs/>
              </w:rPr>
            </w:pPr>
            <w:r w:rsidRPr="00870621">
              <w:rPr>
                <w:b/>
                <w:bCs/>
              </w:rPr>
              <w:t>WPBR</w:t>
            </w:r>
          </w:p>
        </w:tc>
        <w:tc>
          <w:tcPr>
            <w:tcW w:w="739" w:type="dxa"/>
            <w:noWrap/>
            <w:vAlign w:val="bottom"/>
            <w:hideMark/>
          </w:tcPr>
          <w:p w14:paraId="1669B7E2" w14:textId="77777777" w:rsidR="00245CBF" w:rsidRPr="00870621" w:rsidRDefault="00245CBF" w:rsidP="00514011">
            <w:r>
              <w:rPr>
                <w:rFonts w:ascii="Calibri" w:hAnsi="Calibri" w:cs="Calibri"/>
                <w:color w:val="000000"/>
              </w:rPr>
              <w:t>0.006</w:t>
            </w:r>
          </w:p>
        </w:tc>
        <w:tc>
          <w:tcPr>
            <w:tcW w:w="1053" w:type="dxa"/>
            <w:noWrap/>
            <w:vAlign w:val="bottom"/>
            <w:hideMark/>
          </w:tcPr>
          <w:p w14:paraId="70C004C8" w14:textId="77777777" w:rsidR="00245CBF" w:rsidRPr="00870621" w:rsidRDefault="00245CBF" w:rsidP="00514011">
            <w:r>
              <w:rPr>
                <w:rFonts w:ascii="Calibri" w:hAnsi="Calibri" w:cs="Calibri"/>
                <w:color w:val="000000"/>
              </w:rPr>
              <w:t>0.006</w:t>
            </w:r>
          </w:p>
        </w:tc>
        <w:tc>
          <w:tcPr>
            <w:tcW w:w="823" w:type="dxa"/>
            <w:noWrap/>
            <w:vAlign w:val="bottom"/>
            <w:hideMark/>
          </w:tcPr>
          <w:p w14:paraId="118468E4" w14:textId="77777777" w:rsidR="00245CBF" w:rsidRPr="00870621" w:rsidRDefault="00245CBF" w:rsidP="00514011">
            <w:r>
              <w:rPr>
                <w:rFonts w:ascii="Calibri" w:hAnsi="Calibri" w:cs="Calibri"/>
                <w:color w:val="000000"/>
              </w:rPr>
              <w:t>0.004</w:t>
            </w:r>
          </w:p>
        </w:tc>
        <w:tc>
          <w:tcPr>
            <w:tcW w:w="903" w:type="dxa"/>
            <w:noWrap/>
            <w:vAlign w:val="bottom"/>
            <w:hideMark/>
          </w:tcPr>
          <w:p w14:paraId="1FB8AC9A" w14:textId="77777777" w:rsidR="00245CBF" w:rsidRPr="00870621" w:rsidRDefault="00245CBF" w:rsidP="00514011">
            <w:r>
              <w:rPr>
                <w:rFonts w:ascii="Calibri" w:hAnsi="Calibri" w:cs="Calibri"/>
                <w:color w:val="000000"/>
              </w:rPr>
              <w:t>-0.001</w:t>
            </w:r>
          </w:p>
        </w:tc>
        <w:tc>
          <w:tcPr>
            <w:tcW w:w="903" w:type="dxa"/>
            <w:noWrap/>
            <w:vAlign w:val="bottom"/>
            <w:hideMark/>
          </w:tcPr>
          <w:p w14:paraId="0AC24526" w14:textId="77777777" w:rsidR="00245CBF" w:rsidRPr="00870621" w:rsidRDefault="00245CBF" w:rsidP="00514011">
            <w:r>
              <w:rPr>
                <w:rFonts w:ascii="Calibri" w:hAnsi="Calibri" w:cs="Calibri"/>
                <w:color w:val="000000"/>
              </w:rPr>
              <w:t>0.013</w:t>
            </w:r>
          </w:p>
        </w:tc>
        <w:tc>
          <w:tcPr>
            <w:tcW w:w="826" w:type="dxa"/>
            <w:noWrap/>
            <w:vAlign w:val="bottom"/>
            <w:hideMark/>
          </w:tcPr>
          <w:p w14:paraId="59E374EE" w14:textId="77777777" w:rsidR="00245CBF" w:rsidRPr="00870621" w:rsidRDefault="00245CBF" w:rsidP="00514011">
            <w:r>
              <w:rPr>
                <w:rFonts w:ascii="Calibri" w:hAnsi="Calibri" w:cs="Calibri"/>
                <w:color w:val="000000"/>
              </w:rPr>
              <w:t>1.00</w:t>
            </w:r>
          </w:p>
        </w:tc>
        <w:tc>
          <w:tcPr>
            <w:tcW w:w="1285" w:type="dxa"/>
            <w:noWrap/>
            <w:vAlign w:val="bottom"/>
            <w:hideMark/>
          </w:tcPr>
          <w:p w14:paraId="0609BC29" w14:textId="77777777" w:rsidR="00245CBF" w:rsidRPr="00870621" w:rsidRDefault="00245CBF" w:rsidP="00514011">
            <w:r>
              <w:rPr>
                <w:rFonts w:ascii="Calibri" w:hAnsi="Calibri" w:cs="Calibri"/>
                <w:color w:val="000000"/>
              </w:rPr>
              <w:t>1641.70</w:t>
            </w:r>
          </w:p>
        </w:tc>
        <w:tc>
          <w:tcPr>
            <w:tcW w:w="1285" w:type="dxa"/>
            <w:noWrap/>
            <w:vAlign w:val="bottom"/>
            <w:hideMark/>
          </w:tcPr>
          <w:p w14:paraId="3E842160" w14:textId="77777777" w:rsidR="00245CBF" w:rsidRPr="00870621" w:rsidRDefault="00245CBF" w:rsidP="00514011">
            <w:r>
              <w:rPr>
                <w:rFonts w:ascii="Calibri" w:hAnsi="Calibri" w:cs="Calibri"/>
                <w:color w:val="000000"/>
              </w:rPr>
              <w:t>2659.93</w:t>
            </w:r>
          </w:p>
        </w:tc>
      </w:tr>
      <w:tr w:rsidR="004940F9" w:rsidRPr="00870621" w14:paraId="057A0FFD" w14:textId="77777777" w:rsidTr="004940F9">
        <w:trPr>
          <w:trHeight w:val="288"/>
        </w:trPr>
        <w:tc>
          <w:tcPr>
            <w:tcW w:w="1533" w:type="dxa"/>
            <w:noWrap/>
            <w:hideMark/>
          </w:tcPr>
          <w:p w14:paraId="3D4FB2D6" w14:textId="77777777" w:rsidR="00245CBF" w:rsidRPr="00870621" w:rsidRDefault="00245CBF" w:rsidP="00514011">
            <w:pPr>
              <w:rPr>
                <w:b/>
                <w:bCs/>
              </w:rPr>
            </w:pPr>
            <w:r w:rsidRPr="00870621">
              <w:rPr>
                <w:b/>
                <w:bCs/>
              </w:rPr>
              <w:t>Basal Area</w:t>
            </w:r>
          </w:p>
        </w:tc>
        <w:tc>
          <w:tcPr>
            <w:tcW w:w="739" w:type="dxa"/>
            <w:noWrap/>
            <w:vAlign w:val="bottom"/>
            <w:hideMark/>
          </w:tcPr>
          <w:p w14:paraId="358CA16C" w14:textId="77777777" w:rsidR="00245CBF" w:rsidRPr="00870621" w:rsidRDefault="00245CBF" w:rsidP="00514011">
            <w:r>
              <w:rPr>
                <w:rFonts w:ascii="Calibri" w:hAnsi="Calibri" w:cs="Calibri"/>
                <w:color w:val="000000"/>
              </w:rPr>
              <w:t>-0.004</w:t>
            </w:r>
          </w:p>
        </w:tc>
        <w:tc>
          <w:tcPr>
            <w:tcW w:w="1053" w:type="dxa"/>
            <w:noWrap/>
            <w:vAlign w:val="bottom"/>
            <w:hideMark/>
          </w:tcPr>
          <w:p w14:paraId="6F19725D" w14:textId="77777777" w:rsidR="00245CBF" w:rsidRPr="00870621" w:rsidRDefault="00245CBF" w:rsidP="00514011">
            <w:r>
              <w:rPr>
                <w:rFonts w:ascii="Calibri" w:hAnsi="Calibri" w:cs="Calibri"/>
                <w:color w:val="000000"/>
              </w:rPr>
              <w:t>-0.004</w:t>
            </w:r>
          </w:p>
        </w:tc>
        <w:tc>
          <w:tcPr>
            <w:tcW w:w="823" w:type="dxa"/>
            <w:noWrap/>
            <w:vAlign w:val="bottom"/>
            <w:hideMark/>
          </w:tcPr>
          <w:p w14:paraId="3E455A96" w14:textId="77777777" w:rsidR="00245CBF" w:rsidRPr="00870621" w:rsidRDefault="00245CBF" w:rsidP="00514011">
            <w:r>
              <w:rPr>
                <w:rFonts w:ascii="Calibri" w:hAnsi="Calibri" w:cs="Calibri"/>
                <w:color w:val="000000"/>
              </w:rPr>
              <w:t>0.001</w:t>
            </w:r>
          </w:p>
        </w:tc>
        <w:tc>
          <w:tcPr>
            <w:tcW w:w="903" w:type="dxa"/>
            <w:noWrap/>
            <w:vAlign w:val="bottom"/>
            <w:hideMark/>
          </w:tcPr>
          <w:p w14:paraId="05B10FA0" w14:textId="77777777" w:rsidR="00245CBF" w:rsidRPr="00870621" w:rsidRDefault="00245CBF" w:rsidP="00514011">
            <w:r>
              <w:rPr>
                <w:rFonts w:ascii="Calibri" w:hAnsi="Calibri" w:cs="Calibri"/>
                <w:color w:val="000000"/>
              </w:rPr>
              <w:t>-0.007</w:t>
            </w:r>
          </w:p>
        </w:tc>
        <w:tc>
          <w:tcPr>
            <w:tcW w:w="903" w:type="dxa"/>
            <w:noWrap/>
            <w:vAlign w:val="bottom"/>
            <w:hideMark/>
          </w:tcPr>
          <w:p w14:paraId="74B12C83" w14:textId="77777777" w:rsidR="00245CBF" w:rsidRPr="00870621" w:rsidRDefault="00245CBF" w:rsidP="00514011">
            <w:r>
              <w:rPr>
                <w:rFonts w:ascii="Calibri" w:hAnsi="Calibri" w:cs="Calibri"/>
                <w:color w:val="000000"/>
              </w:rPr>
              <w:t>-0.002</w:t>
            </w:r>
          </w:p>
        </w:tc>
        <w:tc>
          <w:tcPr>
            <w:tcW w:w="826" w:type="dxa"/>
            <w:noWrap/>
            <w:vAlign w:val="bottom"/>
            <w:hideMark/>
          </w:tcPr>
          <w:p w14:paraId="4C05910E" w14:textId="77777777" w:rsidR="00245CBF" w:rsidRPr="00870621" w:rsidRDefault="00245CBF" w:rsidP="00514011">
            <w:r>
              <w:rPr>
                <w:rFonts w:ascii="Calibri" w:hAnsi="Calibri" w:cs="Calibri"/>
                <w:color w:val="000000"/>
              </w:rPr>
              <w:t>1.00</w:t>
            </w:r>
          </w:p>
        </w:tc>
        <w:tc>
          <w:tcPr>
            <w:tcW w:w="1285" w:type="dxa"/>
            <w:noWrap/>
            <w:vAlign w:val="bottom"/>
            <w:hideMark/>
          </w:tcPr>
          <w:p w14:paraId="0C9A9C7B" w14:textId="77777777" w:rsidR="00245CBF" w:rsidRPr="00870621" w:rsidRDefault="00245CBF" w:rsidP="00514011">
            <w:r>
              <w:rPr>
                <w:rFonts w:ascii="Calibri" w:hAnsi="Calibri" w:cs="Calibri"/>
                <w:color w:val="000000"/>
              </w:rPr>
              <w:t>2558.93</w:t>
            </w:r>
          </w:p>
        </w:tc>
        <w:tc>
          <w:tcPr>
            <w:tcW w:w="1285" w:type="dxa"/>
            <w:noWrap/>
            <w:vAlign w:val="bottom"/>
            <w:hideMark/>
          </w:tcPr>
          <w:p w14:paraId="2271DEB8" w14:textId="77777777" w:rsidR="00245CBF" w:rsidRPr="00870621" w:rsidRDefault="00245CBF" w:rsidP="00514011">
            <w:r>
              <w:rPr>
                <w:rFonts w:ascii="Calibri" w:hAnsi="Calibri" w:cs="Calibri"/>
                <w:color w:val="000000"/>
              </w:rPr>
              <w:t>3202.40</w:t>
            </w:r>
          </w:p>
        </w:tc>
      </w:tr>
      <w:tr w:rsidR="004940F9" w:rsidRPr="00870621" w14:paraId="7186D04C" w14:textId="77777777" w:rsidTr="004940F9">
        <w:trPr>
          <w:trHeight w:val="288"/>
        </w:trPr>
        <w:tc>
          <w:tcPr>
            <w:tcW w:w="1533" w:type="dxa"/>
            <w:noWrap/>
            <w:hideMark/>
          </w:tcPr>
          <w:p w14:paraId="36C419E7" w14:textId="77777777" w:rsidR="00245CBF" w:rsidRPr="00870621" w:rsidRDefault="00245CBF" w:rsidP="00514011">
            <w:pPr>
              <w:rPr>
                <w:b/>
                <w:bCs/>
              </w:rPr>
            </w:pPr>
            <w:r w:rsidRPr="00870621">
              <w:rPr>
                <w:b/>
                <w:bCs/>
              </w:rPr>
              <w:t>Drought</w:t>
            </w:r>
          </w:p>
        </w:tc>
        <w:tc>
          <w:tcPr>
            <w:tcW w:w="739" w:type="dxa"/>
            <w:noWrap/>
            <w:vAlign w:val="bottom"/>
            <w:hideMark/>
          </w:tcPr>
          <w:p w14:paraId="1C228737" w14:textId="77777777" w:rsidR="00245CBF" w:rsidRPr="00870621" w:rsidRDefault="00245CBF" w:rsidP="00514011">
            <w:r>
              <w:rPr>
                <w:rFonts w:ascii="Calibri" w:hAnsi="Calibri" w:cs="Calibri"/>
                <w:color w:val="000000"/>
              </w:rPr>
              <w:t>0.000</w:t>
            </w:r>
          </w:p>
        </w:tc>
        <w:tc>
          <w:tcPr>
            <w:tcW w:w="1053" w:type="dxa"/>
            <w:noWrap/>
            <w:vAlign w:val="bottom"/>
            <w:hideMark/>
          </w:tcPr>
          <w:p w14:paraId="73AA09B7" w14:textId="77777777" w:rsidR="00245CBF" w:rsidRPr="00870621" w:rsidRDefault="00245CBF" w:rsidP="00514011">
            <w:r>
              <w:rPr>
                <w:rFonts w:ascii="Calibri" w:hAnsi="Calibri" w:cs="Calibri"/>
                <w:color w:val="000000"/>
              </w:rPr>
              <w:t>0.000</w:t>
            </w:r>
          </w:p>
        </w:tc>
        <w:tc>
          <w:tcPr>
            <w:tcW w:w="823" w:type="dxa"/>
            <w:noWrap/>
            <w:vAlign w:val="bottom"/>
            <w:hideMark/>
          </w:tcPr>
          <w:p w14:paraId="5D43AF49" w14:textId="77777777" w:rsidR="00245CBF" w:rsidRPr="00870621" w:rsidRDefault="00245CBF" w:rsidP="00514011">
            <w:r>
              <w:rPr>
                <w:rFonts w:ascii="Calibri" w:hAnsi="Calibri" w:cs="Calibri"/>
                <w:color w:val="000000"/>
              </w:rPr>
              <w:t>0.001</w:t>
            </w:r>
          </w:p>
        </w:tc>
        <w:tc>
          <w:tcPr>
            <w:tcW w:w="903" w:type="dxa"/>
            <w:noWrap/>
            <w:vAlign w:val="bottom"/>
            <w:hideMark/>
          </w:tcPr>
          <w:p w14:paraId="08A85C77" w14:textId="77777777" w:rsidR="00245CBF" w:rsidRPr="00870621" w:rsidRDefault="00245CBF" w:rsidP="00514011">
            <w:r>
              <w:rPr>
                <w:rFonts w:ascii="Calibri" w:hAnsi="Calibri" w:cs="Calibri"/>
                <w:color w:val="000000"/>
              </w:rPr>
              <w:t>-0.003</w:t>
            </w:r>
          </w:p>
        </w:tc>
        <w:tc>
          <w:tcPr>
            <w:tcW w:w="903" w:type="dxa"/>
            <w:noWrap/>
            <w:vAlign w:val="bottom"/>
            <w:hideMark/>
          </w:tcPr>
          <w:p w14:paraId="3DEFE5A5" w14:textId="77777777" w:rsidR="00245CBF" w:rsidRPr="00870621" w:rsidRDefault="00245CBF" w:rsidP="00514011">
            <w:r>
              <w:rPr>
                <w:rFonts w:ascii="Calibri" w:hAnsi="Calibri" w:cs="Calibri"/>
                <w:color w:val="000000"/>
              </w:rPr>
              <w:t>0.002</w:t>
            </w:r>
          </w:p>
        </w:tc>
        <w:tc>
          <w:tcPr>
            <w:tcW w:w="826" w:type="dxa"/>
            <w:noWrap/>
            <w:vAlign w:val="bottom"/>
            <w:hideMark/>
          </w:tcPr>
          <w:p w14:paraId="3749CF6C" w14:textId="77777777" w:rsidR="00245CBF" w:rsidRPr="00870621" w:rsidRDefault="00245CBF" w:rsidP="00514011">
            <w:r>
              <w:rPr>
                <w:rFonts w:ascii="Calibri" w:hAnsi="Calibri" w:cs="Calibri"/>
                <w:color w:val="000000"/>
              </w:rPr>
              <w:t>1.00</w:t>
            </w:r>
          </w:p>
        </w:tc>
        <w:tc>
          <w:tcPr>
            <w:tcW w:w="1285" w:type="dxa"/>
            <w:noWrap/>
            <w:vAlign w:val="bottom"/>
            <w:hideMark/>
          </w:tcPr>
          <w:p w14:paraId="25A72BF7" w14:textId="77777777" w:rsidR="00245CBF" w:rsidRPr="00870621" w:rsidRDefault="00245CBF" w:rsidP="00514011">
            <w:r>
              <w:rPr>
                <w:rFonts w:ascii="Calibri" w:hAnsi="Calibri" w:cs="Calibri"/>
                <w:color w:val="000000"/>
              </w:rPr>
              <w:t>2233.77</w:t>
            </w:r>
          </w:p>
        </w:tc>
        <w:tc>
          <w:tcPr>
            <w:tcW w:w="1285" w:type="dxa"/>
            <w:noWrap/>
            <w:vAlign w:val="bottom"/>
            <w:hideMark/>
          </w:tcPr>
          <w:p w14:paraId="194E7262" w14:textId="77777777" w:rsidR="00245CBF" w:rsidRPr="00870621" w:rsidRDefault="00245CBF" w:rsidP="00514011">
            <w:r>
              <w:rPr>
                <w:rFonts w:ascii="Calibri" w:hAnsi="Calibri" w:cs="Calibri"/>
                <w:color w:val="000000"/>
              </w:rPr>
              <w:t>2778.53</w:t>
            </w:r>
          </w:p>
        </w:tc>
      </w:tr>
      <w:tr w:rsidR="004940F9" w:rsidRPr="00870621" w14:paraId="1F743D1B" w14:textId="77777777" w:rsidTr="004940F9">
        <w:trPr>
          <w:trHeight w:val="288"/>
        </w:trPr>
        <w:tc>
          <w:tcPr>
            <w:tcW w:w="1533" w:type="dxa"/>
            <w:noWrap/>
            <w:hideMark/>
          </w:tcPr>
          <w:p w14:paraId="5BF1E460" w14:textId="77777777" w:rsidR="00245CBF" w:rsidRPr="00870621" w:rsidRDefault="00245CBF" w:rsidP="00514011">
            <w:pPr>
              <w:rPr>
                <w:b/>
                <w:bCs/>
              </w:rPr>
            </w:pPr>
            <w:r w:rsidRPr="00870621">
              <w:rPr>
                <w:b/>
                <w:bCs/>
              </w:rPr>
              <w:t>Site Dryness</w:t>
            </w:r>
          </w:p>
        </w:tc>
        <w:tc>
          <w:tcPr>
            <w:tcW w:w="739" w:type="dxa"/>
            <w:noWrap/>
            <w:vAlign w:val="bottom"/>
            <w:hideMark/>
          </w:tcPr>
          <w:p w14:paraId="69D31EF3" w14:textId="77777777" w:rsidR="00245CBF" w:rsidRPr="00870621" w:rsidRDefault="00245CBF" w:rsidP="00514011">
            <w:r>
              <w:rPr>
                <w:rFonts w:ascii="Calibri" w:hAnsi="Calibri" w:cs="Calibri"/>
                <w:color w:val="000000"/>
              </w:rPr>
              <w:t>-0.004</w:t>
            </w:r>
          </w:p>
        </w:tc>
        <w:tc>
          <w:tcPr>
            <w:tcW w:w="1053" w:type="dxa"/>
            <w:noWrap/>
            <w:vAlign w:val="bottom"/>
            <w:hideMark/>
          </w:tcPr>
          <w:p w14:paraId="63573594" w14:textId="77777777" w:rsidR="00245CBF" w:rsidRPr="00870621" w:rsidRDefault="00245CBF" w:rsidP="00514011">
            <w:r>
              <w:rPr>
                <w:rFonts w:ascii="Calibri" w:hAnsi="Calibri" w:cs="Calibri"/>
                <w:color w:val="000000"/>
              </w:rPr>
              <w:t>-0.004</w:t>
            </w:r>
          </w:p>
        </w:tc>
        <w:tc>
          <w:tcPr>
            <w:tcW w:w="823" w:type="dxa"/>
            <w:noWrap/>
            <w:vAlign w:val="bottom"/>
            <w:hideMark/>
          </w:tcPr>
          <w:p w14:paraId="23AF5EC9" w14:textId="77777777" w:rsidR="00245CBF" w:rsidRPr="00870621" w:rsidRDefault="00245CBF" w:rsidP="00514011">
            <w:r>
              <w:rPr>
                <w:rFonts w:ascii="Calibri" w:hAnsi="Calibri" w:cs="Calibri"/>
                <w:color w:val="000000"/>
              </w:rPr>
              <w:t>0.002</w:t>
            </w:r>
          </w:p>
        </w:tc>
        <w:tc>
          <w:tcPr>
            <w:tcW w:w="903" w:type="dxa"/>
            <w:noWrap/>
            <w:vAlign w:val="bottom"/>
            <w:hideMark/>
          </w:tcPr>
          <w:p w14:paraId="19D40DB4" w14:textId="77777777" w:rsidR="00245CBF" w:rsidRPr="00870621" w:rsidRDefault="00245CBF" w:rsidP="00514011">
            <w:r>
              <w:rPr>
                <w:rFonts w:ascii="Calibri" w:hAnsi="Calibri" w:cs="Calibri"/>
                <w:color w:val="000000"/>
              </w:rPr>
              <w:t>-0.007</w:t>
            </w:r>
          </w:p>
        </w:tc>
        <w:tc>
          <w:tcPr>
            <w:tcW w:w="903" w:type="dxa"/>
            <w:noWrap/>
            <w:vAlign w:val="bottom"/>
            <w:hideMark/>
          </w:tcPr>
          <w:p w14:paraId="771E6D35" w14:textId="77777777" w:rsidR="00245CBF" w:rsidRPr="00870621" w:rsidRDefault="00245CBF" w:rsidP="00514011">
            <w:r>
              <w:rPr>
                <w:rFonts w:ascii="Calibri" w:hAnsi="Calibri" w:cs="Calibri"/>
                <w:color w:val="000000"/>
              </w:rPr>
              <w:t>-0.001</w:t>
            </w:r>
          </w:p>
        </w:tc>
        <w:tc>
          <w:tcPr>
            <w:tcW w:w="826" w:type="dxa"/>
            <w:noWrap/>
            <w:vAlign w:val="bottom"/>
            <w:hideMark/>
          </w:tcPr>
          <w:p w14:paraId="65507AA5" w14:textId="77777777" w:rsidR="00245CBF" w:rsidRPr="00870621" w:rsidRDefault="00245CBF" w:rsidP="00514011">
            <w:r>
              <w:rPr>
                <w:rFonts w:ascii="Calibri" w:hAnsi="Calibri" w:cs="Calibri"/>
                <w:color w:val="000000"/>
              </w:rPr>
              <w:t>1.00</w:t>
            </w:r>
          </w:p>
        </w:tc>
        <w:tc>
          <w:tcPr>
            <w:tcW w:w="1285" w:type="dxa"/>
            <w:noWrap/>
            <w:vAlign w:val="bottom"/>
            <w:hideMark/>
          </w:tcPr>
          <w:p w14:paraId="5B7DF776" w14:textId="77777777" w:rsidR="00245CBF" w:rsidRPr="00870621" w:rsidRDefault="00245CBF" w:rsidP="00514011">
            <w:r>
              <w:rPr>
                <w:rFonts w:ascii="Calibri" w:hAnsi="Calibri" w:cs="Calibri"/>
                <w:color w:val="000000"/>
              </w:rPr>
              <w:t>1981.64</w:t>
            </w:r>
          </w:p>
        </w:tc>
        <w:tc>
          <w:tcPr>
            <w:tcW w:w="1285" w:type="dxa"/>
            <w:noWrap/>
            <w:vAlign w:val="bottom"/>
            <w:hideMark/>
          </w:tcPr>
          <w:p w14:paraId="0A8B5CD0" w14:textId="77777777" w:rsidR="00245CBF" w:rsidRPr="00870621" w:rsidRDefault="00245CBF" w:rsidP="00514011">
            <w:r>
              <w:rPr>
                <w:rFonts w:ascii="Calibri" w:hAnsi="Calibri" w:cs="Calibri"/>
                <w:color w:val="000000"/>
              </w:rPr>
              <w:t>2584.46</w:t>
            </w:r>
          </w:p>
        </w:tc>
      </w:tr>
      <w:tr w:rsidR="004940F9" w:rsidRPr="00870621" w14:paraId="555E450D" w14:textId="77777777" w:rsidTr="004940F9">
        <w:trPr>
          <w:trHeight w:val="288"/>
        </w:trPr>
        <w:tc>
          <w:tcPr>
            <w:tcW w:w="1533" w:type="dxa"/>
            <w:noWrap/>
            <w:hideMark/>
          </w:tcPr>
          <w:p w14:paraId="4958E85C" w14:textId="77777777" w:rsidR="00245CBF" w:rsidRPr="00870621" w:rsidRDefault="00245CBF" w:rsidP="00514011">
            <w:pPr>
              <w:rPr>
                <w:b/>
                <w:bCs/>
              </w:rPr>
            </w:pPr>
            <w:r w:rsidRPr="00870621">
              <w:rPr>
                <w:b/>
                <w:bCs/>
              </w:rPr>
              <w:t>DBH x Fire</w:t>
            </w:r>
          </w:p>
        </w:tc>
        <w:tc>
          <w:tcPr>
            <w:tcW w:w="739" w:type="dxa"/>
            <w:noWrap/>
            <w:vAlign w:val="bottom"/>
            <w:hideMark/>
          </w:tcPr>
          <w:p w14:paraId="72D6EA0F" w14:textId="77777777" w:rsidR="00245CBF" w:rsidRPr="00870621" w:rsidRDefault="00245CBF" w:rsidP="00514011">
            <w:r>
              <w:rPr>
                <w:rFonts w:ascii="Calibri" w:hAnsi="Calibri" w:cs="Calibri"/>
                <w:color w:val="000000"/>
              </w:rPr>
              <w:t>-0.008</w:t>
            </w:r>
          </w:p>
        </w:tc>
        <w:tc>
          <w:tcPr>
            <w:tcW w:w="1053" w:type="dxa"/>
            <w:noWrap/>
            <w:vAlign w:val="bottom"/>
            <w:hideMark/>
          </w:tcPr>
          <w:p w14:paraId="39DE3D15" w14:textId="77777777" w:rsidR="00245CBF" w:rsidRPr="00870621" w:rsidRDefault="00245CBF" w:rsidP="00514011">
            <w:r>
              <w:rPr>
                <w:rFonts w:ascii="Calibri" w:hAnsi="Calibri" w:cs="Calibri"/>
                <w:color w:val="000000"/>
              </w:rPr>
              <w:t>-0.008</w:t>
            </w:r>
          </w:p>
        </w:tc>
        <w:tc>
          <w:tcPr>
            <w:tcW w:w="823" w:type="dxa"/>
            <w:noWrap/>
            <w:vAlign w:val="bottom"/>
            <w:hideMark/>
          </w:tcPr>
          <w:p w14:paraId="1DDA1D62" w14:textId="77777777" w:rsidR="00245CBF" w:rsidRPr="00870621" w:rsidRDefault="00245CBF" w:rsidP="00514011">
            <w:r>
              <w:rPr>
                <w:rFonts w:ascii="Calibri" w:hAnsi="Calibri" w:cs="Calibri"/>
                <w:color w:val="000000"/>
              </w:rPr>
              <w:t>0.005</w:t>
            </w:r>
          </w:p>
        </w:tc>
        <w:tc>
          <w:tcPr>
            <w:tcW w:w="903" w:type="dxa"/>
            <w:noWrap/>
            <w:vAlign w:val="bottom"/>
            <w:hideMark/>
          </w:tcPr>
          <w:p w14:paraId="53A5E868" w14:textId="77777777" w:rsidR="00245CBF" w:rsidRPr="00870621" w:rsidRDefault="00245CBF" w:rsidP="00514011">
            <w:r>
              <w:rPr>
                <w:rFonts w:ascii="Calibri" w:hAnsi="Calibri" w:cs="Calibri"/>
                <w:color w:val="000000"/>
              </w:rPr>
              <w:t>-0.017</w:t>
            </w:r>
          </w:p>
        </w:tc>
        <w:tc>
          <w:tcPr>
            <w:tcW w:w="903" w:type="dxa"/>
            <w:noWrap/>
            <w:vAlign w:val="bottom"/>
            <w:hideMark/>
          </w:tcPr>
          <w:p w14:paraId="1ED1B347" w14:textId="77777777" w:rsidR="00245CBF" w:rsidRPr="00870621" w:rsidRDefault="00245CBF" w:rsidP="00514011">
            <w:r>
              <w:rPr>
                <w:rFonts w:ascii="Calibri" w:hAnsi="Calibri" w:cs="Calibri"/>
                <w:color w:val="000000"/>
              </w:rPr>
              <w:t>0.000</w:t>
            </w:r>
          </w:p>
        </w:tc>
        <w:tc>
          <w:tcPr>
            <w:tcW w:w="826" w:type="dxa"/>
            <w:noWrap/>
            <w:vAlign w:val="bottom"/>
            <w:hideMark/>
          </w:tcPr>
          <w:p w14:paraId="6DD767EF" w14:textId="77777777" w:rsidR="00245CBF" w:rsidRPr="00870621" w:rsidRDefault="00245CBF" w:rsidP="00514011">
            <w:r>
              <w:rPr>
                <w:rFonts w:ascii="Calibri" w:hAnsi="Calibri" w:cs="Calibri"/>
                <w:color w:val="000000"/>
              </w:rPr>
              <w:t>1.00</w:t>
            </w:r>
          </w:p>
        </w:tc>
        <w:tc>
          <w:tcPr>
            <w:tcW w:w="1285" w:type="dxa"/>
            <w:noWrap/>
            <w:vAlign w:val="bottom"/>
            <w:hideMark/>
          </w:tcPr>
          <w:p w14:paraId="7BBB1E0D" w14:textId="77777777" w:rsidR="00245CBF" w:rsidRPr="00870621" w:rsidRDefault="00245CBF" w:rsidP="00514011">
            <w:r>
              <w:rPr>
                <w:rFonts w:ascii="Calibri" w:hAnsi="Calibri" w:cs="Calibri"/>
                <w:color w:val="000000"/>
              </w:rPr>
              <w:t>2463.56</w:t>
            </w:r>
          </w:p>
        </w:tc>
        <w:tc>
          <w:tcPr>
            <w:tcW w:w="1285" w:type="dxa"/>
            <w:noWrap/>
            <w:vAlign w:val="bottom"/>
            <w:hideMark/>
          </w:tcPr>
          <w:p w14:paraId="547CDE05" w14:textId="77777777" w:rsidR="00245CBF" w:rsidRPr="00870621" w:rsidRDefault="00245CBF" w:rsidP="00514011">
            <w:r>
              <w:rPr>
                <w:rFonts w:ascii="Calibri" w:hAnsi="Calibri" w:cs="Calibri"/>
                <w:color w:val="000000"/>
              </w:rPr>
              <w:t>2561.93</w:t>
            </w:r>
          </w:p>
        </w:tc>
      </w:tr>
      <w:tr w:rsidR="004940F9" w:rsidRPr="00870621" w14:paraId="40E8E756" w14:textId="77777777" w:rsidTr="004940F9">
        <w:trPr>
          <w:trHeight w:val="288"/>
        </w:trPr>
        <w:tc>
          <w:tcPr>
            <w:tcW w:w="1533" w:type="dxa"/>
            <w:noWrap/>
            <w:hideMark/>
          </w:tcPr>
          <w:p w14:paraId="1C8BD865" w14:textId="77777777" w:rsidR="00245CBF" w:rsidRPr="00870621" w:rsidRDefault="00245CBF" w:rsidP="00514011">
            <w:pPr>
              <w:rPr>
                <w:b/>
                <w:bCs/>
              </w:rPr>
            </w:pPr>
            <w:r w:rsidRPr="00870621">
              <w:rPr>
                <w:b/>
                <w:bCs/>
              </w:rPr>
              <w:t>DBH x WPBR</w:t>
            </w:r>
          </w:p>
        </w:tc>
        <w:tc>
          <w:tcPr>
            <w:tcW w:w="739" w:type="dxa"/>
            <w:noWrap/>
            <w:vAlign w:val="bottom"/>
            <w:hideMark/>
          </w:tcPr>
          <w:p w14:paraId="3BF957E9" w14:textId="77777777" w:rsidR="00245CBF" w:rsidRPr="00870621" w:rsidRDefault="00245CBF" w:rsidP="00514011">
            <w:r>
              <w:rPr>
                <w:rFonts w:ascii="Calibri" w:hAnsi="Calibri" w:cs="Calibri"/>
                <w:color w:val="000000"/>
              </w:rPr>
              <w:t>-0.004</w:t>
            </w:r>
          </w:p>
        </w:tc>
        <w:tc>
          <w:tcPr>
            <w:tcW w:w="1053" w:type="dxa"/>
            <w:noWrap/>
            <w:vAlign w:val="bottom"/>
            <w:hideMark/>
          </w:tcPr>
          <w:p w14:paraId="67AE487A" w14:textId="77777777" w:rsidR="00245CBF" w:rsidRPr="00870621" w:rsidRDefault="00245CBF" w:rsidP="00514011">
            <w:r>
              <w:rPr>
                <w:rFonts w:ascii="Calibri" w:hAnsi="Calibri" w:cs="Calibri"/>
                <w:color w:val="000000"/>
              </w:rPr>
              <w:t>-0.005</w:t>
            </w:r>
          </w:p>
        </w:tc>
        <w:tc>
          <w:tcPr>
            <w:tcW w:w="823" w:type="dxa"/>
            <w:noWrap/>
            <w:vAlign w:val="bottom"/>
            <w:hideMark/>
          </w:tcPr>
          <w:p w14:paraId="241F716C" w14:textId="77777777" w:rsidR="00245CBF" w:rsidRPr="00870621" w:rsidRDefault="00245CBF" w:rsidP="00514011">
            <w:r>
              <w:rPr>
                <w:rFonts w:ascii="Calibri" w:hAnsi="Calibri" w:cs="Calibri"/>
                <w:color w:val="000000"/>
              </w:rPr>
              <w:t>0.005</w:t>
            </w:r>
          </w:p>
        </w:tc>
        <w:tc>
          <w:tcPr>
            <w:tcW w:w="903" w:type="dxa"/>
            <w:noWrap/>
            <w:vAlign w:val="bottom"/>
            <w:hideMark/>
          </w:tcPr>
          <w:p w14:paraId="654F14CC" w14:textId="77777777" w:rsidR="00245CBF" w:rsidRPr="00870621" w:rsidRDefault="00245CBF" w:rsidP="00514011">
            <w:r>
              <w:rPr>
                <w:rFonts w:ascii="Calibri" w:hAnsi="Calibri" w:cs="Calibri"/>
                <w:color w:val="000000"/>
              </w:rPr>
              <w:t>-0.013</w:t>
            </w:r>
          </w:p>
        </w:tc>
        <w:tc>
          <w:tcPr>
            <w:tcW w:w="903" w:type="dxa"/>
            <w:noWrap/>
            <w:vAlign w:val="bottom"/>
            <w:hideMark/>
          </w:tcPr>
          <w:p w14:paraId="25DDCAC6" w14:textId="77777777" w:rsidR="00245CBF" w:rsidRPr="00870621" w:rsidRDefault="00245CBF" w:rsidP="00514011">
            <w:r>
              <w:rPr>
                <w:rFonts w:ascii="Calibri" w:hAnsi="Calibri" w:cs="Calibri"/>
                <w:color w:val="000000"/>
              </w:rPr>
              <w:t>0.004</w:t>
            </w:r>
          </w:p>
        </w:tc>
        <w:tc>
          <w:tcPr>
            <w:tcW w:w="826" w:type="dxa"/>
            <w:noWrap/>
            <w:vAlign w:val="bottom"/>
            <w:hideMark/>
          </w:tcPr>
          <w:p w14:paraId="48B8E0A6" w14:textId="77777777" w:rsidR="00245CBF" w:rsidRPr="00870621" w:rsidRDefault="00245CBF" w:rsidP="00514011">
            <w:r>
              <w:rPr>
                <w:rFonts w:ascii="Calibri" w:hAnsi="Calibri" w:cs="Calibri"/>
                <w:color w:val="000000"/>
              </w:rPr>
              <w:t>1.00</w:t>
            </w:r>
          </w:p>
        </w:tc>
        <w:tc>
          <w:tcPr>
            <w:tcW w:w="1285" w:type="dxa"/>
            <w:noWrap/>
            <w:vAlign w:val="bottom"/>
            <w:hideMark/>
          </w:tcPr>
          <w:p w14:paraId="778F2E85" w14:textId="77777777" w:rsidR="00245CBF" w:rsidRPr="00870621" w:rsidRDefault="00245CBF" w:rsidP="00514011">
            <w:r>
              <w:rPr>
                <w:rFonts w:ascii="Calibri" w:hAnsi="Calibri" w:cs="Calibri"/>
                <w:color w:val="000000"/>
              </w:rPr>
              <w:t>2633.02</w:t>
            </w:r>
          </w:p>
        </w:tc>
        <w:tc>
          <w:tcPr>
            <w:tcW w:w="1285" w:type="dxa"/>
            <w:noWrap/>
            <w:vAlign w:val="bottom"/>
            <w:hideMark/>
          </w:tcPr>
          <w:p w14:paraId="4AF8ABF0" w14:textId="77777777" w:rsidR="00245CBF" w:rsidRPr="00870621" w:rsidRDefault="00245CBF" w:rsidP="00514011">
            <w:r>
              <w:rPr>
                <w:rFonts w:ascii="Calibri" w:hAnsi="Calibri" w:cs="Calibri"/>
                <w:color w:val="000000"/>
              </w:rPr>
              <w:t>2602.77</w:t>
            </w:r>
          </w:p>
        </w:tc>
      </w:tr>
      <w:tr w:rsidR="004940F9" w:rsidRPr="00870621" w14:paraId="4E6C3C3E" w14:textId="77777777" w:rsidTr="004940F9">
        <w:trPr>
          <w:trHeight w:val="288"/>
        </w:trPr>
        <w:tc>
          <w:tcPr>
            <w:tcW w:w="1533" w:type="dxa"/>
            <w:noWrap/>
            <w:hideMark/>
          </w:tcPr>
          <w:p w14:paraId="41FF9D38" w14:textId="77777777" w:rsidR="00245CBF" w:rsidRPr="00870621" w:rsidRDefault="00245CBF" w:rsidP="00514011">
            <w:pPr>
              <w:rPr>
                <w:b/>
                <w:bCs/>
              </w:rPr>
            </w:pPr>
            <w:r w:rsidRPr="00870621">
              <w:rPr>
                <w:b/>
                <w:bCs/>
              </w:rPr>
              <w:t>DBH x BA</w:t>
            </w:r>
          </w:p>
        </w:tc>
        <w:tc>
          <w:tcPr>
            <w:tcW w:w="739" w:type="dxa"/>
            <w:noWrap/>
            <w:vAlign w:val="bottom"/>
            <w:hideMark/>
          </w:tcPr>
          <w:p w14:paraId="063F320F" w14:textId="77777777" w:rsidR="00245CBF" w:rsidRPr="00870621" w:rsidRDefault="00245CBF" w:rsidP="00514011">
            <w:r>
              <w:rPr>
                <w:rFonts w:ascii="Calibri" w:hAnsi="Calibri" w:cs="Calibri"/>
                <w:color w:val="000000"/>
              </w:rPr>
              <w:t>0.002</w:t>
            </w:r>
          </w:p>
        </w:tc>
        <w:tc>
          <w:tcPr>
            <w:tcW w:w="1053" w:type="dxa"/>
            <w:noWrap/>
            <w:vAlign w:val="bottom"/>
            <w:hideMark/>
          </w:tcPr>
          <w:p w14:paraId="41700C37" w14:textId="77777777" w:rsidR="00245CBF" w:rsidRPr="00870621" w:rsidRDefault="00245CBF" w:rsidP="00514011">
            <w:r>
              <w:rPr>
                <w:rFonts w:ascii="Calibri" w:hAnsi="Calibri" w:cs="Calibri"/>
                <w:color w:val="000000"/>
              </w:rPr>
              <w:t>0.002</w:t>
            </w:r>
          </w:p>
        </w:tc>
        <w:tc>
          <w:tcPr>
            <w:tcW w:w="823" w:type="dxa"/>
            <w:noWrap/>
            <w:vAlign w:val="bottom"/>
            <w:hideMark/>
          </w:tcPr>
          <w:p w14:paraId="02917E9D" w14:textId="77777777" w:rsidR="00245CBF" w:rsidRPr="00870621" w:rsidRDefault="00245CBF" w:rsidP="00514011">
            <w:r>
              <w:rPr>
                <w:rFonts w:ascii="Calibri" w:hAnsi="Calibri" w:cs="Calibri"/>
                <w:color w:val="000000"/>
              </w:rPr>
              <w:t>0.002</w:t>
            </w:r>
          </w:p>
        </w:tc>
        <w:tc>
          <w:tcPr>
            <w:tcW w:w="903" w:type="dxa"/>
            <w:noWrap/>
            <w:vAlign w:val="bottom"/>
            <w:hideMark/>
          </w:tcPr>
          <w:p w14:paraId="22B2FE57" w14:textId="77777777" w:rsidR="00245CBF" w:rsidRPr="00870621" w:rsidRDefault="00245CBF" w:rsidP="00514011">
            <w:r>
              <w:rPr>
                <w:rFonts w:ascii="Calibri" w:hAnsi="Calibri" w:cs="Calibri"/>
                <w:color w:val="000000"/>
              </w:rPr>
              <w:t>-0.001</w:t>
            </w:r>
          </w:p>
        </w:tc>
        <w:tc>
          <w:tcPr>
            <w:tcW w:w="903" w:type="dxa"/>
            <w:noWrap/>
            <w:vAlign w:val="bottom"/>
            <w:hideMark/>
          </w:tcPr>
          <w:p w14:paraId="47D41704" w14:textId="77777777" w:rsidR="00245CBF" w:rsidRPr="00870621" w:rsidRDefault="00245CBF" w:rsidP="00514011">
            <w:r>
              <w:rPr>
                <w:rFonts w:ascii="Calibri" w:hAnsi="Calibri" w:cs="Calibri"/>
                <w:color w:val="000000"/>
              </w:rPr>
              <w:t>0.005</w:t>
            </w:r>
          </w:p>
        </w:tc>
        <w:tc>
          <w:tcPr>
            <w:tcW w:w="826" w:type="dxa"/>
            <w:noWrap/>
            <w:vAlign w:val="bottom"/>
            <w:hideMark/>
          </w:tcPr>
          <w:p w14:paraId="2E83C2E8" w14:textId="77777777" w:rsidR="00245CBF" w:rsidRPr="00870621" w:rsidRDefault="00245CBF" w:rsidP="00514011">
            <w:r>
              <w:rPr>
                <w:rFonts w:ascii="Calibri" w:hAnsi="Calibri" w:cs="Calibri"/>
                <w:color w:val="000000"/>
              </w:rPr>
              <w:t>1.00</w:t>
            </w:r>
          </w:p>
        </w:tc>
        <w:tc>
          <w:tcPr>
            <w:tcW w:w="1285" w:type="dxa"/>
            <w:noWrap/>
            <w:vAlign w:val="bottom"/>
            <w:hideMark/>
          </w:tcPr>
          <w:p w14:paraId="0FD8F894" w14:textId="77777777" w:rsidR="00245CBF" w:rsidRPr="00870621" w:rsidRDefault="00245CBF" w:rsidP="00514011">
            <w:r>
              <w:rPr>
                <w:rFonts w:ascii="Calibri" w:hAnsi="Calibri" w:cs="Calibri"/>
                <w:color w:val="000000"/>
              </w:rPr>
              <w:t>3683.91</w:t>
            </w:r>
          </w:p>
        </w:tc>
        <w:tc>
          <w:tcPr>
            <w:tcW w:w="1285" w:type="dxa"/>
            <w:noWrap/>
            <w:vAlign w:val="bottom"/>
            <w:hideMark/>
          </w:tcPr>
          <w:p w14:paraId="11C50562" w14:textId="77777777" w:rsidR="00245CBF" w:rsidRPr="00870621" w:rsidRDefault="00245CBF" w:rsidP="00514011">
            <w:r>
              <w:rPr>
                <w:rFonts w:ascii="Calibri" w:hAnsi="Calibri" w:cs="Calibri"/>
                <w:color w:val="000000"/>
              </w:rPr>
              <w:t>3249.29</w:t>
            </w:r>
          </w:p>
        </w:tc>
      </w:tr>
      <w:tr w:rsidR="004940F9" w:rsidRPr="00870621" w14:paraId="204548DE" w14:textId="77777777" w:rsidTr="004940F9">
        <w:trPr>
          <w:trHeight w:val="288"/>
        </w:trPr>
        <w:tc>
          <w:tcPr>
            <w:tcW w:w="1533" w:type="dxa"/>
            <w:noWrap/>
            <w:hideMark/>
          </w:tcPr>
          <w:p w14:paraId="295006D8" w14:textId="77777777" w:rsidR="00245CBF" w:rsidRPr="00870621" w:rsidRDefault="00245CBF" w:rsidP="00514011">
            <w:pPr>
              <w:rPr>
                <w:b/>
                <w:bCs/>
              </w:rPr>
            </w:pPr>
            <w:r w:rsidRPr="00870621">
              <w:rPr>
                <w:b/>
                <w:bCs/>
              </w:rPr>
              <w:t>DBH x Drought</w:t>
            </w:r>
          </w:p>
        </w:tc>
        <w:tc>
          <w:tcPr>
            <w:tcW w:w="739" w:type="dxa"/>
            <w:noWrap/>
            <w:vAlign w:val="bottom"/>
            <w:hideMark/>
          </w:tcPr>
          <w:p w14:paraId="7E234AA8" w14:textId="77777777" w:rsidR="00245CBF" w:rsidRPr="00870621" w:rsidRDefault="00245CBF" w:rsidP="00514011">
            <w:r>
              <w:rPr>
                <w:rFonts w:ascii="Calibri" w:hAnsi="Calibri" w:cs="Calibri"/>
                <w:color w:val="000000"/>
              </w:rPr>
              <w:t>0.001</w:t>
            </w:r>
          </w:p>
        </w:tc>
        <w:tc>
          <w:tcPr>
            <w:tcW w:w="1053" w:type="dxa"/>
            <w:noWrap/>
            <w:vAlign w:val="bottom"/>
            <w:hideMark/>
          </w:tcPr>
          <w:p w14:paraId="2AF40618" w14:textId="77777777" w:rsidR="00245CBF" w:rsidRPr="00870621" w:rsidRDefault="00245CBF" w:rsidP="00514011">
            <w:r>
              <w:rPr>
                <w:rFonts w:ascii="Calibri" w:hAnsi="Calibri" w:cs="Calibri"/>
                <w:color w:val="000000"/>
              </w:rPr>
              <w:t>0.001</w:t>
            </w:r>
          </w:p>
        </w:tc>
        <w:tc>
          <w:tcPr>
            <w:tcW w:w="823" w:type="dxa"/>
            <w:noWrap/>
            <w:vAlign w:val="bottom"/>
            <w:hideMark/>
          </w:tcPr>
          <w:p w14:paraId="6E9A9252" w14:textId="77777777" w:rsidR="00245CBF" w:rsidRPr="00870621" w:rsidRDefault="00245CBF" w:rsidP="00514011">
            <w:r>
              <w:rPr>
                <w:rFonts w:ascii="Calibri" w:hAnsi="Calibri" w:cs="Calibri"/>
                <w:color w:val="000000"/>
              </w:rPr>
              <w:t>0.002</w:t>
            </w:r>
          </w:p>
        </w:tc>
        <w:tc>
          <w:tcPr>
            <w:tcW w:w="903" w:type="dxa"/>
            <w:noWrap/>
            <w:vAlign w:val="bottom"/>
            <w:hideMark/>
          </w:tcPr>
          <w:p w14:paraId="3AEC3832" w14:textId="77777777" w:rsidR="00245CBF" w:rsidRPr="00870621" w:rsidRDefault="00245CBF" w:rsidP="00514011">
            <w:r>
              <w:rPr>
                <w:rFonts w:ascii="Calibri" w:hAnsi="Calibri" w:cs="Calibri"/>
                <w:color w:val="000000"/>
              </w:rPr>
              <w:t>-0.002</w:t>
            </w:r>
          </w:p>
        </w:tc>
        <w:tc>
          <w:tcPr>
            <w:tcW w:w="903" w:type="dxa"/>
            <w:noWrap/>
            <w:vAlign w:val="bottom"/>
            <w:hideMark/>
          </w:tcPr>
          <w:p w14:paraId="133498EE" w14:textId="77777777" w:rsidR="00245CBF" w:rsidRPr="00870621" w:rsidRDefault="00245CBF" w:rsidP="00514011">
            <w:r>
              <w:rPr>
                <w:rFonts w:ascii="Calibri" w:hAnsi="Calibri" w:cs="Calibri"/>
                <w:color w:val="000000"/>
              </w:rPr>
              <w:t>0.004</w:t>
            </w:r>
          </w:p>
        </w:tc>
        <w:tc>
          <w:tcPr>
            <w:tcW w:w="826" w:type="dxa"/>
            <w:noWrap/>
            <w:vAlign w:val="bottom"/>
            <w:hideMark/>
          </w:tcPr>
          <w:p w14:paraId="63DB8FDE" w14:textId="77777777" w:rsidR="00245CBF" w:rsidRPr="00870621" w:rsidRDefault="00245CBF" w:rsidP="00514011">
            <w:r>
              <w:rPr>
                <w:rFonts w:ascii="Calibri" w:hAnsi="Calibri" w:cs="Calibri"/>
                <w:color w:val="000000"/>
              </w:rPr>
              <w:t>1.00</w:t>
            </w:r>
          </w:p>
        </w:tc>
        <w:tc>
          <w:tcPr>
            <w:tcW w:w="1285" w:type="dxa"/>
            <w:noWrap/>
            <w:vAlign w:val="bottom"/>
            <w:hideMark/>
          </w:tcPr>
          <w:p w14:paraId="792B1455" w14:textId="77777777" w:rsidR="00245CBF" w:rsidRPr="00870621" w:rsidRDefault="00245CBF" w:rsidP="00514011">
            <w:r>
              <w:rPr>
                <w:rFonts w:ascii="Calibri" w:hAnsi="Calibri" w:cs="Calibri"/>
                <w:color w:val="000000"/>
              </w:rPr>
              <w:t>3419.86</w:t>
            </w:r>
          </w:p>
        </w:tc>
        <w:tc>
          <w:tcPr>
            <w:tcW w:w="1285" w:type="dxa"/>
            <w:noWrap/>
            <w:vAlign w:val="bottom"/>
            <w:hideMark/>
          </w:tcPr>
          <w:p w14:paraId="04B7F52C" w14:textId="77777777" w:rsidR="00245CBF" w:rsidRPr="00870621" w:rsidRDefault="00245CBF" w:rsidP="00514011">
            <w:r>
              <w:rPr>
                <w:rFonts w:ascii="Calibri" w:hAnsi="Calibri" w:cs="Calibri"/>
                <w:color w:val="000000"/>
              </w:rPr>
              <w:t>3362.41</w:t>
            </w:r>
          </w:p>
        </w:tc>
      </w:tr>
      <w:tr w:rsidR="004940F9" w:rsidRPr="00870621" w14:paraId="581943A9" w14:textId="77777777" w:rsidTr="004940F9">
        <w:trPr>
          <w:trHeight w:val="288"/>
        </w:trPr>
        <w:tc>
          <w:tcPr>
            <w:tcW w:w="1533" w:type="dxa"/>
            <w:noWrap/>
            <w:hideMark/>
          </w:tcPr>
          <w:p w14:paraId="1D0922C0" w14:textId="77777777" w:rsidR="00245CBF" w:rsidRPr="00870621" w:rsidRDefault="00245CBF" w:rsidP="00514011">
            <w:pPr>
              <w:rPr>
                <w:b/>
                <w:bCs/>
              </w:rPr>
            </w:pPr>
            <w:r w:rsidRPr="00870621">
              <w:rPr>
                <w:b/>
                <w:bCs/>
              </w:rPr>
              <w:t>DBH x Dryness</w:t>
            </w:r>
          </w:p>
        </w:tc>
        <w:tc>
          <w:tcPr>
            <w:tcW w:w="739" w:type="dxa"/>
            <w:noWrap/>
            <w:vAlign w:val="bottom"/>
            <w:hideMark/>
          </w:tcPr>
          <w:p w14:paraId="0286D8C6" w14:textId="77777777" w:rsidR="00245CBF" w:rsidRPr="00870621" w:rsidRDefault="00245CBF" w:rsidP="00514011">
            <w:r>
              <w:rPr>
                <w:rFonts w:ascii="Calibri" w:hAnsi="Calibri" w:cs="Calibri"/>
                <w:color w:val="000000"/>
              </w:rPr>
              <w:t>0.006</w:t>
            </w:r>
          </w:p>
        </w:tc>
        <w:tc>
          <w:tcPr>
            <w:tcW w:w="1053" w:type="dxa"/>
            <w:noWrap/>
            <w:vAlign w:val="bottom"/>
            <w:hideMark/>
          </w:tcPr>
          <w:p w14:paraId="0A36E02D" w14:textId="77777777" w:rsidR="00245CBF" w:rsidRPr="00870621" w:rsidRDefault="00245CBF" w:rsidP="00514011">
            <w:r>
              <w:rPr>
                <w:rFonts w:ascii="Calibri" w:hAnsi="Calibri" w:cs="Calibri"/>
                <w:color w:val="000000"/>
              </w:rPr>
              <w:t>0.006</w:t>
            </w:r>
          </w:p>
        </w:tc>
        <w:tc>
          <w:tcPr>
            <w:tcW w:w="823" w:type="dxa"/>
            <w:noWrap/>
            <w:vAlign w:val="bottom"/>
            <w:hideMark/>
          </w:tcPr>
          <w:p w14:paraId="7642D352" w14:textId="77777777" w:rsidR="00245CBF" w:rsidRPr="00870621" w:rsidRDefault="00245CBF" w:rsidP="00514011">
            <w:r>
              <w:rPr>
                <w:rFonts w:ascii="Calibri" w:hAnsi="Calibri" w:cs="Calibri"/>
                <w:color w:val="000000"/>
              </w:rPr>
              <w:t>0.002</w:t>
            </w:r>
          </w:p>
        </w:tc>
        <w:tc>
          <w:tcPr>
            <w:tcW w:w="903" w:type="dxa"/>
            <w:noWrap/>
            <w:vAlign w:val="bottom"/>
            <w:hideMark/>
          </w:tcPr>
          <w:p w14:paraId="7CB1F1BA" w14:textId="77777777" w:rsidR="00245CBF" w:rsidRPr="00870621" w:rsidRDefault="00245CBF" w:rsidP="00514011">
            <w:r>
              <w:rPr>
                <w:rFonts w:ascii="Calibri" w:hAnsi="Calibri" w:cs="Calibri"/>
                <w:color w:val="000000"/>
              </w:rPr>
              <w:t>0.004</w:t>
            </w:r>
          </w:p>
        </w:tc>
        <w:tc>
          <w:tcPr>
            <w:tcW w:w="903" w:type="dxa"/>
            <w:noWrap/>
            <w:vAlign w:val="bottom"/>
            <w:hideMark/>
          </w:tcPr>
          <w:p w14:paraId="519374B7" w14:textId="77777777" w:rsidR="00245CBF" w:rsidRPr="00870621" w:rsidRDefault="00245CBF" w:rsidP="00514011">
            <w:r>
              <w:rPr>
                <w:rFonts w:ascii="Calibri" w:hAnsi="Calibri" w:cs="Calibri"/>
                <w:color w:val="000000"/>
              </w:rPr>
              <w:t>0.009</w:t>
            </w:r>
          </w:p>
        </w:tc>
        <w:tc>
          <w:tcPr>
            <w:tcW w:w="826" w:type="dxa"/>
            <w:noWrap/>
            <w:vAlign w:val="bottom"/>
            <w:hideMark/>
          </w:tcPr>
          <w:p w14:paraId="20F16BF8" w14:textId="77777777" w:rsidR="00245CBF" w:rsidRPr="00870621" w:rsidRDefault="00245CBF" w:rsidP="00514011">
            <w:r>
              <w:rPr>
                <w:rFonts w:ascii="Calibri" w:hAnsi="Calibri" w:cs="Calibri"/>
                <w:color w:val="000000"/>
              </w:rPr>
              <w:t>1.00</w:t>
            </w:r>
          </w:p>
        </w:tc>
        <w:tc>
          <w:tcPr>
            <w:tcW w:w="1285" w:type="dxa"/>
            <w:noWrap/>
            <w:vAlign w:val="bottom"/>
            <w:hideMark/>
          </w:tcPr>
          <w:p w14:paraId="68C7DA9D" w14:textId="77777777" w:rsidR="00245CBF" w:rsidRPr="00870621" w:rsidRDefault="00245CBF" w:rsidP="00514011">
            <w:r>
              <w:rPr>
                <w:rFonts w:ascii="Calibri" w:hAnsi="Calibri" w:cs="Calibri"/>
                <w:color w:val="000000"/>
              </w:rPr>
              <w:t>3868.52</w:t>
            </w:r>
          </w:p>
        </w:tc>
        <w:tc>
          <w:tcPr>
            <w:tcW w:w="1285" w:type="dxa"/>
            <w:noWrap/>
            <w:vAlign w:val="bottom"/>
            <w:hideMark/>
          </w:tcPr>
          <w:p w14:paraId="561AAADA" w14:textId="77777777" w:rsidR="00245CBF" w:rsidRPr="00870621" w:rsidRDefault="00245CBF" w:rsidP="00514011">
            <w:r>
              <w:rPr>
                <w:rFonts w:ascii="Calibri" w:hAnsi="Calibri" w:cs="Calibri"/>
                <w:color w:val="000000"/>
              </w:rPr>
              <w:t>3515.61</w:t>
            </w:r>
          </w:p>
        </w:tc>
      </w:tr>
      <w:tr w:rsidR="004940F9" w:rsidRPr="00870621" w14:paraId="30D51368" w14:textId="77777777" w:rsidTr="004940F9">
        <w:trPr>
          <w:trHeight w:val="288"/>
        </w:trPr>
        <w:tc>
          <w:tcPr>
            <w:tcW w:w="1533" w:type="dxa"/>
            <w:noWrap/>
            <w:hideMark/>
          </w:tcPr>
          <w:p w14:paraId="5C459BC2" w14:textId="77777777" w:rsidR="00245CBF" w:rsidRPr="00870621" w:rsidRDefault="00245CBF" w:rsidP="00514011">
            <w:pPr>
              <w:rPr>
                <w:b/>
                <w:bCs/>
              </w:rPr>
            </w:pPr>
            <w:r w:rsidRPr="00870621">
              <w:rPr>
                <w:b/>
                <w:bCs/>
              </w:rPr>
              <w:t>SD Plots</w:t>
            </w:r>
          </w:p>
        </w:tc>
        <w:tc>
          <w:tcPr>
            <w:tcW w:w="739" w:type="dxa"/>
            <w:noWrap/>
            <w:vAlign w:val="bottom"/>
            <w:hideMark/>
          </w:tcPr>
          <w:p w14:paraId="75755ADC" w14:textId="77777777" w:rsidR="00245CBF" w:rsidRPr="00870621" w:rsidRDefault="00245CBF" w:rsidP="00514011">
            <w:r>
              <w:rPr>
                <w:rFonts w:ascii="Calibri" w:hAnsi="Calibri" w:cs="Calibri"/>
                <w:color w:val="000000"/>
              </w:rPr>
              <w:t>0.018</w:t>
            </w:r>
          </w:p>
        </w:tc>
        <w:tc>
          <w:tcPr>
            <w:tcW w:w="1053" w:type="dxa"/>
            <w:noWrap/>
            <w:vAlign w:val="bottom"/>
            <w:hideMark/>
          </w:tcPr>
          <w:p w14:paraId="322B8DA7" w14:textId="77777777" w:rsidR="00245CBF" w:rsidRPr="00870621" w:rsidRDefault="00245CBF" w:rsidP="00514011">
            <w:r>
              <w:rPr>
                <w:rFonts w:ascii="Calibri" w:hAnsi="Calibri" w:cs="Calibri"/>
                <w:color w:val="000000"/>
              </w:rPr>
              <w:t>0.018</w:t>
            </w:r>
          </w:p>
        </w:tc>
        <w:tc>
          <w:tcPr>
            <w:tcW w:w="823" w:type="dxa"/>
            <w:noWrap/>
            <w:vAlign w:val="bottom"/>
            <w:hideMark/>
          </w:tcPr>
          <w:p w14:paraId="4BE61084" w14:textId="77777777" w:rsidR="00245CBF" w:rsidRPr="00870621" w:rsidRDefault="00245CBF" w:rsidP="00514011">
            <w:r>
              <w:rPr>
                <w:rFonts w:ascii="Calibri" w:hAnsi="Calibri" w:cs="Calibri"/>
                <w:color w:val="000000"/>
              </w:rPr>
              <w:t>0.001</w:t>
            </w:r>
          </w:p>
        </w:tc>
        <w:tc>
          <w:tcPr>
            <w:tcW w:w="903" w:type="dxa"/>
            <w:noWrap/>
            <w:vAlign w:val="bottom"/>
            <w:hideMark/>
          </w:tcPr>
          <w:p w14:paraId="5414716B" w14:textId="77777777" w:rsidR="00245CBF" w:rsidRPr="00870621" w:rsidRDefault="00245CBF" w:rsidP="00514011">
            <w:r>
              <w:rPr>
                <w:rFonts w:ascii="Calibri" w:hAnsi="Calibri" w:cs="Calibri"/>
                <w:color w:val="000000"/>
              </w:rPr>
              <w:t>0.017</w:t>
            </w:r>
          </w:p>
        </w:tc>
        <w:tc>
          <w:tcPr>
            <w:tcW w:w="903" w:type="dxa"/>
            <w:noWrap/>
            <w:vAlign w:val="bottom"/>
            <w:hideMark/>
          </w:tcPr>
          <w:p w14:paraId="2F4FEB11" w14:textId="77777777" w:rsidR="00245CBF" w:rsidRPr="00870621" w:rsidRDefault="00245CBF" w:rsidP="00514011">
            <w:r>
              <w:rPr>
                <w:rFonts w:ascii="Calibri" w:hAnsi="Calibri" w:cs="Calibri"/>
                <w:color w:val="000000"/>
              </w:rPr>
              <w:t>0.019</w:t>
            </w:r>
          </w:p>
        </w:tc>
        <w:tc>
          <w:tcPr>
            <w:tcW w:w="826" w:type="dxa"/>
            <w:noWrap/>
            <w:vAlign w:val="bottom"/>
            <w:hideMark/>
          </w:tcPr>
          <w:p w14:paraId="27F9B2CF" w14:textId="77777777" w:rsidR="00245CBF" w:rsidRPr="00870621" w:rsidRDefault="00245CBF" w:rsidP="00514011">
            <w:r>
              <w:rPr>
                <w:rFonts w:ascii="Calibri" w:hAnsi="Calibri" w:cs="Calibri"/>
                <w:color w:val="000000"/>
              </w:rPr>
              <w:t>1.00</w:t>
            </w:r>
          </w:p>
        </w:tc>
        <w:tc>
          <w:tcPr>
            <w:tcW w:w="1285" w:type="dxa"/>
            <w:noWrap/>
            <w:vAlign w:val="bottom"/>
            <w:hideMark/>
          </w:tcPr>
          <w:p w14:paraId="314D7B8D" w14:textId="77777777" w:rsidR="00245CBF" w:rsidRPr="00870621" w:rsidRDefault="00245CBF" w:rsidP="00514011">
            <w:r>
              <w:rPr>
                <w:rFonts w:ascii="Calibri" w:hAnsi="Calibri" w:cs="Calibri"/>
                <w:color w:val="000000"/>
              </w:rPr>
              <w:t>1162.46</w:t>
            </w:r>
          </w:p>
        </w:tc>
        <w:tc>
          <w:tcPr>
            <w:tcW w:w="1285" w:type="dxa"/>
            <w:noWrap/>
            <w:vAlign w:val="bottom"/>
            <w:hideMark/>
          </w:tcPr>
          <w:p w14:paraId="0489AD96" w14:textId="77777777" w:rsidR="00245CBF" w:rsidRPr="00870621" w:rsidRDefault="00245CBF" w:rsidP="00514011">
            <w:r>
              <w:rPr>
                <w:rFonts w:ascii="Calibri" w:hAnsi="Calibri" w:cs="Calibri"/>
                <w:color w:val="000000"/>
              </w:rPr>
              <w:t>2109.90</w:t>
            </w:r>
          </w:p>
        </w:tc>
      </w:tr>
      <w:tr w:rsidR="004940F9" w:rsidRPr="00870621" w14:paraId="3650C9BB" w14:textId="77777777" w:rsidTr="004940F9">
        <w:trPr>
          <w:trHeight w:val="288"/>
        </w:trPr>
        <w:tc>
          <w:tcPr>
            <w:tcW w:w="1533" w:type="dxa"/>
            <w:noWrap/>
            <w:hideMark/>
          </w:tcPr>
          <w:p w14:paraId="7956544B" w14:textId="77777777" w:rsidR="00245CBF" w:rsidRPr="00870621" w:rsidRDefault="00245CBF" w:rsidP="00514011">
            <w:pPr>
              <w:rPr>
                <w:b/>
                <w:bCs/>
              </w:rPr>
            </w:pPr>
            <w:r w:rsidRPr="00870621">
              <w:rPr>
                <w:b/>
                <w:bCs/>
              </w:rPr>
              <w:t>SD Ecoregions</w:t>
            </w:r>
          </w:p>
        </w:tc>
        <w:tc>
          <w:tcPr>
            <w:tcW w:w="739" w:type="dxa"/>
            <w:noWrap/>
            <w:vAlign w:val="bottom"/>
            <w:hideMark/>
          </w:tcPr>
          <w:p w14:paraId="7FECC770" w14:textId="77777777" w:rsidR="00245CBF" w:rsidRPr="00870621" w:rsidRDefault="00245CBF" w:rsidP="00514011">
            <w:r>
              <w:rPr>
                <w:rFonts w:ascii="Calibri" w:hAnsi="Calibri" w:cs="Calibri"/>
                <w:color w:val="000000"/>
              </w:rPr>
              <w:t>0.012</w:t>
            </w:r>
          </w:p>
        </w:tc>
        <w:tc>
          <w:tcPr>
            <w:tcW w:w="1053" w:type="dxa"/>
            <w:noWrap/>
            <w:vAlign w:val="bottom"/>
            <w:hideMark/>
          </w:tcPr>
          <w:p w14:paraId="39AC202E" w14:textId="77777777" w:rsidR="00245CBF" w:rsidRPr="00870621" w:rsidRDefault="00245CBF" w:rsidP="00514011">
            <w:r>
              <w:rPr>
                <w:rFonts w:ascii="Calibri" w:hAnsi="Calibri" w:cs="Calibri"/>
                <w:color w:val="000000"/>
              </w:rPr>
              <w:t>0.012</w:t>
            </w:r>
          </w:p>
        </w:tc>
        <w:tc>
          <w:tcPr>
            <w:tcW w:w="823" w:type="dxa"/>
            <w:noWrap/>
            <w:vAlign w:val="bottom"/>
            <w:hideMark/>
          </w:tcPr>
          <w:p w14:paraId="1B5B4E5E" w14:textId="77777777" w:rsidR="00245CBF" w:rsidRPr="00870621" w:rsidRDefault="00245CBF" w:rsidP="00514011">
            <w:r>
              <w:rPr>
                <w:rFonts w:ascii="Calibri" w:hAnsi="Calibri" w:cs="Calibri"/>
                <w:color w:val="000000"/>
              </w:rPr>
              <w:t>0.002</w:t>
            </w:r>
          </w:p>
        </w:tc>
        <w:tc>
          <w:tcPr>
            <w:tcW w:w="903" w:type="dxa"/>
            <w:noWrap/>
            <w:vAlign w:val="bottom"/>
            <w:hideMark/>
          </w:tcPr>
          <w:p w14:paraId="18DA34D5" w14:textId="77777777" w:rsidR="00245CBF" w:rsidRPr="00870621" w:rsidRDefault="00245CBF" w:rsidP="00514011">
            <w:r>
              <w:rPr>
                <w:rFonts w:ascii="Calibri" w:hAnsi="Calibri" w:cs="Calibri"/>
                <w:color w:val="000000"/>
              </w:rPr>
              <w:t>0.009</w:t>
            </w:r>
          </w:p>
        </w:tc>
        <w:tc>
          <w:tcPr>
            <w:tcW w:w="903" w:type="dxa"/>
            <w:noWrap/>
            <w:vAlign w:val="bottom"/>
            <w:hideMark/>
          </w:tcPr>
          <w:p w14:paraId="06298A34" w14:textId="77777777" w:rsidR="00245CBF" w:rsidRPr="00870621" w:rsidRDefault="00245CBF" w:rsidP="00514011">
            <w:r>
              <w:rPr>
                <w:rFonts w:ascii="Calibri" w:hAnsi="Calibri" w:cs="Calibri"/>
                <w:color w:val="000000"/>
              </w:rPr>
              <w:t>0.015</w:t>
            </w:r>
          </w:p>
        </w:tc>
        <w:tc>
          <w:tcPr>
            <w:tcW w:w="826" w:type="dxa"/>
            <w:noWrap/>
            <w:vAlign w:val="bottom"/>
            <w:hideMark/>
          </w:tcPr>
          <w:p w14:paraId="02A79090" w14:textId="77777777" w:rsidR="00245CBF" w:rsidRPr="00870621" w:rsidRDefault="00245CBF" w:rsidP="00514011">
            <w:r>
              <w:rPr>
                <w:rFonts w:ascii="Calibri" w:hAnsi="Calibri" w:cs="Calibri"/>
                <w:color w:val="000000"/>
              </w:rPr>
              <w:t>1.00</w:t>
            </w:r>
          </w:p>
        </w:tc>
        <w:tc>
          <w:tcPr>
            <w:tcW w:w="1285" w:type="dxa"/>
            <w:noWrap/>
            <w:vAlign w:val="bottom"/>
            <w:hideMark/>
          </w:tcPr>
          <w:p w14:paraId="7161831B" w14:textId="77777777" w:rsidR="00245CBF" w:rsidRPr="00870621" w:rsidRDefault="00245CBF" w:rsidP="00514011">
            <w:r>
              <w:rPr>
                <w:rFonts w:ascii="Calibri" w:hAnsi="Calibri" w:cs="Calibri"/>
                <w:color w:val="000000"/>
              </w:rPr>
              <w:t>935.99</w:t>
            </w:r>
          </w:p>
        </w:tc>
        <w:tc>
          <w:tcPr>
            <w:tcW w:w="1285" w:type="dxa"/>
            <w:noWrap/>
            <w:vAlign w:val="bottom"/>
            <w:hideMark/>
          </w:tcPr>
          <w:p w14:paraId="44EF95C0" w14:textId="77777777" w:rsidR="00245CBF" w:rsidRPr="00870621" w:rsidRDefault="00245CBF" w:rsidP="00514011">
            <w:r>
              <w:rPr>
                <w:rFonts w:ascii="Calibri" w:hAnsi="Calibri" w:cs="Calibri"/>
                <w:color w:val="000000"/>
              </w:rPr>
              <w:t>1395.57</w:t>
            </w:r>
          </w:p>
        </w:tc>
      </w:tr>
      <w:tr w:rsidR="004940F9" w:rsidRPr="00870621" w14:paraId="43B4E864" w14:textId="77777777" w:rsidTr="004940F9">
        <w:trPr>
          <w:trHeight w:val="288"/>
        </w:trPr>
        <w:tc>
          <w:tcPr>
            <w:tcW w:w="1533" w:type="dxa"/>
            <w:noWrap/>
            <w:hideMark/>
          </w:tcPr>
          <w:p w14:paraId="5457E2C0" w14:textId="77777777" w:rsidR="00245CBF" w:rsidRPr="00870621" w:rsidRDefault="00245CBF" w:rsidP="00514011">
            <w:pPr>
              <w:rPr>
                <w:b/>
                <w:bCs/>
              </w:rPr>
            </w:pPr>
            <w:r w:rsidRPr="00870621">
              <w:rPr>
                <w:b/>
                <w:bCs/>
              </w:rPr>
              <w:t>SD Residual</w:t>
            </w:r>
          </w:p>
        </w:tc>
        <w:tc>
          <w:tcPr>
            <w:tcW w:w="739" w:type="dxa"/>
            <w:noWrap/>
            <w:vAlign w:val="bottom"/>
            <w:hideMark/>
          </w:tcPr>
          <w:p w14:paraId="4AA2B518" w14:textId="77777777" w:rsidR="00245CBF" w:rsidRPr="00870621" w:rsidRDefault="00245CBF" w:rsidP="00514011">
            <w:r>
              <w:rPr>
                <w:rFonts w:ascii="Calibri" w:hAnsi="Calibri" w:cs="Calibri"/>
                <w:color w:val="000000"/>
              </w:rPr>
              <w:t>0.022</w:t>
            </w:r>
          </w:p>
        </w:tc>
        <w:tc>
          <w:tcPr>
            <w:tcW w:w="1053" w:type="dxa"/>
            <w:noWrap/>
            <w:vAlign w:val="bottom"/>
            <w:hideMark/>
          </w:tcPr>
          <w:p w14:paraId="5F0A2F49" w14:textId="77777777" w:rsidR="00245CBF" w:rsidRPr="00870621" w:rsidRDefault="00245CBF" w:rsidP="00514011">
            <w:r>
              <w:rPr>
                <w:rFonts w:ascii="Calibri" w:hAnsi="Calibri" w:cs="Calibri"/>
                <w:color w:val="000000"/>
              </w:rPr>
              <w:t>0.022</w:t>
            </w:r>
          </w:p>
        </w:tc>
        <w:tc>
          <w:tcPr>
            <w:tcW w:w="823" w:type="dxa"/>
            <w:noWrap/>
            <w:vAlign w:val="bottom"/>
            <w:hideMark/>
          </w:tcPr>
          <w:p w14:paraId="24C4EDFF" w14:textId="77777777" w:rsidR="00245CBF" w:rsidRPr="00870621" w:rsidRDefault="00245CBF" w:rsidP="00514011">
            <w:r>
              <w:rPr>
                <w:rFonts w:ascii="Calibri" w:hAnsi="Calibri" w:cs="Calibri"/>
                <w:color w:val="000000"/>
              </w:rPr>
              <w:t>0.000</w:t>
            </w:r>
          </w:p>
        </w:tc>
        <w:tc>
          <w:tcPr>
            <w:tcW w:w="903" w:type="dxa"/>
            <w:noWrap/>
            <w:vAlign w:val="bottom"/>
            <w:hideMark/>
          </w:tcPr>
          <w:p w14:paraId="31EB0762" w14:textId="77777777" w:rsidR="00245CBF" w:rsidRPr="00870621" w:rsidRDefault="00245CBF" w:rsidP="00514011">
            <w:r>
              <w:rPr>
                <w:rFonts w:ascii="Calibri" w:hAnsi="Calibri" w:cs="Calibri"/>
                <w:color w:val="000000"/>
              </w:rPr>
              <w:t>0.021</w:t>
            </w:r>
          </w:p>
        </w:tc>
        <w:tc>
          <w:tcPr>
            <w:tcW w:w="903" w:type="dxa"/>
            <w:noWrap/>
            <w:vAlign w:val="bottom"/>
            <w:hideMark/>
          </w:tcPr>
          <w:p w14:paraId="208719D6" w14:textId="77777777" w:rsidR="00245CBF" w:rsidRPr="00870621" w:rsidRDefault="00245CBF" w:rsidP="00514011">
            <w:r>
              <w:rPr>
                <w:rFonts w:ascii="Calibri" w:hAnsi="Calibri" w:cs="Calibri"/>
                <w:color w:val="000000"/>
              </w:rPr>
              <w:t>0.022</w:t>
            </w:r>
          </w:p>
        </w:tc>
        <w:tc>
          <w:tcPr>
            <w:tcW w:w="826" w:type="dxa"/>
            <w:noWrap/>
            <w:vAlign w:val="bottom"/>
            <w:hideMark/>
          </w:tcPr>
          <w:p w14:paraId="79F6FB68" w14:textId="77777777" w:rsidR="00245CBF" w:rsidRPr="00870621" w:rsidRDefault="00245CBF" w:rsidP="00514011">
            <w:r>
              <w:rPr>
                <w:rFonts w:ascii="Calibri" w:hAnsi="Calibri" w:cs="Calibri"/>
                <w:color w:val="000000"/>
              </w:rPr>
              <w:t>1.00</w:t>
            </w:r>
          </w:p>
        </w:tc>
        <w:tc>
          <w:tcPr>
            <w:tcW w:w="1285" w:type="dxa"/>
            <w:noWrap/>
            <w:vAlign w:val="bottom"/>
            <w:hideMark/>
          </w:tcPr>
          <w:p w14:paraId="1317CEBA" w14:textId="77777777" w:rsidR="00245CBF" w:rsidRPr="00870621" w:rsidRDefault="00245CBF" w:rsidP="00514011">
            <w:r>
              <w:rPr>
                <w:rFonts w:ascii="Calibri" w:hAnsi="Calibri" w:cs="Calibri"/>
                <w:color w:val="000000"/>
              </w:rPr>
              <w:t>2054.00</w:t>
            </w:r>
          </w:p>
        </w:tc>
        <w:tc>
          <w:tcPr>
            <w:tcW w:w="1285" w:type="dxa"/>
            <w:noWrap/>
            <w:vAlign w:val="bottom"/>
            <w:hideMark/>
          </w:tcPr>
          <w:p w14:paraId="1362787C" w14:textId="77777777" w:rsidR="00245CBF" w:rsidRPr="00870621" w:rsidRDefault="00245CBF" w:rsidP="00514011">
            <w:pPr>
              <w:keepNext/>
            </w:pPr>
            <w:r>
              <w:rPr>
                <w:rFonts w:ascii="Calibri" w:hAnsi="Calibri" w:cs="Calibri"/>
                <w:color w:val="000000"/>
              </w:rPr>
              <w:t>2747.82</w:t>
            </w:r>
          </w:p>
        </w:tc>
      </w:tr>
    </w:tbl>
    <w:p w14:paraId="0E4418C7" w14:textId="77777777" w:rsidR="00245CBF" w:rsidRDefault="00245CBF" w:rsidP="00245CBF">
      <w:pPr>
        <w:pStyle w:val="Caption"/>
      </w:pPr>
      <w:bookmarkStart w:id="83" w:name="_Ref94609644"/>
      <w:r>
        <w:t xml:space="preserve">Table </w:t>
      </w:r>
      <w:r>
        <w:fldChar w:fldCharType="begin"/>
      </w:r>
      <w:r>
        <w:instrText xml:space="preserve"> SEQ Table \* ARABIC </w:instrText>
      </w:r>
      <w:r>
        <w:fldChar w:fldCharType="separate"/>
      </w:r>
      <w:r>
        <w:rPr>
          <w:noProof/>
        </w:rPr>
        <w:t>2</w:t>
      </w:r>
      <w:r>
        <w:fldChar w:fldCharType="end"/>
      </w:r>
      <w:bookmarkEnd w:id="83"/>
      <w:r>
        <w:t>: Summary of results for growth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490DDBD7" w14:textId="77777777" w:rsidR="00245CBF" w:rsidRDefault="00245CBF">
      <w:r>
        <w:br w:type="page"/>
      </w:r>
    </w:p>
    <w:tbl>
      <w:tblPr>
        <w:tblStyle w:val="TableGrid"/>
        <w:tblW w:w="0" w:type="auto"/>
        <w:tblLook w:val="04A0" w:firstRow="1" w:lastRow="0" w:firstColumn="1" w:lastColumn="0" w:noHBand="0" w:noVBand="1"/>
      </w:tblPr>
      <w:tblGrid>
        <w:gridCol w:w="1354"/>
        <w:gridCol w:w="960"/>
        <w:gridCol w:w="960"/>
        <w:gridCol w:w="960"/>
        <w:gridCol w:w="960"/>
        <w:gridCol w:w="960"/>
        <w:gridCol w:w="960"/>
        <w:gridCol w:w="1008"/>
        <w:gridCol w:w="960"/>
      </w:tblGrid>
      <w:tr w:rsidR="00245CBF" w:rsidRPr="00870621" w14:paraId="3BF289FB" w14:textId="77777777" w:rsidTr="00514011">
        <w:trPr>
          <w:trHeight w:val="288"/>
        </w:trPr>
        <w:tc>
          <w:tcPr>
            <w:tcW w:w="1354" w:type="dxa"/>
            <w:noWrap/>
            <w:vAlign w:val="bottom"/>
            <w:hideMark/>
          </w:tcPr>
          <w:p w14:paraId="17C62EE6" w14:textId="77777777" w:rsidR="00245CBF" w:rsidRPr="008727D0" w:rsidRDefault="00245CBF" w:rsidP="00514011">
            <w:pPr>
              <w:rPr>
                <w:b/>
                <w:bCs/>
              </w:rPr>
            </w:pPr>
            <w:r w:rsidRPr="00E92F0B">
              <w:rPr>
                <w:rFonts w:ascii="Calibri" w:hAnsi="Calibri" w:cs="Calibri"/>
                <w:b/>
                <w:bCs/>
                <w:color w:val="000000"/>
              </w:rPr>
              <w:lastRenderedPageBreak/>
              <w:t>Parameter</w:t>
            </w:r>
          </w:p>
        </w:tc>
        <w:tc>
          <w:tcPr>
            <w:tcW w:w="960" w:type="dxa"/>
            <w:noWrap/>
            <w:vAlign w:val="bottom"/>
            <w:hideMark/>
          </w:tcPr>
          <w:p w14:paraId="2901ED05" w14:textId="77777777" w:rsidR="00245CBF" w:rsidRPr="008727D0" w:rsidRDefault="00245CBF" w:rsidP="00514011">
            <w:pPr>
              <w:rPr>
                <w:b/>
                <w:bCs/>
              </w:rPr>
            </w:pPr>
            <w:r w:rsidRPr="00E92F0B">
              <w:rPr>
                <w:rFonts w:ascii="Calibri" w:hAnsi="Calibri" w:cs="Calibri"/>
                <w:b/>
                <w:bCs/>
                <w:color w:val="000000"/>
              </w:rPr>
              <w:t>Mean</w:t>
            </w:r>
          </w:p>
        </w:tc>
        <w:tc>
          <w:tcPr>
            <w:tcW w:w="960" w:type="dxa"/>
            <w:noWrap/>
            <w:vAlign w:val="bottom"/>
            <w:hideMark/>
          </w:tcPr>
          <w:p w14:paraId="49EEACE3" w14:textId="77777777" w:rsidR="00245CBF" w:rsidRPr="008727D0" w:rsidRDefault="00245CBF" w:rsidP="00514011">
            <w:pPr>
              <w:rPr>
                <w:b/>
                <w:bCs/>
              </w:rPr>
            </w:pPr>
            <w:r w:rsidRPr="00E92F0B">
              <w:rPr>
                <w:rFonts w:ascii="Calibri" w:hAnsi="Calibri" w:cs="Calibri"/>
                <w:b/>
                <w:bCs/>
                <w:color w:val="000000"/>
              </w:rPr>
              <w:t>Median</w:t>
            </w:r>
          </w:p>
        </w:tc>
        <w:tc>
          <w:tcPr>
            <w:tcW w:w="960" w:type="dxa"/>
            <w:noWrap/>
            <w:vAlign w:val="bottom"/>
            <w:hideMark/>
          </w:tcPr>
          <w:p w14:paraId="646B52A9" w14:textId="77777777" w:rsidR="00245CBF" w:rsidRPr="008727D0" w:rsidRDefault="00245CBF" w:rsidP="00514011">
            <w:pPr>
              <w:rPr>
                <w:b/>
                <w:bCs/>
              </w:rPr>
            </w:pPr>
            <w:r w:rsidRPr="00E92F0B">
              <w:rPr>
                <w:rFonts w:ascii="Calibri" w:hAnsi="Calibri" w:cs="Calibri"/>
                <w:b/>
                <w:bCs/>
                <w:color w:val="000000"/>
              </w:rPr>
              <w:t>StDev</w:t>
            </w:r>
          </w:p>
        </w:tc>
        <w:tc>
          <w:tcPr>
            <w:tcW w:w="960" w:type="dxa"/>
            <w:noWrap/>
            <w:vAlign w:val="bottom"/>
            <w:hideMark/>
          </w:tcPr>
          <w:p w14:paraId="044F0134" w14:textId="77777777" w:rsidR="00245CBF" w:rsidRPr="008727D0" w:rsidRDefault="00245CBF" w:rsidP="00514011">
            <w:pPr>
              <w:rPr>
                <w:b/>
                <w:bCs/>
              </w:rPr>
            </w:pPr>
            <w:r w:rsidRPr="00E92F0B">
              <w:rPr>
                <w:rFonts w:ascii="Calibri" w:hAnsi="Calibri" w:cs="Calibri"/>
                <w:b/>
                <w:bCs/>
                <w:color w:val="000000"/>
              </w:rPr>
              <w:t>q5</w:t>
            </w:r>
          </w:p>
        </w:tc>
        <w:tc>
          <w:tcPr>
            <w:tcW w:w="960" w:type="dxa"/>
            <w:noWrap/>
            <w:vAlign w:val="bottom"/>
            <w:hideMark/>
          </w:tcPr>
          <w:p w14:paraId="65EDD944" w14:textId="77777777" w:rsidR="00245CBF" w:rsidRPr="008727D0" w:rsidRDefault="00245CBF" w:rsidP="00514011">
            <w:pPr>
              <w:rPr>
                <w:b/>
                <w:bCs/>
              </w:rPr>
            </w:pPr>
            <w:r w:rsidRPr="00E92F0B">
              <w:rPr>
                <w:rFonts w:ascii="Calibri" w:hAnsi="Calibri" w:cs="Calibri"/>
                <w:b/>
                <w:bCs/>
                <w:color w:val="000000"/>
              </w:rPr>
              <w:t>q95</w:t>
            </w:r>
          </w:p>
        </w:tc>
        <w:tc>
          <w:tcPr>
            <w:tcW w:w="960" w:type="dxa"/>
            <w:noWrap/>
            <w:vAlign w:val="bottom"/>
            <w:hideMark/>
          </w:tcPr>
          <w:p w14:paraId="70B4FA70" w14:textId="77777777" w:rsidR="00245CBF" w:rsidRPr="008727D0" w:rsidRDefault="00245CBF" w:rsidP="00514011">
            <w:pPr>
              <w:rPr>
                <w:b/>
                <w:bCs/>
              </w:rPr>
            </w:pPr>
            <w:r w:rsidRPr="00E92F0B">
              <w:rPr>
                <w:rFonts w:ascii="Calibri" w:hAnsi="Calibri" w:cs="Calibri"/>
                <w:b/>
                <w:bCs/>
                <w:color w:val="000000"/>
              </w:rPr>
              <w:t>rhat</w:t>
            </w:r>
          </w:p>
        </w:tc>
        <w:tc>
          <w:tcPr>
            <w:tcW w:w="1008" w:type="dxa"/>
            <w:noWrap/>
            <w:vAlign w:val="bottom"/>
            <w:hideMark/>
          </w:tcPr>
          <w:p w14:paraId="69F89ABD" w14:textId="77777777" w:rsidR="00245CBF" w:rsidRPr="008727D0" w:rsidRDefault="00245CBF" w:rsidP="00514011">
            <w:pPr>
              <w:rPr>
                <w:b/>
                <w:bCs/>
              </w:rPr>
            </w:pPr>
            <w:r w:rsidRPr="00E92F0B">
              <w:rPr>
                <w:rFonts w:ascii="Calibri" w:hAnsi="Calibri" w:cs="Calibri"/>
                <w:b/>
                <w:bCs/>
                <w:color w:val="000000"/>
              </w:rPr>
              <w:t>ess_bulk</w:t>
            </w:r>
          </w:p>
        </w:tc>
        <w:tc>
          <w:tcPr>
            <w:tcW w:w="960" w:type="dxa"/>
            <w:noWrap/>
            <w:vAlign w:val="bottom"/>
            <w:hideMark/>
          </w:tcPr>
          <w:p w14:paraId="01552ED6" w14:textId="77777777" w:rsidR="00245CBF" w:rsidRPr="008727D0" w:rsidRDefault="00245CBF" w:rsidP="00514011">
            <w:pPr>
              <w:rPr>
                <w:b/>
                <w:bCs/>
              </w:rPr>
            </w:pPr>
            <w:r w:rsidRPr="00E92F0B">
              <w:rPr>
                <w:rFonts w:ascii="Calibri" w:hAnsi="Calibri" w:cs="Calibri"/>
                <w:b/>
                <w:bCs/>
                <w:color w:val="000000"/>
              </w:rPr>
              <w:t>ess_tail</w:t>
            </w:r>
          </w:p>
        </w:tc>
      </w:tr>
      <w:tr w:rsidR="00245CBF" w:rsidRPr="00870621" w14:paraId="0956D216" w14:textId="77777777" w:rsidTr="00514011">
        <w:trPr>
          <w:trHeight w:val="288"/>
        </w:trPr>
        <w:tc>
          <w:tcPr>
            <w:tcW w:w="1354" w:type="dxa"/>
            <w:noWrap/>
            <w:vAlign w:val="bottom"/>
            <w:hideMark/>
          </w:tcPr>
          <w:p w14:paraId="62A42B8A" w14:textId="77777777" w:rsidR="00245CBF" w:rsidRPr="008727D0" w:rsidRDefault="00245CBF" w:rsidP="00514011">
            <w:pPr>
              <w:rPr>
                <w:b/>
                <w:bCs/>
              </w:rPr>
            </w:pPr>
            <w:r w:rsidRPr="00E92F0B">
              <w:rPr>
                <w:rFonts w:ascii="Calibri" w:hAnsi="Calibri" w:cs="Calibri"/>
                <w:b/>
                <w:bCs/>
                <w:color w:val="000000"/>
              </w:rPr>
              <w:t>Intercept</w:t>
            </w:r>
          </w:p>
        </w:tc>
        <w:tc>
          <w:tcPr>
            <w:tcW w:w="960" w:type="dxa"/>
            <w:noWrap/>
            <w:vAlign w:val="bottom"/>
            <w:hideMark/>
          </w:tcPr>
          <w:p w14:paraId="4F272BC4" w14:textId="77777777" w:rsidR="00245CBF" w:rsidRPr="00870621" w:rsidRDefault="00245CBF" w:rsidP="00514011">
            <w:r>
              <w:rPr>
                <w:rFonts w:ascii="Calibri" w:hAnsi="Calibri" w:cs="Calibri"/>
                <w:color w:val="000000"/>
              </w:rPr>
              <w:t>-3.65</w:t>
            </w:r>
          </w:p>
        </w:tc>
        <w:tc>
          <w:tcPr>
            <w:tcW w:w="960" w:type="dxa"/>
            <w:noWrap/>
            <w:vAlign w:val="bottom"/>
            <w:hideMark/>
          </w:tcPr>
          <w:p w14:paraId="2CC6E7DA" w14:textId="77777777" w:rsidR="00245CBF" w:rsidRPr="00870621" w:rsidRDefault="00245CBF" w:rsidP="00514011">
            <w:r>
              <w:rPr>
                <w:rFonts w:ascii="Calibri" w:hAnsi="Calibri" w:cs="Calibri"/>
                <w:color w:val="000000"/>
              </w:rPr>
              <w:t>-3.63</w:t>
            </w:r>
          </w:p>
        </w:tc>
        <w:tc>
          <w:tcPr>
            <w:tcW w:w="960" w:type="dxa"/>
            <w:noWrap/>
            <w:vAlign w:val="bottom"/>
            <w:hideMark/>
          </w:tcPr>
          <w:p w14:paraId="65B97461" w14:textId="77777777" w:rsidR="00245CBF" w:rsidRPr="00870621" w:rsidRDefault="00245CBF" w:rsidP="00514011">
            <w:r>
              <w:rPr>
                <w:rFonts w:ascii="Calibri" w:hAnsi="Calibri" w:cs="Calibri"/>
                <w:color w:val="000000"/>
              </w:rPr>
              <w:t>0.39</w:t>
            </w:r>
          </w:p>
        </w:tc>
        <w:tc>
          <w:tcPr>
            <w:tcW w:w="960" w:type="dxa"/>
            <w:noWrap/>
            <w:vAlign w:val="bottom"/>
            <w:hideMark/>
          </w:tcPr>
          <w:p w14:paraId="16B29371" w14:textId="77777777" w:rsidR="00245CBF" w:rsidRPr="00870621" w:rsidRDefault="00245CBF" w:rsidP="00514011">
            <w:r>
              <w:rPr>
                <w:rFonts w:ascii="Calibri" w:hAnsi="Calibri" w:cs="Calibri"/>
                <w:color w:val="000000"/>
              </w:rPr>
              <w:t>-4.32</w:t>
            </w:r>
          </w:p>
        </w:tc>
        <w:tc>
          <w:tcPr>
            <w:tcW w:w="960" w:type="dxa"/>
            <w:noWrap/>
            <w:vAlign w:val="bottom"/>
            <w:hideMark/>
          </w:tcPr>
          <w:p w14:paraId="5BCF2699" w14:textId="77777777" w:rsidR="00245CBF" w:rsidRPr="00870621" w:rsidRDefault="00245CBF" w:rsidP="00514011">
            <w:r>
              <w:rPr>
                <w:rFonts w:ascii="Calibri" w:hAnsi="Calibri" w:cs="Calibri"/>
                <w:color w:val="000000"/>
              </w:rPr>
              <w:t>-3.01</w:t>
            </w:r>
          </w:p>
        </w:tc>
        <w:tc>
          <w:tcPr>
            <w:tcW w:w="960" w:type="dxa"/>
            <w:noWrap/>
            <w:vAlign w:val="bottom"/>
            <w:hideMark/>
          </w:tcPr>
          <w:p w14:paraId="35089F8A" w14:textId="77777777" w:rsidR="00245CBF" w:rsidRPr="00870621" w:rsidRDefault="00245CBF" w:rsidP="00514011">
            <w:r>
              <w:rPr>
                <w:rFonts w:ascii="Calibri" w:hAnsi="Calibri" w:cs="Calibri"/>
                <w:color w:val="000000"/>
              </w:rPr>
              <w:t>1.00</w:t>
            </w:r>
          </w:p>
        </w:tc>
        <w:tc>
          <w:tcPr>
            <w:tcW w:w="1008" w:type="dxa"/>
            <w:noWrap/>
            <w:vAlign w:val="bottom"/>
            <w:hideMark/>
          </w:tcPr>
          <w:p w14:paraId="26DD3073" w14:textId="77777777" w:rsidR="00245CBF" w:rsidRPr="00870621" w:rsidRDefault="00245CBF" w:rsidP="00514011">
            <w:r>
              <w:rPr>
                <w:rFonts w:ascii="Calibri" w:hAnsi="Calibri" w:cs="Calibri"/>
                <w:color w:val="000000"/>
              </w:rPr>
              <w:t>1457.36</w:t>
            </w:r>
          </w:p>
        </w:tc>
        <w:tc>
          <w:tcPr>
            <w:tcW w:w="960" w:type="dxa"/>
            <w:noWrap/>
            <w:vAlign w:val="bottom"/>
            <w:hideMark/>
          </w:tcPr>
          <w:p w14:paraId="0E9871EA" w14:textId="77777777" w:rsidR="00245CBF" w:rsidRPr="00870621" w:rsidRDefault="00245CBF" w:rsidP="00514011">
            <w:r>
              <w:rPr>
                <w:rFonts w:ascii="Calibri" w:hAnsi="Calibri" w:cs="Calibri"/>
                <w:color w:val="000000"/>
              </w:rPr>
              <w:t>1998.09</w:t>
            </w:r>
          </w:p>
        </w:tc>
      </w:tr>
      <w:tr w:rsidR="00245CBF" w:rsidRPr="00870621" w14:paraId="2859CD06" w14:textId="77777777" w:rsidTr="00514011">
        <w:trPr>
          <w:trHeight w:val="288"/>
        </w:trPr>
        <w:tc>
          <w:tcPr>
            <w:tcW w:w="1354" w:type="dxa"/>
            <w:noWrap/>
            <w:vAlign w:val="bottom"/>
            <w:hideMark/>
          </w:tcPr>
          <w:p w14:paraId="62C652AF" w14:textId="77777777" w:rsidR="00245CBF" w:rsidRPr="008727D0" w:rsidRDefault="00245CBF" w:rsidP="00514011">
            <w:pPr>
              <w:rPr>
                <w:b/>
                <w:bCs/>
              </w:rPr>
            </w:pPr>
            <w:r w:rsidRPr="00E92F0B">
              <w:rPr>
                <w:rFonts w:ascii="Calibri" w:hAnsi="Calibri" w:cs="Calibri"/>
                <w:b/>
                <w:bCs/>
                <w:color w:val="000000"/>
              </w:rPr>
              <w:t>DBH (m)</w:t>
            </w:r>
          </w:p>
        </w:tc>
        <w:tc>
          <w:tcPr>
            <w:tcW w:w="960" w:type="dxa"/>
            <w:noWrap/>
            <w:vAlign w:val="bottom"/>
            <w:hideMark/>
          </w:tcPr>
          <w:p w14:paraId="6D5EE25B" w14:textId="77777777" w:rsidR="00245CBF" w:rsidRPr="00870621" w:rsidRDefault="00245CBF" w:rsidP="00514011">
            <w:r>
              <w:rPr>
                <w:rFonts w:ascii="Calibri" w:hAnsi="Calibri" w:cs="Calibri"/>
                <w:color w:val="000000"/>
              </w:rPr>
              <w:t>4.38</w:t>
            </w:r>
          </w:p>
        </w:tc>
        <w:tc>
          <w:tcPr>
            <w:tcW w:w="960" w:type="dxa"/>
            <w:noWrap/>
            <w:vAlign w:val="bottom"/>
            <w:hideMark/>
          </w:tcPr>
          <w:p w14:paraId="6C1EB4A4" w14:textId="77777777" w:rsidR="00245CBF" w:rsidRPr="00870621" w:rsidRDefault="00245CBF" w:rsidP="00514011">
            <w:r>
              <w:rPr>
                <w:rFonts w:ascii="Calibri" w:hAnsi="Calibri" w:cs="Calibri"/>
                <w:color w:val="000000"/>
              </w:rPr>
              <w:t>4.38</w:t>
            </w:r>
          </w:p>
        </w:tc>
        <w:tc>
          <w:tcPr>
            <w:tcW w:w="960" w:type="dxa"/>
            <w:noWrap/>
            <w:vAlign w:val="bottom"/>
            <w:hideMark/>
          </w:tcPr>
          <w:p w14:paraId="7104F3E2" w14:textId="77777777" w:rsidR="00245CBF" w:rsidRPr="00870621" w:rsidRDefault="00245CBF" w:rsidP="00514011">
            <w:r>
              <w:rPr>
                <w:rFonts w:ascii="Calibri" w:hAnsi="Calibri" w:cs="Calibri"/>
                <w:color w:val="000000"/>
              </w:rPr>
              <w:t>0.68</w:t>
            </w:r>
          </w:p>
        </w:tc>
        <w:tc>
          <w:tcPr>
            <w:tcW w:w="960" w:type="dxa"/>
            <w:noWrap/>
            <w:vAlign w:val="bottom"/>
            <w:hideMark/>
          </w:tcPr>
          <w:p w14:paraId="660D0C20" w14:textId="77777777" w:rsidR="00245CBF" w:rsidRPr="00870621" w:rsidRDefault="00245CBF" w:rsidP="00514011">
            <w:r>
              <w:rPr>
                <w:rFonts w:ascii="Calibri" w:hAnsi="Calibri" w:cs="Calibri"/>
                <w:color w:val="000000"/>
              </w:rPr>
              <w:t>3.28</w:t>
            </w:r>
          </w:p>
        </w:tc>
        <w:tc>
          <w:tcPr>
            <w:tcW w:w="960" w:type="dxa"/>
            <w:noWrap/>
            <w:vAlign w:val="bottom"/>
            <w:hideMark/>
          </w:tcPr>
          <w:p w14:paraId="1D971E8A" w14:textId="77777777" w:rsidR="00245CBF" w:rsidRPr="00870621" w:rsidRDefault="00245CBF" w:rsidP="00514011">
            <w:r>
              <w:rPr>
                <w:rFonts w:ascii="Calibri" w:hAnsi="Calibri" w:cs="Calibri"/>
                <w:color w:val="000000"/>
              </w:rPr>
              <w:t>5.52</w:t>
            </w:r>
          </w:p>
        </w:tc>
        <w:tc>
          <w:tcPr>
            <w:tcW w:w="960" w:type="dxa"/>
            <w:noWrap/>
            <w:vAlign w:val="bottom"/>
            <w:hideMark/>
          </w:tcPr>
          <w:p w14:paraId="497B51B9" w14:textId="77777777" w:rsidR="00245CBF" w:rsidRPr="00870621" w:rsidRDefault="00245CBF" w:rsidP="00514011">
            <w:r>
              <w:rPr>
                <w:rFonts w:ascii="Calibri" w:hAnsi="Calibri" w:cs="Calibri"/>
                <w:color w:val="000000"/>
              </w:rPr>
              <w:t>1.00</w:t>
            </w:r>
          </w:p>
        </w:tc>
        <w:tc>
          <w:tcPr>
            <w:tcW w:w="1008" w:type="dxa"/>
            <w:noWrap/>
            <w:vAlign w:val="bottom"/>
            <w:hideMark/>
          </w:tcPr>
          <w:p w14:paraId="1AFB0BE3" w14:textId="77777777" w:rsidR="00245CBF" w:rsidRPr="00870621" w:rsidRDefault="00245CBF" w:rsidP="00514011">
            <w:r>
              <w:rPr>
                <w:rFonts w:ascii="Calibri" w:hAnsi="Calibri" w:cs="Calibri"/>
                <w:color w:val="000000"/>
              </w:rPr>
              <w:t>1452.09</w:t>
            </w:r>
          </w:p>
        </w:tc>
        <w:tc>
          <w:tcPr>
            <w:tcW w:w="960" w:type="dxa"/>
            <w:noWrap/>
            <w:vAlign w:val="bottom"/>
            <w:hideMark/>
          </w:tcPr>
          <w:p w14:paraId="2C03C999" w14:textId="77777777" w:rsidR="00245CBF" w:rsidRPr="00870621" w:rsidRDefault="00245CBF" w:rsidP="00514011">
            <w:r>
              <w:rPr>
                <w:rFonts w:ascii="Calibri" w:hAnsi="Calibri" w:cs="Calibri"/>
                <w:color w:val="000000"/>
              </w:rPr>
              <w:t>1771.06</w:t>
            </w:r>
          </w:p>
        </w:tc>
      </w:tr>
      <w:tr w:rsidR="00245CBF" w:rsidRPr="00870621" w14:paraId="3CA3B22A" w14:textId="77777777" w:rsidTr="00514011">
        <w:trPr>
          <w:trHeight w:val="288"/>
        </w:trPr>
        <w:tc>
          <w:tcPr>
            <w:tcW w:w="1354" w:type="dxa"/>
            <w:noWrap/>
            <w:vAlign w:val="bottom"/>
            <w:hideMark/>
          </w:tcPr>
          <w:p w14:paraId="181B1BE0" w14:textId="77777777" w:rsidR="00245CBF" w:rsidRPr="008727D0" w:rsidRDefault="00245CBF" w:rsidP="00514011">
            <w:pPr>
              <w:rPr>
                <w:b/>
                <w:bCs/>
              </w:rPr>
            </w:pPr>
            <w:r w:rsidRPr="00E92F0B">
              <w:rPr>
                <w:rFonts w:ascii="Calibri" w:hAnsi="Calibri" w:cs="Calibri"/>
                <w:b/>
                <w:bCs/>
                <w:color w:val="000000"/>
              </w:rPr>
              <w:t>DBH^2 (m)</w:t>
            </w:r>
          </w:p>
        </w:tc>
        <w:tc>
          <w:tcPr>
            <w:tcW w:w="960" w:type="dxa"/>
            <w:noWrap/>
            <w:vAlign w:val="bottom"/>
            <w:hideMark/>
          </w:tcPr>
          <w:p w14:paraId="630918CB" w14:textId="77777777" w:rsidR="00245CBF" w:rsidRPr="00870621" w:rsidRDefault="00245CBF" w:rsidP="00514011">
            <w:r>
              <w:rPr>
                <w:rFonts w:ascii="Calibri" w:hAnsi="Calibri" w:cs="Calibri"/>
                <w:color w:val="000000"/>
              </w:rPr>
              <w:t>-1.27</w:t>
            </w:r>
          </w:p>
        </w:tc>
        <w:tc>
          <w:tcPr>
            <w:tcW w:w="960" w:type="dxa"/>
            <w:noWrap/>
            <w:vAlign w:val="bottom"/>
            <w:hideMark/>
          </w:tcPr>
          <w:p w14:paraId="6F091B54" w14:textId="77777777" w:rsidR="00245CBF" w:rsidRPr="00870621" w:rsidRDefault="00245CBF" w:rsidP="00514011">
            <w:r>
              <w:rPr>
                <w:rFonts w:ascii="Calibri" w:hAnsi="Calibri" w:cs="Calibri"/>
                <w:color w:val="000000"/>
              </w:rPr>
              <w:t>-1.27</w:t>
            </w:r>
          </w:p>
        </w:tc>
        <w:tc>
          <w:tcPr>
            <w:tcW w:w="960" w:type="dxa"/>
            <w:noWrap/>
            <w:vAlign w:val="bottom"/>
            <w:hideMark/>
          </w:tcPr>
          <w:p w14:paraId="4B6A61D2" w14:textId="77777777" w:rsidR="00245CBF" w:rsidRPr="00870621" w:rsidRDefault="00245CBF" w:rsidP="00514011">
            <w:r>
              <w:rPr>
                <w:rFonts w:ascii="Calibri" w:hAnsi="Calibri" w:cs="Calibri"/>
                <w:color w:val="000000"/>
              </w:rPr>
              <w:t>0.29</w:t>
            </w:r>
          </w:p>
        </w:tc>
        <w:tc>
          <w:tcPr>
            <w:tcW w:w="960" w:type="dxa"/>
            <w:noWrap/>
            <w:vAlign w:val="bottom"/>
            <w:hideMark/>
          </w:tcPr>
          <w:p w14:paraId="4B379C51" w14:textId="77777777" w:rsidR="00245CBF" w:rsidRPr="00870621" w:rsidRDefault="00245CBF" w:rsidP="00514011">
            <w:r>
              <w:rPr>
                <w:rFonts w:ascii="Calibri" w:hAnsi="Calibri" w:cs="Calibri"/>
                <w:color w:val="000000"/>
              </w:rPr>
              <w:t>-1.75</w:t>
            </w:r>
          </w:p>
        </w:tc>
        <w:tc>
          <w:tcPr>
            <w:tcW w:w="960" w:type="dxa"/>
            <w:noWrap/>
            <w:vAlign w:val="bottom"/>
            <w:hideMark/>
          </w:tcPr>
          <w:p w14:paraId="2F749FE6" w14:textId="77777777" w:rsidR="00245CBF" w:rsidRPr="00870621" w:rsidRDefault="00245CBF" w:rsidP="00514011">
            <w:r>
              <w:rPr>
                <w:rFonts w:ascii="Calibri" w:hAnsi="Calibri" w:cs="Calibri"/>
                <w:color w:val="000000"/>
              </w:rPr>
              <w:t>-0.80</w:t>
            </w:r>
          </w:p>
        </w:tc>
        <w:tc>
          <w:tcPr>
            <w:tcW w:w="960" w:type="dxa"/>
            <w:noWrap/>
            <w:vAlign w:val="bottom"/>
            <w:hideMark/>
          </w:tcPr>
          <w:p w14:paraId="2827178B" w14:textId="77777777" w:rsidR="00245CBF" w:rsidRPr="00870621" w:rsidRDefault="00245CBF" w:rsidP="00514011">
            <w:r>
              <w:rPr>
                <w:rFonts w:ascii="Calibri" w:hAnsi="Calibri" w:cs="Calibri"/>
                <w:color w:val="000000"/>
              </w:rPr>
              <w:t>1.00</w:t>
            </w:r>
          </w:p>
        </w:tc>
        <w:tc>
          <w:tcPr>
            <w:tcW w:w="1008" w:type="dxa"/>
            <w:noWrap/>
            <w:vAlign w:val="bottom"/>
            <w:hideMark/>
          </w:tcPr>
          <w:p w14:paraId="7EBEF2EE" w14:textId="77777777" w:rsidR="00245CBF" w:rsidRPr="00870621" w:rsidRDefault="00245CBF" w:rsidP="00514011">
            <w:r>
              <w:rPr>
                <w:rFonts w:ascii="Calibri" w:hAnsi="Calibri" w:cs="Calibri"/>
                <w:color w:val="000000"/>
              </w:rPr>
              <w:t>1638.78</w:t>
            </w:r>
          </w:p>
        </w:tc>
        <w:tc>
          <w:tcPr>
            <w:tcW w:w="960" w:type="dxa"/>
            <w:noWrap/>
            <w:vAlign w:val="bottom"/>
            <w:hideMark/>
          </w:tcPr>
          <w:p w14:paraId="7E7A8094" w14:textId="77777777" w:rsidR="00245CBF" w:rsidRPr="00870621" w:rsidRDefault="00245CBF" w:rsidP="00514011">
            <w:r>
              <w:rPr>
                <w:rFonts w:ascii="Calibri" w:hAnsi="Calibri" w:cs="Calibri"/>
                <w:color w:val="000000"/>
              </w:rPr>
              <w:t>2025.90</w:t>
            </w:r>
          </w:p>
        </w:tc>
      </w:tr>
      <w:tr w:rsidR="00245CBF" w:rsidRPr="00870621" w14:paraId="01026377" w14:textId="77777777" w:rsidTr="00514011">
        <w:trPr>
          <w:trHeight w:val="288"/>
        </w:trPr>
        <w:tc>
          <w:tcPr>
            <w:tcW w:w="1354" w:type="dxa"/>
            <w:noWrap/>
            <w:vAlign w:val="bottom"/>
            <w:hideMark/>
          </w:tcPr>
          <w:p w14:paraId="6EF6CD99" w14:textId="77777777" w:rsidR="00245CBF" w:rsidRPr="008727D0" w:rsidRDefault="00245CBF" w:rsidP="00514011">
            <w:pPr>
              <w:rPr>
                <w:b/>
                <w:bCs/>
              </w:rPr>
            </w:pPr>
            <w:r w:rsidRPr="00E92F0B">
              <w:rPr>
                <w:rFonts w:ascii="Calibri" w:hAnsi="Calibri" w:cs="Calibri"/>
                <w:b/>
                <w:bCs/>
                <w:color w:val="000000"/>
              </w:rPr>
              <w:t>Fire</w:t>
            </w:r>
          </w:p>
        </w:tc>
        <w:tc>
          <w:tcPr>
            <w:tcW w:w="960" w:type="dxa"/>
            <w:noWrap/>
            <w:vAlign w:val="bottom"/>
            <w:hideMark/>
          </w:tcPr>
          <w:p w14:paraId="0D3A4658" w14:textId="77777777" w:rsidR="00245CBF" w:rsidRPr="00870621" w:rsidRDefault="00245CBF" w:rsidP="00514011">
            <w:r>
              <w:rPr>
                <w:rFonts w:ascii="Calibri" w:hAnsi="Calibri" w:cs="Calibri"/>
                <w:color w:val="000000"/>
              </w:rPr>
              <w:t>-0.27</w:t>
            </w:r>
          </w:p>
        </w:tc>
        <w:tc>
          <w:tcPr>
            <w:tcW w:w="960" w:type="dxa"/>
            <w:noWrap/>
            <w:vAlign w:val="bottom"/>
            <w:hideMark/>
          </w:tcPr>
          <w:p w14:paraId="0FA956D8" w14:textId="77777777" w:rsidR="00245CBF" w:rsidRPr="00870621" w:rsidRDefault="00245CBF" w:rsidP="00514011">
            <w:r>
              <w:rPr>
                <w:rFonts w:ascii="Calibri" w:hAnsi="Calibri" w:cs="Calibri"/>
                <w:color w:val="000000"/>
              </w:rPr>
              <w:t>-0.20</w:t>
            </w:r>
          </w:p>
        </w:tc>
        <w:tc>
          <w:tcPr>
            <w:tcW w:w="960" w:type="dxa"/>
            <w:noWrap/>
            <w:vAlign w:val="bottom"/>
            <w:hideMark/>
          </w:tcPr>
          <w:p w14:paraId="6E754AC6" w14:textId="77777777" w:rsidR="00245CBF" w:rsidRPr="00870621" w:rsidRDefault="00245CBF" w:rsidP="00514011">
            <w:r>
              <w:rPr>
                <w:rFonts w:ascii="Calibri" w:hAnsi="Calibri" w:cs="Calibri"/>
                <w:color w:val="000000"/>
              </w:rPr>
              <w:t>1.02</w:t>
            </w:r>
          </w:p>
        </w:tc>
        <w:tc>
          <w:tcPr>
            <w:tcW w:w="960" w:type="dxa"/>
            <w:noWrap/>
            <w:vAlign w:val="bottom"/>
            <w:hideMark/>
          </w:tcPr>
          <w:p w14:paraId="24C27183" w14:textId="77777777" w:rsidR="00245CBF" w:rsidRPr="00870621" w:rsidRDefault="00245CBF" w:rsidP="00514011">
            <w:r>
              <w:rPr>
                <w:rFonts w:ascii="Calibri" w:hAnsi="Calibri" w:cs="Calibri"/>
                <w:color w:val="000000"/>
              </w:rPr>
              <w:t>-2.03</w:t>
            </w:r>
          </w:p>
        </w:tc>
        <w:tc>
          <w:tcPr>
            <w:tcW w:w="960" w:type="dxa"/>
            <w:noWrap/>
            <w:vAlign w:val="bottom"/>
            <w:hideMark/>
          </w:tcPr>
          <w:p w14:paraId="52897180" w14:textId="77777777" w:rsidR="00245CBF" w:rsidRPr="00870621" w:rsidRDefault="00245CBF" w:rsidP="00514011">
            <w:r>
              <w:rPr>
                <w:rFonts w:ascii="Calibri" w:hAnsi="Calibri" w:cs="Calibri"/>
                <w:color w:val="000000"/>
              </w:rPr>
              <w:t>1.30</w:t>
            </w:r>
          </w:p>
        </w:tc>
        <w:tc>
          <w:tcPr>
            <w:tcW w:w="960" w:type="dxa"/>
            <w:noWrap/>
            <w:vAlign w:val="bottom"/>
            <w:hideMark/>
          </w:tcPr>
          <w:p w14:paraId="7DD41D34" w14:textId="77777777" w:rsidR="00245CBF" w:rsidRPr="00870621" w:rsidRDefault="00245CBF" w:rsidP="00514011">
            <w:r>
              <w:rPr>
                <w:rFonts w:ascii="Calibri" w:hAnsi="Calibri" w:cs="Calibri"/>
                <w:color w:val="000000"/>
              </w:rPr>
              <w:t>1.00</w:t>
            </w:r>
          </w:p>
        </w:tc>
        <w:tc>
          <w:tcPr>
            <w:tcW w:w="1008" w:type="dxa"/>
            <w:noWrap/>
            <w:vAlign w:val="bottom"/>
            <w:hideMark/>
          </w:tcPr>
          <w:p w14:paraId="4D714EB3" w14:textId="77777777" w:rsidR="00245CBF" w:rsidRPr="00870621" w:rsidRDefault="00245CBF" w:rsidP="00514011">
            <w:r>
              <w:rPr>
                <w:rFonts w:ascii="Calibri" w:hAnsi="Calibri" w:cs="Calibri"/>
                <w:color w:val="000000"/>
              </w:rPr>
              <w:t>1798.17</w:t>
            </w:r>
          </w:p>
        </w:tc>
        <w:tc>
          <w:tcPr>
            <w:tcW w:w="960" w:type="dxa"/>
            <w:noWrap/>
            <w:vAlign w:val="bottom"/>
            <w:hideMark/>
          </w:tcPr>
          <w:p w14:paraId="0EE4F7C8" w14:textId="77777777" w:rsidR="00245CBF" w:rsidRPr="00870621" w:rsidRDefault="00245CBF" w:rsidP="00514011">
            <w:r>
              <w:rPr>
                <w:rFonts w:ascii="Calibri" w:hAnsi="Calibri" w:cs="Calibri"/>
                <w:color w:val="000000"/>
              </w:rPr>
              <w:t>2444.86</w:t>
            </w:r>
          </w:p>
        </w:tc>
      </w:tr>
      <w:tr w:rsidR="00245CBF" w:rsidRPr="00870621" w14:paraId="743F2DB6" w14:textId="77777777" w:rsidTr="00514011">
        <w:trPr>
          <w:trHeight w:val="288"/>
        </w:trPr>
        <w:tc>
          <w:tcPr>
            <w:tcW w:w="1354" w:type="dxa"/>
            <w:noWrap/>
            <w:vAlign w:val="bottom"/>
            <w:hideMark/>
          </w:tcPr>
          <w:p w14:paraId="53AE7B5C" w14:textId="77777777" w:rsidR="00245CBF" w:rsidRPr="008727D0" w:rsidRDefault="00245CBF" w:rsidP="00514011">
            <w:pPr>
              <w:rPr>
                <w:b/>
                <w:bCs/>
              </w:rPr>
            </w:pPr>
            <w:r w:rsidRPr="00E92F0B">
              <w:rPr>
                <w:rFonts w:ascii="Calibri" w:hAnsi="Calibri" w:cs="Calibri"/>
                <w:b/>
                <w:bCs/>
                <w:color w:val="000000"/>
              </w:rPr>
              <w:t>WPBR</w:t>
            </w:r>
          </w:p>
        </w:tc>
        <w:tc>
          <w:tcPr>
            <w:tcW w:w="960" w:type="dxa"/>
            <w:noWrap/>
            <w:vAlign w:val="bottom"/>
            <w:hideMark/>
          </w:tcPr>
          <w:p w14:paraId="67BF5BED" w14:textId="77777777" w:rsidR="00245CBF" w:rsidRPr="00870621" w:rsidRDefault="00245CBF" w:rsidP="00514011">
            <w:r>
              <w:rPr>
                <w:rFonts w:ascii="Calibri" w:hAnsi="Calibri" w:cs="Calibri"/>
                <w:color w:val="000000"/>
              </w:rPr>
              <w:t>-2.14</w:t>
            </w:r>
          </w:p>
        </w:tc>
        <w:tc>
          <w:tcPr>
            <w:tcW w:w="960" w:type="dxa"/>
            <w:noWrap/>
            <w:vAlign w:val="bottom"/>
            <w:hideMark/>
          </w:tcPr>
          <w:p w14:paraId="333680CB" w14:textId="77777777" w:rsidR="00245CBF" w:rsidRPr="00870621" w:rsidRDefault="00245CBF" w:rsidP="00514011">
            <w:r>
              <w:rPr>
                <w:rFonts w:ascii="Calibri" w:hAnsi="Calibri" w:cs="Calibri"/>
                <w:color w:val="000000"/>
              </w:rPr>
              <w:t>-2.08</w:t>
            </w:r>
          </w:p>
        </w:tc>
        <w:tc>
          <w:tcPr>
            <w:tcW w:w="960" w:type="dxa"/>
            <w:noWrap/>
            <w:vAlign w:val="bottom"/>
            <w:hideMark/>
          </w:tcPr>
          <w:p w14:paraId="4CF7C296" w14:textId="77777777" w:rsidR="00245CBF" w:rsidRPr="00870621" w:rsidRDefault="00245CBF" w:rsidP="00514011">
            <w:r>
              <w:rPr>
                <w:rFonts w:ascii="Calibri" w:hAnsi="Calibri" w:cs="Calibri"/>
                <w:color w:val="000000"/>
              </w:rPr>
              <w:t>1.45</w:t>
            </w:r>
          </w:p>
        </w:tc>
        <w:tc>
          <w:tcPr>
            <w:tcW w:w="960" w:type="dxa"/>
            <w:noWrap/>
            <w:vAlign w:val="bottom"/>
            <w:hideMark/>
          </w:tcPr>
          <w:p w14:paraId="57F0E256" w14:textId="77777777" w:rsidR="00245CBF" w:rsidRPr="00870621" w:rsidRDefault="00245CBF" w:rsidP="00514011">
            <w:r>
              <w:rPr>
                <w:rFonts w:ascii="Calibri" w:hAnsi="Calibri" w:cs="Calibri"/>
                <w:color w:val="000000"/>
              </w:rPr>
              <w:t>-4.67</w:t>
            </w:r>
          </w:p>
        </w:tc>
        <w:tc>
          <w:tcPr>
            <w:tcW w:w="960" w:type="dxa"/>
            <w:noWrap/>
            <w:vAlign w:val="bottom"/>
            <w:hideMark/>
          </w:tcPr>
          <w:p w14:paraId="4F27E205" w14:textId="77777777" w:rsidR="00245CBF" w:rsidRPr="00870621" w:rsidRDefault="00245CBF" w:rsidP="00514011">
            <w:r>
              <w:rPr>
                <w:rFonts w:ascii="Calibri" w:hAnsi="Calibri" w:cs="Calibri"/>
                <w:color w:val="000000"/>
              </w:rPr>
              <w:t>0.13</w:t>
            </w:r>
          </w:p>
        </w:tc>
        <w:tc>
          <w:tcPr>
            <w:tcW w:w="960" w:type="dxa"/>
            <w:noWrap/>
            <w:vAlign w:val="bottom"/>
            <w:hideMark/>
          </w:tcPr>
          <w:p w14:paraId="4816BF6B" w14:textId="77777777" w:rsidR="00245CBF" w:rsidRPr="00870621" w:rsidRDefault="00245CBF" w:rsidP="00514011">
            <w:r>
              <w:rPr>
                <w:rFonts w:ascii="Calibri" w:hAnsi="Calibri" w:cs="Calibri"/>
                <w:color w:val="000000"/>
              </w:rPr>
              <w:t>1.00</w:t>
            </w:r>
          </w:p>
        </w:tc>
        <w:tc>
          <w:tcPr>
            <w:tcW w:w="1008" w:type="dxa"/>
            <w:noWrap/>
            <w:vAlign w:val="bottom"/>
            <w:hideMark/>
          </w:tcPr>
          <w:p w14:paraId="2BBA5167" w14:textId="77777777" w:rsidR="00245CBF" w:rsidRPr="00870621" w:rsidRDefault="00245CBF" w:rsidP="00514011">
            <w:r>
              <w:rPr>
                <w:rFonts w:ascii="Calibri" w:hAnsi="Calibri" w:cs="Calibri"/>
                <w:color w:val="000000"/>
              </w:rPr>
              <w:t>2005.95</w:t>
            </w:r>
          </w:p>
        </w:tc>
        <w:tc>
          <w:tcPr>
            <w:tcW w:w="960" w:type="dxa"/>
            <w:noWrap/>
            <w:vAlign w:val="bottom"/>
            <w:hideMark/>
          </w:tcPr>
          <w:p w14:paraId="25D1949E" w14:textId="77777777" w:rsidR="00245CBF" w:rsidRPr="00870621" w:rsidRDefault="00245CBF" w:rsidP="00514011">
            <w:r>
              <w:rPr>
                <w:rFonts w:ascii="Calibri" w:hAnsi="Calibri" w:cs="Calibri"/>
                <w:color w:val="000000"/>
              </w:rPr>
              <w:t>1710.63</w:t>
            </w:r>
          </w:p>
        </w:tc>
      </w:tr>
      <w:tr w:rsidR="00245CBF" w:rsidRPr="00870621" w14:paraId="075E91C0" w14:textId="77777777" w:rsidTr="00514011">
        <w:trPr>
          <w:trHeight w:val="288"/>
        </w:trPr>
        <w:tc>
          <w:tcPr>
            <w:tcW w:w="1354" w:type="dxa"/>
            <w:noWrap/>
            <w:vAlign w:val="bottom"/>
            <w:hideMark/>
          </w:tcPr>
          <w:p w14:paraId="36C9A7CA" w14:textId="77777777" w:rsidR="00245CBF" w:rsidRPr="008727D0" w:rsidRDefault="00245CBF" w:rsidP="00514011">
            <w:pPr>
              <w:rPr>
                <w:b/>
                <w:bCs/>
              </w:rPr>
            </w:pPr>
            <w:r w:rsidRPr="00E92F0B">
              <w:rPr>
                <w:rFonts w:ascii="Calibri" w:hAnsi="Calibri" w:cs="Calibri"/>
                <w:b/>
                <w:bCs/>
                <w:color w:val="000000"/>
              </w:rPr>
              <w:t>Basal Area</w:t>
            </w:r>
          </w:p>
        </w:tc>
        <w:tc>
          <w:tcPr>
            <w:tcW w:w="960" w:type="dxa"/>
            <w:noWrap/>
            <w:vAlign w:val="bottom"/>
            <w:hideMark/>
          </w:tcPr>
          <w:p w14:paraId="7136AFD8" w14:textId="77777777" w:rsidR="00245CBF" w:rsidRPr="00870621" w:rsidRDefault="00245CBF" w:rsidP="00514011">
            <w:r>
              <w:rPr>
                <w:rFonts w:ascii="Calibri" w:hAnsi="Calibri" w:cs="Calibri"/>
                <w:color w:val="000000"/>
              </w:rPr>
              <w:t>0.40</w:t>
            </w:r>
          </w:p>
        </w:tc>
        <w:tc>
          <w:tcPr>
            <w:tcW w:w="960" w:type="dxa"/>
            <w:noWrap/>
            <w:vAlign w:val="bottom"/>
            <w:hideMark/>
          </w:tcPr>
          <w:p w14:paraId="5A04EBE6" w14:textId="77777777" w:rsidR="00245CBF" w:rsidRPr="00870621" w:rsidRDefault="00245CBF" w:rsidP="00514011">
            <w:r>
              <w:rPr>
                <w:rFonts w:ascii="Calibri" w:hAnsi="Calibri" w:cs="Calibri"/>
                <w:color w:val="000000"/>
              </w:rPr>
              <w:t>0.40</w:t>
            </w:r>
          </w:p>
        </w:tc>
        <w:tc>
          <w:tcPr>
            <w:tcW w:w="960" w:type="dxa"/>
            <w:noWrap/>
            <w:vAlign w:val="bottom"/>
            <w:hideMark/>
          </w:tcPr>
          <w:p w14:paraId="09DACF45" w14:textId="77777777" w:rsidR="00245CBF" w:rsidRPr="00870621" w:rsidRDefault="00245CBF" w:rsidP="00514011">
            <w:r>
              <w:rPr>
                <w:rFonts w:ascii="Calibri" w:hAnsi="Calibri" w:cs="Calibri"/>
                <w:color w:val="000000"/>
              </w:rPr>
              <w:t>0.31</w:t>
            </w:r>
          </w:p>
        </w:tc>
        <w:tc>
          <w:tcPr>
            <w:tcW w:w="960" w:type="dxa"/>
            <w:noWrap/>
            <w:vAlign w:val="bottom"/>
            <w:hideMark/>
          </w:tcPr>
          <w:p w14:paraId="2A4E2F15" w14:textId="77777777" w:rsidR="00245CBF" w:rsidRPr="00870621" w:rsidRDefault="00245CBF" w:rsidP="00514011">
            <w:r>
              <w:rPr>
                <w:rFonts w:ascii="Calibri" w:hAnsi="Calibri" w:cs="Calibri"/>
                <w:color w:val="000000"/>
              </w:rPr>
              <w:t>-0.10</w:t>
            </w:r>
          </w:p>
        </w:tc>
        <w:tc>
          <w:tcPr>
            <w:tcW w:w="960" w:type="dxa"/>
            <w:noWrap/>
            <w:vAlign w:val="bottom"/>
            <w:hideMark/>
          </w:tcPr>
          <w:p w14:paraId="14710821" w14:textId="77777777" w:rsidR="00245CBF" w:rsidRPr="00870621" w:rsidRDefault="00245CBF" w:rsidP="00514011">
            <w:r>
              <w:rPr>
                <w:rFonts w:ascii="Calibri" w:hAnsi="Calibri" w:cs="Calibri"/>
                <w:color w:val="000000"/>
              </w:rPr>
              <w:t>0.93</w:t>
            </w:r>
          </w:p>
        </w:tc>
        <w:tc>
          <w:tcPr>
            <w:tcW w:w="960" w:type="dxa"/>
            <w:noWrap/>
            <w:vAlign w:val="bottom"/>
            <w:hideMark/>
          </w:tcPr>
          <w:p w14:paraId="4F51A91D" w14:textId="77777777" w:rsidR="00245CBF" w:rsidRPr="00870621" w:rsidRDefault="00245CBF" w:rsidP="00514011">
            <w:r>
              <w:rPr>
                <w:rFonts w:ascii="Calibri" w:hAnsi="Calibri" w:cs="Calibri"/>
                <w:color w:val="000000"/>
              </w:rPr>
              <w:t>1.00</w:t>
            </w:r>
          </w:p>
        </w:tc>
        <w:tc>
          <w:tcPr>
            <w:tcW w:w="1008" w:type="dxa"/>
            <w:noWrap/>
            <w:vAlign w:val="bottom"/>
            <w:hideMark/>
          </w:tcPr>
          <w:p w14:paraId="0AD1902F" w14:textId="77777777" w:rsidR="00245CBF" w:rsidRPr="00870621" w:rsidRDefault="00245CBF" w:rsidP="00514011">
            <w:r>
              <w:rPr>
                <w:rFonts w:ascii="Calibri" w:hAnsi="Calibri" w:cs="Calibri"/>
                <w:color w:val="000000"/>
              </w:rPr>
              <w:t>1817.20</w:t>
            </w:r>
          </w:p>
        </w:tc>
        <w:tc>
          <w:tcPr>
            <w:tcW w:w="960" w:type="dxa"/>
            <w:noWrap/>
            <w:vAlign w:val="bottom"/>
            <w:hideMark/>
          </w:tcPr>
          <w:p w14:paraId="24951BF7" w14:textId="77777777" w:rsidR="00245CBF" w:rsidRPr="00870621" w:rsidRDefault="00245CBF" w:rsidP="00514011">
            <w:r>
              <w:rPr>
                <w:rFonts w:ascii="Calibri" w:hAnsi="Calibri" w:cs="Calibri"/>
                <w:color w:val="000000"/>
              </w:rPr>
              <w:t>2445.80</w:t>
            </w:r>
          </w:p>
        </w:tc>
      </w:tr>
      <w:tr w:rsidR="00245CBF" w:rsidRPr="00870621" w14:paraId="37AC5EC5" w14:textId="77777777" w:rsidTr="00514011">
        <w:trPr>
          <w:trHeight w:val="288"/>
        </w:trPr>
        <w:tc>
          <w:tcPr>
            <w:tcW w:w="1354" w:type="dxa"/>
            <w:noWrap/>
            <w:vAlign w:val="bottom"/>
            <w:hideMark/>
          </w:tcPr>
          <w:p w14:paraId="520A1D02" w14:textId="77777777" w:rsidR="00245CBF" w:rsidRPr="008727D0" w:rsidRDefault="00245CBF" w:rsidP="00514011">
            <w:pPr>
              <w:rPr>
                <w:b/>
                <w:bCs/>
              </w:rPr>
            </w:pPr>
            <w:r w:rsidRPr="00E92F0B">
              <w:rPr>
                <w:rFonts w:ascii="Calibri" w:hAnsi="Calibri" w:cs="Calibri"/>
                <w:b/>
                <w:bCs/>
                <w:color w:val="000000"/>
              </w:rPr>
              <w:t>Drought</w:t>
            </w:r>
          </w:p>
        </w:tc>
        <w:tc>
          <w:tcPr>
            <w:tcW w:w="960" w:type="dxa"/>
            <w:noWrap/>
            <w:vAlign w:val="bottom"/>
            <w:hideMark/>
          </w:tcPr>
          <w:p w14:paraId="6907C0A6" w14:textId="77777777" w:rsidR="00245CBF" w:rsidRPr="00870621" w:rsidRDefault="00245CBF" w:rsidP="00514011">
            <w:r>
              <w:rPr>
                <w:rFonts w:ascii="Calibri" w:hAnsi="Calibri" w:cs="Calibri"/>
                <w:color w:val="000000"/>
              </w:rPr>
              <w:t>0.07</w:t>
            </w:r>
          </w:p>
        </w:tc>
        <w:tc>
          <w:tcPr>
            <w:tcW w:w="960" w:type="dxa"/>
            <w:noWrap/>
            <w:vAlign w:val="bottom"/>
            <w:hideMark/>
          </w:tcPr>
          <w:p w14:paraId="697681DC" w14:textId="77777777" w:rsidR="00245CBF" w:rsidRPr="00870621" w:rsidRDefault="00245CBF" w:rsidP="00514011">
            <w:r>
              <w:rPr>
                <w:rFonts w:ascii="Calibri" w:hAnsi="Calibri" w:cs="Calibri"/>
                <w:color w:val="000000"/>
              </w:rPr>
              <w:t>0.05</w:t>
            </w:r>
          </w:p>
        </w:tc>
        <w:tc>
          <w:tcPr>
            <w:tcW w:w="960" w:type="dxa"/>
            <w:noWrap/>
            <w:vAlign w:val="bottom"/>
            <w:hideMark/>
          </w:tcPr>
          <w:p w14:paraId="0260C1CC" w14:textId="77777777" w:rsidR="00245CBF" w:rsidRPr="00870621" w:rsidRDefault="00245CBF" w:rsidP="00514011">
            <w:r>
              <w:rPr>
                <w:rFonts w:ascii="Calibri" w:hAnsi="Calibri" w:cs="Calibri"/>
                <w:color w:val="000000"/>
              </w:rPr>
              <w:t>0.23</w:t>
            </w:r>
          </w:p>
        </w:tc>
        <w:tc>
          <w:tcPr>
            <w:tcW w:w="960" w:type="dxa"/>
            <w:noWrap/>
            <w:vAlign w:val="bottom"/>
            <w:hideMark/>
          </w:tcPr>
          <w:p w14:paraId="54F75FA9" w14:textId="77777777" w:rsidR="00245CBF" w:rsidRPr="00870621" w:rsidRDefault="00245CBF" w:rsidP="00514011">
            <w:r>
              <w:rPr>
                <w:rFonts w:ascii="Calibri" w:hAnsi="Calibri" w:cs="Calibri"/>
                <w:color w:val="000000"/>
              </w:rPr>
              <w:t>-0.31</w:t>
            </w:r>
          </w:p>
        </w:tc>
        <w:tc>
          <w:tcPr>
            <w:tcW w:w="960" w:type="dxa"/>
            <w:noWrap/>
            <w:vAlign w:val="bottom"/>
            <w:hideMark/>
          </w:tcPr>
          <w:p w14:paraId="311DCB36" w14:textId="77777777" w:rsidR="00245CBF" w:rsidRPr="00870621" w:rsidRDefault="00245CBF" w:rsidP="00514011">
            <w:r>
              <w:rPr>
                <w:rFonts w:ascii="Calibri" w:hAnsi="Calibri" w:cs="Calibri"/>
                <w:color w:val="000000"/>
              </w:rPr>
              <w:t>0.45</w:t>
            </w:r>
          </w:p>
        </w:tc>
        <w:tc>
          <w:tcPr>
            <w:tcW w:w="960" w:type="dxa"/>
            <w:noWrap/>
            <w:vAlign w:val="bottom"/>
            <w:hideMark/>
          </w:tcPr>
          <w:p w14:paraId="5F09A7EA" w14:textId="77777777" w:rsidR="00245CBF" w:rsidRPr="00870621" w:rsidRDefault="00245CBF" w:rsidP="00514011">
            <w:r>
              <w:rPr>
                <w:rFonts w:ascii="Calibri" w:hAnsi="Calibri" w:cs="Calibri"/>
                <w:color w:val="000000"/>
              </w:rPr>
              <w:t>1.00</w:t>
            </w:r>
          </w:p>
        </w:tc>
        <w:tc>
          <w:tcPr>
            <w:tcW w:w="1008" w:type="dxa"/>
            <w:noWrap/>
            <w:vAlign w:val="bottom"/>
            <w:hideMark/>
          </w:tcPr>
          <w:p w14:paraId="107B98EC" w14:textId="77777777" w:rsidR="00245CBF" w:rsidRPr="00870621" w:rsidRDefault="00245CBF" w:rsidP="00514011">
            <w:r>
              <w:rPr>
                <w:rFonts w:ascii="Calibri" w:hAnsi="Calibri" w:cs="Calibri"/>
                <w:color w:val="000000"/>
              </w:rPr>
              <w:t>1962.79</w:t>
            </w:r>
          </w:p>
        </w:tc>
        <w:tc>
          <w:tcPr>
            <w:tcW w:w="960" w:type="dxa"/>
            <w:noWrap/>
            <w:vAlign w:val="bottom"/>
            <w:hideMark/>
          </w:tcPr>
          <w:p w14:paraId="70A65233" w14:textId="77777777" w:rsidR="00245CBF" w:rsidRPr="00870621" w:rsidRDefault="00245CBF" w:rsidP="00514011">
            <w:r>
              <w:rPr>
                <w:rFonts w:ascii="Calibri" w:hAnsi="Calibri" w:cs="Calibri"/>
                <w:color w:val="000000"/>
              </w:rPr>
              <w:t>2208.44</w:t>
            </w:r>
          </w:p>
        </w:tc>
      </w:tr>
      <w:tr w:rsidR="00245CBF" w:rsidRPr="00870621" w14:paraId="757EC12D" w14:textId="77777777" w:rsidTr="00514011">
        <w:trPr>
          <w:trHeight w:val="288"/>
        </w:trPr>
        <w:tc>
          <w:tcPr>
            <w:tcW w:w="1354" w:type="dxa"/>
            <w:noWrap/>
            <w:vAlign w:val="bottom"/>
            <w:hideMark/>
          </w:tcPr>
          <w:p w14:paraId="6ABC894D" w14:textId="77777777" w:rsidR="00245CBF" w:rsidRPr="008727D0" w:rsidRDefault="00245CBF" w:rsidP="00514011">
            <w:pPr>
              <w:rPr>
                <w:b/>
                <w:bCs/>
              </w:rPr>
            </w:pPr>
            <w:r w:rsidRPr="00E92F0B">
              <w:rPr>
                <w:rFonts w:ascii="Calibri" w:hAnsi="Calibri" w:cs="Calibri"/>
                <w:b/>
                <w:bCs/>
                <w:color w:val="000000"/>
              </w:rPr>
              <w:t>Site Dryness</w:t>
            </w:r>
          </w:p>
        </w:tc>
        <w:tc>
          <w:tcPr>
            <w:tcW w:w="960" w:type="dxa"/>
            <w:noWrap/>
            <w:vAlign w:val="bottom"/>
            <w:hideMark/>
          </w:tcPr>
          <w:p w14:paraId="5DEC31BA" w14:textId="77777777" w:rsidR="00245CBF" w:rsidRPr="00870621" w:rsidRDefault="00245CBF" w:rsidP="00514011">
            <w:r>
              <w:rPr>
                <w:rFonts w:ascii="Calibri" w:hAnsi="Calibri" w:cs="Calibri"/>
                <w:color w:val="000000"/>
              </w:rPr>
              <w:t>0.80</w:t>
            </w:r>
          </w:p>
        </w:tc>
        <w:tc>
          <w:tcPr>
            <w:tcW w:w="960" w:type="dxa"/>
            <w:noWrap/>
            <w:vAlign w:val="bottom"/>
            <w:hideMark/>
          </w:tcPr>
          <w:p w14:paraId="493C95D8" w14:textId="77777777" w:rsidR="00245CBF" w:rsidRPr="00870621" w:rsidRDefault="00245CBF" w:rsidP="00514011">
            <w:r>
              <w:rPr>
                <w:rFonts w:ascii="Calibri" w:hAnsi="Calibri" w:cs="Calibri"/>
                <w:color w:val="000000"/>
              </w:rPr>
              <w:t>0.80</w:t>
            </w:r>
          </w:p>
        </w:tc>
        <w:tc>
          <w:tcPr>
            <w:tcW w:w="960" w:type="dxa"/>
            <w:noWrap/>
            <w:vAlign w:val="bottom"/>
            <w:hideMark/>
          </w:tcPr>
          <w:p w14:paraId="344D612D" w14:textId="77777777" w:rsidR="00245CBF" w:rsidRPr="00870621" w:rsidRDefault="00245CBF" w:rsidP="00514011">
            <w:r>
              <w:rPr>
                <w:rFonts w:ascii="Calibri" w:hAnsi="Calibri" w:cs="Calibri"/>
                <w:color w:val="000000"/>
              </w:rPr>
              <w:t>0.31</w:t>
            </w:r>
          </w:p>
        </w:tc>
        <w:tc>
          <w:tcPr>
            <w:tcW w:w="960" w:type="dxa"/>
            <w:noWrap/>
            <w:vAlign w:val="bottom"/>
            <w:hideMark/>
          </w:tcPr>
          <w:p w14:paraId="1795CFCB" w14:textId="77777777" w:rsidR="00245CBF" w:rsidRPr="00870621" w:rsidRDefault="00245CBF" w:rsidP="00514011">
            <w:r>
              <w:rPr>
                <w:rFonts w:ascii="Calibri" w:hAnsi="Calibri" w:cs="Calibri"/>
                <w:color w:val="000000"/>
              </w:rPr>
              <w:t>0.31</w:t>
            </w:r>
          </w:p>
        </w:tc>
        <w:tc>
          <w:tcPr>
            <w:tcW w:w="960" w:type="dxa"/>
            <w:noWrap/>
            <w:vAlign w:val="bottom"/>
            <w:hideMark/>
          </w:tcPr>
          <w:p w14:paraId="69516D6B" w14:textId="77777777" w:rsidR="00245CBF" w:rsidRPr="00870621" w:rsidRDefault="00245CBF" w:rsidP="00514011">
            <w:r>
              <w:rPr>
                <w:rFonts w:ascii="Calibri" w:hAnsi="Calibri" w:cs="Calibri"/>
                <w:color w:val="000000"/>
              </w:rPr>
              <w:t>1.33</w:t>
            </w:r>
          </w:p>
        </w:tc>
        <w:tc>
          <w:tcPr>
            <w:tcW w:w="960" w:type="dxa"/>
            <w:noWrap/>
            <w:vAlign w:val="bottom"/>
            <w:hideMark/>
          </w:tcPr>
          <w:p w14:paraId="73DF976E" w14:textId="77777777" w:rsidR="00245CBF" w:rsidRPr="00870621" w:rsidRDefault="00245CBF" w:rsidP="00514011">
            <w:r>
              <w:rPr>
                <w:rFonts w:ascii="Calibri" w:hAnsi="Calibri" w:cs="Calibri"/>
                <w:color w:val="000000"/>
              </w:rPr>
              <w:t>1.00</w:t>
            </w:r>
          </w:p>
        </w:tc>
        <w:tc>
          <w:tcPr>
            <w:tcW w:w="1008" w:type="dxa"/>
            <w:noWrap/>
            <w:vAlign w:val="bottom"/>
            <w:hideMark/>
          </w:tcPr>
          <w:p w14:paraId="63C156F0" w14:textId="77777777" w:rsidR="00245CBF" w:rsidRPr="00870621" w:rsidRDefault="00245CBF" w:rsidP="00514011">
            <w:r>
              <w:rPr>
                <w:rFonts w:ascii="Calibri" w:hAnsi="Calibri" w:cs="Calibri"/>
                <w:color w:val="000000"/>
              </w:rPr>
              <w:t>1735.81</w:t>
            </w:r>
          </w:p>
        </w:tc>
        <w:tc>
          <w:tcPr>
            <w:tcW w:w="960" w:type="dxa"/>
            <w:noWrap/>
            <w:vAlign w:val="bottom"/>
            <w:hideMark/>
          </w:tcPr>
          <w:p w14:paraId="0B311852" w14:textId="77777777" w:rsidR="00245CBF" w:rsidRPr="00870621" w:rsidRDefault="00245CBF" w:rsidP="00514011">
            <w:r>
              <w:rPr>
                <w:rFonts w:ascii="Calibri" w:hAnsi="Calibri" w:cs="Calibri"/>
                <w:color w:val="000000"/>
              </w:rPr>
              <w:t>2291.06</w:t>
            </w:r>
          </w:p>
        </w:tc>
      </w:tr>
      <w:tr w:rsidR="00245CBF" w:rsidRPr="00870621" w14:paraId="014C5D81" w14:textId="77777777" w:rsidTr="00514011">
        <w:trPr>
          <w:trHeight w:val="288"/>
        </w:trPr>
        <w:tc>
          <w:tcPr>
            <w:tcW w:w="1354" w:type="dxa"/>
            <w:noWrap/>
            <w:vAlign w:val="bottom"/>
            <w:hideMark/>
          </w:tcPr>
          <w:p w14:paraId="1AC5CED1" w14:textId="77777777" w:rsidR="00245CBF" w:rsidRPr="008727D0" w:rsidRDefault="00245CBF" w:rsidP="00514011">
            <w:pPr>
              <w:rPr>
                <w:b/>
                <w:bCs/>
              </w:rPr>
            </w:pPr>
            <w:r w:rsidRPr="00E92F0B">
              <w:rPr>
                <w:rFonts w:ascii="Calibri" w:hAnsi="Calibri" w:cs="Calibri"/>
                <w:b/>
                <w:bCs/>
                <w:color w:val="000000"/>
              </w:rPr>
              <w:t>DBH x Fire</w:t>
            </w:r>
          </w:p>
        </w:tc>
        <w:tc>
          <w:tcPr>
            <w:tcW w:w="960" w:type="dxa"/>
            <w:noWrap/>
            <w:vAlign w:val="bottom"/>
            <w:hideMark/>
          </w:tcPr>
          <w:p w14:paraId="319BD7F5" w14:textId="77777777" w:rsidR="00245CBF" w:rsidRPr="00870621" w:rsidRDefault="00245CBF" w:rsidP="00514011">
            <w:r>
              <w:rPr>
                <w:rFonts w:ascii="Calibri" w:hAnsi="Calibri" w:cs="Calibri"/>
                <w:color w:val="000000"/>
              </w:rPr>
              <w:t>0.37</w:t>
            </w:r>
          </w:p>
        </w:tc>
        <w:tc>
          <w:tcPr>
            <w:tcW w:w="960" w:type="dxa"/>
            <w:noWrap/>
            <w:vAlign w:val="bottom"/>
            <w:hideMark/>
          </w:tcPr>
          <w:p w14:paraId="42B8960A" w14:textId="77777777" w:rsidR="00245CBF" w:rsidRPr="00870621" w:rsidRDefault="00245CBF" w:rsidP="00514011">
            <w:r>
              <w:rPr>
                <w:rFonts w:ascii="Calibri" w:hAnsi="Calibri" w:cs="Calibri"/>
                <w:color w:val="000000"/>
              </w:rPr>
              <w:t>0.42</w:t>
            </w:r>
          </w:p>
        </w:tc>
        <w:tc>
          <w:tcPr>
            <w:tcW w:w="960" w:type="dxa"/>
            <w:noWrap/>
            <w:vAlign w:val="bottom"/>
            <w:hideMark/>
          </w:tcPr>
          <w:p w14:paraId="3E60D4C6" w14:textId="77777777" w:rsidR="00245CBF" w:rsidRPr="00870621" w:rsidRDefault="00245CBF" w:rsidP="00514011">
            <w:r>
              <w:rPr>
                <w:rFonts w:ascii="Calibri" w:hAnsi="Calibri" w:cs="Calibri"/>
                <w:color w:val="000000"/>
              </w:rPr>
              <w:t>2.14</w:t>
            </w:r>
          </w:p>
        </w:tc>
        <w:tc>
          <w:tcPr>
            <w:tcW w:w="960" w:type="dxa"/>
            <w:noWrap/>
            <w:vAlign w:val="bottom"/>
            <w:hideMark/>
          </w:tcPr>
          <w:p w14:paraId="23CF9349" w14:textId="77777777" w:rsidR="00245CBF" w:rsidRPr="00870621" w:rsidRDefault="00245CBF" w:rsidP="00514011">
            <w:r>
              <w:rPr>
                <w:rFonts w:ascii="Calibri" w:hAnsi="Calibri" w:cs="Calibri"/>
                <w:color w:val="000000"/>
              </w:rPr>
              <w:t>-3.18</w:t>
            </w:r>
          </w:p>
        </w:tc>
        <w:tc>
          <w:tcPr>
            <w:tcW w:w="960" w:type="dxa"/>
            <w:noWrap/>
            <w:vAlign w:val="bottom"/>
            <w:hideMark/>
          </w:tcPr>
          <w:p w14:paraId="6D522BD0" w14:textId="77777777" w:rsidR="00245CBF" w:rsidRPr="00870621" w:rsidRDefault="00245CBF" w:rsidP="00514011">
            <w:r>
              <w:rPr>
                <w:rFonts w:ascii="Calibri" w:hAnsi="Calibri" w:cs="Calibri"/>
                <w:color w:val="000000"/>
              </w:rPr>
              <w:t>3.86</w:t>
            </w:r>
          </w:p>
        </w:tc>
        <w:tc>
          <w:tcPr>
            <w:tcW w:w="960" w:type="dxa"/>
            <w:noWrap/>
            <w:vAlign w:val="bottom"/>
            <w:hideMark/>
          </w:tcPr>
          <w:p w14:paraId="0467B1AB" w14:textId="77777777" w:rsidR="00245CBF" w:rsidRPr="00870621" w:rsidRDefault="00245CBF" w:rsidP="00514011">
            <w:r>
              <w:rPr>
                <w:rFonts w:ascii="Calibri" w:hAnsi="Calibri" w:cs="Calibri"/>
                <w:color w:val="000000"/>
              </w:rPr>
              <w:t>1.00</w:t>
            </w:r>
          </w:p>
        </w:tc>
        <w:tc>
          <w:tcPr>
            <w:tcW w:w="1008" w:type="dxa"/>
            <w:noWrap/>
            <w:vAlign w:val="bottom"/>
            <w:hideMark/>
          </w:tcPr>
          <w:p w14:paraId="19179E34" w14:textId="77777777" w:rsidR="00245CBF" w:rsidRPr="00870621" w:rsidRDefault="00245CBF" w:rsidP="00514011">
            <w:r>
              <w:rPr>
                <w:rFonts w:ascii="Calibri" w:hAnsi="Calibri" w:cs="Calibri"/>
                <w:color w:val="000000"/>
              </w:rPr>
              <w:t>1513.14</w:t>
            </w:r>
          </w:p>
        </w:tc>
        <w:tc>
          <w:tcPr>
            <w:tcW w:w="960" w:type="dxa"/>
            <w:noWrap/>
            <w:vAlign w:val="bottom"/>
            <w:hideMark/>
          </w:tcPr>
          <w:p w14:paraId="3A1CE365" w14:textId="77777777" w:rsidR="00245CBF" w:rsidRPr="00870621" w:rsidRDefault="00245CBF" w:rsidP="00514011">
            <w:r>
              <w:rPr>
                <w:rFonts w:ascii="Calibri" w:hAnsi="Calibri" w:cs="Calibri"/>
                <w:color w:val="000000"/>
              </w:rPr>
              <w:t>2242.98</w:t>
            </w:r>
          </w:p>
        </w:tc>
      </w:tr>
      <w:tr w:rsidR="00245CBF" w:rsidRPr="00870621" w14:paraId="4DFDF71B" w14:textId="77777777" w:rsidTr="00514011">
        <w:trPr>
          <w:trHeight w:val="288"/>
        </w:trPr>
        <w:tc>
          <w:tcPr>
            <w:tcW w:w="1354" w:type="dxa"/>
            <w:noWrap/>
            <w:vAlign w:val="bottom"/>
            <w:hideMark/>
          </w:tcPr>
          <w:p w14:paraId="69ABE019" w14:textId="77777777" w:rsidR="00245CBF" w:rsidRPr="008727D0" w:rsidRDefault="00245CBF" w:rsidP="00514011">
            <w:pPr>
              <w:rPr>
                <w:b/>
                <w:bCs/>
              </w:rPr>
            </w:pPr>
            <w:r w:rsidRPr="00E92F0B">
              <w:rPr>
                <w:rFonts w:ascii="Calibri" w:hAnsi="Calibri" w:cs="Calibri"/>
                <w:b/>
                <w:bCs/>
                <w:color w:val="000000"/>
              </w:rPr>
              <w:t>DBH^2 x Fire</w:t>
            </w:r>
          </w:p>
        </w:tc>
        <w:tc>
          <w:tcPr>
            <w:tcW w:w="960" w:type="dxa"/>
            <w:noWrap/>
            <w:vAlign w:val="bottom"/>
            <w:hideMark/>
          </w:tcPr>
          <w:p w14:paraId="01C10ECE" w14:textId="77777777" w:rsidR="00245CBF" w:rsidRPr="00870621" w:rsidRDefault="00245CBF" w:rsidP="00514011">
            <w:r>
              <w:rPr>
                <w:rFonts w:ascii="Calibri" w:hAnsi="Calibri" w:cs="Calibri"/>
                <w:color w:val="000000"/>
              </w:rPr>
              <w:t>0.04</w:t>
            </w:r>
          </w:p>
        </w:tc>
        <w:tc>
          <w:tcPr>
            <w:tcW w:w="960" w:type="dxa"/>
            <w:noWrap/>
            <w:vAlign w:val="bottom"/>
            <w:hideMark/>
          </w:tcPr>
          <w:p w14:paraId="6661AD1B" w14:textId="77777777" w:rsidR="00245CBF" w:rsidRPr="00870621" w:rsidRDefault="00245CBF" w:rsidP="00514011">
            <w:r>
              <w:rPr>
                <w:rFonts w:ascii="Calibri" w:hAnsi="Calibri" w:cs="Calibri"/>
                <w:color w:val="000000"/>
              </w:rPr>
              <w:t>0.02</w:t>
            </w:r>
          </w:p>
        </w:tc>
        <w:tc>
          <w:tcPr>
            <w:tcW w:w="960" w:type="dxa"/>
            <w:noWrap/>
            <w:vAlign w:val="bottom"/>
            <w:hideMark/>
          </w:tcPr>
          <w:p w14:paraId="4C3ACE76" w14:textId="77777777" w:rsidR="00245CBF" w:rsidRPr="00870621" w:rsidRDefault="00245CBF" w:rsidP="00514011">
            <w:r>
              <w:rPr>
                <w:rFonts w:ascii="Calibri" w:hAnsi="Calibri" w:cs="Calibri"/>
                <w:color w:val="000000"/>
              </w:rPr>
              <w:t>0.91</w:t>
            </w:r>
          </w:p>
        </w:tc>
        <w:tc>
          <w:tcPr>
            <w:tcW w:w="960" w:type="dxa"/>
            <w:noWrap/>
            <w:vAlign w:val="bottom"/>
            <w:hideMark/>
          </w:tcPr>
          <w:p w14:paraId="070F53B2" w14:textId="77777777" w:rsidR="00245CBF" w:rsidRPr="00870621" w:rsidRDefault="00245CBF" w:rsidP="00514011">
            <w:r>
              <w:rPr>
                <w:rFonts w:ascii="Calibri" w:hAnsi="Calibri" w:cs="Calibri"/>
                <w:color w:val="000000"/>
              </w:rPr>
              <w:t>-1.42</w:t>
            </w:r>
          </w:p>
        </w:tc>
        <w:tc>
          <w:tcPr>
            <w:tcW w:w="960" w:type="dxa"/>
            <w:noWrap/>
            <w:vAlign w:val="bottom"/>
            <w:hideMark/>
          </w:tcPr>
          <w:p w14:paraId="720A8A6F" w14:textId="77777777" w:rsidR="00245CBF" w:rsidRPr="00870621" w:rsidRDefault="00245CBF" w:rsidP="00514011">
            <w:r>
              <w:rPr>
                <w:rFonts w:ascii="Calibri" w:hAnsi="Calibri" w:cs="Calibri"/>
                <w:color w:val="000000"/>
              </w:rPr>
              <w:t>1.54</w:t>
            </w:r>
          </w:p>
        </w:tc>
        <w:tc>
          <w:tcPr>
            <w:tcW w:w="960" w:type="dxa"/>
            <w:noWrap/>
            <w:vAlign w:val="bottom"/>
            <w:hideMark/>
          </w:tcPr>
          <w:p w14:paraId="196DBC10" w14:textId="77777777" w:rsidR="00245CBF" w:rsidRPr="00870621" w:rsidRDefault="00245CBF" w:rsidP="00514011">
            <w:r>
              <w:rPr>
                <w:rFonts w:ascii="Calibri" w:hAnsi="Calibri" w:cs="Calibri"/>
                <w:color w:val="000000"/>
              </w:rPr>
              <w:t>1.00</w:t>
            </w:r>
          </w:p>
        </w:tc>
        <w:tc>
          <w:tcPr>
            <w:tcW w:w="1008" w:type="dxa"/>
            <w:noWrap/>
            <w:vAlign w:val="bottom"/>
            <w:hideMark/>
          </w:tcPr>
          <w:p w14:paraId="21D46F7B" w14:textId="77777777" w:rsidR="00245CBF" w:rsidRPr="00870621" w:rsidRDefault="00245CBF" w:rsidP="00514011">
            <w:r>
              <w:rPr>
                <w:rFonts w:ascii="Calibri" w:hAnsi="Calibri" w:cs="Calibri"/>
                <w:color w:val="000000"/>
              </w:rPr>
              <w:t>1618.22</w:t>
            </w:r>
          </w:p>
        </w:tc>
        <w:tc>
          <w:tcPr>
            <w:tcW w:w="960" w:type="dxa"/>
            <w:noWrap/>
            <w:vAlign w:val="bottom"/>
            <w:hideMark/>
          </w:tcPr>
          <w:p w14:paraId="6DC587F7" w14:textId="77777777" w:rsidR="00245CBF" w:rsidRPr="00870621" w:rsidRDefault="00245CBF" w:rsidP="00514011">
            <w:r>
              <w:rPr>
                <w:rFonts w:ascii="Calibri" w:hAnsi="Calibri" w:cs="Calibri"/>
                <w:color w:val="000000"/>
              </w:rPr>
              <w:t>2513.76</w:t>
            </w:r>
          </w:p>
        </w:tc>
      </w:tr>
      <w:tr w:rsidR="00245CBF" w:rsidRPr="00870621" w14:paraId="2614448B" w14:textId="77777777" w:rsidTr="00514011">
        <w:trPr>
          <w:trHeight w:val="288"/>
        </w:trPr>
        <w:tc>
          <w:tcPr>
            <w:tcW w:w="1354" w:type="dxa"/>
            <w:noWrap/>
            <w:vAlign w:val="bottom"/>
            <w:hideMark/>
          </w:tcPr>
          <w:p w14:paraId="22FDA1B3" w14:textId="77777777" w:rsidR="00245CBF" w:rsidRPr="008727D0" w:rsidRDefault="00245CBF" w:rsidP="00514011">
            <w:pPr>
              <w:rPr>
                <w:b/>
                <w:bCs/>
              </w:rPr>
            </w:pPr>
            <w:r w:rsidRPr="00E92F0B">
              <w:rPr>
                <w:rFonts w:ascii="Calibri" w:hAnsi="Calibri" w:cs="Calibri"/>
                <w:b/>
                <w:bCs/>
                <w:color w:val="000000"/>
              </w:rPr>
              <w:t>DBH x WPBR</w:t>
            </w:r>
          </w:p>
        </w:tc>
        <w:tc>
          <w:tcPr>
            <w:tcW w:w="960" w:type="dxa"/>
            <w:noWrap/>
            <w:vAlign w:val="bottom"/>
            <w:hideMark/>
          </w:tcPr>
          <w:p w14:paraId="7731102A" w14:textId="77777777" w:rsidR="00245CBF" w:rsidRPr="00870621" w:rsidRDefault="00245CBF" w:rsidP="00514011">
            <w:r>
              <w:rPr>
                <w:rFonts w:ascii="Calibri" w:hAnsi="Calibri" w:cs="Calibri"/>
                <w:color w:val="000000"/>
              </w:rPr>
              <w:t>4.95</w:t>
            </w:r>
          </w:p>
        </w:tc>
        <w:tc>
          <w:tcPr>
            <w:tcW w:w="960" w:type="dxa"/>
            <w:noWrap/>
            <w:vAlign w:val="bottom"/>
            <w:hideMark/>
          </w:tcPr>
          <w:p w14:paraId="304607AE" w14:textId="77777777" w:rsidR="00245CBF" w:rsidRPr="00870621" w:rsidRDefault="00245CBF" w:rsidP="00514011">
            <w:r>
              <w:rPr>
                <w:rFonts w:ascii="Calibri" w:hAnsi="Calibri" w:cs="Calibri"/>
                <w:color w:val="000000"/>
              </w:rPr>
              <w:t>4.84</w:t>
            </w:r>
          </w:p>
        </w:tc>
        <w:tc>
          <w:tcPr>
            <w:tcW w:w="960" w:type="dxa"/>
            <w:noWrap/>
            <w:vAlign w:val="bottom"/>
            <w:hideMark/>
          </w:tcPr>
          <w:p w14:paraId="09A171C2" w14:textId="77777777" w:rsidR="00245CBF" w:rsidRPr="00870621" w:rsidRDefault="00245CBF" w:rsidP="00514011">
            <w:r>
              <w:rPr>
                <w:rFonts w:ascii="Calibri" w:hAnsi="Calibri" w:cs="Calibri"/>
                <w:color w:val="000000"/>
              </w:rPr>
              <w:t>2.62</w:t>
            </w:r>
          </w:p>
        </w:tc>
        <w:tc>
          <w:tcPr>
            <w:tcW w:w="960" w:type="dxa"/>
            <w:noWrap/>
            <w:vAlign w:val="bottom"/>
            <w:hideMark/>
          </w:tcPr>
          <w:p w14:paraId="1195E743" w14:textId="77777777" w:rsidR="00245CBF" w:rsidRPr="00870621" w:rsidRDefault="00245CBF" w:rsidP="00514011">
            <w:r>
              <w:rPr>
                <w:rFonts w:ascii="Calibri" w:hAnsi="Calibri" w:cs="Calibri"/>
                <w:color w:val="000000"/>
              </w:rPr>
              <w:t>0.80</w:t>
            </w:r>
          </w:p>
        </w:tc>
        <w:tc>
          <w:tcPr>
            <w:tcW w:w="960" w:type="dxa"/>
            <w:noWrap/>
            <w:vAlign w:val="bottom"/>
            <w:hideMark/>
          </w:tcPr>
          <w:p w14:paraId="3ED5A944" w14:textId="77777777" w:rsidR="00245CBF" w:rsidRPr="00870621" w:rsidRDefault="00245CBF" w:rsidP="00514011">
            <w:r>
              <w:rPr>
                <w:rFonts w:ascii="Calibri" w:hAnsi="Calibri" w:cs="Calibri"/>
                <w:color w:val="000000"/>
              </w:rPr>
              <w:t>9.38</w:t>
            </w:r>
          </w:p>
        </w:tc>
        <w:tc>
          <w:tcPr>
            <w:tcW w:w="960" w:type="dxa"/>
            <w:noWrap/>
            <w:vAlign w:val="bottom"/>
            <w:hideMark/>
          </w:tcPr>
          <w:p w14:paraId="25CB6AD3" w14:textId="77777777" w:rsidR="00245CBF" w:rsidRPr="00870621" w:rsidRDefault="00245CBF" w:rsidP="00514011">
            <w:r>
              <w:rPr>
                <w:rFonts w:ascii="Calibri" w:hAnsi="Calibri" w:cs="Calibri"/>
                <w:color w:val="000000"/>
              </w:rPr>
              <w:t>1.00</w:t>
            </w:r>
          </w:p>
        </w:tc>
        <w:tc>
          <w:tcPr>
            <w:tcW w:w="1008" w:type="dxa"/>
            <w:noWrap/>
            <w:vAlign w:val="bottom"/>
            <w:hideMark/>
          </w:tcPr>
          <w:p w14:paraId="07CDE152" w14:textId="77777777" w:rsidR="00245CBF" w:rsidRPr="00870621" w:rsidRDefault="00245CBF" w:rsidP="00514011">
            <w:r>
              <w:rPr>
                <w:rFonts w:ascii="Calibri" w:hAnsi="Calibri" w:cs="Calibri"/>
                <w:color w:val="000000"/>
              </w:rPr>
              <w:t>1667.46</w:t>
            </w:r>
          </w:p>
        </w:tc>
        <w:tc>
          <w:tcPr>
            <w:tcW w:w="960" w:type="dxa"/>
            <w:noWrap/>
            <w:vAlign w:val="bottom"/>
            <w:hideMark/>
          </w:tcPr>
          <w:p w14:paraId="0049B0E7" w14:textId="77777777" w:rsidR="00245CBF" w:rsidRPr="00870621" w:rsidRDefault="00245CBF" w:rsidP="00514011">
            <w:r>
              <w:rPr>
                <w:rFonts w:ascii="Calibri" w:hAnsi="Calibri" w:cs="Calibri"/>
                <w:color w:val="000000"/>
              </w:rPr>
              <w:t>1534.56</w:t>
            </w:r>
          </w:p>
        </w:tc>
      </w:tr>
      <w:tr w:rsidR="00245CBF" w:rsidRPr="00870621" w14:paraId="41C67425" w14:textId="77777777" w:rsidTr="00514011">
        <w:trPr>
          <w:trHeight w:val="288"/>
        </w:trPr>
        <w:tc>
          <w:tcPr>
            <w:tcW w:w="1354" w:type="dxa"/>
            <w:noWrap/>
            <w:vAlign w:val="bottom"/>
            <w:hideMark/>
          </w:tcPr>
          <w:p w14:paraId="72964BEE" w14:textId="77777777" w:rsidR="00245CBF" w:rsidRPr="008727D0" w:rsidRDefault="00245CBF" w:rsidP="00514011">
            <w:pPr>
              <w:rPr>
                <w:b/>
                <w:bCs/>
              </w:rPr>
            </w:pPr>
            <w:r w:rsidRPr="00E92F0B">
              <w:rPr>
                <w:rFonts w:ascii="Calibri" w:hAnsi="Calibri" w:cs="Calibri"/>
                <w:b/>
                <w:bCs/>
                <w:color w:val="000000"/>
              </w:rPr>
              <w:t>DBH^2 x WPBR</w:t>
            </w:r>
          </w:p>
        </w:tc>
        <w:tc>
          <w:tcPr>
            <w:tcW w:w="960" w:type="dxa"/>
            <w:noWrap/>
            <w:vAlign w:val="bottom"/>
            <w:hideMark/>
          </w:tcPr>
          <w:p w14:paraId="0AEBE3F9" w14:textId="77777777" w:rsidR="00245CBF" w:rsidRPr="00870621" w:rsidRDefault="00245CBF" w:rsidP="00514011">
            <w:r>
              <w:rPr>
                <w:rFonts w:ascii="Calibri" w:hAnsi="Calibri" w:cs="Calibri"/>
                <w:color w:val="000000"/>
              </w:rPr>
              <w:t>-2.19</w:t>
            </w:r>
          </w:p>
        </w:tc>
        <w:tc>
          <w:tcPr>
            <w:tcW w:w="960" w:type="dxa"/>
            <w:noWrap/>
            <w:vAlign w:val="bottom"/>
            <w:hideMark/>
          </w:tcPr>
          <w:p w14:paraId="16957A56" w14:textId="77777777" w:rsidR="00245CBF" w:rsidRPr="00870621" w:rsidRDefault="00245CBF" w:rsidP="00514011">
            <w:r>
              <w:rPr>
                <w:rFonts w:ascii="Calibri" w:hAnsi="Calibri" w:cs="Calibri"/>
                <w:color w:val="000000"/>
              </w:rPr>
              <w:t>-2.15</w:t>
            </w:r>
          </w:p>
        </w:tc>
        <w:tc>
          <w:tcPr>
            <w:tcW w:w="960" w:type="dxa"/>
            <w:noWrap/>
            <w:vAlign w:val="bottom"/>
            <w:hideMark/>
          </w:tcPr>
          <w:p w14:paraId="7F82F587" w14:textId="77777777" w:rsidR="00245CBF" w:rsidRPr="00870621" w:rsidRDefault="00245CBF" w:rsidP="00514011">
            <w:r>
              <w:rPr>
                <w:rFonts w:ascii="Calibri" w:hAnsi="Calibri" w:cs="Calibri"/>
                <w:color w:val="000000"/>
              </w:rPr>
              <w:t>1.17</w:t>
            </w:r>
          </w:p>
        </w:tc>
        <w:tc>
          <w:tcPr>
            <w:tcW w:w="960" w:type="dxa"/>
            <w:noWrap/>
            <w:vAlign w:val="bottom"/>
            <w:hideMark/>
          </w:tcPr>
          <w:p w14:paraId="5E123666" w14:textId="77777777" w:rsidR="00245CBF" w:rsidRPr="00870621" w:rsidRDefault="00245CBF" w:rsidP="00514011">
            <w:r>
              <w:rPr>
                <w:rFonts w:ascii="Calibri" w:hAnsi="Calibri" w:cs="Calibri"/>
                <w:color w:val="000000"/>
              </w:rPr>
              <w:t>-4.23</w:t>
            </w:r>
          </w:p>
        </w:tc>
        <w:tc>
          <w:tcPr>
            <w:tcW w:w="960" w:type="dxa"/>
            <w:noWrap/>
            <w:vAlign w:val="bottom"/>
            <w:hideMark/>
          </w:tcPr>
          <w:p w14:paraId="7BBDD8B8" w14:textId="77777777" w:rsidR="00245CBF" w:rsidRPr="00870621" w:rsidRDefault="00245CBF" w:rsidP="00514011">
            <w:r>
              <w:rPr>
                <w:rFonts w:ascii="Calibri" w:hAnsi="Calibri" w:cs="Calibri"/>
                <w:color w:val="000000"/>
              </w:rPr>
              <w:t>-0.34</w:t>
            </w:r>
          </w:p>
        </w:tc>
        <w:tc>
          <w:tcPr>
            <w:tcW w:w="960" w:type="dxa"/>
            <w:noWrap/>
            <w:vAlign w:val="bottom"/>
            <w:hideMark/>
          </w:tcPr>
          <w:p w14:paraId="3D2FF9BD" w14:textId="77777777" w:rsidR="00245CBF" w:rsidRPr="00870621" w:rsidRDefault="00245CBF" w:rsidP="00514011">
            <w:r>
              <w:rPr>
                <w:rFonts w:ascii="Calibri" w:hAnsi="Calibri" w:cs="Calibri"/>
                <w:color w:val="000000"/>
              </w:rPr>
              <w:t>1.00</w:t>
            </w:r>
          </w:p>
        </w:tc>
        <w:tc>
          <w:tcPr>
            <w:tcW w:w="1008" w:type="dxa"/>
            <w:noWrap/>
            <w:vAlign w:val="bottom"/>
            <w:hideMark/>
          </w:tcPr>
          <w:p w14:paraId="748C9AE7" w14:textId="77777777" w:rsidR="00245CBF" w:rsidRPr="00870621" w:rsidRDefault="00245CBF" w:rsidP="00514011">
            <w:r>
              <w:rPr>
                <w:rFonts w:ascii="Calibri" w:hAnsi="Calibri" w:cs="Calibri"/>
                <w:color w:val="000000"/>
              </w:rPr>
              <w:t>1851.86</w:t>
            </w:r>
          </w:p>
        </w:tc>
        <w:tc>
          <w:tcPr>
            <w:tcW w:w="960" w:type="dxa"/>
            <w:noWrap/>
            <w:vAlign w:val="bottom"/>
            <w:hideMark/>
          </w:tcPr>
          <w:p w14:paraId="511F888D" w14:textId="77777777" w:rsidR="00245CBF" w:rsidRPr="00870621" w:rsidRDefault="00245CBF" w:rsidP="00514011">
            <w:r>
              <w:rPr>
                <w:rFonts w:ascii="Calibri" w:hAnsi="Calibri" w:cs="Calibri"/>
                <w:color w:val="000000"/>
              </w:rPr>
              <w:t>2202.04</w:t>
            </w:r>
          </w:p>
        </w:tc>
      </w:tr>
      <w:tr w:rsidR="00245CBF" w:rsidRPr="00870621" w14:paraId="23F8C60A" w14:textId="77777777" w:rsidTr="00514011">
        <w:trPr>
          <w:trHeight w:val="288"/>
        </w:trPr>
        <w:tc>
          <w:tcPr>
            <w:tcW w:w="1354" w:type="dxa"/>
            <w:noWrap/>
            <w:vAlign w:val="bottom"/>
            <w:hideMark/>
          </w:tcPr>
          <w:p w14:paraId="756290FF" w14:textId="77777777" w:rsidR="00245CBF" w:rsidRPr="008727D0" w:rsidRDefault="00245CBF" w:rsidP="00514011">
            <w:pPr>
              <w:rPr>
                <w:b/>
                <w:bCs/>
              </w:rPr>
            </w:pPr>
            <w:r w:rsidRPr="00E92F0B">
              <w:rPr>
                <w:rFonts w:ascii="Calibri" w:hAnsi="Calibri" w:cs="Calibri"/>
                <w:b/>
                <w:bCs/>
                <w:color w:val="000000"/>
              </w:rPr>
              <w:t>DBH x BA</w:t>
            </w:r>
          </w:p>
        </w:tc>
        <w:tc>
          <w:tcPr>
            <w:tcW w:w="960" w:type="dxa"/>
            <w:noWrap/>
            <w:vAlign w:val="bottom"/>
            <w:hideMark/>
          </w:tcPr>
          <w:p w14:paraId="61617381" w14:textId="77777777" w:rsidR="00245CBF" w:rsidRPr="00870621" w:rsidRDefault="00245CBF" w:rsidP="00514011">
            <w:r>
              <w:rPr>
                <w:rFonts w:ascii="Calibri" w:hAnsi="Calibri" w:cs="Calibri"/>
                <w:color w:val="000000"/>
              </w:rPr>
              <w:t>-1.33</w:t>
            </w:r>
          </w:p>
        </w:tc>
        <w:tc>
          <w:tcPr>
            <w:tcW w:w="960" w:type="dxa"/>
            <w:noWrap/>
            <w:vAlign w:val="bottom"/>
            <w:hideMark/>
          </w:tcPr>
          <w:p w14:paraId="72991937" w14:textId="77777777" w:rsidR="00245CBF" w:rsidRPr="00870621" w:rsidRDefault="00245CBF" w:rsidP="00514011">
            <w:r>
              <w:rPr>
                <w:rFonts w:ascii="Calibri" w:hAnsi="Calibri" w:cs="Calibri"/>
                <w:color w:val="000000"/>
              </w:rPr>
              <w:t>-1.33</w:t>
            </w:r>
          </w:p>
        </w:tc>
        <w:tc>
          <w:tcPr>
            <w:tcW w:w="960" w:type="dxa"/>
            <w:noWrap/>
            <w:vAlign w:val="bottom"/>
            <w:hideMark/>
          </w:tcPr>
          <w:p w14:paraId="76694EC2" w14:textId="77777777" w:rsidR="00245CBF" w:rsidRPr="00870621" w:rsidRDefault="00245CBF" w:rsidP="00514011">
            <w:r>
              <w:rPr>
                <w:rFonts w:ascii="Calibri" w:hAnsi="Calibri" w:cs="Calibri"/>
                <w:color w:val="000000"/>
              </w:rPr>
              <w:t>0.68</w:t>
            </w:r>
          </w:p>
        </w:tc>
        <w:tc>
          <w:tcPr>
            <w:tcW w:w="960" w:type="dxa"/>
            <w:noWrap/>
            <w:vAlign w:val="bottom"/>
            <w:hideMark/>
          </w:tcPr>
          <w:p w14:paraId="40FF6B60" w14:textId="77777777" w:rsidR="00245CBF" w:rsidRPr="00870621" w:rsidRDefault="00245CBF" w:rsidP="00514011">
            <w:r>
              <w:rPr>
                <w:rFonts w:ascii="Calibri" w:hAnsi="Calibri" w:cs="Calibri"/>
                <w:color w:val="000000"/>
              </w:rPr>
              <w:t>-2.43</w:t>
            </w:r>
          </w:p>
        </w:tc>
        <w:tc>
          <w:tcPr>
            <w:tcW w:w="960" w:type="dxa"/>
            <w:noWrap/>
            <w:vAlign w:val="bottom"/>
            <w:hideMark/>
          </w:tcPr>
          <w:p w14:paraId="21C7284E" w14:textId="77777777" w:rsidR="00245CBF" w:rsidRPr="00870621" w:rsidRDefault="00245CBF" w:rsidP="00514011">
            <w:r>
              <w:rPr>
                <w:rFonts w:ascii="Calibri" w:hAnsi="Calibri" w:cs="Calibri"/>
                <w:color w:val="000000"/>
              </w:rPr>
              <w:t>-0.19</w:t>
            </w:r>
          </w:p>
        </w:tc>
        <w:tc>
          <w:tcPr>
            <w:tcW w:w="960" w:type="dxa"/>
            <w:noWrap/>
            <w:vAlign w:val="bottom"/>
            <w:hideMark/>
          </w:tcPr>
          <w:p w14:paraId="7061F76C" w14:textId="77777777" w:rsidR="00245CBF" w:rsidRPr="00870621" w:rsidRDefault="00245CBF" w:rsidP="00514011">
            <w:r>
              <w:rPr>
                <w:rFonts w:ascii="Calibri" w:hAnsi="Calibri" w:cs="Calibri"/>
                <w:color w:val="000000"/>
              </w:rPr>
              <w:t>1.00</w:t>
            </w:r>
          </w:p>
        </w:tc>
        <w:tc>
          <w:tcPr>
            <w:tcW w:w="1008" w:type="dxa"/>
            <w:noWrap/>
            <w:vAlign w:val="bottom"/>
            <w:hideMark/>
          </w:tcPr>
          <w:p w14:paraId="795DE830" w14:textId="77777777" w:rsidR="00245CBF" w:rsidRPr="00870621" w:rsidRDefault="00245CBF" w:rsidP="00514011">
            <w:r>
              <w:rPr>
                <w:rFonts w:ascii="Calibri" w:hAnsi="Calibri" w:cs="Calibri"/>
                <w:color w:val="000000"/>
              </w:rPr>
              <w:t>1352.48</w:t>
            </w:r>
          </w:p>
        </w:tc>
        <w:tc>
          <w:tcPr>
            <w:tcW w:w="960" w:type="dxa"/>
            <w:noWrap/>
            <w:vAlign w:val="bottom"/>
            <w:hideMark/>
          </w:tcPr>
          <w:p w14:paraId="22A16051" w14:textId="77777777" w:rsidR="00245CBF" w:rsidRPr="00870621" w:rsidRDefault="00245CBF" w:rsidP="00514011">
            <w:r>
              <w:rPr>
                <w:rFonts w:ascii="Calibri" w:hAnsi="Calibri" w:cs="Calibri"/>
                <w:color w:val="000000"/>
              </w:rPr>
              <w:t>2404.24</w:t>
            </w:r>
          </w:p>
        </w:tc>
      </w:tr>
      <w:tr w:rsidR="00245CBF" w:rsidRPr="00870621" w14:paraId="387CA39B" w14:textId="77777777" w:rsidTr="00514011">
        <w:trPr>
          <w:trHeight w:val="288"/>
        </w:trPr>
        <w:tc>
          <w:tcPr>
            <w:tcW w:w="1354" w:type="dxa"/>
            <w:noWrap/>
            <w:vAlign w:val="bottom"/>
            <w:hideMark/>
          </w:tcPr>
          <w:p w14:paraId="19D23378" w14:textId="77777777" w:rsidR="00245CBF" w:rsidRPr="008727D0" w:rsidRDefault="00245CBF" w:rsidP="00514011">
            <w:pPr>
              <w:rPr>
                <w:b/>
                <w:bCs/>
              </w:rPr>
            </w:pPr>
            <w:r w:rsidRPr="00E92F0B">
              <w:rPr>
                <w:rFonts w:ascii="Calibri" w:hAnsi="Calibri" w:cs="Calibri"/>
                <w:b/>
                <w:bCs/>
                <w:color w:val="000000"/>
              </w:rPr>
              <w:t>DBH^2 x BA</w:t>
            </w:r>
          </w:p>
        </w:tc>
        <w:tc>
          <w:tcPr>
            <w:tcW w:w="960" w:type="dxa"/>
            <w:noWrap/>
            <w:vAlign w:val="bottom"/>
            <w:hideMark/>
          </w:tcPr>
          <w:p w14:paraId="300D4129" w14:textId="77777777" w:rsidR="00245CBF" w:rsidRPr="00870621" w:rsidRDefault="00245CBF" w:rsidP="00514011">
            <w:r>
              <w:rPr>
                <w:rFonts w:ascii="Calibri" w:hAnsi="Calibri" w:cs="Calibri"/>
                <w:color w:val="000000"/>
              </w:rPr>
              <w:t>0.50</w:t>
            </w:r>
          </w:p>
        </w:tc>
        <w:tc>
          <w:tcPr>
            <w:tcW w:w="960" w:type="dxa"/>
            <w:noWrap/>
            <w:vAlign w:val="bottom"/>
            <w:hideMark/>
          </w:tcPr>
          <w:p w14:paraId="07898F13" w14:textId="77777777" w:rsidR="00245CBF" w:rsidRPr="00870621" w:rsidRDefault="00245CBF" w:rsidP="00514011">
            <w:r>
              <w:rPr>
                <w:rFonts w:ascii="Calibri" w:hAnsi="Calibri" w:cs="Calibri"/>
                <w:color w:val="000000"/>
              </w:rPr>
              <w:t>0.50</w:t>
            </w:r>
          </w:p>
        </w:tc>
        <w:tc>
          <w:tcPr>
            <w:tcW w:w="960" w:type="dxa"/>
            <w:noWrap/>
            <w:vAlign w:val="bottom"/>
            <w:hideMark/>
          </w:tcPr>
          <w:p w14:paraId="434282D3" w14:textId="77777777" w:rsidR="00245CBF" w:rsidRPr="00870621" w:rsidRDefault="00245CBF" w:rsidP="00514011">
            <w:r>
              <w:rPr>
                <w:rFonts w:ascii="Calibri" w:hAnsi="Calibri" w:cs="Calibri"/>
                <w:color w:val="000000"/>
              </w:rPr>
              <w:t>0.30</w:t>
            </w:r>
          </w:p>
        </w:tc>
        <w:tc>
          <w:tcPr>
            <w:tcW w:w="960" w:type="dxa"/>
            <w:noWrap/>
            <w:vAlign w:val="bottom"/>
            <w:hideMark/>
          </w:tcPr>
          <w:p w14:paraId="69A1B7F5" w14:textId="77777777" w:rsidR="00245CBF" w:rsidRPr="00870621" w:rsidRDefault="00245CBF" w:rsidP="00514011">
            <w:r>
              <w:rPr>
                <w:rFonts w:ascii="Calibri" w:hAnsi="Calibri" w:cs="Calibri"/>
                <w:color w:val="000000"/>
              </w:rPr>
              <w:t>0.01</w:t>
            </w:r>
          </w:p>
        </w:tc>
        <w:tc>
          <w:tcPr>
            <w:tcW w:w="960" w:type="dxa"/>
            <w:noWrap/>
            <w:vAlign w:val="bottom"/>
            <w:hideMark/>
          </w:tcPr>
          <w:p w14:paraId="7C1B3400" w14:textId="77777777" w:rsidR="00245CBF" w:rsidRPr="00870621" w:rsidRDefault="00245CBF" w:rsidP="00514011">
            <w:r>
              <w:rPr>
                <w:rFonts w:ascii="Calibri" w:hAnsi="Calibri" w:cs="Calibri"/>
                <w:color w:val="000000"/>
              </w:rPr>
              <w:t>1.00</w:t>
            </w:r>
          </w:p>
        </w:tc>
        <w:tc>
          <w:tcPr>
            <w:tcW w:w="960" w:type="dxa"/>
            <w:noWrap/>
            <w:vAlign w:val="bottom"/>
            <w:hideMark/>
          </w:tcPr>
          <w:p w14:paraId="3AA6E9D3" w14:textId="77777777" w:rsidR="00245CBF" w:rsidRPr="00870621" w:rsidRDefault="00245CBF" w:rsidP="00514011">
            <w:r>
              <w:rPr>
                <w:rFonts w:ascii="Calibri" w:hAnsi="Calibri" w:cs="Calibri"/>
                <w:color w:val="000000"/>
              </w:rPr>
              <w:t>1.00</w:t>
            </w:r>
          </w:p>
        </w:tc>
        <w:tc>
          <w:tcPr>
            <w:tcW w:w="1008" w:type="dxa"/>
            <w:noWrap/>
            <w:vAlign w:val="bottom"/>
            <w:hideMark/>
          </w:tcPr>
          <w:p w14:paraId="30650704" w14:textId="77777777" w:rsidR="00245CBF" w:rsidRPr="00870621" w:rsidRDefault="00245CBF" w:rsidP="00514011">
            <w:r>
              <w:rPr>
                <w:rFonts w:ascii="Calibri" w:hAnsi="Calibri" w:cs="Calibri"/>
                <w:color w:val="000000"/>
              </w:rPr>
              <w:t>1485.97</w:t>
            </w:r>
          </w:p>
        </w:tc>
        <w:tc>
          <w:tcPr>
            <w:tcW w:w="960" w:type="dxa"/>
            <w:noWrap/>
            <w:vAlign w:val="bottom"/>
            <w:hideMark/>
          </w:tcPr>
          <w:p w14:paraId="2ECAE33F" w14:textId="77777777" w:rsidR="00245CBF" w:rsidRPr="00870621" w:rsidRDefault="00245CBF" w:rsidP="00514011">
            <w:r>
              <w:rPr>
                <w:rFonts w:ascii="Calibri" w:hAnsi="Calibri" w:cs="Calibri"/>
                <w:color w:val="000000"/>
              </w:rPr>
              <w:t>2159.68</w:t>
            </w:r>
          </w:p>
        </w:tc>
      </w:tr>
      <w:tr w:rsidR="00245CBF" w:rsidRPr="00870621" w14:paraId="64CCD9DC" w14:textId="77777777" w:rsidTr="00514011">
        <w:trPr>
          <w:trHeight w:val="288"/>
        </w:trPr>
        <w:tc>
          <w:tcPr>
            <w:tcW w:w="1354" w:type="dxa"/>
            <w:noWrap/>
            <w:vAlign w:val="bottom"/>
            <w:hideMark/>
          </w:tcPr>
          <w:p w14:paraId="209D423C" w14:textId="77777777" w:rsidR="00245CBF" w:rsidRPr="008727D0" w:rsidRDefault="00245CBF" w:rsidP="00514011">
            <w:pPr>
              <w:rPr>
                <w:b/>
                <w:bCs/>
              </w:rPr>
            </w:pPr>
            <w:r w:rsidRPr="00E92F0B">
              <w:rPr>
                <w:rFonts w:ascii="Calibri" w:hAnsi="Calibri" w:cs="Calibri"/>
                <w:b/>
                <w:bCs/>
                <w:color w:val="000000"/>
              </w:rPr>
              <w:t>DBH x Drought</w:t>
            </w:r>
          </w:p>
        </w:tc>
        <w:tc>
          <w:tcPr>
            <w:tcW w:w="960" w:type="dxa"/>
            <w:noWrap/>
            <w:vAlign w:val="bottom"/>
            <w:hideMark/>
          </w:tcPr>
          <w:p w14:paraId="4C02B1DE" w14:textId="77777777" w:rsidR="00245CBF" w:rsidRPr="00870621" w:rsidRDefault="00245CBF" w:rsidP="00514011">
            <w:r>
              <w:rPr>
                <w:rFonts w:ascii="Calibri" w:hAnsi="Calibri" w:cs="Calibri"/>
                <w:color w:val="000000"/>
              </w:rPr>
              <w:t>0.49</w:t>
            </w:r>
          </w:p>
        </w:tc>
        <w:tc>
          <w:tcPr>
            <w:tcW w:w="960" w:type="dxa"/>
            <w:noWrap/>
            <w:vAlign w:val="bottom"/>
            <w:hideMark/>
          </w:tcPr>
          <w:p w14:paraId="1E6E62B9" w14:textId="77777777" w:rsidR="00245CBF" w:rsidRPr="00870621" w:rsidRDefault="00245CBF" w:rsidP="00514011">
            <w:r>
              <w:rPr>
                <w:rFonts w:ascii="Calibri" w:hAnsi="Calibri" w:cs="Calibri"/>
                <w:color w:val="000000"/>
              </w:rPr>
              <w:t>0.49</w:t>
            </w:r>
          </w:p>
        </w:tc>
        <w:tc>
          <w:tcPr>
            <w:tcW w:w="960" w:type="dxa"/>
            <w:noWrap/>
            <w:vAlign w:val="bottom"/>
            <w:hideMark/>
          </w:tcPr>
          <w:p w14:paraId="0BCE1B37" w14:textId="77777777" w:rsidR="00245CBF" w:rsidRPr="00870621" w:rsidRDefault="00245CBF" w:rsidP="00514011">
            <w:r>
              <w:rPr>
                <w:rFonts w:ascii="Calibri" w:hAnsi="Calibri" w:cs="Calibri"/>
                <w:color w:val="000000"/>
              </w:rPr>
              <w:t>0.50</w:t>
            </w:r>
          </w:p>
        </w:tc>
        <w:tc>
          <w:tcPr>
            <w:tcW w:w="960" w:type="dxa"/>
            <w:noWrap/>
            <w:vAlign w:val="bottom"/>
            <w:hideMark/>
          </w:tcPr>
          <w:p w14:paraId="7CF6D5CF" w14:textId="77777777" w:rsidR="00245CBF" w:rsidRPr="00870621" w:rsidRDefault="00245CBF" w:rsidP="00514011">
            <w:r>
              <w:rPr>
                <w:rFonts w:ascii="Calibri" w:hAnsi="Calibri" w:cs="Calibri"/>
                <w:color w:val="000000"/>
              </w:rPr>
              <w:t>-0.36</w:t>
            </w:r>
          </w:p>
        </w:tc>
        <w:tc>
          <w:tcPr>
            <w:tcW w:w="960" w:type="dxa"/>
            <w:noWrap/>
            <w:vAlign w:val="bottom"/>
            <w:hideMark/>
          </w:tcPr>
          <w:p w14:paraId="24755552" w14:textId="77777777" w:rsidR="00245CBF" w:rsidRPr="00870621" w:rsidRDefault="00245CBF" w:rsidP="00514011">
            <w:r>
              <w:rPr>
                <w:rFonts w:ascii="Calibri" w:hAnsi="Calibri" w:cs="Calibri"/>
                <w:color w:val="000000"/>
              </w:rPr>
              <w:t>1.30</w:t>
            </w:r>
          </w:p>
        </w:tc>
        <w:tc>
          <w:tcPr>
            <w:tcW w:w="960" w:type="dxa"/>
            <w:noWrap/>
            <w:vAlign w:val="bottom"/>
            <w:hideMark/>
          </w:tcPr>
          <w:p w14:paraId="4456ECA7" w14:textId="77777777" w:rsidR="00245CBF" w:rsidRPr="00870621" w:rsidRDefault="00245CBF" w:rsidP="00514011">
            <w:r>
              <w:rPr>
                <w:rFonts w:ascii="Calibri" w:hAnsi="Calibri" w:cs="Calibri"/>
                <w:color w:val="000000"/>
              </w:rPr>
              <w:t>1.00</w:t>
            </w:r>
          </w:p>
        </w:tc>
        <w:tc>
          <w:tcPr>
            <w:tcW w:w="1008" w:type="dxa"/>
            <w:noWrap/>
            <w:vAlign w:val="bottom"/>
            <w:hideMark/>
          </w:tcPr>
          <w:p w14:paraId="55C18F8B" w14:textId="77777777" w:rsidR="00245CBF" w:rsidRPr="00870621" w:rsidRDefault="00245CBF" w:rsidP="00514011">
            <w:r>
              <w:rPr>
                <w:rFonts w:ascii="Calibri" w:hAnsi="Calibri" w:cs="Calibri"/>
                <w:color w:val="000000"/>
              </w:rPr>
              <w:t>1592.82</w:t>
            </w:r>
          </w:p>
        </w:tc>
        <w:tc>
          <w:tcPr>
            <w:tcW w:w="960" w:type="dxa"/>
            <w:noWrap/>
            <w:vAlign w:val="bottom"/>
            <w:hideMark/>
          </w:tcPr>
          <w:p w14:paraId="7DACAF45" w14:textId="77777777" w:rsidR="00245CBF" w:rsidRPr="00870621" w:rsidRDefault="00245CBF" w:rsidP="00514011">
            <w:pPr>
              <w:keepNext/>
            </w:pPr>
            <w:r>
              <w:rPr>
                <w:rFonts w:ascii="Calibri" w:hAnsi="Calibri" w:cs="Calibri"/>
                <w:color w:val="000000"/>
              </w:rPr>
              <w:t>2356.51</w:t>
            </w:r>
          </w:p>
        </w:tc>
      </w:tr>
      <w:tr w:rsidR="00245CBF" w:rsidRPr="00870621" w14:paraId="20B25C33" w14:textId="77777777" w:rsidTr="00514011">
        <w:trPr>
          <w:trHeight w:val="288"/>
        </w:trPr>
        <w:tc>
          <w:tcPr>
            <w:tcW w:w="1354" w:type="dxa"/>
            <w:noWrap/>
            <w:vAlign w:val="bottom"/>
          </w:tcPr>
          <w:p w14:paraId="21CEA710" w14:textId="77777777" w:rsidR="00245CBF" w:rsidRPr="008727D0" w:rsidRDefault="00245CBF" w:rsidP="00514011">
            <w:pPr>
              <w:rPr>
                <w:b/>
                <w:bCs/>
              </w:rPr>
            </w:pPr>
            <w:r w:rsidRPr="00E92F0B">
              <w:rPr>
                <w:rFonts w:ascii="Calibri" w:hAnsi="Calibri" w:cs="Calibri"/>
                <w:b/>
                <w:bCs/>
                <w:color w:val="000000"/>
              </w:rPr>
              <w:t>DBH^2 x Drought</w:t>
            </w:r>
          </w:p>
        </w:tc>
        <w:tc>
          <w:tcPr>
            <w:tcW w:w="960" w:type="dxa"/>
            <w:noWrap/>
            <w:vAlign w:val="bottom"/>
          </w:tcPr>
          <w:p w14:paraId="0FEBD7FF" w14:textId="77777777" w:rsidR="00245CBF" w:rsidRPr="00870621" w:rsidRDefault="00245CBF" w:rsidP="00514011">
            <w:r>
              <w:rPr>
                <w:rFonts w:ascii="Calibri" w:hAnsi="Calibri" w:cs="Calibri"/>
                <w:color w:val="000000"/>
              </w:rPr>
              <w:t>-0.26</w:t>
            </w:r>
          </w:p>
        </w:tc>
        <w:tc>
          <w:tcPr>
            <w:tcW w:w="960" w:type="dxa"/>
            <w:noWrap/>
            <w:vAlign w:val="bottom"/>
          </w:tcPr>
          <w:p w14:paraId="65CA1A8A" w14:textId="77777777" w:rsidR="00245CBF" w:rsidRPr="00870621" w:rsidRDefault="00245CBF" w:rsidP="00514011">
            <w:r>
              <w:rPr>
                <w:rFonts w:ascii="Calibri" w:hAnsi="Calibri" w:cs="Calibri"/>
                <w:color w:val="000000"/>
              </w:rPr>
              <w:t>-0.26</w:t>
            </w:r>
          </w:p>
        </w:tc>
        <w:tc>
          <w:tcPr>
            <w:tcW w:w="960" w:type="dxa"/>
            <w:noWrap/>
            <w:vAlign w:val="bottom"/>
          </w:tcPr>
          <w:p w14:paraId="15691639" w14:textId="77777777" w:rsidR="00245CBF" w:rsidRPr="00870621" w:rsidRDefault="00245CBF" w:rsidP="00514011">
            <w:r>
              <w:rPr>
                <w:rFonts w:ascii="Calibri" w:hAnsi="Calibri" w:cs="Calibri"/>
                <w:color w:val="000000"/>
              </w:rPr>
              <w:t>0.23</w:t>
            </w:r>
          </w:p>
        </w:tc>
        <w:tc>
          <w:tcPr>
            <w:tcW w:w="960" w:type="dxa"/>
            <w:noWrap/>
            <w:vAlign w:val="bottom"/>
          </w:tcPr>
          <w:p w14:paraId="7B86465F" w14:textId="77777777" w:rsidR="00245CBF" w:rsidRPr="00870621" w:rsidRDefault="00245CBF" w:rsidP="00514011">
            <w:r>
              <w:rPr>
                <w:rFonts w:ascii="Calibri" w:hAnsi="Calibri" w:cs="Calibri"/>
                <w:color w:val="000000"/>
              </w:rPr>
              <w:t>-0.64</w:t>
            </w:r>
          </w:p>
        </w:tc>
        <w:tc>
          <w:tcPr>
            <w:tcW w:w="960" w:type="dxa"/>
            <w:noWrap/>
            <w:vAlign w:val="bottom"/>
          </w:tcPr>
          <w:p w14:paraId="69469728" w14:textId="77777777" w:rsidR="00245CBF" w:rsidRPr="00870621" w:rsidRDefault="00245CBF" w:rsidP="00514011">
            <w:r>
              <w:rPr>
                <w:rFonts w:ascii="Calibri" w:hAnsi="Calibri" w:cs="Calibri"/>
                <w:color w:val="000000"/>
              </w:rPr>
              <w:t>0.13</w:t>
            </w:r>
          </w:p>
        </w:tc>
        <w:tc>
          <w:tcPr>
            <w:tcW w:w="960" w:type="dxa"/>
            <w:noWrap/>
            <w:vAlign w:val="bottom"/>
          </w:tcPr>
          <w:p w14:paraId="5421C20E" w14:textId="77777777" w:rsidR="00245CBF" w:rsidRPr="00870621" w:rsidRDefault="00245CBF" w:rsidP="00514011">
            <w:r>
              <w:rPr>
                <w:rFonts w:ascii="Calibri" w:hAnsi="Calibri" w:cs="Calibri"/>
                <w:color w:val="000000"/>
              </w:rPr>
              <w:t>1.00</w:t>
            </w:r>
          </w:p>
        </w:tc>
        <w:tc>
          <w:tcPr>
            <w:tcW w:w="1008" w:type="dxa"/>
            <w:noWrap/>
            <w:vAlign w:val="bottom"/>
          </w:tcPr>
          <w:p w14:paraId="2E1E7BD6" w14:textId="77777777" w:rsidR="00245CBF" w:rsidRPr="00870621" w:rsidRDefault="00245CBF" w:rsidP="00514011">
            <w:r>
              <w:rPr>
                <w:rFonts w:ascii="Calibri" w:hAnsi="Calibri" w:cs="Calibri"/>
                <w:color w:val="000000"/>
              </w:rPr>
              <w:t>1805.73</w:t>
            </w:r>
          </w:p>
        </w:tc>
        <w:tc>
          <w:tcPr>
            <w:tcW w:w="960" w:type="dxa"/>
            <w:noWrap/>
            <w:vAlign w:val="bottom"/>
          </w:tcPr>
          <w:p w14:paraId="62819808" w14:textId="77777777" w:rsidR="00245CBF" w:rsidRPr="00870621" w:rsidRDefault="00245CBF" w:rsidP="00514011">
            <w:pPr>
              <w:keepNext/>
            </w:pPr>
            <w:r>
              <w:rPr>
                <w:rFonts w:ascii="Calibri" w:hAnsi="Calibri" w:cs="Calibri"/>
                <w:color w:val="000000"/>
              </w:rPr>
              <w:t>2694.80</w:t>
            </w:r>
          </w:p>
        </w:tc>
      </w:tr>
      <w:tr w:rsidR="00245CBF" w:rsidRPr="00870621" w14:paraId="5666B719" w14:textId="77777777" w:rsidTr="00514011">
        <w:trPr>
          <w:trHeight w:val="288"/>
        </w:trPr>
        <w:tc>
          <w:tcPr>
            <w:tcW w:w="1354" w:type="dxa"/>
            <w:noWrap/>
            <w:vAlign w:val="bottom"/>
          </w:tcPr>
          <w:p w14:paraId="7587DC94" w14:textId="77777777" w:rsidR="00245CBF" w:rsidRPr="008727D0" w:rsidRDefault="00245CBF" w:rsidP="00514011">
            <w:pPr>
              <w:rPr>
                <w:b/>
                <w:bCs/>
              </w:rPr>
            </w:pPr>
            <w:r w:rsidRPr="00E92F0B">
              <w:rPr>
                <w:rFonts w:ascii="Calibri" w:hAnsi="Calibri" w:cs="Calibri"/>
                <w:b/>
                <w:bCs/>
                <w:color w:val="000000"/>
              </w:rPr>
              <w:t>DBH x Dryness</w:t>
            </w:r>
          </w:p>
        </w:tc>
        <w:tc>
          <w:tcPr>
            <w:tcW w:w="960" w:type="dxa"/>
            <w:noWrap/>
            <w:vAlign w:val="bottom"/>
          </w:tcPr>
          <w:p w14:paraId="7826019D" w14:textId="77777777" w:rsidR="00245CBF" w:rsidRPr="00870621" w:rsidRDefault="00245CBF" w:rsidP="00514011">
            <w:r>
              <w:rPr>
                <w:rFonts w:ascii="Calibri" w:hAnsi="Calibri" w:cs="Calibri"/>
                <w:color w:val="000000"/>
              </w:rPr>
              <w:t>-0.32</w:t>
            </w:r>
          </w:p>
        </w:tc>
        <w:tc>
          <w:tcPr>
            <w:tcW w:w="960" w:type="dxa"/>
            <w:noWrap/>
            <w:vAlign w:val="bottom"/>
          </w:tcPr>
          <w:p w14:paraId="6518DAF2" w14:textId="77777777" w:rsidR="00245CBF" w:rsidRPr="00870621" w:rsidRDefault="00245CBF" w:rsidP="00514011">
            <w:r>
              <w:rPr>
                <w:rFonts w:ascii="Calibri" w:hAnsi="Calibri" w:cs="Calibri"/>
                <w:color w:val="000000"/>
              </w:rPr>
              <w:t>-0.33</w:t>
            </w:r>
          </w:p>
        </w:tc>
        <w:tc>
          <w:tcPr>
            <w:tcW w:w="960" w:type="dxa"/>
            <w:noWrap/>
            <w:vAlign w:val="bottom"/>
          </w:tcPr>
          <w:p w14:paraId="059459F2" w14:textId="77777777" w:rsidR="00245CBF" w:rsidRPr="00870621" w:rsidRDefault="00245CBF" w:rsidP="00514011">
            <w:r>
              <w:rPr>
                <w:rFonts w:ascii="Calibri" w:hAnsi="Calibri" w:cs="Calibri"/>
                <w:color w:val="000000"/>
              </w:rPr>
              <w:t>0.63</w:t>
            </w:r>
          </w:p>
        </w:tc>
        <w:tc>
          <w:tcPr>
            <w:tcW w:w="960" w:type="dxa"/>
            <w:noWrap/>
            <w:vAlign w:val="bottom"/>
          </w:tcPr>
          <w:p w14:paraId="274B5F33" w14:textId="77777777" w:rsidR="00245CBF" w:rsidRPr="00870621" w:rsidRDefault="00245CBF" w:rsidP="00514011">
            <w:r>
              <w:rPr>
                <w:rFonts w:ascii="Calibri" w:hAnsi="Calibri" w:cs="Calibri"/>
                <w:color w:val="000000"/>
              </w:rPr>
              <w:t>-1.36</w:t>
            </w:r>
          </w:p>
        </w:tc>
        <w:tc>
          <w:tcPr>
            <w:tcW w:w="960" w:type="dxa"/>
            <w:noWrap/>
            <w:vAlign w:val="bottom"/>
          </w:tcPr>
          <w:p w14:paraId="118FE98B" w14:textId="77777777" w:rsidR="00245CBF" w:rsidRPr="00870621" w:rsidRDefault="00245CBF" w:rsidP="00514011">
            <w:r>
              <w:rPr>
                <w:rFonts w:ascii="Calibri" w:hAnsi="Calibri" w:cs="Calibri"/>
                <w:color w:val="000000"/>
              </w:rPr>
              <w:t>0.72</w:t>
            </w:r>
          </w:p>
        </w:tc>
        <w:tc>
          <w:tcPr>
            <w:tcW w:w="960" w:type="dxa"/>
            <w:noWrap/>
            <w:vAlign w:val="bottom"/>
          </w:tcPr>
          <w:p w14:paraId="58FF2DF2" w14:textId="77777777" w:rsidR="00245CBF" w:rsidRPr="00870621" w:rsidRDefault="00245CBF" w:rsidP="00514011">
            <w:r>
              <w:rPr>
                <w:rFonts w:ascii="Calibri" w:hAnsi="Calibri" w:cs="Calibri"/>
                <w:color w:val="000000"/>
              </w:rPr>
              <w:t>1.00</w:t>
            </w:r>
          </w:p>
        </w:tc>
        <w:tc>
          <w:tcPr>
            <w:tcW w:w="1008" w:type="dxa"/>
            <w:noWrap/>
            <w:vAlign w:val="bottom"/>
          </w:tcPr>
          <w:p w14:paraId="50927C72" w14:textId="77777777" w:rsidR="00245CBF" w:rsidRPr="00870621" w:rsidRDefault="00245CBF" w:rsidP="00514011">
            <w:r>
              <w:rPr>
                <w:rFonts w:ascii="Calibri" w:hAnsi="Calibri" w:cs="Calibri"/>
                <w:color w:val="000000"/>
              </w:rPr>
              <w:t>1562.24</w:t>
            </w:r>
          </w:p>
        </w:tc>
        <w:tc>
          <w:tcPr>
            <w:tcW w:w="960" w:type="dxa"/>
            <w:noWrap/>
            <w:vAlign w:val="bottom"/>
          </w:tcPr>
          <w:p w14:paraId="1EBD11F5" w14:textId="77777777" w:rsidR="00245CBF" w:rsidRPr="00870621" w:rsidRDefault="00245CBF" w:rsidP="00514011">
            <w:pPr>
              <w:keepNext/>
            </w:pPr>
            <w:r>
              <w:rPr>
                <w:rFonts w:ascii="Calibri" w:hAnsi="Calibri" w:cs="Calibri"/>
                <w:color w:val="000000"/>
              </w:rPr>
              <w:t>1894.60</w:t>
            </w:r>
          </w:p>
        </w:tc>
      </w:tr>
      <w:tr w:rsidR="00245CBF" w:rsidRPr="00870621" w14:paraId="2B2DE5E1" w14:textId="77777777" w:rsidTr="00514011">
        <w:trPr>
          <w:trHeight w:val="288"/>
        </w:trPr>
        <w:tc>
          <w:tcPr>
            <w:tcW w:w="1354" w:type="dxa"/>
            <w:noWrap/>
            <w:vAlign w:val="bottom"/>
          </w:tcPr>
          <w:p w14:paraId="3D8B24C8" w14:textId="77777777" w:rsidR="00245CBF" w:rsidRPr="008727D0" w:rsidRDefault="00245CBF" w:rsidP="00514011">
            <w:pPr>
              <w:rPr>
                <w:b/>
                <w:bCs/>
              </w:rPr>
            </w:pPr>
            <w:r w:rsidRPr="00E92F0B">
              <w:rPr>
                <w:rFonts w:ascii="Calibri" w:hAnsi="Calibri" w:cs="Calibri"/>
                <w:b/>
                <w:bCs/>
                <w:color w:val="000000"/>
              </w:rPr>
              <w:t>DBH^2 x Dryness</w:t>
            </w:r>
          </w:p>
        </w:tc>
        <w:tc>
          <w:tcPr>
            <w:tcW w:w="960" w:type="dxa"/>
            <w:noWrap/>
            <w:vAlign w:val="bottom"/>
          </w:tcPr>
          <w:p w14:paraId="1E0ED94F" w14:textId="77777777" w:rsidR="00245CBF" w:rsidRPr="00870621" w:rsidRDefault="00245CBF" w:rsidP="00514011">
            <w:r>
              <w:rPr>
                <w:rFonts w:ascii="Calibri" w:hAnsi="Calibri" w:cs="Calibri"/>
                <w:color w:val="000000"/>
              </w:rPr>
              <w:t>-0.08</w:t>
            </w:r>
          </w:p>
        </w:tc>
        <w:tc>
          <w:tcPr>
            <w:tcW w:w="960" w:type="dxa"/>
            <w:noWrap/>
            <w:vAlign w:val="bottom"/>
          </w:tcPr>
          <w:p w14:paraId="3AB37E92" w14:textId="77777777" w:rsidR="00245CBF" w:rsidRPr="00870621" w:rsidRDefault="00245CBF" w:rsidP="00514011">
            <w:r>
              <w:rPr>
                <w:rFonts w:ascii="Calibri" w:hAnsi="Calibri" w:cs="Calibri"/>
                <w:color w:val="000000"/>
              </w:rPr>
              <w:t>-0.08</w:t>
            </w:r>
          </w:p>
        </w:tc>
        <w:tc>
          <w:tcPr>
            <w:tcW w:w="960" w:type="dxa"/>
            <w:noWrap/>
            <w:vAlign w:val="bottom"/>
          </w:tcPr>
          <w:p w14:paraId="130B7CD6" w14:textId="77777777" w:rsidR="00245CBF" w:rsidRPr="00870621" w:rsidRDefault="00245CBF" w:rsidP="00514011">
            <w:r>
              <w:rPr>
                <w:rFonts w:ascii="Calibri" w:hAnsi="Calibri" w:cs="Calibri"/>
                <w:color w:val="000000"/>
              </w:rPr>
              <w:t>0.29</w:t>
            </w:r>
          </w:p>
        </w:tc>
        <w:tc>
          <w:tcPr>
            <w:tcW w:w="960" w:type="dxa"/>
            <w:noWrap/>
            <w:vAlign w:val="bottom"/>
          </w:tcPr>
          <w:p w14:paraId="3AC0D065" w14:textId="77777777" w:rsidR="00245CBF" w:rsidRPr="00870621" w:rsidRDefault="00245CBF" w:rsidP="00514011">
            <w:r>
              <w:rPr>
                <w:rFonts w:ascii="Calibri" w:hAnsi="Calibri" w:cs="Calibri"/>
                <w:color w:val="000000"/>
              </w:rPr>
              <w:t>-0.55</w:t>
            </w:r>
          </w:p>
        </w:tc>
        <w:tc>
          <w:tcPr>
            <w:tcW w:w="960" w:type="dxa"/>
            <w:noWrap/>
            <w:vAlign w:val="bottom"/>
          </w:tcPr>
          <w:p w14:paraId="12078471" w14:textId="77777777" w:rsidR="00245CBF" w:rsidRPr="00870621" w:rsidRDefault="00245CBF" w:rsidP="00514011">
            <w:r>
              <w:rPr>
                <w:rFonts w:ascii="Calibri" w:hAnsi="Calibri" w:cs="Calibri"/>
                <w:color w:val="000000"/>
              </w:rPr>
              <w:t>0.40</w:t>
            </w:r>
          </w:p>
        </w:tc>
        <w:tc>
          <w:tcPr>
            <w:tcW w:w="960" w:type="dxa"/>
            <w:noWrap/>
            <w:vAlign w:val="bottom"/>
          </w:tcPr>
          <w:p w14:paraId="45709D0C" w14:textId="77777777" w:rsidR="00245CBF" w:rsidRPr="00870621" w:rsidRDefault="00245CBF" w:rsidP="00514011">
            <w:r>
              <w:rPr>
                <w:rFonts w:ascii="Calibri" w:hAnsi="Calibri" w:cs="Calibri"/>
                <w:color w:val="000000"/>
              </w:rPr>
              <w:t>1.00</w:t>
            </w:r>
          </w:p>
        </w:tc>
        <w:tc>
          <w:tcPr>
            <w:tcW w:w="1008" w:type="dxa"/>
            <w:noWrap/>
            <w:vAlign w:val="bottom"/>
          </w:tcPr>
          <w:p w14:paraId="0C459F78" w14:textId="77777777" w:rsidR="00245CBF" w:rsidRPr="00870621" w:rsidRDefault="00245CBF" w:rsidP="00514011">
            <w:r>
              <w:rPr>
                <w:rFonts w:ascii="Calibri" w:hAnsi="Calibri" w:cs="Calibri"/>
                <w:color w:val="000000"/>
              </w:rPr>
              <w:t>1812.10</w:t>
            </w:r>
          </w:p>
        </w:tc>
        <w:tc>
          <w:tcPr>
            <w:tcW w:w="960" w:type="dxa"/>
            <w:noWrap/>
            <w:vAlign w:val="bottom"/>
          </w:tcPr>
          <w:p w14:paraId="6603645B" w14:textId="77777777" w:rsidR="00245CBF" w:rsidRPr="00870621" w:rsidRDefault="00245CBF" w:rsidP="00514011">
            <w:pPr>
              <w:keepNext/>
            </w:pPr>
            <w:r>
              <w:rPr>
                <w:rFonts w:ascii="Calibri" w:hAnsi="Calibri" w:cs="Calibri"/>
                <w:color w:val="000000"/>
              </w:rPr>
              <w:t>2451.13</w:t>
            </w:r>
          </w:p>
        </w:tc>
      </w:tr>
      <w:tr w:rsidR="00245CBF" w:rsidRPr="00870621" w14:paraId="6271A4E4" w14:textId="77777777" w:rsidTr="00514011">
        <w:trPr>
          <w:trHeight w:val="288"/>
        </w:trPr>
        <w:tc>
          <w:tcPr>
            <w:tcW w:w="1354" w:type="dxa"/>
            <w:noWrap/>
            <w:vAlign w:val="bottom"/>
          </w:tcPr>
          <w:p w14:paraId="1AD8B505" w14:textId="77777777" w:rsidR="00245CBF" w:rsidRPr="008727D0" w:rsidRDefault="00245CBF" w:rsidP="00514011">
            <w:pPr>
              <w:rPr>
                <w:b/>
                <w:bCs/>
              </w:rPr>
            </w:pPr>
            <w:r w:rsidRPr="00E92F0B">
              <w:rPr>
                <w:rFonts w:ascii="Calibri" w:hAnsi="Calibri" w:cs="Calibri"/>
                <w:b/>
                <w:bCs/>
                <w:color w:val="000000"/>
              </w:rPr>
              <w:t>SD Ecoregions</w:t>
            </w:r>
          </w:p>
        </w:tc>
        <w:tc>
          <w:tcPr>
            <w:tcW w:w="960" w:type="dxa"/>
            <w:noWrap/>
            <w:vAlign w:val="bottom"/>
          </w:tcPr>
          <w:p w14:paraId="06A530D9" w14:textId="77777777" w:rsidR="00245CBF" w:rsidRPr="00870621" w:rsidRDefault="00245CBF" w:rsidP="00514011">
            <w:r>
              <w:rPr>
                <w:rFonts w:ascii="Calibri" w:hAnsi="Calibri" w:cs="Calibri"/>
                <w:color w:val="000000"/>
              </w:rPr>
              <w:t>0.88</w:t>
            </w:r>
          </w:p>
        </w:tc>
        <w:tc>
          <w:tcPr>
            <w:tcW w:w="960" w:type="dxa"/>
            <w:noWrap/>
            <w:vAlign w:val="bottom"/>
          </w:tcPr>
          <w:p w14:paraId="0A4FB8DF" w14:textId="77777777" w:rsidR="00245CBF" w:rsidRPr="00870621" w:rsidRDefault="00245CBF" w:rsidP="00514011">
            <w:r>
              <w:rPr>
                <w:rFonts w:ascii="Calibri" w:hAnsi="Calibri" w:cs="Calibri"/>
                <w:color w:val="000000"/>
              </w:rPr>
              <w:t>0.85</w:t>
            </w:r>
          </w:p>
        </w:tc>
        <w:tc>
          <w:tcPr>
            <w:tcW w:w="960" w:type="dxa"/>
            <w:noWrap/>
            <w:vAlign w:val="bottom"/>
          </w:tcPr>
          <w:p w14:paraId="2F73F3CB" w14:textId="77777777" w:rsidR="00245CBF" w:rsidRPr="00870621" w:rsidRDefault="00245CBF" w:rsidP="00514011">
            <w:r>
              <w:rPr>
                <w:rFonts w:ascii="Calibri" w:hAnsi="Calibri" w:cs="Calibri"/>
                <w:color w:val="000000"/>
              </w:rPr>
              <w:t>0.24</w:t>
            </w:r>
          </w:p>
        </w:tc>
        <w:tc>
          <w:tcPr>
            <w:tcW w:w="960" w:type="dxa"/>
            <w:noWrap/>
            <w:vAlign w:val="bottom"/>
          </w:tcPr>
          <w:p w14:paraId="0E5C6FBE" w14:textId="77777777" w:rsidR="00245CBF" w:rsidRPr="00870621" w:rsidRDefault="00245CBF" w:rsidP="00514011">
            <w:r>
              <w:rPr>
                <w:rFonts w:ascii="Calibri" w:hAnsi="Calibri" w:cs="Calibri"/>
                <w:color w:val="000000"/>
              </w:rPr>
              <w:t>0.51</w:t>
            </w:r>
          </w:p>
        </w:tc>
        <w:tc>
          <w:tcPr>
            <w:tcW w:w="960" w:type="dxa"/>
            <w:noWrap/>
            <w:vAlign w:val="bottom"/>
          </w:tcPr>
          <w:p w14:paraId="0B3779F5" w14:textId="77777777" w:rsidR="00245CBF" w:rsidRPr="00870621" w:rsidRDefault="00245CBF" w:rsidP="00514011">
            <w:r>
              <w:rPr>
                <w:rFonts w:ascii="Calibri" w:hAnsi="Calibri" w:cs="Calibri"/>
                <w:color w:val="000000"/>
              </w:rPr>
              <w:t>1.30</w:t>
            </w:r>
          </w:p>
        </w:tc>
        <w:tc>
          <w:tcPr>
            <w:tcW w:w="960" w:type="dxa"/>
            <w:noWrap/>
            <w:vAlign w:val="bottom"/>
          </w:tcPr>
          <w:p w14:paraId="6A4E6CBD" w14:textId="77777777" w:rsidR="00245CBF" w:rsidRPr="00870621" w:rsidRDefault="00245CBF" w:rsidP="00514011">
            <w:r>
              <w:rPr>
                <w:rFonts w:ascii="Calibri" w:hAnsi="Calibri" w:cs="Calibri"/>
                <w:color w:val="000000"/>
              </w:rPr>
              <w:t>1.00</w:t>
            </w:r>
          </w:p>
        </w:tc>
        <w:tc>
          <w:tcPr>
            <w:tcW w:w="1008" w:type="dxa"/>
            <w:noWrap/>
            <w:vAlign w:val="bottom"/>
          </w:tcPr>
          <w:p w14:paraId="5DAE8C77" w14:textId="77777777" w:rsidR="00245CBF" w:rsidRPr="00870621" w:rsidRDefault="00245CBF" w:rsidP="00514011">
            <w:r>
              <w:rPr>
                <w:rFonts w:ascii="Calibri" w:hAnsi="Calibri" w:cs="Calibri"/>
                <w:color w:val="000000"/>
              </w:rPr>
              <w:t>1264.58</w:t>
            </w:r>
          </w:p>
        </w:tc>
        <w:tc>
          <w:tcPr>
            <w:tcW w:w="960" w:type="dxa"/>
            <w:noWrap/>
            <w:vAlign w:val="bottom"/>
          </w:tcPr>
          <w:p w14:paraId="0C4F8A19" w14:textId="77777777" w:rsidR="00245CBF" w:rsidRPr="00870621" w:rsidRDefault="00245CBF" w:rsidP="00514011">
            <w:pPr>
              <w:keepNext/>
            </w:pPr>
            <w:r>
              <w:rPr>
                <w:rFonts w:ascii="Calibri" w:hAnsi="Calibri" w:cs="Calibri"/>
                <w:color w:val="000000"/>
              </w:rPr>
              <w:t>1891.26</w:t>
            </w:r>
          </w:p>
        </w:tc>
      </w:tr>
      <w:tr w:rsidR="00245CBF" w:rsidRPr="00870621" w14:paraId="25451BBD" w14:textId="77777777" w:rsidTr="00514011">
        <w:trPr>
          <w:trHeight w:val="288"/>
        </w:trPr>
        <w:tc>
          <w:tcPr>
            <w:tcW w:w="1354" w:type="dxa"/>
            <w:noWrap/>
            <w:vAlign w:val="bottom"/>
          </w:tcPr>
          <w:p w14:paraId="3CCFA76E" w14:textId="77777777" w:rsidR="00245CBF" w:rsidRPr="008727D0" w:rsidRDefault="00245CBF" w:rsidP="00514011">
            <w:pPr>
              <w:rPr>
                <w:b/>
                <w:bCs/>
              </w:rPr>
            </w:pPr>
            <w:r w:rsidRPr="00E92F0B">
              <w:rPr>
                <w:rFonts w:ascii="Calibri" w:hAnsi="Calibri" w:cs="Calibri"/>
                <w:b/>
                <w:bCs/>
                <w:color w:val="000000"/>
              </w:rPr>
              <w:t>NB Dispersion</w:t>
            </w:r>
          </w:p>
        </w:tc>
        <w:tc>
          <w:tcPr>
            <w:tcW w:w="960" w:type="dxa"/>
            <w:noWrap/>
            <w:vAlign w:val="bottom"/>
          </w:tcPr>
          <w:p w14:paraId="0556F052" w14:textId="77777777" w:rsidR="00245CBF" w:rsidRPr="00870621" w:rsidRDefault="00245CBF" w:rsidP="00514011">
            <w:r>
              <w:rPr>
                <w:rFonts w:ascii="Calibri" w:hAnsi="Calibri" w:cs="Calibri"/>
                <w:color w:val="000000"/>
              </w:rPr>
              <w:t>0.45</w:t>
            </w:r>
          </w:p>
        </w:tc>
        <w:tc>
          <w:tcPr>
            <w:tcW w:w="960" w:type="dxa"/>
            <w:noWrap/>
            <w:vAlign w:val="bottom"/>
          </w:tcPr>
          <w:p w14:paraId="734E2698" w14:textId="77777777" w:rsidR="00245CBF" w:rsidRPr="00870621" w:rsidRDefault="00245CBF" w:rsidP="00514011">
            <w:r>
              <w:rPr>
                <w:rFonts w:ascii="Calibri" w:hAnsi="Calibri" w:cs="Calibri"/>
                <w:color w:val="000000"/>
              </w:rPr>
              <w:t>0.44</w:t>
            </w:r>
          </w:p>
        </w:tc>
        <w:tc>
          <w:tcPr>
            <w:tcW w:w="960" w:type="dxa"/>
            <w:noWrap/>
            <w:vAlign w:val="bottom"/>
          </w:tcPr>
          <w:p w14:paraId="182B86E3" w14:textId="77777777" w:rsidR="00245CBF" w:rsidRPr="00870621" w:rsidRDefault="00245CBF" w:rsidP="00514011">
            <w:r>
              <w:rPr>
                <w:rFonts w:ascii="Calibri" w:hAnsi="Calibri" w:cs="Calibri"/>
                <w:color w:val="000000"/>
              </w:rPr>
              <w:t>0.07</w:t>
            </w:r>
          </w:p>
        </w:tc>
        <w:tc>
          <w:tcPr>
            <w:tcW w:w="960" w:type="dxa"/>
            <w:noWrap/>
            <w:vAlign w:val="bottom"/>
          </w:tcPr>
          <w:p w14:paraId="58E27B12" w14:textId="77777777" w:rsidR="00245CBF" w:rsidRPr="00870621" w:rsidRDefault="00245CBF" w:rsidP="00514011">
            <w:r>
              <w:rPr>
                <w:rFonts w:ascii="Calibri" w:hAnsi="Calibri" w:cs="Calibri"/>
                <w:color w:val="000000"/>
              </w:rPr>
              <w:t>0.35</w:t>
            </w:r>
          </w:p>
        </w:tc>
        <w:tc>
          <w:tcPr>
            <w:tcW w:w="960" w:type="dxa"/>
            <w:noWrap/>
            <w:vAlign w:val="bottom"/>
          </w:tcPr>
          <w:p w14:paraId="03983BC2" w14:textId="77777777" w:rsidR="00245CBF" w:rsidRPr="00870621" w:rsidRDefault="00245CBF" w:rsidP="00514011">
            <w:r>
              <w:rPr>
                <w:rFonts w:ascii="Calibri" w:hAnsi="Calibri" w:cs="Calibri"/>
                <w:color w:val="000000"/>
              </w:rPr>
              <w:t>0.57</w:t>
            </w:r>
          </w:p>
        </w:tc>
        <w:tc>
          <w:tcPr>
            <w:tcW w:w="960" w:type="dxa"/>
            <w:noWrap/>
            <w:vAlign w:val="bottom"/>
          </w:tcPr>
          <w:p w14:paraId="02392945" w14:textId="77777777" w:rsidR="00245CBF" w:rsidRPr="00870621" w:rsidRDefault="00245CBF" w:rsidP="00514011">
            <w:r>
              <w:rPr>
                <w:rFonts w:ascii="Calibri" w:hAnsi="Calibri" w:cs="Calibri"/>
                <w:color w:val="000000"/>
              </w:rPr>
              <w:t>1.00</w:t>
            </w:r>
          </w:p>
        </w:tc>
        <w:tc>
          <w:tcPr>
            <w:tcW w:w="1008" w:type="dxa"/>
            <w:noWrap/>
            <w:vAlign w:val="bottom"/>
          </w:tcPr>
          <w:p w14:paraId="65F0DA7C" w14:textId="77777777" w:rsidR="00245CBF" w:rsidRPr="00870621" w:rsidRDefault="00245CBF" w:rsidP="00514011">
            <w:r>
              <w:rPr>
                <w:rFonts w:ascii="Calibri" w:hAnsi="Calibri" w:cs="Calibri"/>
                <w:color w:val="000000"/>
              </w:rPr>
              <w:t>3248.49</w:t>
            </w:r>
          </w:p>
        </w:tc>
        <w:tc>
          <w:tcPr>
            <w:tcW w:w="960" w:type="dxa"/>
            <w:noWrap/>
            <w:vAlign w:val="bottom"/>
          </w:tcPr>
          <w:p w14:paraId="63FABD82" w14:textId="77777777" w:rsidR="00245CBF" w:rsidRPr="00870621" w:rsidRDefault="00245CBF" w:rsidP="00514011">
            <w:pPr>
              <w:keepNext/>
            </w:pPr>
            <w:r>
              <w:rPr>
                <w:rFonts w:ascii="Calibri" w:hAnsi="Calibri" w:cs="Calibri"/>
                <w:color w:val="000000"/>
              </w:rPr>
              <w:t>2768.46</w:t>
            </w:r>
          </w:p>
        </w:tc>
      </w:tr>
    </w:tbl>
    <w:p w14:paraId="0C100CE1" w14:textId="77777777" w:rsidR="00245CBF" w:rsidRPr="00870621" w:rsidRDefault="00245CBF" w:rsidP="00245CBF">
      <w:pPr>
        <w:pStyle w:val="Caption"/>
      </w:pPr>
      <w:bookmarkStart w:id="84" w:name="_Ref94613081"/>
      <w:r>
        <w:t xml:space="preserve">Table </w:t>
      </w:r>
      <w:r>
        <w:fldChar w:fldCharType="begin"/>
      </w:r>
      <w:r>
        <w:instrText xml:space="preserve"> SEQ Table \* ARABIC </w:instrText>
      </w:r>
      <w:r>
        <w:fldChar w:fldCharType="separate"/>
      </w:r>
      <w:r>
        <w:rPr>
          <w:noProof/>
        </w:rPr>
        <w:t>3</w:t>
      </w:r>
      <w:r>
        <w:fldChar w:fldCharType="end"/>
      </w:r>
      <w:bookmarkEnd w:id="84"/>
      <w:r>
        <w:t>: Summary of results for recruitment sub model, giving the mean, median, standard deviation, 5</w:t>
      </w:r>
      <w:r w:rsidRPr="00362541">
        <w:rPr>
          <w:vertAlign w:val="superscript"/>
        </w:rPr>
        <w:t>th</w:t>
      </w:r>
      <w:r>
        <w:t xml:space="preserve"> percentile, and 95</w:t>
      </w:r>
      <w:r w:rsidRPr="00362541">
        <w:rPr>
          <w:vertAlign w:val="superscript"/>
        </w:rPr>
        <w:t>th</w:t>
      </w:r>
      <w:r>
        <w:t xml:space="preserve"> percentile of posterior samples for each parameter, plus diagnostics R-hat, effective sample size (bulk), and effective sample size (tail).</w:t>
      </w:r>
    </w:p>
    <w:p w14:paraId="30B6AB74" w14:textId="1132E5C4" w:rsidR="0021575D" w:rsidRDefault="0021575D" w:rsidP="00E92F0B">
      <w:r>
        <w:br w:type="page"/>
      </w:r>
    </w:p>
    <w:p w14:paraId="499CE184" w14:textId="05628C8D" w:rsidR="00E9049A" w:rsidRDefault="00E9049A" w:rsidP="00E9049A">
      <w:pPr>
        <w:pStyle w:val="Heading1"/>
      </w:pPr>
      <w:r>
        <w:lastRenderedPageBreak/>
        <w:t>Figures</w:t>
      </w:r>
    </w:p>
    <w:p w14:paraId="589CC1D4" w14:textId="77777777" w:rsidR="003E0B60" w:rsidRDefault="003E0B60" w:rsidP="008400A4">
      <w:pPr>
        <w:keepNext/>
        <w:spacing w:line="360" w:lineRule="auto"/>
      </w:pPr>
      <w:r>
        <w:rPr>
          <w:noProof/>
        </w:rPr>
        <w:drawing>
          <wp:inline distT="0" distB="0" distL="0" distR="0" wp14:anchorId="69642FD4" wp14:editId="4D6E8769">
            <wp:extent cx="2933700" cy="45660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rcRect l="1812" r="1812"/>
                    <a:stretch>
                      <a:fillRect/>
                    </a:stretch>
                  </pic:blipFill>
                  <pic:spPr bwMode="auto">
                    <a:xfrm>
                      <a:off x="0" y="0"/>
                      <a:ext cx="2938668" cy="4573783"/>
                    </a:xfrm>
                    <a:prstGeom prst="rect">
                      <a:avLst/>
                    </a:prstGeom>
                    <a:ln>
                      <a:noFill/>
                    </a:ln>
                    <a:extLst>
                      <a:ext uri="{53640926-AAD7-44D8-BBD7-CCE9431645EC}">
                        <a14:shadowObscured xmlns:a14="http://schemas.microsoft.com/office/drawing/2010/main"/>
                      </a:ext>
                    </a:extLst>
                  </pic:spPr>
                </pic:pic>
              </a:graphicData>
            </a:graphic>
          </wp:inline>
        </w:drawing>
      </w:r>
    </w:p>
    <w:p w14:paraId="10C4CFCA" w14:textId="68A541F4" w:rsidR="003E0B60" w:rsidRDefault="003E0B60" w:rsidP="008400A4">
      <w:pPr>
        <w:pStyle w:val="Caption"/>
      </w:pPr>
      <w:bookmarkStart w:id="85" w:name="_Ref94877166"/>
      <w:r>
        <w:t xml:space="preserve">Figure </w:t>
      </w:r>
      <w:r w:rsidR="001D3356">
        <w:fldChar w:fldCharType="begin"/>
      </w:r>
      <w:r w:rsidR="001D3356">
        <w:instrText xml:space="preserve"> SEQ Figure \* ARABIC </w:instrText>
      </w:r>
      <w:r w:rsidR="001D3356">
        <w:fldChar w:fldCharType="separate"/>
      </w:r>
      <w:r w:rsidR="009166BF">
        <w:rPr>
          <w:noProof/>
        </w:rPr>
        <w:t>1</w:t>
      </w:r>
      <w:r w:rsidR="001D3356">
        <w:rPr>
          <w:noProof/>
        </w:rPr>
        <w:fldChar w:fldCharType="end"/>
      </w:r>
      <w:bookmarkEnd w:id="85"/>
      <w:r>
        <w:t xml:space="preserve">: </w:t>
      </w:r>
      <w:r w:rsidR="00AF1B9C">
        <w:t xml:space="preserve">1,102 Forest Inventory and Analysis (FIA) plots where </w:t>
      </w:r>
      <w:r w:rsidR="004769F7">
        <w:t xml:space="preserve">live </w:t>
      </w:r>
      <w:r w:rsidR="00AF1B9C">
        <w:t xml:space="preserve">sugar pine </w:t>
      </w:r>
      <w:r w:rsidR="004769F7">
        <w:t>was present at initial measurement (2001-2010)</w:t>
      </w:r>
      <w:r w:rsidR="00AF1B9C">
        <w:t xml:space="preserve"> with US state borders. Plot locations based on the nominal, rather than true, coordinates. </w:t>
      </w:r>
      <w:r>
        <w:t xml:space="preserve"> Inset shows position relative to North America</w:t>
      </w:r>
      <w:r w:rsidR="00AF1B9C">
        <w:t xml:space="preserve"> and national borders</w:t>
      </w:r>
      <w:r>
        <w:t>.</w:t>
      </w:r>
    </w:p>
    <w:p w14:paraId="26E01EDC" w14:textId="7F0CA301" w:rsidR="009D4174" w:rsidRDefault="009D4174">
      <w:r>
        <w:br w:type="page"/>
      </w:r>
    </w:p>
    <w:p w14:paraId="4926421D" w14:textId="77777777" w:rsidR="009D4174" w:rsidRPr="009D4174" w:rsidRDefault="009D4174" w:rsidP="009D4174"/>
    <w:p w14:paraId="40E71624" w14:textId="77777777" w:rsidR="007E3804" w:rsidRDefault="007E3804" w:rsidP="008400A4">
      <w:pPr>
        <w:keepNext/>
      </w:pPr>
      <w:r>
        <w:rPr>
          <w:noProof/>
        </w:rPr>
        <w:drawing>
          <wp:inline distT="0" distB="0" distL="0" distR="0" wp14:anchorId="7E22CEF5" wp14:editId="1AAB24E2">
            <wp:extent cx="5682602" cy="69939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2602" cy="6993971"/>
                    </a:xfrm>
                    <a:prstGeom prst="rect">
                      <a:avLst/>
                    </a:prstGeom>
                  </pic:spPr>
                </pic:pic>
              </a:graphicData>
            </a:graphic>
          </wp:inline>
        </w:drawing>
      </w:r>
    </w:p>
    <w:p w14:paraId="7C4930ED" w14:textId="4C922A5B" w:rsidR="007E3804" w:rsidRDefault="007E3804" w:rsidP="007E3804">
      <w:pPr>
        <w:pStyle w:val="Caption"/>
      </w:pPr>
      <w:bookmarkStart w:id="86" w:name="_Ref93744929"/>
      <w:commentRangeStart w:id="87"/>
      <w:r>
        <w:t xml:space="preserve">Figure </w:t>
      </w:r>
      <w:r w:rsidR="00A302ED">
        <w:fldChar w:fldCharType="begin"/>
      </w:r>
      <w:r w:rsidR="00A302ED">
        <w:instrText xml:space="preserve"> SEQ Figure \* ARABIC </w:instrText>
      </w:r>
      <w:r w:rsidR="00A302ED">
        <w:fldChar w:fldCharType="separate"/>
      </w:r>
      <w:r w:rsidR="009166BF">
        <w:rPr>
          <w:noProof/>
        </w:rPr>
        <w:t>2</w:t>
      </w:r>
      <w:r w:rsidR="00A302ED">
        <w:rPr>
          <w:noProof/>
        </w:rPr>
        <w:fldChar w:fldCharType="end"/>
      </w:r>
      <w:bookmarkEnd w:id="86"/>
      <w:r w:rsidR="008400A4">
        <w:rPr>
          <w:noProof/>
        </w:rPr>
        <w:t xml:space="preserve">: </w:t>
      </w:r>
      <w:commentRangeEnd w:id="87"/>
      <w:r w:rsidR="00090276">
        <w:rPr>
          <w:rStyle w:val="CommentReference"/>
          <w:i w:val="0"/>
          <w:iCs w:val="0"/>
          <w:color w:val="auto"/>
        </w:rPr>
        <w:commentReference w:id="87"/>
      </w:r>
      <w:r w:rsidR="008400A4">
        <w:rPr>
          <w:noProof/>
        </w:rPr>
        <w:t xml:space="preserve">Fixed effects of initial DBH, fire, WPBR, neighborhood basal area, drought, and site dryness on survival. </w:t>
      </w:r>
      <w:r w:rsidR="00AC4853">
        <w:rPr>
          <w:noProof/>
        </w:rPr>
        <w:t xml:space="preserve">In the top left panel, probability of survival (Y-axis) is predicted for stems of various initial size (X-axis), holding other variables at “Absent” (for fire and WPBR) or 0 (scaled mean, for basal area, drought, and site dryness). In the other panels, probability of survival is predicted for stems of various sizes and across two levels of each other explanatory variable: with or without disturbance, or at high (1.0) or low (-1.0) values for scaled continuous variables. Predictions were generated using the posterior samples for model </w:t>
      </w:r>
      <w:r w:rsidR="00AC4853">
        <w:rPr>
          <w:noProof/>
        </w:rPr>
        <w:lastRenderedPageBreak/>
        <w:t>parameters</w:t>
      </w:r>
      <w:r w:rsidR="00143E5F">
        <w:rPr>
          <w:noProof/>
        </w:rPr>
        <w:t>, resulting in a range of predicted survival for each set of explanatory variable values. Lines show the median predicted survival, darker ribbons show a 50% credible interval, and lighter ribbons show a 95% credible interval. Random effects were held at 0.</w:t>
      </w:r>
      <w:r w:rsidR="006271C9">
        <w:rPr>
          <w:noProof/>
        </w:rPr>
        <w:t xml:space="preserve"> 1.25 m is approximately the 95</w:t>
      </w:r>
      <w:r w:rsidR="006271C9" w:rsidRPr="006271C9">
        <w:rPr>
          <w:noProof/>
          <w:vertAlign w:val="superscript"/>
        </w:rPr>
        <w:t>th</w:t>
      </w:r>
      <w:r w:rsidR="006271C9">
        <w:rPr>
          <w:noProof/>
        </w:rPr>
        <w:t xml:space="preserve"> percentile DBH of trees used to train the model</w:t>
      </w:r>
      <w:r w:rsidR="00950212">
        <w:rPr>
          <w:noProof/>
        </w:rPr>
        <w:t>, resulting in relatively wide uncertainty about the survival of stems larger than 1.25m.</w:t>
      </w:r>
    </w:p>
    <w:p w14:paraId="5D348714" w14:textId="72487FFF" w:rsidR="007E3804" w:rsidRDefault="00143E5F" w:rsidP="008400A4">
      <w:pPr>
        <w:keepNext/>
      </w:pPr>
      <w:r>
        <w:rPr>
          <w:noProof/>
        </w:rPr>
        <w:t xml:space="preserve"> </w:t>
      </w:r>
      <w:r w:rsidR="007E3804">
        <w:rPr>
          <w:noProof/>
        </w:rPr>
        <w:drawing>
          <wp:inline distT="0" distB="0" distL="0" distR="0" wp14:anchorId="1515FA6E" wp14:editId="7EDD58FE">
            <wp:extent cx="5655068" cy="696008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55068" cy="6960085"/>
                    </a:xfrm>
                    <a:prstGeom prst="rect">
                      <a:avLst/>
                    </a:prstGeom>
                  </pic:spPr>
                </pic:pic>
              </a:graphicData>
            </a:graphic>
          </wp:inline>
        </w:drawing>
      </w:r>
    </w:p>
    <w:p w14:paraId="45744BE9" w14:textId="01B5691A" w:rsidR="007E3804" w:rsidRDefault="007E3804" w:rsidP="007E3804">
      <w:pPr>
        <w:pStyle w:val="Caption"/>
      </w:pPr>
      <w:bookmarkStart w:id="88" w:name="_Ref94611931"/>
      <w:r>
        <w:t xml:space="preserve">Figure </w:t>
      </w:r>
      <w:r w:rsidR="00A302ED">
        <w:fldChar w:fldCharType="begin"/>
      </w:r>
      <w:r w:rsidR="00A302ED">
        <w:instrText xml:space="preserve"> SEQ Figure \* ARABIC </w:instrText>
      </w:r>
      <w:r w:rsidR="00A302ED">
        <w:fldChar w:fldCharType="separate"/>
      </w:r>
      <w:r w:rsidR="009166BF">
        <w:rPr>
          <w:noProof/>
        </w:rPr>
        <w:t>3</w:t>
      </w:r>
      <w:r w:rsidR="00A302ED">
        <w:rPr>
          <w:noProof/>
        </w:rPr>
        <w:fldChar w:fldCharType="end"/>
      </w:r>
      <w:bookmarkEnd w:id="88"/>
      <w:r w:rsidR="00DE4D0E">
        <w:rPr>
          <w:noProof/>
        </w:rPr>
        <w:t>:</w:t>
      </w:r>
      <w:r w:rsidR="00143E5F" w:rsidRPr="00143E5F">
        <w:rPr>
          <w:noProof/>
        </w:rPr>
        <w:t xml:space="preserve"> </w:t>
      </w:r>
      <w:r w:rsidR="00143E5F">
        <w:rPr>
          <w:noProof/>
        </w:rPr>
        <w:t xml:space="preserve">Fixed effects of initial DBH, fire, WPBR, neighborhood basal area, drought, and site dryness on growth. In the top left panel, DBH growth over the 10 years between censuses (Y-axis) is predicted for stems of various initial size (X-axis), holding other variables at “Absent” (for fire and WPBR) or 0 (scaled mean, for basal area, drought, and site dryness). In the other panels, </w:t>
      </w:r>
      <w:r w:rsidR="00143E5F">
        <w:rPr>
          <w:noProof/>
        </w:rPr>
        <w:lastRenderedPageBreak/>
        <w:t>growth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p>
    <w:p w14:paraId="7A90CA33" w14:textId="77777777" w:rsidR="007E3804" w:rsidRDefault="007E3804" w:rsidP="008400A4">
      <w:pPr>
        <w:keepNext/>
      </w:pPr>
      <w:r>
        <w:rPr>
          <w:noProof/>
        </w:rPr>
        <w:drawing>
          <wp:inline distT="0" distB="0" distL="0" distR="0" wp14:anchorId="5BB37C55" wp14:editId="3D490A9C">
            <wp:extent cx="5637805" cy="693883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7805" cy="6938837"/>
                    </a:xfrm>
                    <a:prstGeom prst="rect">
                      <a:avLst/>
                    </a:prstGeom>
                  </pic:spPr>
                </pic:pic>
              </a:graphicData>
            </a:graphic>
          </wp:inline>
        </w:drawing>
      </w:r>
    </w:p>
    <w:p w14:paraId="6DB62EB3" w14:textId="681D931C" w:rsidR="007E3804" w:rsidRDefault="007E3804" w:rsidP="007E3804">
      <w:pPr>
        <w:pStyle w:val="Caption"/>
      </w:pPr>
      <w:bookmarkStart w:id="89" w:name="_Ref94613276"/>
      <w:r>
        <w:t xml:space="preserve">Figure </w:t>
      </w:r>
      <w:r w:rsidR="00A302ED">
        <w:fldChar w:fldCharType="begin"/>
      </w:r>
      <w:r w:rsidR="00A302ED">
        <w:instrText xml:space="preserve"> SEQ Figure \* ARABIC </w:instrText>
      </w:r>
      <w:r w:rsidR="00A302ED">
        <w:fldChar w:fldCharType="separate"/>
      </w:r>
      <w:r w:rsidR="009166BF">
        <w:rPr>
          <w:noProof/>
        </w:rPr>
        <w:t>4</w:t>
      </w:r>
      <w:r w:rsidR="00A302ED">
        <w:rPr>
          <w:noProof/>
        </w:rPr>
        <w:fldChar w:fldCharType="end"/>
      </w:r>
      <w:bookmarkEnd w:id="89"/>
      <w:r w:rsidR="00DE4D0E">
        <w:rPr>
          <w:noProof/>
        </w:rPr>
        <w:t>:</w:t>
      </w:r>
      <w:r w:rsidR="00143E5F">
        <w:rPr>
          <w:noProof/>
        </w:rPr>
        <w:t xml:space="preserve"> Fixed effects of initial DBH, fire, WPBR, neighborhood basal area, drought, and site dryness on </w:t>
      </w:r>
      <w:r w:rsidR="00F23E3D">
        <w:rPr>
          <w:noProof/>
        </w:rPr>
        <w:t>fecundity</w:t>
      </w:r>
      <w:r w:rsidR="00143E5F">
        <w:rPr>
          <w:noProof/>
        </w:rPr>
        <w:t xml:space="preserve">. In the top left panel, </w:t>
      </w:r>
      <w:r w:rsidR="00F23E3D">
        <w:rPr>
          <w:noProof/>
        </w:rPr>
        <w:t xml:space="preserve">fecundity </w:t>
      </w:r>
      <w:r w:rsidR="00143E5F">
        <w:rPr>
          <w:noProof/>
        </w:rPr>
        <w:t xml:space="preserve">(Y-axis) is predicted for stems of various initial size (X-axis), holding other variables at “Absent” (for fire and </w:t>
      </w:r>
      <w:r w:rsidR="00143E5F">
        <w:rPr>
          <w:noProof/>
        </w:rPr>
        <w:lastRenderedPageBreak/>
        <w:t xml:space="preserve">WPBR) or 0 (scaled mean, for basal area, drought, and site dryness). In the other panels, </w:t>
      </w:r>
      <w:r w:rsidR="00F23E3D">
        <w:rPr>
          <w:noProof/>
        </w:rPr>
        <w:t>fecundity</w:t>
      </w:r>
      <w:r w:rsidR="00143E5F">
        <w:rPr>
          <w:noProof/>
        </w:rPr>
        <w:t xml:space="preserve"> is predicted for stems of various sizes and across two levels of each other explanatory variable: with or without disturbance, or at high (1.0) or low (-1.0) values for scaled continuous variables. Predictions were generated using the posterior samples for model parameters, resulting in a range of predicted survival for each set of explanatory variable values. Lines show the median predicted survival, darker ribbons show a 50% credible interval, and lighter ribbons show a 95% credible interval.</w:t>
      </w:r>
      <w:r w:rsidR="00F23E3D">
        <w:rPr>
          <w:noProof/>
        </w:rPr>
        <w:t xml:space="preserve"> Random effects were held at 0.</w:t>
      </w:r>
      <w:r w:rsidR="008A7C78">
        <w:rPr>
          <w:noProof/>
        </w:rPr>
        <w:t xml:space="preserve"> Note the varying scales</w:t>
      </w:r>
      <w:r w:rsidR="00FD714B">
        <w:rPr>
          <w:noProof/>
        </w:rPr>
        <w:t xml:space="preserve"> and log</w:t>
      </w:r>
      <w:r w:rsidR="00FD714B" w:rsidRPr="00FD714B">
        <w:rPr>
          <w:noProof/>
          <w:vertAlign w:val="subscript"/>
        </w:rPr>
        <w:t>10</w:t>
      </w:r>
      <w:r w:rsidR="00FD714B">
        <w:rPr>
          <w:noProof/>
        </w:rPr>
        <w:t xml:space="preserve"> scaling </w:t>
      </w:r>
      <w:r w:rsidR="008A7C78">
        <w:rPr>
          <w:noProof/>
        </w:rPr>
        <w:t>on the Y-axis.</w:t>
      </w:r>
    </w:p>
    <w:p w14:paraId="357A16E4" w14:textId="77777777" w:rsidR="00A708CE" w:rsidRDefault="00A708CE" w:rsidP="00A708CE">
      <w:pPr>
        <w:keepNext/>
      </w:pPr>
      <w:r>
        <w:rPr>
          <w:noProof/>
        </w:rPr>
        <w:drawing>
          <wp:inline distT="0" distB="0" distL="0" distR="0" wp14:anchorId="648EA25A" wp14:editId="26EA9B97">
            <wp:extent cx="5903961" cy="372219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cstate="print">
                      <a:extLst>
                        <a:ext uri="{28A0092B-C50C-407E-A947-70E740481C1C}">
                          <a14:useLocalDpi xmlns:a14="http://schemas.microsoft.com/office/drawing/2010/main" val="0"/>
                        </a:ext>
                      </a:extLst>
                    </a:blip>
                    <a:srcRect t="8778" b="8778"/>
                    <a:stretch>
                      <a:fillRect/>
                    </a:stretch>
                  </pic:blipFill>
                  <pic:spPr bwMode="auto">
                    <a:xfrm>
                      <a:off x="0" y="0"/>
                      <a:ext cx="5903961" cy="3722197"/>
                    </a:xfrm>
                    <a:prstGeom prst="rect">
                      <a:avLst/>
                    </a:prstGeom>
                    <a:ln>
                      <a:noFill/>
                    </a:ln>
                    <a:extLst>
                      <a:ext uri="{53640926-AAD7-44D8-BBD7-CCE9431645EC}">
                        <a14:shadowObscured xmlns:a14="http://schemas.microsoft.com/office/drawing/2010/main"/>
                      </a:ext>
                    </a:extLst>
                  </pic:spPr>
                </pic:pic>
              </a:graphicData>
            </a:graphic>
          </wp:inline>
        </w:drawing>
      </w:r>
    </w:p>
    <w:p w14:paraId="631F8CF6" w14:textId="62908B55" w:rsidR="007E3804" w:rsidRPr="007E3804" w:rsidRDefault="00A708CE" w:rsidP="00A708CE">
      <w:pPr>
        <w:pStyle w:val="Caption"/>
      </w:pPr>
      <w:bookmarkStart w:id="90" w:name="_Ref94615945"/>
      <w:r>
        <w:t xml:space="preserve">Figure </w:t>
      </w:r>
      <w:r w:rsidR="00A302ED">
        <w:fldChar w:fldCharType="begin"/>
      </w:r>
      <w:r w:rsidR="00A302ED">
        <w:instrText xml:space="preserve"> SEQ Figure \* ARABIC </w:instrText>
      </w:r>
      <w:r w:rsidR="00A302ED">
        <w:fldChar w:fldCharType="separate"/>
      </w:r>
      <w:r w:rsidR="009166BF">
        <w:rPr>
          <w:noProof/>
        </w:rPr>
        <w:t>5</w:t>
      </w:r>
      <w:r w:rsidR="00A302ED">
        <w:rPr>
          <w:noProof/>
        </w:rPr>
        <w:fldChar w:fldCharType="end"/>
      </w:r>
      <w:bookmarkEnd w:id="90"/>
      <w:r w:rsidR="00F23E3D">
        <w:rPr>
          <w:noProof/>
        </w:rPr>
        <w:t xml:space="preserve">: Posterior median random effect values for ecoregion subsections where sugar pine was present in the training data. The three panels show the random effect values for the survival, growth, and fecundity sub models. Ecoregion random effects drawn from a normal distribution with mean 0 and variance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s</m:t>
                </m:r>
              </m:e>
            </m:d>
          </m:sub>
          <m:sup>
            <m:r>
              <w:rPr>
                <w:rFonts w:ascii="Cambria Math" w:eastAsiaTheme="minorEastAsia" w:hAnsi="Cambria Math"/>
              </w:rPr>
              <m:t>2</m:t>
            </m:r>
          </m:sup>
        </m:sSubSup>
      </m:oMath>
      <w:r w:rsidR="00F23E3D">
        <w:rPr>
          <w:rFonts w:eastAsiaTheme="minorEastAsia"/>
          <w:noProof/>
        </w:rPr>
        <w:t xml:space="preserve">,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g</m:t>
                </m:r>
              </m:e>
            </m:d>
          </m:sub>
          <m:sup>
            <m:r>
              <w:rPr>
                <w:rFonts w:ascii="Cambria Math" w:eastAsiaTheme="minorEastAsia" w:hAnsi="Cambria Math"/>
              </w:rPr>
              <m:t>2</m:t>
            </m:r>
          </m:sup>
        </m:sSubSup>
      </m:oMath>
      <w:r w:rsidR="00F23E3D">
        <w:rPr>
          <w:rFonts w:eastAsiaTheme="minorEastAsia"/>
          <w:noProof/>
        </w:rPr>
        <w:t xml:space="preserve">, and </w:t>
      </w:r>
      <m:oMath>
        <m:sSubSup>
          <m:sSubSupPr>
            <m:ctrlPr>
              <w:rPr>
                <w:rFonts w:ascii="Cambria Math" w:eastAsiaTheme="minorEastAsia" w:hAnsi="Cambria Math"/>
              </w:rPr>
            </m:ctrlPr>
          </m:sSubSupPr>
          <m:e>
            <m:r>
              <w:rPr>
                <w:rFonts w:ascii="Cambria Math" w:eastAsiaTheme="minorEastAsia" w:hAnsi="Cambria Math"/>
              </w:rPr>
              <m:t>σ</m:t>
            </m:r>
          </m:e>
          <m:sub>
            <m:r>
              <w:rPr>
                <w:rFonts w:ascii="Cambria Math" w:eastAsiaTheme="minorEastAsia" w:hAnsi="Cambria Math"/>
              </w:rPr>
              <m:t>δ</m:t>
            </m:r>
            <m:d>
              <m:dPr>
                <m:ctrlPr>
                  <w:rPr>
                    <w:rFonts w:ascii="Cambria Math" w:eastAsiaTheme="minorEastAsia" w:hAnsi="Cambria Math"/>
                  </w:rPr>
                </m:ctrlPr>
              </m:dPr>
              <m:e>
                <m:r>
                  <w:rPr>
                    <w:rFonts w:ascii="Cambria Math" w:eastAsiaTheme="minorEastAsia" w:hAnsi="Cambria Math"/>
                  </w:rPr>
                  <m:t>f</m:t>
                </m:r>
              </m:e>
            </m:d>
          </m:sub>
          <m:sup>
            <m:r>
              <w:rPr>
                <w:rFonts w:ascii="Cambria Math" w:eastAsiaTheme="minorEastAsia" w:hAnsi="Cambria Math"/>
              </w:rPr>
              <m:t>2</m:t>
            </m:r>
          </m:sup>
        </m:sSubSup>
      </m:oMath>
      <w:r w:rsidR="00F23E3D">
        <w:rPr>
          <w:rFonts w:eastAsiaTheme="minorEastAsia"/>
          <w:noProof/>
        </w:rPr>
        <w:t xml:space="preserve"> for the survival, growth, and fecundity sub models, respectively. </w:t>
      </w:r>
      <w:r w:rsidR="008A7C78">
        <w:rPr>
          <w:rFonts w:eastAsiaTheme="minorEastAsia"/>
          <w:noProof/>
        </w:rPr>
        <w:t xml:space="preserve">Ecoregions have been clipped by the sugar pine range polygon. Ecoregion effects should be interpreted as representing broad-scale variation in vital rates across the range of sugar pine which is not explained by the other variables in the model (i.e., by individual size and its interactions with fire, WPBR, basal area, drought, and site dryness, or by plot-scale variation). </w:t>
      </w:r>
    </w:p>
    <w:p w14:paraId="33A71862" w14:textId="77777777" w:rsidR="001161D9" w:rsidRDefault="001161D9" w:rsidP="001161D9">
      <w:pPr>
        <w:keepNext/>
      </w:pPr>
      <w:r>
        <w:rPr>
          <w:noProof/>
        </w:rPr>
        <w:lastRenderedPageBreak/>
        <w:drawing>
          <wp:inline distT="0" distB="0" distL="0" distR="0" wp14:anchorId="7CF0ADA3" wp14:editId="30E87773">
            <wp:extent cx="3169924" cy="5943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69924" cy="5943610"/>
                    </a:xfrm>
                    <a:prstGeom prst="rect">
                      <a:avLst/>
                    </a:prstGeom>
                  </pic:spPr>
                </pic:pic>
              </a:graphicData>
            </a:graphic>
          </wp:inline>
        </w:drawing>
      </w:r>
    </w:p>
    <w:p w14:paraId="2C5F2E8F" w14:textId="3B7977EF" w:rsidR="001161D9" w:rsidRDefault="001161D9" w:rsidP="001161D9">
      <w:pPr>
        <w:pStyle w:val="Caption"/>
      </w:pPr>
      <w:bookmarkStart w:id="91" w:name="_Ref94616225"/>
      <w:r>
        <w:t xml:space="preserve">Figure </w:t>
      </w:r>
      <w:r w:rsidR="00A302ED">
        <w:fldChar w:fldCharType="begin"/>
      </w:r>
      <w:r w:rsidR="00A302ED">
        <w:instrText xml:space="preserve"> SEQ Figure \* ARABIC </w:instrText>
      </w:r>
      <w:r w:rsidR="00A302ED">
        <w:fldChar w:fldCharType="separate"/>
      </w:r>
      <w:r w:rsidR="009166BF">
        <w:rPr>
          <w:noProof/>
        </w:rPr>
        <w:t>6</w:t>
      </w:r>
      <w:r w:rsidR="00A302ED">
        <w:rPr>
          <w:noProof/>
        </w:rPr>
        <w:fldChar w:fldCharType="end"/>
      </w:r>
      <w:bookmarkEnd w:id="91"/>
      <w:r>
        <w:t>: Posterior distribution of asymptotic population growth rate (</w:t>
      </w:r>
      <m:oMath>
        <m:r>
          <m:rPr>
            <m:sty m:val="p"/>
          </m:rPr>
          <w:rPr>
            <w:rFonts w:ascii="Cambria Math" w:hAnsi="Cambria Math" w:cstheme="minorHAnsi"/>
          </w:rPr>
          <m:t>λ</m:t>
        </m:r>
      </m:oMath>
      <w:r>
        <w:t>) under a variety of hypothetical scenarios</w:t>
      </w:r>
      <w:r w:rsidR="00B41811">
        <w:t>, each corresponding to the presence or absence of a specific stressor. In the “Undisturbed” scenario, all fixed effect covariates other than the intercept are held at 0 (representing the absence of fire and WPBR, and basal area, drought, and site dryness at average levels). In each other scenario, a single stressor is set to TRUE (for fire and WPBR), -1 (low levels of basal area, drought, or site dryness), or +1 (high levels of basal area, drought, or site dryness).  R</w:t>
      </w:r>
      <w:r>
        <w:t>andom effect values are held at 0</w:t>
      </w:r>
      <w:r w:rsidR="00B41811">
        <w:t xml:space="preserve">, </w:t>
      </w:r>
      <w:r>
        <w:t>representing an average plot in an average ecoregion</w:t>
      </w:r>
      <w:r w:rsidR="00B41811">
        <w:t>. The bounds of the figure have been restricted for readability of scenarios other than “Low BA.”</w:t>
      </w:r>
    </w:p>
    <w:p w14:paraId="15C859AD" w14:textId="77777777" w:rsidR="00F94B8B" w:rsidRDefault="00F94B8B" w:rsidP="00F94B8B">
      <w:pPr>
        <w:keepNext/>
      </w:pPr>
      <w:r>
        <w:rPr>
          <w:noProof/>
        </w:rPr>
        <w:lastRenderedPageBreak/>
        <w:drawing>
          <wp:inline distT="0" distB="0" distL="0" distR="0" wp14:anchorId="39B23A2C" wp14:editId="056E6CD3">
            <wp:extent cx="4470408" cy="3657607"/>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0408" cy="3657607"/>
                    </a:xfrm>
                    <a:prstGeom prst="rect">
                      <a:avLst/>
                    </a:prstGeom>
                  </pic:spPr>
                </pic:pic>
              </a:graphicData>
            </a:graphic>
          </wp:inline>
        </w:drawing>
      </w:r>
    </w:p>
    <w:p w14:paraId="4224FAB8" w14:textId="59DFA3BE" w:rsidR="00F94B8B" w:rsidRPr="009166BF" w:rsidRDefault="00F94B8B" w:rsidP="00F94B8B">
      <w:pPr>
        <w:pStyle w:val="Caption"/>
      </w:pPr>
      <w:bookmarkStart w:id="92" w:name="_Ref94620208"/>
      <w:commentRangeStart w:id="93"/>
      <w:r>
        <w:t xml:space="preserve">Figure </w:t>
      </w:r>
      <w:r>
        <w:fldChar w:fldCharType="begin"/>
      </w:r>
      <w:r>
        <w:instrText xml:space="preserve"> SEQ Figure \* ARABIC </w:instrText>
      </w:r>
      <w:r>
        <w:fldChar w:fldCharType="separate"/>
      </w:r>
      <w:r>
        <w:rPr>
          <w:noProof/>
        </w:rPr>
        <w:t>7</w:t>
      </w:r>
      <w:r>
        <w:rPr>
          <w:noProof/>
        </w:rPr>
        <w:fldChar w:fldCharType="end"/>
      </w:r>
      <w:bookmarkEnd w:id="92"/>
      <w:commentRangeEnd w:id="93"/>
      <w:r>
        <w:rPr>
          <w:rStyle w:val="CommentReference"/>
          <w:i w:val="0"/>
          <w:iCs w:val="0"/>
          <w:color w:val="auto"/>
        </w:rPr>
        <w:commentReference w:id="93"/>
      </w:r>
      <w:r>
        <w:t>: Distribution of predicted asymptotic population growth rates (</w:t>
      </w:r>
      <m:oMath>
        <m:r>
          <m:rPr>
            <m:sty m:val="p"/>
          </m:rPr>
          <w:rPr>
            <w:rFonts w:ascii="Cambria Math" w:hAnsi="Cambria Math" w:cstheme="minorHAnsi"/>
          </w:rPr>
          <m:t>λ</m:t>
        </m:r>
      </m:oMath>
      <w:r>
        <w:t>) across observed subplots where sugar pine was present during the initial census. The asymptotic population growth rate was predicted for each subplot using model parameter values held at their posterior medians. The bounds of the figure have been restricted for readability.</w:t>
      </w:r>
    </w:p>
    <w:p w14:paraId="1FB33984" w14:textId="77777777" w:rsidR="00F94B8B" w:rsidRDefault="00F94B8B" w:rsidP="00F94B8B">
      <w:r>
        <w:br w:type="page"/>
      </w:r>
    </w:p>
    <w:p w14:paraId="4A917602" w14:textId="5FC06DA3" w:rsidR="008F25B6" w:rsidRDefault="008F25B6" w:rsidP="008F25B6">
      <w:pPr>
        <w:pStyle w:val="Heading1"/>
      </w:pPr>
      <w:bookmarkStart w:id="94" w:name="_Ref93658815"/>
      <w:r>
        <w:lastRenderedPageBreak/>
        <w:t>Supplementary Materials</w:t>
      </w:r>
      <w:bookmarkEnd w:id="94"/>
    </w:p>
    <w:p w14:paraId="25197900" w14:textId="5D43AE05" w:rsidR="008F25B6" w:rsidRDefault="008F25B6" w:rsidP="008F25B6"/>
    <w:p w14:paraId="2C2B22C3" w14:textId="77777777" w:rsidR="008F25B6" w:rsidRDefault="008F25B6" w:rsidP="008F25B6">
      <w:pPr>
        <w:keepNext/>
      </w:pPr>
      <w:r>
        <w:rPr>
          <w:noProof/>
        </w:rPr>
        <w:drawing>
          <wp:inline distT="0" distB="0" distL="0" distR="0" wp14:anchorId="241831C2" wp14:editId="0C355191">
            <wp:extent cx="4526721" cy="278567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26721" cy="2785674"/>
                    </a:xfrm>
                    <a:prstGeom prst="rect">
                      <a:avLst/>
                    </a:prstGeom>
                  </pic:spPr>
                </pic:pic>
              </a:graphicData>
            </a:graphic>
          </wp:inline>
        </w:drawing>
      </w:r>
    </w:p>
    <w:p w14:paraId="0877D86D" w14:textId="396345B3" w:rsidR="008F25B6" w:rsidRDefault="008F25B6" w:rsidP="008F25B6">
      <w:pPr>
        <w:pStyle w:val="Caption"/>
        <w:rPr>
          <w:rFonts w:eastAsiaTheme="minorEastAsia"/>
        </w:rPr>
      </w:pPr>
      <w:bookmarkStart w:id="95" w:name="_Ref93658573"/>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1</w:t>
      </w:r>
      <w:r w:rsidR="001D3356">
        <w:rPr>
          <w:noProof/>
        </w:rPr>
        <w:fldChar w:fldCharType="end"/>
      </w:r>
      <w:bookmarkEnd w:id="95"/>
      <w:r>
        <w:t xml:space="preserve">: Posterior distributions (black) and prior distributions (red) for </w:t>
      </w:r>
      <m:oMath>
        <m:sSub>
          <m:sSubPr>
            <m:ctrlPr>
              <w:rPr>
                <w:rFonts w:ascii="Cambria Math" w:hAnsi="Cambria Math"/>
              </w:rPr>
            </m:ctrlPr>
          </m:sSubPr>
          <m:e>
            <m:r>
              <w:rPr>
                <w:rFonts w:ascii="Cambria Math" w:hAnsi="Cambria Math"/>
              </w:rPr>
              <m:t>β</m:t>
            </m:r>
          </m:e>
          <m:sub>
            <m:r>
              <w:rPr>
                <w:rFonts w:ascii="Cambria Math" w:hAnsi="Cambria Math"/>
              </w:rPr>
              <m:t>(s)</m:t>
            </m:r>
          </m:sub>
        </m:sSub>
      </m:oMath>
      <w:r>
        <w:rPr>
          <w:rFonts w:eastAsiaTheme="minorEastAsia"/>
        </w:rPr>
        <w:t xml:space="preserve">, the fixed effect coefficients for survival. </w:t>
      </w:r>
      <w:r w:rsidR="00323FA0">
        <w:rPr>
          <w:rFonts w:eastAsiaTheme="minorEastAsia"/>
        </w:rPr>
        <w:t xml:space="preserve">The magnitude of the discrepancy between the two indicates the extent to which the posterior distribution was informed by the data, rather than the prior. </w:t>
      </w:r>
    </w:p>
    <w:p w14:paraId="743F7CFC" w14:textId="77777777" w:rsidR="006144D6" w:rsidRDefault="006144D6" w:rsidP="006144D6">
      <w:pPr>
        <w:keepNext/>
      </w:pPr>
      <w:r>
        <w:rPr>
          <w:noProof/>
        </w:rPr>
        <w:drawing>
          <wp:inline distT="0" distB="0" distL="0" distR="0" wp14:anchorId="0E83FFD3" wp14:editId="1D2F9587">
            <wp:extent cx="4531765" cy="278877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31765" cy="2788778"/>
                    </a:xfrm>
                    <a:prstGeom prst="rect">
                      <a:avLst/>
                    </a:prstGeom>
                  </pic:spPr>
                </pic:pic>
              </a:graphicData>
            </a:graphic>
          </wp:inline>
        </w:drawing>
      </w:r>
    </w:p>
    <w:p w14:paraId="1EB7E987" w14:textId="699E8D73" w:rsidR="006144D6" w:rsidRDefault="006144D6" w:rsidP="006144D6">
      <w:pPr>
        <w:pStyle w:val="Caption"/>
      </w:pPr>
      <w:bookmarkStart w:id="96" w:name="_Ref93658580"/>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2</w:t>
      </w:r>
      <w:r w:rsidR="001D3356">
        <w:rPr>
          <w:noProof/>
        </w:rPr>
        <w:fldChar w:fldCharType="end"/>
      </w:r>
      <w:bookmarkEnd w:id="96"/>
      <w:r>
        <w:t>: Posterior distributions (black) against prior distributions (red) for the standard deviations of the plot and ecoregion random effects in the survival model.</w:t>
      </w:r>
    </w:p>
    <w:p w14:paraId="20D86ED2" w14:textId="77777777" w:rsidR="00166284" w:rsidRDefault="00166284" w:rsidP="00166284">
      <w:pPr>
        <w:keepNext/>
      </w:pPr>
      <w:r>
        <w:rPr>
          <w:noProof/>
        </w:rPr>
        <w:lastRenderedPageBreak/>
        <w:drawing>
          <wp:inline distT="0" distB="0" distL="0" distR="0" wp14:anchorId="4357D991" wp14:editId="7366D5AC">
            <wp:extent cx="4992063" cy="30720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2063" cy="3072038"/>
                    </a:xfrm>
                    <a:prstGeom prst="rect">
                      <a:avLst/>
                    </a:prstGeom>
                  </pic:spPr>
                </pic:pic>
              </a:graphicData>
            </a:graphic>
          </wp:inline>
        </w:drawing>
      </w:r>
    </w:p>
    <w:p w14:paraId="121401EB" w14:textId="59C57447" w:rsidR="006144D6" w:rsidRDefault="00166284" w:rsidP="00166284">
      <w:pPr>
        <w:pStyle w:val="Caption"/>
      </w:pPr>
      <w:bookmarkStart w:id="97" w:name="_Ref93658585"/>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3</w:t>
      </w:r>
      <w:r w:rsidR="001D3356">
        <w:rPr>
          <w:noProof/>
        </w:rPr>
        <w:fldChar w:fldCharType="end"/>
      </w:r>
      <w:bookmarkEnd w:id="97"/>
      <w:r>
        <w:t>: Posterior distributions (black) against prior distributions (red) for fixed effect coefficients in the growth model.</w:t>
      </w:r>
    </w:p>
    <w:p w14:paraId="1CDD9D8B" w14:textId="77777777" w:rsidR="00166284" w:rsidRDefault="00166284" w:rsidP="00166284">
      <w:pPr>
        <w:keepNext/>
      </w:pPr>
      <w:r>
        <w:rPr>
          <w:noProof/>
        </w:rPr>
        <w:drawing>
          <wp:inline distT="0" distB="0" distL="0" distR="0" wp14:anchorId="0F42EB64" wp14:editId="1EF8149D">
            <wp:extent cx="4716469" cy="29024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16469" cy="2902442"/>
                    </a:xfrm>
                    <a:prstGeom prst="rect">
                      <a:avLst/>
                    </a:prstGeom>
                  </pic:spPr>
                </pic:pic>
              </a:graphicData>
            </a:graphic>
          </wp:inline>
        </w:drawing>
      </w:r>
    </w:p>
    <w:p w14:paraId="13C04A4A" w14:textId="1C907B1F" w:rsidR="00166284" w:rsidRDefault="00166284" w:rsidP="00166284">
      <w:pPr>
        <w:pStyle w:val="Caption"/>
      </w:pPr>
      <w:bookmarkStart w:id="98" w:name="_Ref93658594"/>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4</w:t>
      </w:r>
      <w:r w:rsidR="001D3356">
        <w:rPr>
          <w:noProof/>
        </w:rPr>
        <w:fldChar w:fldCharType="end"/>
      </w:r>
      <w:bookmarkEnd w:id="98"/>
      <w:r>
        <w:t>: Posterior distributions (black, along Y axis) against prior distributions (red, along X axis) for the standard deviations of the plot random effect, the ecoregion random effect, and the residuals in the growth model.</w:t>
      </w:r>
    </w:p>
    <w:p w14:paraId="65EECE6D" w14:textId="77777777" w:rsidR="00166284" w:rsidRDefault="00166284" w:rsidP="00166284">
      <w:pPr>
        <w:keepNext/>
      </w:pPr>
      <w:r>
        <w:rPr>
          <w:noProof/>
        </w:rPr>
        <w:lastRenderedPageBreak/>
        <w:drawing>
          <wp:inline distT="0" distB="0" distL="0" distR="0" wp14:anchorId="1304EEFF" wp14:editId="01002EA4">
            <wp:extent cx="4559389" cy="28057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59389" cy="2805777"/>
                    </a:xfrm>
                    <a:prstGeom prst="rect">
                      <a:avLst/>
                    </a:prstGeom>
                  </pic:spPr>
                </pic:pic>
              </a:graphicData>
            </a:graphic>
          </wp:inline>
        </w:drawing>
      </w:r>
    </w:p>
    <w:p w14:paraId="501B2DA9" w14:textId="046AB594" w:rsidR="00166284" w:rsidRDefault="00166284" w:rsidP="00166284">
      <w:pPr>
        <w:pStyle w:val="Caption"/>
      </w:pPr>
      <w:bookmarkStart w:id="99" w:name="_Ref93658597"/>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5</w:t>
      </w:r>
      <w:r w:rsidR="001D3356">
        <w:rPr>
          <w:noProof/>
        </w:rPr>
        <w:fldChar w:fldCharType="end"/>
      </w:r>
      <w:bookmarkEnd w:id="99"/>
      <w:r>
        <w:t>: Posterior distributions (black) against prior distributions (red) for the fixed effect coefficients affecting fecundity in the recruitment model.</w:t>
      </w:r>
    </w:p>
    <w:p w14:paraId="0051D5B8" w14:textId="77777777" w:rsidR="00C45A1A" w:rsidRDefault="00C45A1A" w:rsidP="00C45A1A">
      <w:pPr>
        <w:keepNext/>
      </w:pPr>
      <w:commentRangeStart w:id="100"/>
      <w:r>
        <w:rPr>
          <w:noProof/>
        </w:rPr>
        <w:drawing>
          <wp:inline distT="0" distB="0" distL="0" distR="0" wp14:anchorId="2242AF05" wp14:editId="01F0CAD3">
            <wp:extent cx="4422760" cy="27216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760" cy="2721698"/>
                    </a:xfrm>
                    <a:prstGeom prst="rect">
                      <a:avLst/>
                    </a:prstGeom>
                  </pic:spPr>
                </pic:pic>
              </a:graphicData>
            </a:graphic>
          </wp:inline>
        </w:drawing>
      </w:r>
      <w:commentRangeEnd w:id="100"/>
      <w:r w:rsidR="001C02F2">
        <w:rPr>
          <w:rStyle w:val="CommentReference"/>
        </w:rPr>
        <w:commentReference w:id="100"/>
      </w:r>
    </w:p>
    <w:p w14:paraId="725CAA6F" w14:textId="633B505C" w:rsidR="00C45A1A" w:rsidRDefault="00C45A1A" w:rsidP="00C45A1A">
      <w:pPr>
        <w:pStyle w:val="Caption"/>
      </w:pPr>
      <w:bookmarkStart w:id="101" w:name="_Ref93658599"/>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6</w:t>
      </w:r>
      <w:r w:rsidR="001D3356">
        <w:rPr>
          <w:noProof/>
        </w:rPr>
        <w:fldChar w:fldCharType="end"/>
      </w:r>
      <w:bookmarkEnd w:id="101"/>
      <w:r>
        <w:t>: Posterior distribution (black, along Y axis) against prior distribution (red, along X axis) for the dispersion term of the negative binomial response in the recruitment model.</w:t>
      </w:r>
    </w:p>
    <w:p w14:paraId="7DF76535" w14:textId="77777777" w:rsidR="0027122B" w:rsidRDefault="0027122B" w:rsidP="0027122B">
      <w:pPr>
        <w:keepNext/>
      </w:pPr>
      <w:r>
        <w:rPr>
          <w:noProof/>
        </w:rPr>
        <w:lastRenderedPageBreak/>
        <w:drawing>
          <wp:inline distT="0" distB="0" distL="0" distR="0" wp14:anchorId="3AF82127" wp14:editId="1C43B841">
            <wp:extent cx="5943010" cy="405864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324DC867" w14:textId="50F1F14E" w:rsidR="0027122B" w:rsidRDefault="0027122B" w:rsidP="0027122B">
      <w:pPr>
        <w:pStyle w:val="Caption"/>
      </w:pPr>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7</w:t>
      </w:r>
      <w:r w:rsidR="001D3356">
        <w:rPr>
          <w:noProof/>
        </w:rPr>
        <w:fldChar w:fldCharType="end"/>
      </w:r>
      <w:r>
        <w:t xml:space="preserve">: Results of posterior retrodictive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training data used to fit the model. </w:t>
      </w:r>
      <w:r w:rsidR="0047208D">
        <w:t>Individual trees (red points) are ranked along the X-axis by their m</w:t>
      </w:r>
      <w:r w:rsidR="00873E42">
        <w:t>ean</w:t>
      </w:r>
      <w:r w:rsidR="0047208D">
        <w:t xml:space="preserve"> predicted survival probability, and their actual survival (0 or 1) </w:t>
      </w:r>
      <w:r w:rsidR="00873E42">
        <w:t xml:space="preserve">is plotted </w:t>
      </w:r>
      <w:r w:rsidR="0047208D">
        <w:t>along the Y-axis</w:t>
      </w:r>
      <w:r w:rsidR="00873E42">
        <w:t xml:space="preserve"> (including a jitter for readability)</w:t>
      </w:r>
      <w:r w:rsidR="0047208D">
        <w:t>. Blue points indicate the actual proportion of individuals in each rank bin which survived</w:t>
      </w:r>
      <w:r w:rsidR="00BA5AB2">
        <w:t xml:space="preserve">. Black points indicate the </w:t>
      </w:r>
      <w:r w:rsidR="00873E42">
        <w:t xml:space="preserve">mean predicted survival for each individual, with a gray ribbon showing a 95% credible interval for survival probability for each individual. The model does a good job ranking trees by their actual survival probability, as shown by the red points. However, the model is slightly under-certain about survival probability, relative to reality: It slightly overpredicts survival for the least-likely-to-survive trees, and slightly underpredicts survival for the most-likely-to-survive trees. </w:t>
      </w:r>
    </w:p>
    <w:p w14:paraId="2D485BA5" w14:textId="77777777" w:rsidR="004438A3" w:rsidRDefault="004438A3" w:rsidP="004438A3">
      <w:pPr>
        <w:keepNext/>
      </w:pPr>
      <w:r>
        <w:rPr>
          <w:noProof/>
        </w:rPr>
        <w:lastRenderedPageBreak/>
        <w:drawing>
          <wp:inline distT="0" distB="0" distL="0" distR="0" wp14:anchorId="15C250D0" wp14:editId="623E6102">
            <wp:extent cx="5943600" cy="40590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4858AA0B" w14:textId="258F48DD" w:rsidR="004438A3" w:rsidRDefault="004438A3" w:rsidP="004438A3">
      <w:pPr>
        <w:pStyle w:val="Caption"/>
      </w:pPr>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8</w:t>
      </w:r>
      <w:r w:rsidR="001D3356">
        <w:rPr>
          <w:noProof/>
        </w:rPr>
        <w:fldChar w:fldCharType="end"/>
      </w:r>
      <w:r>
        <w:t xml:space="preserve">: </w:t>
      </w:r>
      <w:r w:rsidR="00857BF9">
        <w:t xml:space="preserve">Posterior retrodictions for the growth model, using posterior parameter values and the training data. </w:t>
      </w:r>
      <w:r w:rsidR="00873E42">
        <w:t xml:space="preserve">Individual trees (black points) are plotted </w:t>
      </w:r>
      <w:r w:rsidR="00422EF5">
        <w:t xml:space="preserve">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 </w:t>
      </w:r>
    </w:p>
    <w:p w14:paraId="7D4F1C83" w14:textId="77777777" w:rsidR="00422EF5" w:rsidRDefault="00422EF5" w:rsidP="00422EF5">
      <w:pPr>
        <w:keepNext/>
      </w:pPr>
      <w:r>
        <w:rPr>
          <w:noProof/>
        </w:rPr>
        <w:lastRenderedPageBreak/>
        <w:drawing>
          <wp:inline distT="0" distB="0" distL="0" distR="0" wp14:anchorId="2EF50AE3" wp14:editId="6E82F1C7">
            <wp:extent cx="5943010" cy="405864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131CEB9" w14:textId="25197612" w:rsidR="00422EF5" w:rsidRDefault="00422EF5" w:rsidP="00422EF5">
      <w:pPr>
        <w:pStyle w:val="Caption"/>
      </w:pPr>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9</w:t>
      </w:r>
      <w:r w:rsidR="001D3356">
        <w:rPr>
          <w:noProof/>
        </w:rPr>
        <w:fldChar w:fldCharType="end"/>
      </w:r>
      <w:r>
        <w:t xml:space="preserve">: </w:t>
      </w:r>
      <w:r w:rsidR="00807967">
        <w:t xml:space="preserve">Posterior retrodictions for the recruitment model. The black points show the observed count of untagged individuals (new recruits and preexisting small stems) on each subplot on the Y-axis, and the median predicted density on the X-axis. </w:t>
      </w:r>
      <w:r w:rsidR="006E6E45">
        <w:t>The blue line has slope 1 and intercept 0, i.e. perfect prediction. The bounds of the grey ribbon correspond to the 2.5</w:t>
      </w:r>
      <w:r w:rsidR="006E6E45" w:rsidRPr="006E6E45">
        <w:rPr>
          <w:vertAlign w:val="superscript"/>
        </w:rPr>
        <w:t>th</w:t>
      </w:r>
      <w:r w:rsidR="006E6E45">
        <w:t xml:space="preserve"> and 97.5</w:t>
      </w:r>
      <w:r w:rsidR="006E6E45" w:rsidRPr="006E6E45">
        <w:rPr>
          <w:vertAlign w:val="superscript"/>
        </w:rPr>
        <w:t>th</w:t>
      </w:r>
      <w:r w:rsidR="006E6E45">
        <w:t xml:space="preserve"> percentiles of simulated counts drawn from a negative binomial distribution with location parameter predicted from the posterior distribution of the model. The gray ribbon contains all the true values, indicating that all of the observed counts are consistent with the variability expected from the model.</w:t>
      </w:r>
    </w:p>
    <w:p w14:paraId="55C09F63" w14:textId="77777777" w:rsidR="00857BF9" w:rsidRDefault="00857BF9" w:rsidP="00857BF9">
      <w:pPr>
        <w:keepNext/>
      </w:pPr>
      <w:r>
        <w:rPr>
          <w:noProof/>
        </w:rPr>
        <w:lastRenderedPageBreak/>
        <w:drawing>
          <wp:inline distT="0" distB="0" distL="0" distR="0" wp14:anchorId="5DD8294E" wp14:editId="28C5DE78">
            <wp:extent cx="5943010" cy="405864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5617C7AB" w14:textId="557EC0F6" w:rsidR="0026626B" w:rsidRDefault="00857BF9" w:rsidP="00857BF9">
      <w:pPr>
        <w:pStyle w:val="Caption"/>
      </w:pPr>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10</w:t>
      </w:r>
      <w:r w:rsidR="001D3356">
        <w:rPr>
          <w:noProof/>
        </w:rPr>
        <w:fldChar w:fldCharType="end"/>
      </w:r>
      <w:r w:rsidR="000B07C3">
        <w:rPr>
          <w:noProof/>
        </w:rPr>
        <w:t>:</w:t>
      </w:r>
      <w:r w:rsidRPr="00857BF9">
        <w:t xml:space="preserve"> </w:t>
      </w:r>
      <w:r>
        <w:t xml:space="preserve">Results of posterior predictive simulations for survival of individual trees. Posterior samples of the parameters were used to predict the survival probability of each individual tree using </w:t>
      </w:r>
      <w:r>
        <w:fldChar w:fldCharType="begin"/>
      </w:r>
      <w:r>
        <w:instrText xml:space="preserve"> REF _Ref93579342 \h </w:instrText>
      </w:r>
      <w:r>
        <w:fldChar w:fldCharType="separate"/>
      </w:r>
      <w:r>
        <w:t xml:space="preserve">Equation </w:t>
      </w:r>
      <w:r>
        <w:rPr>
          <w:noProof/>
        </w:rPr>
        <w:t>2</w:t>
      </w:r>
      <w:r>
        <w:fldChar w:fldCharType="end"/>
      </w:r>
      <w:r>
        <w:t xml:space="preserve"> and the validation data. Individual trees (red points) are ranked along the X-axis by their mean predicted survival probability, and their actual survival (0 or 1) is plotted along the Y-axis (including a jitter for readability). Blue points indicate the actual proportion of individuals in each rank bin which survived. Black points indicate the mean predicted survival for each individual, with a gray ribbon showing a 95% credible interval for survival probability for each individual. </w:t>
      </w:r>
    </w:p>
    <w:p w14:paraId="5EF1ACF9" w14:textId="77777777" w:rsidR="00857BF9" w:rsidRDefault="00857BF9" w:rsidP="00857BF9">
      <w:pPr>
        <w:keepNext/>
      </w:pPr>
      <w:r>
        <w:rPr>
          <w:noProof/>
        </w:rPr>
        <w:lastRenderedPageBreak/>
        <w:drawing>
          <wp:inline distT="0" distB="0" distL="0" distR="0" wp14:anchorId="4C51AD53" wp14:editId="2C93ECC6">
            <wp:extent cx="5943010" cy="405864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010" cy="4058640"/>
                    </a:xfrm>
                    <a:prstGeom prst="rect">
                      <a:avLst/>
                    </a:prstGeom>
                  </pic:spPr>
                </pic:pic>
              </a:graphicData>
            </a:graphic>
          </wp:inline>
        </w:drawing>
      </w:r>
    </w:p>
    <w:p w14:paraId="472115B4" w14:textId="1514AEB3" w:rsidR="00857BF9" w:rsidRDefault="00857BF9" w:rsidP="00857BF9">
      <w:pPr>
        <w:pStyle w:val="Caption"/>
      </w:pPr>
      <w:r>
        <w:t xml:space="preserve">Supplementary Figure </w:t>
      </w:r>
      <w:r w:rsidR="001D3356">
        <w:fldChar w:fldCharType="begin"/>
      </w:r>
      <w:r w:rsidR="001D3356">
        <w:instrText xml:space="preserve"> SEQ Supplementary_Figure \* ARABIC </w:instrText>
      </w:r>
      <w:r w:rsidR="001D3356">
        <w:fldChar w:fldCharType="separate"/>
      </w:r>
      <w:r w:rsidR="003E04A3">
        <w:rPr>
          <w:noProof/>
        </w:rPr>
        <w:t>11</w:t>
      </w:r>
      <w:r w:rsidR="001D3356">
        <w:rPr>
          <w:noProof/>
        </w:rPr>
        <w:fldChar w:fldCharType="end"/>
      </w:r>
      <w:r w:rsidR="000B07C3">
        <w:rPr>
          <w:noProof/>
        </w:rPr>
        <w:t>:</w:t>
      </w:r>
      <w:r w:rsidRPr="00857BF9">
        <w:t xml:space="preserve"> </w:t>
      </w:r>
      <w:r>
        <w:t>Posterior retrodictions for the growth model, using posterior parameter values and the validation data. Individual trees (black points) are plotted with their median predicted size at remeasurement along the X-axis, and their true size at remeasurement along the y axis. The blue line has slope 1 and intercept 0, i.e. perfect prediction. The gray ribbon gives a 95% credible interval for size at remeasurement as predicted by the model, and contains nearly all of the true sizes.</w:t>
      </w:r>
    </w:p>
    <w:p w14:paraId="0627B8E2" w14:textId="77777777" w:rsidR="003E04A3" w:rsidRDefault="003E04A3" w:rsidP="003E04A3">
      <w:pPr>
        <w:keepNext/>
      </w:pPr>
      <w:r>
        <w:rPr>
          <w:noProof/>
        </w:rPr>
        <w:lastRenderedPageBreak/>
        <w:drawing>
          <wp:inline distT="0" distB="0" distL="0" distR="0" wp14:anchorId="14EA4EF2" wp14:editId="1B3435EC">
            <wp:extent cx="5943600" cy="40590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059043"/>
                    </a:xfrm>
                    <a:prstGeom prst="rect">
                      <a:avLst/>
                    </a:prstGeom>
                  </pic:spPr>
                </pic:pic>
              </a:graphicData>
            </a:graphic>
          </wp:inline>
        </w:drawing>
      </w:r>
    </w:p>
    <w:p w14:paraId="64348548" w14:textId="312FE298" w:rsidR="003E04A3" w:rsidRDefault="003E04A3" w:rsidP="003E04A3">
      <w:pPr>
        <w:pStyle w:val="Caption"/>
      </w:pPr>
      <w:r>
        <w:t xml:space="preserve">Supplementary Figure </w:t>
      </w:r>
      <w:r w:rsidR="001D3356">
        <w:fldChar w:fldCharType="begin"/>
      </w:r>
      <w:r w:rsidR="001D3356">
        <w:instrText xml:space="preserve"> SEQ Supplementary_Figure \* ARABIC </w:instrText>
      </w:r>
      <w:r w:rsidR="001D3356">
        <w:fldChar w:fldCharType="separate"/>
      </w:r>
      <w:r>
        <w:rPr>
          <w:noProof/>
        </w:rPr>
        <w:t>12</w:t>
      </w:r>
      <w:r w:rsidR="001D3356">
        <w:rPr>
          <w:noProof/>
        </w:rPr>
        <w:fldChar w:fldCharType="end"/>
      </w:r>
      <w:r w:rsidR="000B07C3">
        <w:rPr>
          <w:noProof/>
        </w:rPr>
        <w:t>:</w:t>
      </w:r>
      <w:r>
        <w:t xml:space="preserve"> Posterior predictions for the recruitment model, using the out-of-sample validation data. The black points show the observed count of untagged individuals (new recruits and preexisting small stems) on each subplot on the Y-axis, and the median predicted density on the X-axis. The blue line has slope 1 and intercept 0, i.e. perfect prediction. The bounds of the grey ribbon correspond to the 2.5</w:t>
      </w:r>
      <w:r w:rsidRPr="006E6E45">
        <w:rPr>
          <w:vertAlign w:val="superscript"/>
        </w:rPr>
        <w:t>th</w:t>
      </w:r>
      <w:r>
        <w:t xml:space="preserve"> and 97.5</w:t>
      </w:r>
      <w:r w:rsidRPr="006E6E45">
        <w:rPr>
          <w:vertAlign w:val="superscript"/>
        </w:rPr>
        <w:t>th</w:t>
      </w:r>
      <w:r>
        <w:t xml:space="preserve"> percentiles of simulated counts drawn from a negative binomial distribution with location parameter predicted from the posterior distribution of the model. The gray ribbon contains all the true values, indicating that all the observed counts are consistent with the variability expected from the model.</w:t>
      </w:r>
    </w:p>
    <w:p w14:paraId="484F3304" w14:textId="3D656DCB" w:rsidR="000B07C3" w:rsidRDefault="000B07C3">
      <w:r>
        <w:br w:type="page"/>
      </w:r>
    </w:p>
    <w:p w14:paraId="7F26ABAD" w14:textId="5204CE27" w:rsidR="00E16782" w:rsidRDefault="00E16782">
      <w:r>
        <w:lastRenderedPageBreak/>
        <w:br w:type="page"/>
      </w:r>
    </w:p>
    <w:p w14:paraId="1D65920D" w14:textId="77777777" w:rsidR="00E16782" w:rsidRPr="00E16782" w:rsidRDefault="00E16782" w:rsidP="00E16782"/>
    <w:p w14:paraId="1C4F3DCC" w14:textId="77777777" w:rsidR="00E16782" w:rsidRPr="00E16782" w:rsidRDefault="00E16782" w:rsidP="00E16782"/>
    <w:p w14:paraId="525D7C3E" w14:textId="7CD99F83" w:rsidR="00870621" w:rsidRDefault="00870621" w:rsidP="00870621">
      <w:pPr>
        <w:pStyle w:val="Caption"/>
      </w:pPr>
    </w:p>
    <w:tbl>
      <w:tblPr>
        <w:tblStyle w:val="TableGrid"/>
        <w:tblW w:w="0" w:type="auto"/>
        <w:tblLook w:val="04A0" w:firstRow="1" w:lastRow="0" w:firstColumn="1" w:lastColumn="0" w:noHBand="0" w:noVBand="1"/>
      </w:tblPr>
      <w:tblGrid>
        <w:gridCol w:w="1480"/>
        <w:gridCol w:w="1155"/>
        <w:gridCol w:w="1208"/>
        <w:gridCol w:w="1208"/>
      </w:tblGrid>
      <w:tr w:rsidR="002D364A" w:rsidRPr="002D364A" w14:paraId="31437CDC" w14:textId="77777777" w:rsidTr="001545DE">
        <w:trPr>
          <w:trHeight w:val="288"/>
        </w:trPr>
        <w:tc>
          <w:tcPr>
            <w:tcW w:w="1480" w:type="dxa"/>
            <w:noWrap/>
            <w:hideMark/>
          </w:tcPr>
          <w:p w14:paraId="410325F6" w14:textId="5DFEAC07" w:rsidR="002D364A" w:rsidRPr="002D364A" w:rsidRDefault="002D364A">
            <w:pPr>
              <w:rPr>
                <w:b/>
                <w:bCs/>
              </w:rPr>
            </w:pPr>
            <w:r w:rsidRPr="002D364A">
              <w:rPr>
                <w:b/>
                <w:bCs/>
              </w:rPr>
              <w:t>Scenario</w:t>
            </w:r>
          </w:p>
        </w:tc>
        <w:tc>
          <w:tcPr>
            <w:tcW w:w="1155" w:type="dxa"/>
            <w:noWrap/>
            <w:hideMark/>
          </w:tcPr>
          <w:p w14:paraId="30D42E34" w14:textId="5BB4AEEC" w:rsidR="002D364A" w:rsidRPr="002D364A" w:rsidRDefault="002D364A">
            <w:pPr>
              <w:rPr>
                <w:b/>
                <w:bCs/>
              </w:rPr>
            </w:pPr>
            <w:r w:rsidRPr="002D364A">
              <w:rPr>
                <w:b/>
                <w:bCs/>
              </w:rPr>
              <w:t>Lambda (median)</w:t>
            </w:r>
          </w:p>
        </w:tc>
        <w:tc>
          <w:tcPr>
            <w:tcW w:w="1208" w:type="dxa"/>
            <w:noWrap/>
            <w:hideMark/>
          </w:tcPr>
          <w:p w14:paraId="56FD4094" w14:textId="43EB2568" w:rsidR="002D364A" w:rsidRPr="002D364A" w:rsidRDefault="002D364A">
            <w:pPr>
              <w:rPr>
                <w:b/>
                <w:bCs/>
              </w:rPr>
            </w:pPr>
            <w:r w:rsidRPr="002D364A">
              <w:rPr>
                <w:b/>
                <w:bCs/>
              </w:rPr>
              <w:t>Lambda (5</w:t>
            </w:r>
            <w:r w:rsidRPr="002D364A">
              <w:rPr>
                <w:b/>
                <w:bCs/>
                <w:vertAlign w:val="superscript"/>
              </w:rPr>
              <w:t>th</w:t>
            </w:r>
            <w:r w:rsidRPr="002D364A">
              <w:rPr>
                <w:b/>
                <w:bCs/>
              </w:rPr>
              <w:t xml:space="preserve"> percentile)</w:t>
            </w:r>
          </w:p>
        </w:tc>
        <w:tc>
          <w:tcPr>
            <w:tcW w:w="1208" w:type="dxa"/>
            <w:noWrap/>
            <w:hideMark/>
          </w:tcPr>
          <w:p w14:paraId="4CA356BD" w14:textId="3493B491" w:rsidR="002D364A" w:rsidRPr="002D364A" w:rsidRDefault="002D364A">
            <w:pPr>
              <w:rPr>
                <w:b/>
                <w:bCs/>
              </w:rPr>
            </w:pPr>
            <w:r w:rsidRPr="002D364A">
              <w:rPr>
                <w:b/>
                <w:bCs/>
              </w:rPr>
              <w:t>Lambda (95</w:t>
            </w:r>
            <w:r w:rsidRPr="002D364A">
              <w:rPr>
                <w:b/>
                <w:bCs/>
                <w:vertAlign w:val="superscript"/>
              </w:rPr>
              <w:t>th</w:t>
            </w:r>
            <w:r w:rsidRPr="002D364A">
              <w:rPr>
                <w:b/>
                <w:bCs/>
              </w:rPr>
              <w:t xml:space="preserve"> percentile)</w:t>
            </w:r>
          </w:p>
        </w:tc>
      </w:tr>
      <w:tr w:rsidR="00894D9E" w:rsidRPr="002D364A" w14:paraId="27D99596" w14:textId="77777777" w:rsidTr="001545DE">
        <w:trPr>
          <w:trHeight w:val="288"/>
        </w:trPr>
        <w:tc>
          <w:tcPr>
            <w:tcW w:w="1480" w:type="dxa"/>
            <w:noWrap/>
            <w:hideMark/>
          </w:tcPr>
          <w:p w14:paraId="0519C27E" w14:textId="77777777" w:rsidR="00894D9E" w:rsidRPr="002D364A" w:rsidRDefault="00894D9E" w:rsidP="00894D9E">
            <w:pPr>
              <w:rPr>
                <w:b/>
                <w:bCs/>
              </w:rPr>
            </w:pPr>
            <w:r w:rsidRPr="002D364A">
              <w:rPr>
                <w:b/>
                <w:bCs/>
              </w:rPr>
              <w:t>Undisturbed</w:t>
            </w:r>
          </w:p>
        </w:tc>
        <w:tc>
          <w:tcPr>
            <w:tcW w:w="1155" w:type="dxa"/>
            <w:noWrap/>
            <w:vAlign w:val="bottom"/>
            <w:hideMark/>
          </w:tcPr>
          <w:p w14:paraId="48470296" w14:textId="4B017B96" w:rsidR="00894D9E" w:rsidRPr="002D364A" w:rsidRDefault="00894D9E" w:rsidP="00894D9E">
            <w:r>
              <w:rPr>
                <w:rFonts w:ascii="Calibri" w:hAnsi="Calibri" w:cs="Calibri"/>
                <w:color w:val="000000"/>
              </w:rPr>
              <w:t>1.04</w:t>
            </w:r>
          </w:p>
        </w:tc>
        <w:tc>
          <w:tcPr>
            <w:tcW w:w="1208" w:type="dxa"/>
            <w:noWrap/>
            <w:vAlign w:val="bottom"/>
            <w:hideMark/>
          </w:tcPr>
          <w:p w14:paraId="673B11C7" w14:textId="12EEF865" w:rsidR="00894D9E" w:rsidRPr="002D364A" w:rsidRDefault="00894D9E" w:rsidP="00894D9E">
            <w:r>
              <w:rPr>
                <w:rFonts w:ascii="Calibri" w:hAnsi="Calibri" w:cs="Calibri"/>
                <w:color w:val="000000"/>
              </w:rPr>
              <w:t>1.01</w:t>
            </w:r>
          </w:p>
        </w:tc>
        <w:tc>
          <w:tcPr>
            <w:tcW w:w="1208" w:type="dxa"/>
            <w:noWrap/>
            <w:vAlign w:val="bottom"/>
            <w:hideMark/>
          </w:tcPr>
          <w:p w14:paraId="6025DE9A" w14:textId="74BBF86E" w:rsidR="00894D9E" w:rsidRPr="002D364A" w:rsidRDefault="00894D9E" w:rsidP="00894D9E">
            <w:r>
              <w:rPr>
                <w:rFonts w:ascii="Calibri" w:hAnsi="Calibri" w:cs="Calibri"/>
                <w:color w:val="000000"/>
              </w:rPr>
              <w:t>1.07</w:t>
            </w:r>
          </w:p>
        </w:tc>
      </w:tr>
      <w:tr w:rsidR="00894D9E" w:rsidRPr="002D364A" w14:paraId="4F85A7D7" w14:textId="77777777" w:rsidTr="001545DE">
        <w:trPr>
          <w:trHeight w:val="288"/>
        </w:trPr>
        <w:tc>
          <w:tcPr>
            <w:tcW w:w="1480" w:type="dxa"/>
            <w:noWrap/>
            <w:hideMark/>
          </w:tcPr>
          <w:p w14:paraId="614C5496" w14:textId="77777777" w:rsidR="00894D9E" w:rsidRPr="002D364A" w:rsidRDefault="00894D9E" w:rsidP="00894D9E">
            <w:pPr>
              <w:rPr>
                <w:b/>
                <w:bCs/>
              </w:rPr>
            </w:pPr>
            <w:r w:rsidRPr="002D364A">
              <w:rPr>
                <w:b/>
                <w:bCs/>
              </w:rPr>
              <w:t>Fire</w:t>
            </w:r>
          </w:p>
        </w:tc>
        <w:tc>
          <w:tcPr>
            <w:tcW w:w="1155" w:type="dxa"/>
            <w:noWrap/>
            <w:vAlign w:val="bottom"/>
            <w:hideMark/>
          </w:tcPr>
          <w:p w14:paraId="4855E811" w14:textId="6A368793" w:rsidR="00894D9E" w:rsidRPr="002D364A" w:rsidRDefault="00894D9E" w:rsidP="00894D9E">
            <w:r>
              <w:rPr>
                <w:rFonts w:ascii="Calibri" w:hAnsi="Calibri" w:cs="Calibri"/>
                <w:color w:val="000000"/>
              </w:rPr>
              <w:t>0.61</w:t>
            </w:r>
          </w:p>
        </w:tc>
        <w:tc>
          <w:tcPr>
            <w:tcW w:w="1208" w:type="dxa"/>
            <w:noWrap/>
            <w:vAlign w:val="bottom"/>
            <w:hideMark/>
          </w:tcPr>
          <w:p w14:paraId="22B4AB65" w14:textId="48FBF6BB" w:rsidR="00894D9E" w:rsidRPr="002D364A" w:rsidRDefault="00894D9E" w:rsidP="00894D9E">
            <w:r>
              <w:rPr>
                <w:rFonts w:ascii="Calibri" w:hAnsi="Calibri" w:cs="Calibri"/>
                <w:color w:val="000000"/>
              </w:rPr>
              <w:t>0.51</w:t>
            </w:r>
          </w:p>
        </w:tc>
        <w:tc>
          <w:tcPr>
            <w:tcW w:w="1208" w:type="dxa"/>
            <w:noWrap/>
            <w:vAlign w:val="bottom"/>
            <w:hideMark/>
          </w:tcPr>
          <w:p w14:paraId="082005A8" w14:textId="05354618" w:rsidR="00894D9E" w:rsidRPr="002D364A" w:rsidRDefault="00894D9E" w:rsidP="00894D9E">
            <w:r>
              <w:rPr>
                <w:rFonts w:ascii="Calibri" w:hAnsi="Calibri" w:cs="Calibri"/>
                <w:color w:val="000000"/>
              </w:rPr>
              <w:t>0.70</w:t>
            </w:r>
          </w:p>
        </w:tc>
      </w:tr>
      <w:tr w:rsidR="00894D9E" w:rsidRPr="002D364A" w14:paraId="57510B6D" w14:textId="77777777" w:rsidTr="001545DE">
        <w:trPr>
          <w:trHeight w:val="288"/>
        </w:trPr>
        <w:tc>
          <w:tcPr>
            <w:tcW w:w="1480" w:type="dxa"/>
            <w:noWrap/>
            <w:hideMark/>
          </w:tcPr>
          <w:p w14:paraId="5584CA95" w14:textId="77777777" w:rsidR="00894D9E" w:rsidRPr="002D364A" w:rsidRDefault="00894D9E" w:rsidP="00894D9E">
            <w:pPr>
              <w:rPr>
                <w:b/>
                <w:bCs/>
              </w:rPr>
            </w:pPr>
            <w:r w:rsidRPr="002D364A">
              <w:rPr>
                <w:b/>
                <w:bCs/>
              </w:rPr>
              <w:t>WPBR</w:t>
            </w:r>
          </w:p>
        </w:tc>
        <w:tc>
          <w:tcPr>
            <w:tcW w:w="1155" w:type="dxa"/>
            <w:noWrap/>
            <w:vAlign w:val="bottom"/>
            <w:hideMark/>
          </w:tcPr>
          <w:p w14:paraId="625C8A0C" w14:textId="67CEB83F" w:rsidR="00894D9E" w:rsidRPr="002D364A" w:rsidRDefault="00894D9E" w:rsidP="00894D9E">
            <w:r>
              <w:rPr>
                <w:rFonts w:ascii="Calibri" w:hAnsi="Calibri" w:cs="Calibri"/>
                <w:color w:val="000000"/>
              </w:rPr>
              <w:t>0.99</w:t>
            </w:r>
          </w:p>
        </w:tc>
        <w:tc>
          <w:tcPr>
            <w:tcW w:w="1208" w:type="dxa"/>
            <w:noWrap/>
            <w:vAlign w:val="bottom"/>
            <w:hideMark/>
          </w:tcPr>
          <w:p w14:paraId="1328D8FC" w14:textId="007F2534" w:rsidR="00894D9E" w:rsidRPr="002D364A" w:rsidRDefault="00894D9E" w:rsidP="00894D9E">
            <w:r>
              <w:rPr>
                <w:rFonts w:ascii="Calibri" w:hAnsi="Calibri" w:cs="Calibri"/>
                <w:color w:val="000000"/>
              </w:rPr>
              <w:t>0.90</w:t>
            </w:r>
          </w:p>
        </w:tc>
        <w:tc>
          <w:tcPr>
            <w:tcW w:w="1208" w:type="dxa"/>
            <w:noWrap/>
            <w:vAlign w:val="bottom"/>
            <w:hideMark/>
          </w:tcPr>
          <w:p w14:paraId="2119013B" w14:textId="28C2E6FA" w:rsidR="00894D9E" w:rsidRPr="002D364A" w:rsidRDefault="00894D9E" w:rsidP="00894D9E">
            <w:r>
              <w:rPr>
                <w:rFonts w:ascii="Calibri" w:hAnsi="Calibri" w:cs="Calibri"/>
                <w:color w:val="000000"/>
              </w:rPr>
              <w:t>1.06</w:t>
            </w:r>
          </w:p>
        </w:tc>
      </w:tr>
      <w:tr w:rsidR="00894D9E" w:rsidRPr="002D364A" w14:paraId="7447A570" w14:textId="77777777" w:rsidTr="001545DE">
        <w:trPr>
          <w:trHeight w:val="288"/>
        </w:trPr>
        <w:tc>
          <w:tcPr>
            <w:tcW w:w="1480" w:type="dxa"/>
            <w:noWrap/>
            <w:hideMark/>
          </w:tcPr>
          <w:p w14:paraId="5B302A04" w14:textId="77777777" w:rsidR="00894D9E" w:rsidRPr="002D364A" w:rsidRDefault="00894D9E" w:rsidP="00894D9E">
            <w:pPr>
              <w:rPr>
                <w:b/>
                <w:bCs/>
              </w:rPr>
            </w:pPr>
            <w:r w:rsidRPr="002D364A">
              <w:rPr>
                <w:b/>
                <w:bCs/>
              </w:rPr>
              <w:t>Low BA</w:t>
            </w:r>
          </w:p>
        </w:tc>
        <w:tc>
          <w:tcPr>
            <w:tcW w:w="1155" w:type="dxa"/>
            <w:noWrap/>
            <w:vAlign w:val="bottom"/>
            <w:hideMark/>
          </w:tcPr>
          <w:p w14:paraId="61C8B7FD" w14:textId="5823C94E" w:rsidR="00894D9E" w:rsidRPr="002D364A" w:rsidRDefault="00894D9E" w:rsidP="00894D9E">
            <w:r>
              <w:rPr>
                <w:rFonts w:ascii="Calibri" w:hAnsi="Calibri" w:cs="Calibri"/>
                <w:color w:val="000000"/>
              </w:rPr>
              <w:t>1.09</w:t>
            </w:r>
          </w:p>
        </w:tc>
        <w:tc>
          <w:tcPr>
            <w:tcW w:w="1208" w:type="dxa"/>
            <w:noWrap/>
            <w:vAlign w:val="bottom"/>
            <w:hideMark/>
          </w:tcPr>
          <w:p w14:paraId="6C474B43" w14:textId="6FEE9B6C" w:rsidR="00894D9E" w:rsidRPr="002D364A" w:rsidRDefault="00894D9E" w:rsidP="00894D9E">
            <w:r>
              <w:rPr>
                <w:rFonts w:ascii="Calibri" w:hAnsi="Calibri" w:cs="Calibri"/>
                <w:color w:val="000000"/>
              </w:rPr>
              <w:t>1.06</w:t>
            </w:r>
          </w:p>
        </w:tc>
        <w:tc>
          <w:tcPr>
            <w:tcW w:w="1208" w:type="dxa"/>
            <w:noWrap/>
            <w:vAlign w:val="bottom"/>
            <w:hideMark/>
          </w:tcPr>
          <w:p w14:paraId="061F27D4" w14:textId="2FCD7DEA" w:rsidR="00894D9E" w:rsidRPr="002D364A" w:rsidRDefault="00894D9E" w:rsidP="00894D9E">
            <w:r>
              <w:rPr>
                <w:rFonts w:ascii="Calibri" w:hAnsi="Calibri" w:cs="Calibri"/>
                <w:color w:val="000000"/>
              </w:rPr>
              <w:t>1.13</w:t>
            </w:r>
          </w:p>
        </w:tc>
      </w:tr>
      <w:tr w:rsidR="00894D9E" w:rsidRPr="002D364A" w14:paraId="060C0E1D" w14:textId="77777777" w:rsidTr="001545DE">
        <w:trPr>
          <w:trHeight w:val="288"/>
        </w:trPr>
        <w:tc>
          <w:tcPr>
            <w:tcW w:w="1480" w:type="dxa"/>
            <w:noWrap/>
            <w:hideMark/>
          </w:tcPr>
          <w:p w14:paraId="7BA2A714" w14:textId="77777777" w:rsidR="00894D9E" w:rsidRPr="002D364A" w:rsidRDefault="00894D9E" w:rsidP="00894D9E">
            <w:pPr>
              <w:rPr>
                <w:b/>
                <w:bCs/>
              </w:rPr>
            </w:pPr>
            <w:r w:rsidRPr="002D364A">
              <w:rPr>
                <w:b/>
                <w:bCs/>
              </w:rPr>
              <w:t>High BA</w:t>
            </w:r>
          </w:p>
        </w:tc>
        <w:tc>
          <w:tcPr>
            <w:tcW w:w="1155" w:type="dxa"/>
            <w:noWrap/>
            <w:vAlign w:val="bottom"/>
            <w:hideMark/>
          </w:tcPr>
          <w:p w14:paraId="29F0B1F6" w14:textId="79644143" w:rsidR="00894D9E" w:rsidRPr="002D364A" w:rsidRDefault="00894D9E" w:rsidP="00894D9E">
            <w:r>
              <w:rPr>
                <w:rFonts w:ascii="Calibri" w:hAnsi="Calibri" w:cs="Calibri"/>
                <w:color w:val="000000"/>
              </w:rPr>
              <w:t>0.98</w:t>
            </w:r>
          </w:p>
        </w:tc>
        <w:tc>
          <w:tcPr>
            <w:tcW w:w="1208" w:type="dxa"/>
            <w:noWrap/>
            <w:vAlign w:val="bottom"/>
            <w:hideMark/>
          </w:tcPr>
          <w:p w14:paraId="11E80269" w14:textId="16289D94" w:rsidR="00894D9E" w:rsidRPr="002D364A" w:rsidRDefault="00894D9E" w:rsidP="00894D9E">
            <w:r>
              <w:rPr>
                <w:rFonts w:ascii="Calibri" w:hAnsi="Calibri" w:cs="Calibri"/>
                <w:color w:val="000000"/>
              </w:rPr>
              <w:t>0.94</w:t>
            </w:r>
          </w:p>
        </w:tc>
        <w:tc>
          <w:tcPr>
            <w:tcW w:w="1208" w:type="dxa"/>
            <w:noWrap/>
            <w:vAlign w:val="bottom"/>
            <w:hideMark/>
          </w:tcPr>
          <w:p w14:paraId="0CB13A08" w14:textId="2F320285" w:rsidR="00894D9E" w:rsidRPr="002D364A" w:rsidRDefault="00894D9E" w:rsidP="00894D9E">
            <w:r>
              <w:rPr>
                <w:rFonts w:ascii="Calibri" w:hAnsi="Calibri" w:cs="Calibri"/>
                <w:color w:val="000000"/>
              </w:rPr>
              <w:t>1.02</w:t>
            </w:r>
          </w:p>
        </w:tc>
      </w:tr>
      <w:tr w:rsidR="00894D9E" w:rsidRPr="002D364A" w14:paraId="794CAA99" w14:textId="77777777" w:rsidTr="001545DE">
        <w:trPr>
          <w:trHeight w:val="288"/>
        </w:trPr>
        <w:tc>
          <w:tcPr>
            <w:tcW w:w="1480" w:type="dxa"/>
            <w:noWrap/>
            <w:hideMark/>
          </w:tcPr>
          <w:p w14:paraId="178633C6" w14:textId="77777777" w:rsidR="00894D9E" w:rsidRPr="002D364A" w:rsidRDefault="00894D9E" w:rsidP="00894D9E">
            <w:pPr>
              <w:rPr>
                <w:b/>
                <w:bCs/>
              </w:rPr>
            </w:pPr>
            <w:r w:rsidRPr="002D364A">
              <w:rPr>
                <w:b/>
                <w:bCs/>
              </w:rPr>
              <w:t>Low Drought</w:t>
            </w:r>
          </w:p>
        </w:tc>
        <w:tc>
          <w:tcPr>
            <w:tcW w:w="1155" w:type="dxa"/>
            <w:noWrap/>
            <w:vAlign w:val="bottom"/>
            <w:hideMark/>
          </w:tcPr>
          <w:p w14:paraId="127CE01D" w14:textId="2C97744C" w:rsidR="00894D9E" w:rsidRPr="002D364A" w:rsidRDefault="00894D9E" w:rsidP="00894D9E">
            <w:r>
              <w:rPr>
                <w:rFonts w:ascii="Calibri" w:hAnsi="Calibri" w:cs="Calibri"/>
                <w:color w:val="000000"/>
              </w:rPr>
              <w:t>1.05</w:t>
            </w:r>
          </w:p>
        </w:tc>
        <w:tc>
          <w:tcPr>
            <w:tcW w:w="1208" w:type="dxa"/>
            <w:noWrap/>
            <w:vAlign w:val="bottom"/>
            <w:hideMark/>
          </w:tcPr>
          <w:p w14:paraId="5BAE8051" w14:textId="49554221" w:rsidR="00894D9E" w:rsidRPr="002D364A" w:rsidRDefault="00894D9E" w:rsidP="00894D9E">
            <w:r>
              <w:rPr>
                <w:rFonts w:ascii="Calibri" w:hAnsi="Calibri" w:cs="Calibri"/>
                <w:color w:val="000000"/>
              </w:rPr>
              <w:t>1.01</w:t>
            </w:r>
          </w:p>
        </w:tc>
        <w:tc>
          <w:tcPr>
            <w:tcW w:w="1208" w:type="dxa"/>
            <w:noWrap/>
            <w:vAlign w:val="bottom"/>
            <w:hideMark/>
          </w:tcPr>
          <w:p w14:paraId="507D7DB7" w14:textId="66D6C081" w:rsidR="00894D9E" w:rsidRPr="002D364A" w:rsidRDefault="00894D9E" w:rsidP="00894D9E">
            <w:r>
              <w:rPr>
                <w:rFonts w:ascii="Calibri" w:hAnsi="Calibri" w:cs="Calibri"/>
                <w:color w:val="000000"/>
              </w:rPr>
              <w:t>1.08</w:t>
            </w:r>
          </w:p>
        </w:tc>
      </w:tr>
      <w:tr w:rsidR="00894D9E" w:rsidRPr="002D364A" w14:paraId="27FE14C2" w14:textId="77777777" w:rsidTr="001545DE">
        <w:trPr>
          <w:trHeight w:val="288"/>
        </w:trPr>
        <w:tc>
          <w:tcPr>
            <w:tcW w:w="1480" w:type="dxa"/>
            <w:noWrap/>
            <w:hideMark/>
          </w:tcPr>
          <w:p w14:paraId="0D39969D" w14:textId="77777777" w:rsidR="00894D9E" w:rsidRPr="002D364A" w:rsidRDefault="00894D9E" w:rsidP="00894D9E">
            <w:pPr>
              <w:rPr>
                <w:b/>
                <w:bCs/>
              </w:rPr>
            </w:pPr>
            <w:r w:rsidRPr="002D364A">
              <w:rPr>
                <w:b/>
                <w:bCs/>
              </w:rPr>
              <w:t>High Drought</w:t>
            </w:r>
          </w:p>
        </w:tc>
        <w:tc>
          <w:tcPr>
            <w:tcW w:w="1155" w:type="dxa"/>
            <w:noWrap/>
            <w:vAlign w:val="bottom"/>
            <w:hideMark/>
          </w:tcPr>
          <w:p w14:paraId="7553AF38" w14:textId="57A410DE" w:rsidR="00894D9E" w:rsidRPr="002D364A" w:rsidRDefault="00894D9E" w:rsidP="00894D9E">
            <w:r>
              <w:rPr>
                <w:rFonts w:ascii="Calibri" w:hAnsi="Calibri" w:cs="Calibri"/>
                <w:color w:val="000000"/>
              </w:rPr>
              <w:t>1.03</w:t>
            </w:r>
          </w:p>
        </w:tc>
        <w:tc>
          <w:tcPr>
            <w:tcW w:w="1208" w:type="dxa"/>
            <w:noWrap/>
            <w:vAlign w:val="bottom"/>
            <w:hideMark/>
          </w:tcPr>
          <w:p w14:paraId="2675DB4D" w14:textId="4C280617" w:rsidR="00894D9E" w:rsidRPr="002D364A" w:rsidRDefault="00894D9E" w:rsidP="00894D9E">
            <w:r>
              <w:rPr>
                <w:rFonts w:ascii="Calibri" w:hAnsi="Calibri" w:cs="Calibri"/>
                <w:color w:val="000000"/>
              </w:rPr>
              <w:t>0.99</w:t>
            </w:r>
          </w:p>
        </w:tc>
        <w:tc>
          <w:tcPr>
            <w:tcW w:w="1208" w:type="dxa"/>
            <w:noWrap/>
            <w:vAlign w:val="bottom"/>
            <w:hideMark/>
          </w:tcPr>
          <w:p w14:paraId="126AD871" w14:textId="367E7A58" w:rsidR="00894D9E" w:rsidRPr="002D364A" w:rsidRDefault="00894D9E" w:rsidP="00894D9E">
            <w:r>
              <w:rPr>
                <w:rFonts w:ascii="Calibri" w:hAnsi="Calibri" w:cs="Calibri"/>
                <w:color w:val="000000"/>
              </w:rPr>
              <w:t>1.08</w:t>
            </w:r>
          </w:p>
        </w:tc>
      </w:tr>
      <w:tr w:rsidR="00894D9E" w:rsidRPr="002D364A" w14:paraId="07158831" w14:textId="77777777" w:rsidTr="001545DE">
        <w:trPr>
          <w:trHeight w:val="288"/>
        </w:trPr>
        <w:tc>
          <w:tcPr>
            <w:tcW w:w="1480" w:type="dxa"/>
            <w:noWrap/>
            <w:hideMark/>
          </w:tcPr>
          <w:p w14:paraId="596F28AC" w14:textId="77777777" w:rsidR="00894D9E" w:rsidRPr="002D364A" w:rsidRDefault="00894D9E" w:rsidP="00894D9E">
            <w:pPr>
              <w:rPr>
                <w:b/>
                <w:bCs/>
              </w:rPr>
            </w:pPr>
            <w:r w:rsidRPr="002D364A">
              <w:rPr>
                <w:b/>
                <w:bCs/>
              </w:rPr>
              <w:t>Wet Site</w:t>
            </w:r>
          </w:p>
        </w:tc>
        <w:tc>
          <w:tcPr>
            <w:tcW w:w="1155" w:type="dxa"/>
            <w:noWrap/>
            <w:vAlign w:val="bottom"/>
            <w:hideMark/>
          </w:tcPr>
          <w:p w14:paraId="1878324B" w14:textId="2D286194" w:rsidR="00894D9E" w:rsidRPr="002D364A" w:rsidRDefault="00894D9E" w:rsidP="00894D9E">
            <w:r>
              <w:rPr>
                <w:rFonts w:ascii="Calibri" w:hAnsi="Calibri" w:cs="Calibri"/>
                <w:color w:val="000000"/>
              </w:rPr>
              <w:t>1.05</w:t>
            </w:r>
          </w:p>
        </w:tc>
        <w:tc>
          <w:tcPr>
            <w:tcW w:w="1208" w:type="dxa"/>
            <w:noWrap/>
            <w:vAlign w:val="bottom"/>
            <w:hideMark/>
          </w:tcPr>
          <w:p w14:paraId="562E189F" w14:textId="01343BEB" w:rsidR="00894D9E" w:rsidRPr="002D364A" w:rsidRDefault="00894D9E" w:rsidP="00894D9E">
            <w:r>
              <w:rPr>
                <w:rFonts w:ascii="Calibri" w:hAnsi="Calibri" w:cs="Calibri"/>
                <w:color w:val="000000"/>
              </w:rPr>
              <w:t>1.02</w:t>
            </w:r>
          </w:p>
        </w:tc>
        <w:tc>
          <w:tcPr>
            <w:tcW w:w="1208" w:type="dxa"/>
            <w:noWrap/>
            <w:vAlign w:val="bottom"/>
            <w:hideMark/>
          </w:tcPr>
          <w:p w14:paraId="41738080" w14:textId="4BEB4EFB" w:rsidR="00894D9E" w:rsidRPr="002D364A" w:rsidRDefault="00894D9E" w:rsidP="00894D9E">
            <w:r>
              <w:rPr>
                <w:rFonts w:ascii="Calibri" w:hAnsi="Calibri" w:cs="Calibri"/>
                <w:color w:val="000000"/>
              </w:rPr>
              <w:t>1.08</w:t>
            </w:r>
          </w:p>
        </w:tc>
      </w:tr>
      <w:tr w:rsidR="00F30BF0" w:rsidRPr="002D364A" w14:paraId="6DC08BBB" w14:textId="77777777" w:rsidTr="001545DE">
        <w:trPr>
          <w:trHeight w:val="288"/>
        </w:trPr>
        <w:tc>
          <w:tcPr>
            <w:tcW w:w="1480" w:type="dxa"/>
            <w:noWrap/>
            <w:hideMark/>
          </w:tcPr>
          <w:p w14:paraId="60168389" w14:textId="77777777" w:rsidR="00F30BF0" w:rsidRPr="002D364A" w:rsidRDefault="00F30BF0" w:rsidP="00F30BF0">
            <w:pPr>
              <w:rPr>
                <w:b/>
                <w:bCs/>
              </w:rPr>
            </w:pPr>
            <w:r w:rsidRPr="002D364A">
              <w:rPr>
                <w:b/>
                <w:bCs/>
              </w:rPr>
              <w:t>Dry Site</w:t>
            </w:r>
          </w:p>
        </w:tc>
        <w:tc>
          <w:tcPr>
            <w:tcW w:w="1155" w:type="dxa"/>
            <w:noWrap/>
            <w:vAlign w:val="bottom"/>
            <w:hideMark/>
          </w:tcPr>
          <w:p w14:paraId="5AC10066" w14:textId="3CACB9F8" w:rsidR="00F30BF0" w:rsidRPr="002D364A" w:rsidRDefault="00F30BF0" w:rsidP="00F30BF0">
            <w:r>
              <w:rPr>
                <w:rFonts w:ascii="Calibri" w:hAnsi="Calibri" w:cs="Calibri"/>
                <w:color w:val="000000"/>
              </w:rPr>
              <w:t>1.14</w:t>
            </w:r>
          </w:p>
        </w:tc>
        <w:tc>
          <w:tcPr>
            <w:tcW w:w="1208" w:type="dxa"/>
            <w:noWrap/>
            <w:vAlign w:val="bottom"/>
            <w:hideMark/>
          </w:tcPr>
          <w:p w14:paraId="39393CE5" w14:textId="19338CA9" w:rsidR="00F30BF0" w:rsidRPr="002D364A" w:rsidRDefault="00F30BF0" w:rsidP="00F30BF0">
            <w:r>
              <w:rPr>
                <w:rFonts w:ascii="Calibri" w:hAnsi="Calibri" w:cs="Calibri"/>
                <w:color w:val="000000"/>
              </w:rPr>
              <w:t>1.02</w:t>
            </w:r>
          </w:p>
        </w:tc>
        <w:tc>
          <w:tcPr>
            <w:tcW w:w="1208" w:type="dxa"/>
            <w:noWrap/>
            <w:vAlign w:val="bottom"/>
            <w:hideMark/>
          </w:tcPr>
          <w:p w14:paraId="63E1EFFC" w14:textId="6B8E95F6" w:rsidR="00F30BF0" w:rsidRPr="002D364A" w:rsidRDefault="00F30BF0" w:rsidP="00F30BF0">
            <w:pPr>
              <w:keepNext/>
            </w:pPr>
            <w:r>
              <w:rPr>
                <w:rFonts w:ascii="Calibri" w:hAnsi="Calibri" w:cs="Calibri"/>
                <w:color w:val="000000"/>
              </w:rPr>
              <w:t>1.38</w:t>
            </w:r>
          </w:p>
        </w:tc>
      </w:tr>
    </w:tbl>
    <w:p w14:paraId="43C96B16" w14:textId="349B66E5" w:rsidR="002D364A" w:rsidRPr="002D364A" w:rsidRDefault="007E7CA6" w:rsidP="002D364A">
      <w:pPr>
        <w:pStyle w:val="Caption"/>
      </w:pPr>
      <w:bookmarkStart w:id="102" w:name="_Ref94619410"/>
      <w:r>
        <w:t xml:space="preserve">Supplementary </w:t>
      </w:r>
      <w:r w:rsidR="00245CBF">
        <w:t>Table</w:t>
      </w:r>
      <w:r w:rsidR="002D364A">
        <w:t xml:space="preserve"> </w:t>
      </w:r>
      <w:bookmarkEnd w:id="102"/>
      <w:r>
        <w:t>1</w:t>
      </w:r>
      <w:r w:rsidR="002D364A">
        <w:t>: Summary of posterior distributions of population asymptotic growth rate (</w:t>
      </w:r>
      <m:oMath>
        <m:r>
          <m:rPr>
            <m:sty m:val="p"/>
          </m:rPr>
          <w:rPr>
            <w:rFonts w:ascii="Cambria Math" w:hAnsi="Cambria Math" w:cstheme="minorHAnsi"/>
          </w:rPr>
          <m:t>λ</m:t>
        </m:r>
      </m:oMath>
      <w:r w:rsidR="002D364A">
        <w:t>) under a variety of idealized scenarios. In each scenario, the relevant stressor is either present (for fire and WPBR), elevated (</w:t>
      </w:r>
      <w:r w:rsidR="00B05195">
        <w:t>BA, drought, and site dryness), or depressed (BA, drought, and site dryness), while other stressors are held at absent (fire and WPBR) or their mean value (BA, drought, and site dryness).</w:t>
      </w:r>
      <w:r w:rsidR="00DD37D1" w:rsidRPr="00DD37D1">
        <w:rPr>
          <w:rFonts w:ascii="Cambria Math" w:hAnsi="Cambria Math" w:cstheme="minorHAnsi"/>
          <w:i w:val="0"/>
        </w:rPr>
        <w:t xml:space="preserve"> </w:t>
      </w:r>
      <m:oMath>
        <m:r>
          <m:rPr>
            <m:sty m:val="p"/>
          </m:rPr>
          <w:rPr>
            <w:rFonts w:ascii="Cambria Math" w:hAnsi="Cambria Math" w:cstheme="minorHAnsi"/>
          </w:rPr>
          <m:t>λ</m:t>
        </m:r>
      </m:oMath>
      <w:r w:rsidR="00DD37D1">
        <w:rPr>
          <w:rFonts w:cstheme="minorHAnsi"/>
        </w:rPr>
        <w:t xml:space="preserve"> </w:t>
      </w:r>
      <w:r w:rsidR="00B05195">
        <w:t>was estimated for each posterior sample by constructing a transition matrix using the posterior sample parameters and the vital rate as described in the methods, and taking the dominant eigenvalue of the transition matrix.</w:t>
      </w:r>
    </w:p>
    <w:sectPr w:rsidR="002D364A" w:rsidRPr="002D364A">
      <w:headerReference w:type="default" r:id="rId3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el Foster" w:date="2022-02-15T12:20:00Z" w:initials="DF">
    <w:p w14:paraId="636E9554" w14:textId="01EABD3E" w:rsidR="000B15A1" w:rsidRDefault="000B15A1">
      <w:pPr>
        <w:pStyle w:val="CommentText"/>
      </w:pPr>
      <w:r>
        <w:rPr>
          <w:rStyle w:val="CommentReference"/>
        </w:rPr>
        <w:annotationRef/>
      </w:r>
      <w:r>
        <w:t>JJB: need to better make the case that PILA is in trouble; fig 7  / FSI / spp comparison useful</w:t>
      </w:r>
    </w:p>
  </w:comment>
  <w:comment w:id="1" w:author="j battles" w:date="2022-02-14T04:48:00Z" w:initials="jjb">
    <w:p w14:paraId="7FE583B2" w14:textId="77777777" w:rsidR="00A95BB0" w:rsidRDefault="00A95BB0" w:rsidP="00EA5F23">
      <w:pPr>
        <w:pStyle w:val="CommentText"/>
      </w:pPr>
      <w:r>
        <w:rPr>
          <w:rStyle w:val="CommentReference"/>
        </w:rPr>
        <w:annotationRef/>
      </w:r>
      <w:r>
        <w:t xml:space="preserve">Try to start with a wider context. Sugar pine is an example of what process exactly? </w:t>
      </w:r>
    </w:p>
  </w:comment>
  <w:comment w:id="2" w:author="Daniel Foster" w:date="2022-02-15T11:53:00Z" w:initials="DF">
    <w:p w14:paraId="1887F201" w14:textId="4E2295B8" w:rsidR="00105668" w:rsidRDefault="00105668">
      <w:pPr>
        <w:pStyle w:val="CommentText"/>
      </w:pPr>
      <w:r>
        <w:rPr>
          <w:rStyle w:val="CommentReference"/>
        </w:rPr>
        <w:annotationRef/>
      </w:r>
      <w:r>
        <w:t>SS: break into 2 sents</w:t>
      </w:r>
    </w:p>
  </w:comment>
  <w:comment w:id="3" w:author="j battles" w:date="2022-02-14T04:47:00Z" w:initials="jjb">
    <w:p w14:paraId="1E38F6F8" w14:textId="22FA3063" w:rsidR="00A95BB0" w:rsidRDefault="00A95BB0" w:rsidP="003F5D21">
      <w:pPr>
        <w:pStyle w:val="CommentText"/>
      </w:pPr>
      <w:r>
        <w:rPr>
          <w:rStyle w:val="CommentReference"/>
        </w:rPr>
        <w:annotationRef/>
      </w:r>
      <w:r>
        <w:t xml:space="preserve">Forestry term; heart of its range? </w:t>
      </w:r>
    </w:p>
  </w:comment>
  <w:comment w:id="4" w:author="Daniel Foster" w:date="2022-02-15T12:23:00Z" w:initials="DF">
    <w:p w14:paraId="29B2D88F" w14:textId="1F95337F" w:rsidR="002626E1" w:rsidRDefault="002626E1">
      <w:pPr>
        <w:pStyle w:val="CommentText"/>
      </w:pPr>
      <w:r>
        <w:rPr>
          <w:rStyle w:val="CommentReference"/>
        </w:rPr>
        <w:annotationRef/>
      </w:r>
      <w:r>
        <w:t>TS: provide example / more specifics about what this key role is</w:t>
      </w:r>
    </w:p>
  </w:comment>
  <w:comment w:id="5" w:author="j battles" w:date="2022-02-14T04:48:00Z" w:initials="jjb">
    <w:p w14:paraId="79E6A8C7" w14:textId="77777777" w:rsidR="00A95BB0" w:rsidRDefault="00A95BB0" w:rsidP="00DB660D">
      <w:pPr>
        <w:pStyle w:val="CommentText"/>
      </w:pPr>
      <w:r>
        <w:rPr>
          <w:rStyle w:val="CommentReference"/>
        </w:rPr>
        <w:annotationRef/>
      </w:r>
      <w:r>
        <w:t xml:space="preserve">Lead with this idea. </w:t>
      </w:r>
    </w:p>
  </w:comment>
  <w:comment w:id="6" w:author="Daniel Foster" w:date="2022-02-15T11:55:00Z" w:initials="DF">
    <w:p w14:paraId="5289D00C" w14:textId="3F6B9717" w:rsidR="00105668" w:rsidRDefault="00105668">
      <w:pPr>
        <w:pStyle w:val="CommentText"/>
      </w:pPr>
      <w:r>
        <w:rPr>
          <w:rStyle w:val="CommentReference"/>
        </w:rPr>
        <w:annotationRef/>
      </w:r>
      <w:r>
        <w:t>SS: need to set up the 1</w:t>
      </w:r>
      <w:r w:rsidRPr="00105668">
        <w:rPr>
          <w:vertAlign w:val="superscript"/>
        </w:rPr>
        <w:t>st</w:t>
      </w:r>
      <w:r>
        <w:t xml:space="preserve"> 2</w:t>
      </w:r>
      <w:r w:rsidRPr="00105668">
        <w:rPr>
          <w:vertAlign w:val="superscript"/>
        </w:rPr>
        <w:t>nd</w:t>
      </w:r>
      <w:r>
        <w:t xml:space="preserve"> 3</w:t>
      </w:r>
      <w:r w:rsidRPr="00105668">
        <w:rPr>
          <w:vertAlign w:val="superscript"/>
        </w:rPr>
        <w:t>rd</w:t>
      </w:r>
      <w:r>
        <w:t xml:space="preserve"> by describing the things I’m gonna list</w:t>
      </w:r>
    </w:p>
  </w:comment>
  <w:comment w:id="7" w:author="Daniel Foster" w:date="2022-02-15T12:25:00Z" w:initials="DF">
    <w:p w14:paraId="1740E1C3" w14:textId="715FE01A" w:rsidR="002626E1" w:rsidRDefault="002626E1">
      <w:pPr>
        <w:pStyle w:val="CommentText"/>
      </w:pPr>
      <w:r>
        <w:rPr>
          <w:rStyle w:val="CommentReference"/>
        </w:rPr>
        <w:annotationRef/>
      </w:r>
      <w:r>
        <w:t>Does this fungal pathogen also interact with the stressor of a warming climate? You mention the interactions between fire regime X climate change and forest structure X other stressors- I’m curious if drought stress makes these trees more vulnerable to WPBR (similar to drought’s exacerbation of bark beetle impacts)</w:t>
      </w:r>
    </w:p>
  </w:comment>
  <w:comment w:id="8" w:author="j battles" w:date="2022-02-14T04:52:00Z" w:initials="jjb">
    <w:p w14:paraId="1DA08E0E" w14:textId="77777777" w:rsidR="00A95BB0" w:rsidRDefault="00A95BB0" w:rsidP="00897BB4">
      <w:pPr>
        <w:pStyle w:val="CommentText"/>
      </w:pPr>
      <w:r>
        <w:rPr>
          <w:rStyle w:val="CommentReference"/>
        </w:rPr>
        <w:annotationRef/>
      </w:r>
      <w:r>
        <w:t xml:space="preserve">Relevance? </w:t>
      </w:r>
    </w:p>
  </w:comment>
  <w:comment w:id="9" w:author="j battles" w:date="2022-02-14T04:54:00Z" w:initials="jjb">
    <w:p w14:paraId="18B30F1A" w14:textId="77777777" w:rsidR="00A95BB0" w:rsidRDefault="00A95BB0" w:rsidP="00E24FC6">
      <w:pPr>
        <w:pStyle w:val="CommentText"/>
      </w:pPr>
      <w:r>
        <w:rPr>
          <w:rStyle w:val="CommentReference"/>
        </w:rPr>
        <w:annotationRef/>
      </w:r>
      <w:r>
        <w:t>Seems like this driver is just a consequence of the fire regime change</w:t>
      </w:r>
    </w:p>
  </w:comment>
  <w:comment w:id="10" w:author="Daniel Foster" w:date="2022-02-15T12:02:00Z" w:initials="DF">
    <w:p w14:paraId="59E7DADC" w14:textId="1B31BD74" w:rsidR="00105668" w:rsidRDefault="00105668">
      <w:pPr>
        <w:pStyle w:val="CommentText"/>
      </w:pPr>
      <w:r>
        <w:rPr>
          <w:rStyle w:val="CommentReference"/>
        </w:rPr>
        <w:annotationRef/>
      </w:r>
      <w:r>
        <w:t>SS: cite North 2021 (not sure which one? Pyrosilv?)</w:t>
      </w:r>
    </w:p>
  </w:comment>
  <w:comment w:id="11" w:author="Daniel Foster" w:date="2022-05-13T12:03:00Z" w:initials="DF">
    <w:p w14:paraId="7E316F93" w14:textId="77777777" w:rsidR="002F78E4" w:rsidRDefault="002F78E4" w:rsidP="00AD7BB1">
      <w:pPr>
        <w:pStyle w:val="CommentText"/>
      </w:pPr>
      <w:r>
        <w:rPr>
          <w:rStyle w:val="CommentReference"/>
        </w:rPr>
        <w:annotationRef/>
      </w:r>
      <w:r>
        <w:t>Cite the SDI paper</w:t>
      </w:r>
    </w:p>
  </w:comment>
  <w:comment w:id="12" w:author="j battles" w:date="2022-02-14T05:10:00Z" w:initials="jjb">
    <w:p w14:paraId="7BF5FE4C" w14:textId="499265C5" w:rsidR="00BD0EC9" w:rsidRDefault="00BD0EC9">
      <w:pPr>
        <w:pStyle w:val="CommentText"/>
      </w:pPr>
      <w:r>
        <w:rPr>
          <w:rStyle w:val="CommentReference"/>
        </w:rPr>
        <w:annotationRef/>
      </w:r>
      <w:r>
        <w:t xml:space="preserve">Joan's work is relevant here. </w:t>
      </w:r>
    </w:p>
    <w:p w14:paraId="27299236" w14:textId="77777777" w:rsidR="00BD0EC9" w:rsidRDefault="00BD0EC9" w:rsidP="008532C6">
      <w:pPr>
        <w:pStyle w:val="CommentText"/>
      </w:pPr>
      <w:r>
        <w:t xml:space="preserve">Dudney, J., Willing, C.E., Das, A.J., Latimer, A.M., Nesmith, J.C. and Battles, J.J., 2021. Nonlinear shifts in infectious rust disease due to climate change. </w:t>
      </w:r>
      <w:r>
        <w:rPr>
          <w:i/>
          <w:iCs/>
        </w:rPr>
        <w:t xml:space="preserve">Nature communications, 12(1), pp.1-13. </w:t>
      </w:r>
    </w:p>
  </w:comment>
  <w:comment w:id="13" w:author="Daniel Foster" w:date="2022-02-15T12:02:00Z" w:initials="DF">
    <w:p w14:paraId="060D81E0" w14:textId="5EB37470" w:rsidR="007108F6" w:rsidRDefault="007108F6">
      <w:pPr>
        <w:pStyle w:val="CommentText"/>
      </w:pPr>
      <w:r>
        <w:rPr>
          <w:rStyle w:val="CommentReference"/>
        </w:rPr>
        <w:annotationRef/>
      </w:r>
      <w:r>
        <w:t xml:space="preserve">SS: </w:t>
      </w:r>
      <w:r w:rsidRPr="00626734">
        <w:t>Stephens, S.L., J.J. Moghaddas, C. Ediminster, C.E. Fiedler, S. Hasse, M.Harrington, J.E. Keeley, J.D. McIver, K. Metlen, C.N. Skinner, and A.Youngblood. 2009. Fire treatment effects on vegetation structure, fuels, and potential fire severity in western U.S. forests.   Ecological Applications 19: 305-320.</w:t>
      </w:r>
    </w:p>
  </w:comment>
  <w:comment w:id="14" w:author="Daniel Foster" w:date="2022-02-15T12:26:00Z" w:initials="DF">
    <w:p w14:paraId="2A6403CB" w14:textId="26F3D144" w:rsidR="002626E1" w:rsidRDefault="002626E1">
      <w:pPr>
        <w:pStyle w:val="CommentText"/>
      </w:pPr>
      <w:r>
        <w:rPr>
          <w:rStyle w:val="CommentReference"/>
        </w:rPr>
        <w:annotationRef/>
      </w:r>
      <w:r>
        <w:t>TS: In terms of management, what is the justification to approach conservation at the species level instead of approaching it as an ecosystem type, i.e. status/outlook of mixed conifer forest type rather than just sugar pine? Might be beyond scope of paper, but it was a question that naturally arose for me when reading the intro.</w:t>
      </w:r>
    </w:p>
  </w:comment>
  <w:comment w:id="15" w:author="Daniel Foster" w:date="2022-02-15T12:18:00Z" w:initials="DF">
    <w:p w14:paraId="6866659D" w14:textId="202FF684" w:rsidR="000B15A1" w:rsidRDefault="000B15A1">
      <w:pPr>
        <w:pStyle w:val="CommentText"/>
      </w:pPr>
      <w:r>
        <w:rPr>
          <w:rStyle w:val="CommentReference"/>
        </w:rPr>
        <w:annotationRef/>
      </w:r>
      <w:r>
        <w:t>JJB: make temporal window clear</w:t>
      </w:r>
    </w:p>
  </w:comment>
  <w:comment w:id="16" w:author="Daniel Foster" w:date="2022-02-15T12:18:00Z" w:initials="DF">
    <w:p w14:paraId="21E219BD" w14:textId="07AA53D9" w:rsidR="000B15A1" w:rsidRDefault="000B15A1">
      <w:pPr>
        <w:pStyle w:val="CommentText"/>
      </w:pPr>
      <w:r>
        <w:rPr>
          <w:rStyle w:val="CommentReference"/>
        </w:rPr>
        <w:annotationRef/>
      </w:r>
      <w:r>
        <w:t>Make sure to make special fecundity window clear</w:t>
      </w:r>
    </w:p>
  </w:comment>
  <w:comment w:id="17" w:author="Daniel Foster" w:date="2022-02-15T12:18:00Z" w:initials="DF">
    <w:p w14:paraId="4AB51EEC" w14:textId="45F87322" w:rsidR="000B15A1" w:rsidRDefault="000B15A1">
      <w:pPr>
        <w:pStyle w:val="CommentText"/>
      </w:pPr>
      <w:r>
        <w:rPr>
          <w:rStyle w:val="CommentReference"/>
        </w:rPr>
        <w:annotationRef/>
      </w:r>
      <w:r>
        <w:t>JJB: document the interval distributrion, # of samples (# of samples in each exp var?), etc. more info about explanatory data</w:t>
      </w:r>
    </w:p>
  </w:comment>
  <w:comment w:id="18" w:author="Daniel Foster" w:date="2022-05-16T11:33:00Z" w:initials="DF">
    <w:p w14:paraId="35ABCFF4" w14:textId="77777777" w:rsidR="00BD15C5" w:rsidRDefault="00BD15C5">
      <w:pPr>
        <w:pStyle w:val="CommentText"/>
      </w:pPr>
      <w:r>
        <w:rPr>
          <w:rStyle w:val="CommentReference"/>
        </w:rPr>
        <w:annotationRef/>
      </w:r>
      <w:r>
        <w:t xml:space="preserve">Interval distribution: </w:t>
      </w:r>
    </w:p>
    <w:p w14:paraId="1B558368" w14:textId="77777777" w:rsidR="00BD15C5" w:rsidRDefault="00BD15C5">
      <w:pPr>
        <w:pStyle w:val="CommentText"/>
      </w:pPr>
      <w:r>
        <w:t>- min: 7.9</w:t>
      </w:r>
    </w:p>
    <w:p w14:paraId="3A9EF65D" w14:textId="77777777" w:rsidR="00BD15C5" w:rsidRDefault="00BD15C5">
      <w:pPr>
        <w:pStyle w:val="CommentText"/>
      </w:pPr>
      <w:r>
        <w:t>- 5%: 9.5</w:t>
      </w:r>
    </w:p>
    <w:p w14:paraId="7F5E0F7E" w14:textId="77777777" w:rsidR="00BD15C5" w:rsidRDefault="00BD15C5">
      <w:pPr>
        <w:pStyle w:val="CommentText"/>
      </w:pPr>
      <w:r>
        <w:t>- 50%: 10</w:t>
      </w:r>
    </w:p>
    <w:p w14:paraId="56856070" w14:textId="77777777" w:rsidR="00BD15C5" w:rsidRDefault="00BD15C5">
      <w:pPr>
        <w:pStyle w:val="CommentText"/>
      </w:pPr>
      <w:r>
        <w:t>- Mean: 10</w:t>
      </w:r>
    </w:p>
    <w:p w14:paraId="55D198B4" w14:textId="77777777" w:rsidR="00BD15C5" w:rsidRDefault="00BD15C5">
      <w:pPr>
        <w:pStyle w:val="CommentText"/>
      </w:pPr>
      <w:r>
        <w:t>- 95%: 10.4</w:t>
      </w:r>
    </w:p>
    <w:p w14:paraId="64DC206F" w14:textId="77777777" w:rsidR="00BD15C5" w:rsidRDefault="00BD15C5" w:rsidP="00052197">
      <w:pPr>
        <w:pStyle w:val="CommentText"/>
      </w:pPr>
      <w:r>
        <w:t>- max: 12.3</w:t>
      </w:r>
    </w:p>
  </w:comment>
  <w:comment w:id="19" w:author="Daniel Foster" w:date="2022-05-24T14:04:00Z" w:initials="DF">
    <w:p w14:paraId="011023D5" w14:textId="77777777" w:rsidR="009E5157" w:rsidRDefault="009E5157" w:rsidP="006D3D82">
      <w:pPr>
        <w:pStyle w:val="CommentText"/>
      </w:pPr>
      <w:r>
        <w:rPr>
          <w:rStyle w:val="CommentReference"/>
        </w:rPr>
        <w:annotationRef/>
      </w:r>
      <w:r>
        <w:t>Make FIA version number clear</w:t>
      </w:r>
    </w:p>
  </w:comment>
  <w:comment w:id="20" w:author="Daniel Foster" w:date="2022-05-24T14:04:00Z" w:initials="DF">
    <w:p w14:paraId="0674A2C4" w14:textId="77777777" w:rsidR="009E5157" w:rsidRDefault="009E5157" w:rsidP="00087427">
      <w:pPr>
        <w:pStyle w:val="CommentText"/>
      </w:pPr>
      <w:r>
        <w:rPr>
          <w:rStyle w:val="CommentReference"/>
        </w:rPr>
        <w:annotationRef/>
      </w:r>
      <w:r>
        <w:t>Make sure I clarify that I included harvests as mortalities</w:t>
      </w:r>
    </w:p>
  </w:comment>
  <w:comment w:id="21" w:author="j battles" w:date="2022-02-14T05:28:00Z" w:initials="jjb">
    <w:p w14:paraId="7920D9D5" w14:textId="4394E842" w:rsidR="001854A2" w:rsidRDefault="001854A2" w:rsidP="008303C5">
      <w:pPr>
        <w:pStyle w:val="CommentText"/>
      </w:pPr>
      <w:r>
        <w:rPr>
          <w:rStyle w:val="CommentReference"/>
        </w:rPr>
        <w:annotationRef/>
      </w:r>
      <w:r>
        <w:t>Relevance?</w:t>
      </w:r>
    </w:p>
  </w:comment>
  <w:comment w:id="22" w:author="j battles" w:date="2022-02-14T05:29:00Z" w:initials="jjb">
    <w:p w14:paraId="28858193" w14:textId="77777777" w:rsidR="001854A2" w:rsidRDefault="001854A2" w:rsidP="00687573">
      <w:pPr>
        <w:pStyle w:val="CommentText"/>
      </w:pPr>
      <w:r>
        <w:rPr>
          <w:rStyle w:val="CommentReference"/>
        </w:rPr>
        <w:annotationRef/>
      </w:r>
      <w:r>
        <w:t xml:space="preserve">Difference? </w:t>
      </w:r>
    </w:p>
  </w:comment>
  <w:comment w:id="23" w:author="Daniel Foster" w:date="2022-02-15T12:28:00Z" w:initials="DF">
    <w:p w14:paraId="54BCD148" w14:textId="09EDD86D" w:rsidR="002626E1" w:rsidRDefault="002626E1">
      <w:pPr>
        <w:pStyle w:val="CommentText"/>
      </w:pPr>
      <w:r>
        <w:rPr>
          <w:rStyle w:val="CommentReference"/>
        </w:rPr>
        <w:annotationRef/>
      </w:r>
      <w:r>
        <w:t>TS: define this term at first introduction</w:t>
      </w:r>
    </w:p>
  </w:comment>
  <w:comment w:id="24" w:author="j battles" w:date="2022-02-14T05:39:00Z" w:initials="jjb">
    <w:p w14:paraId="31782CEE" w14:textId="77777777" w:rsidR="00565CA7" w:rsidRDefault="00565CA7" w:rsidP="00CA62A1">
      <w:pPr>
        <w:pStyle w:val="CommentText"/>
      </w:pPr>
      <w:r>
        <w:rPr>
          <w:rStyle w:val="CommentReference"/>
        </w:rPr>
        <w:annotationRef/>
      </w:r>
      <w:r>
        <w:t>Need to explain</w:t>
      </w:r>
    </w:p>
  </w:comment>
  <w:comment w:id="25" w:author="j battles" w:date="2022-02-14T06:08:00Z" w:initials="jjb">
    <w:p w14:paraId="484A4806" w14:textId="77777777" w:rsidR="00FE1095" w:rsidRDefault="00FE1095" w:rsidP="00D37C5E">
      <w:pPr>
        <w:pStyle w:val="CommentText"/>
      </w:pPr>
      <w:r>
        <w:rPr>
          <w:rStyle w:val="CommentReference"/>
        </w:rPr>
        <w:annotationRef/>
      </w:r>
      <w:r>
        <w:t xml:space="preserve">This section has the details but I think most should go into a supplement. What is relevant is the underlying logic and explanation.  </w:t>
      </w:r>
    </w:p>
  </w:comment>
  <w:comment w:id="26" w:author="Daniel Foster" w:date="2022-02-15T12:04:00Z" w:initials="DF">
    <w:p w14:paraId="3E8B8A4B" w14:textId="78569C86" w:rsidR="007108F6" w:rsidRDefault="007108F6">
      <w:pPr>
        <w:pStyle w:val="CommentText"/>
      </w:pPr>
      <w:r>
        <w:rPr>
          <w:rStyle w:val="CommentReference"/>
        </w:rPr>
        <w:annotationRef/>
      </w:r>
      <w:r>
        <w:t>SS: reformat to be nicer inline</w:t>
      </w:r>
    </w:p>
  </w:comment>
  <w:comment w:id="27" w:author="Daniel Foster" w:date="2022-04-14T16:45:00Z" w:initials="DF">
    <w:p w14:paraId="4EA188E8" w14:textId="77777777" w:rsidR="0090133B" w:rsidRDefault="0090133B" w:rsidP="0090133B">
      <w:pPr>
        <w:pStyle w:val="CommentText"/>
      </w:pPr>
      <w:r>
        <w:rPr>
          <w:rStyle w:val="CommentReference"/>
        </w:rPr>
        <w:annotationRef/>
      </w:r>
      <w:r>
        <w:t>PdV: Yes, this was confusing as noted in my comments above.  Perhaps at the outset make clear what the connections are among the sub models, especially the last one which sounded separate the way it was introduced at first, as I read it anyway.</w:t>
      </w:r>
    </w:p>
  </w:comment>
  <w:comment w:id="30" w:author="j battles" w:date="2022-02-14T08:10:00Z" w:initials="jjb">
    <w:p w14:paraId="43179952" w14:textId="26EEA1C0" w:rsidR="00A22F02" w:rsidRDefault="00A22F02" w:rsidP="00461425">
      <w:pPr>
        <w:pStyle w:val="CommentText"/>
      </w:pPr>
      <w:r>
        <w:rPr>
          <w:rStyle w:val="CommentReference"/>
        </w:rPr>
        <w:annotationRef/>
      </w:r>
      <w:r>
        <w:t xml:space="preserve">So if we were specifically interested in ecoregion responses, would we make it a fixed effect in the model? </w:t>
      </w:r>
    </w:p>
  </w:comment>
  <w:comment w:id="33" w:author="j battles" w:date="2022-02-14T05:48:00Z" w:initials="jjb">
    <w:p w14:paraId="4F850460" w14:textId="7B61C48A" w:rsidR="00DF0297" w:rsidRDefault="00DF0297" w:rsidP="00BC4D3D">
      <w:pPr>
        <w:pStyle w:val="CommentText"/>
      </w:pPr>
      <w:r>
        <w:rPr>
          <w:rStyle w:val="CommentReference"/>
        </w:rPr>
        <w:annotationRef/>
      </w:r>
      <w:r>
        <w:t xml:space="preserve">Introducing a necessary bias here, I think. You are truncating the low outliers (negative growth) but not the large outliers. </w:t>
      </w:r>
    </w:p>
  </w:comment>
  <w:comment w:id="34" w:author="Daniel Foster" w:date="2022-02-15T12:05:00Z" w:initials="DF">
    <w:p w14:paraId="023A6CC2" w14:textId="6DC54605" w:rsidR="007108F6" w:rsidRDefault="007108F6">
      <w:pPr>
        <w:pStyle w:val="CommentText"/>
      </w:pPr>
      <w:r>
        <w:rPr>
          <w:rStyle w:val="CommentReference"/>
        </w:rPr>
        <w:annotationRef/>
      </w:r>
      <w:r>
        <w:t>Reformat to be nicer inline</w:t>
      </w:r>
    </w:p>
  </w:comment>
  <w:comment w:id="35" w:author="Daniel Foster" w:date="2022-05-24T16:47:00Z" w:initials="DF">
    <w:p w14:paraId="65CB9711" w14:textId="77777777" w:rsidR="005D2253" w:rsidRDefault="005D2253" w:rsidP="008C5EA3">
      <w:pPr>
        <w:pStyle w:val="CommentText"/>
      </w:pPr>
      <w:r>
        <w:rPr>
          <w:rStyle w:val="CommentReference"/>
        </w:rPr>
        <w:annotationRef/>
      </w:r>
      <w:r>
        <w:t>Start here: it's really n'_i[1], the first element in a size distribution vector</w:t>
      </w:r>
    </w:p>
  </w:comment>
  <w:comment w:id="36" w:author="Daniel Foster" w:date="2022-04-14T16:38:00Z" w:initials="DF">
    <w:p w14:paraId="56583A44" w14:textId="77777777" w:rsidR="00DA5840" w:rsidRDefault="00DA5840">
      <w:pPr>
        <w:pStyle w:val="CommentText"/>
      </w:pPr>
      <w:r>
        <w:rPr>
          <w:rStyle w:val="CommentReference"/>
        </w:rPr>
        <w:annotationRef/>
      </w:r>
      <w:r>
        <w:t xml:space="preserve">PdV:A lot starts to get confusing here.  Your notation has l,t subscripts. You are replacing those with u,v for elements of an A_l,t matrix.  I see the sentence explaining that at the end of the paragraph, but the notation is still problematic because it is really A_{first index, second index}.  Choice of variable label for first index or second index should not change the meaning of the notation, ideally.  </w:t>
      </w:r>
    </w:p>
    <w:p w14:paraId="11C02769" w14:textId="77777777" w:rsidR="00DA5840" w:rsidRDefault="00DA5840">
      <w:pPr>
        <w:pStyle w:val="CommentText"/>
      </w:pPr>
    </w:p>
    <w:p w14:paraId="13B49F6B" w14:textId="77777777" w:rsidR="00DA5840" w:rsidRDefault="00DA5840">
      <w:pPr>
        <w:pStyle w:val="CommentText"/>
      </w:pPr>
      <w:r>
        <w:t xml:space="preserve">Also if I follow the g_u,1 is really g_u,v for v = 1, but v is not always 1, so I think this doesn’t work notation-wise for saying what I think you are trying to say, which I could be wrong about. Ditto for s1. </w:t>
      </w:r>
    </w:p>
    <w:p w14:paraId="13548F29" w14:textId="77777777" w:rsidR="00DA5840" w:rsidRDefault="00DA5840">
      <w:pPr>
        <w:pStyle w:val="CommentText"/>
      </w:pPr>
    </w:p>
    <w:p w14:paraId="2E04CFB8" w14:textId="77777777" w:rsidR="00DA5840" w:rsidRDefault="00DA5840">
      <w:pPr>
        <w:pStyle w:val="CommentText"/>
      </w:pPr>
      <w:r>
        <w:t>Also “from the smallest into the smallest two size classes” is hard for me to make sense of.</w:t>
      </w:r>
    </w:p>
    <w:p w14:paraId="09A185B0" w14:textId="77777777" w:rsidR="00DA5840" w:rsidRDefault="00DA5840">
      <w:pPr>
        <w:pStyle w:val="CommentText"/>
      </w:pPr>
    </w:p>
    <w:p w14:paraId="14925B20" w14:textId="77777777" w:rsidR="00DA5840" w:rsidRDefault="00DA5840">
      <w:pPr>
        <w:pStyle w:val="CommentText"/>
      </w:pPr>
      <w:r>
        <w:t>Also I wondering if the growth model here is parametrically linked to the growth model of larger individuals, or if it is toally separate.</w:t>
      </w:r>
    </w:p>
    <w:p w14:paraId="4DBE9837" w14:textId="77777777" w:rsidR="00DA5840" w:rsidRDefault="00DA5840">
      <w:pPr>
        <w:pStyle w:val="CommentText"/>
      </w:pPr>
    </w:p>
    <w:p w14:paraId="23E25BA9" w14:textId="77777777" w:rsidR="00DA5840" w:rsidRDefault="00DA5840">
      <w:pPr>
        <w:pStyle w:val="CommentText"/>
      </w:pPr>
      <w:r>
        <w:t>Also this is starting to seem like a lot to hope to estimate from two time points, but I could be wrong.</w:t>
      </w:r>
    </w:p>
    <w:p w14:paraId="3DE32887" w14:textId="77777777" w:rsidR="00DA5840" w:rsidRDefault="00DA5840">
      <w:pPr>
        <w:pStyle w:val="CommentText"/>
      </w:pPr>
    </w:p>
    <w:p w14:paraId="4E969D7B" w14:textId="77777777" w:rsidR="00DA5840" w:rsidRDefault="00DA5840">
      <w:pPr>
        <w:pStyle w:val="CommentText"/>
      </w:pPr>
      <w:r>
        <w:t>Summary: I put a lot of comments on this spot, but basically this part of the model I feel could benefit from clearer explanation.</w:t>
      </w:r>
    </w:p>
    <w:p w14:paraId="03245ABE" w14:textId="77777777" w:rsidR="00DA5840" w:rsidRDefault="00DA5840">
      <w:pPr>
        <w:pStyle w:val="CommentText"/>
      </w:pPr>
    </w:p>
    <w:p w14:paraId="24B9E372" w14:textId="77777777" w:rsidR="00DA5840" w:rsidRDefault="00DA5840">
      <w:pPr>
        <w:pStyle w:val="CommentText"/>
      </w:pPr>
      <w:r>
        <w:t>Also Equation 6 starts out of nowhere and “Where…” is not a sentence.</w:t>
      </w:r>
    </w:p>
    <w:p w14:paraId="0A575DA4" w14:textId="77777777" w:rsidR="00DA5840" w:rsidRDefault="00DA5840">
      <w:pPr>
        <w:pStyle w:val="CommentText"/>
      </w:pPr>
    </w:p>
    <w:p w14:paraId="54B02329" w14:textId="77777777" w:rsidR="00DA5840" w:rsidRDefault="00DA5840">
      <w:pPr>
        <w:pStyle w:val="CommentText"/>
      </w:pPr>
      <w:r>
        <w:t xml:space="preserve">Also I am confused about what is data vs latent state in equation 6.  I think all the elements of n_l,t are known (data), but do the smallest elements correspond to the c_l, t+1?  </w:t>
      </w:r>
    </w:p>
    <w:p w14:paraId="0441B9C9" w14:textId="77777777" w:rsidR="00DA5840" w:rsidRDefault="00DA5840">
      <w:pPr>
        <w:pStyle w:val="CommentText"/>
      </w:pPr>
    </w:p>
    <w:p w14:paraId="6880F7FC" w14:textId="77777777" w:rsidR="00DA5840" w:rsidRDefault="00DA5840" w:rsidP="007C579F">
      <w:pPr>
        <w:pStyle w:val="CommentText"/>
      </w:pPr>
      <w:r>
        <w:t>I know you refer readers to Shriver et al, and to some degree that’s fine, but I feel your write-up should be a notch or two higher on the self-contained scale.</w:t>
      </w:r>
    </w:p>
  </w:comment>
  <w:comment w:id="37" w:author="j battles" w:date="2022-02-14T06:06:00Z" w:initials="jjb">
    <w:p w14:paraId="01E2B449" w14:textId="36B65F94" w:rsidR="00FE1095" w:rsidRDefault="00FE1095" w:rsidP="00BF6BFE">
      <w:pPr>
        <w:pStyle w:val="CommentText"/>
      </w:pPr>
      <w:r>
        <w:rPr>
          <w:rStyle w:val="CommentReference"/>
        </w:rPr>
        <w:annotationRef/>
      </w:r>
      <w:r>
        <w:t>Can all size classes reproduce?</w:t>
      </w:r>
    </w:p>
  </w:comment>
  <w:comment w:id="39" w:author="j battles" w:date="2022-02-14T06:09:00Z" w:initials="jjb">
    <w:p w14:paraId="524881A6" w14:textId="77777777" w:rsidR="00FE1095" w:rsidRDefault="00FE1095" w:rsidP="000F5A37">
      <w:pPr>
        <w:pStyle w:val="CommentText"/>
      </w:pPr>
      <w:r>
        <w:rPr>
          <w:rStyle w:val="CommentReference"/>
        </w:rPr>
        <w:annotationRef/>
      </w:r>
      <w:r>
        <w:t xml:space="preserve">I am lost here in this sequence of equations. </w:t>
      </w:r>
    </w:p>
  </w:comment>
  <w:comment w:id="40" w:author="Daniel Foster" w:date="2022-04-14T16:39:00Z" w:initials="DF">
    <w:p w14:paraId="64B4D400" w14:textId="77777777" w:rsidR="00DA5840" w:rsidRDefault="00DA5840">
      <w:pPr>
        <w:pStyle w:val="CommentText"/>
      </w:pPr>
      <w:r>
        <w:rPr>
          <w:rStyle w:val="CommentReference"/>
        </w:rPr>
        <w:annotationRef/>
      </w:r>
      <w:r>
        <w:t>PdV: I recommend not starting a paragraph with an equation.  An equation can be thought of as part of a sentence, and then the “where” would be lower-case, to avoid having a sentence fragment (i.e., non-sentence).</w:t>
      </w:r>
    </w:p>
    <w:p w14:paraId="0836033B" w14:textId="77777777" w:rsidR="00DA5840" w:rsidRDefault="00DA5840">
      <w:pPr>
        <w:pStyle w:val="CommentText"/>
      </w:pPr>
    </w:p>
    <w:p w14:paraId="1B26B23F" w14:textId="77777777" w:rsidR="00DA5840" w:rsidRDefault="00DA5840">
      <w:pPr>
        <w:pStyle w:val="CommentText"/>
      </w:pPr>
      <w:r>
        <w:t>The equation has mu_l, but the paragraph refers to mu.  Are those the same?</w:t>
      </w:r>
    </w:p>
    <w:p w14:paraId="3690DD20" w14:textId="77777777" w:rsidR="00DA5840" w:rsidRDefault="00DA5840">
      <w:pPr>
        <w:pStyle w:val="CommentText"/>
      </w:pPr>
    </w:p>
    <w:p w14:paraId="6E7FDDFA" w14:textId="77777777" w:rsidR="00DA5840" w:rsidRDefault="00DA5840">
      <w:pPr>
        <w:pStyle w:val="CommentText"/>
      </w:pPr>
      <w:r>
        <w:t>Does this equation mean that equation 4 is also used for equation 7?  That feels confusing because equations 5-7 were introduced as a separate (I thought) IPM for recruitment, but maybe not really separate?  Are they “itself an integral projection model” or really part of a single model with the larger trees?</w:t>
      </w:r>
    </w:p>
    <w:p w14:paraId="3A73B95B" w14:textId="77777777" w:rsidR="00DA5840" w:rsidRDefault="00DA5840">
      <w:pPr>
        <w:pStyle w:val="CommentText"/>
      </w:pPr>
    </w:p>
    <w:p w14:paraId="049AA384" w14:textId="77777777" w:rsidR="00DA5840" w:rsidRDefault="00DA5840" w:rsidP="00686AA4">
      <w:pPr>
        <w:pStyle w:val="CommentText"/>
      </w:pPr>
      <w:r>
        <w:t>Can you state the interpretation of this equation?</w:t>
      </w:r>
    </w:p>
  </w:comment>
  <w:comment w:id="41" w:author="Daniel Foster" w:date="2022-02-15T12:06:00Z" w:initials="DF">
    <w:p w14:paraId="2F6B9171" w14:textId="3B7FAF0F" w:rsidR="007108F6" w:rsidRDefault="007108F6">
      <w:pPr>
        <w:pStyle w:val="CommentText"/>
      </w:pPr>
      <w:r>
        <w:rPr>
          <w:rStyle w:val="CommentReference"/>
        </w:rPr>
        <w:annotationRef/>
      </w:r>
      <w:r>
        <w:t>Add year</w:t>
      </w:r>
    </w:p>
  </w:comment>
  <w:comment w:id="42" w:author="Daniel Foster" w:date="2022-04-14T16:41:00Z" w:initials="DF">
    <w:p w14:paraId="0BB07E8F" w14:textId="77777777" w:rsidR="00DA5840" w:rsidRDefault="00DA5840" w:rsidP="00BB7264">
      <w:pPr>
        <w:pStyle w:val="CommentText"/>
      </w:pPr>
      <w:r>
        <w:rPr>
          <w:rStyle w:val="CommentReference"/>
        </w:rPr>
        <w:annotationRef/>
      </w:r>
      <w:r>
        <w:t>PdV: Is this described in the literature as a basis for determining that something can’t be estimated (what you’ve called non-identifiability?).  I often see people think that bad MCMC mixing means the model is bad, and that is incorrect reasoning.</w:t>
      </w:r>
    </w:p>
  </w:comment>
  <w:comment w:id="43" w:author="Daniel Foster" w:date="2022-04-14T16:43:00Z" w:initials="DF">
    <w:p w14:paraId="547F0D74" w14:textId="77777777" w:rsidR="00DA5840" w:rsidRDefault="00DA5840" w:rsidP="00611030">
      <w:pPr>
        <w:pStyle w:val="CommentText"/>
      </w:pPr>
      <w:r>
        <w:rPr>
          <w:rStyle w:val="CommentReference"/>
        </w:rPr>
        <w:annotationRef/>
      </w:r>
      <w:r>
        <w:t>PdV: I think in terms of IPM and stats methodology, the recruitment part of this endeavor is the hardest and perhaps most nebulous.  Separating fecundity from survival for untagged individuals that could be really entering each year in the entire 10-year interval seems like it can only be coarse and approximate.  Am I missing some intuition on why it should work?</w:t>
      </w:r>
    </w:p>
  </w:comment>
  <w:comment w:id="45" w:author="j battles" w:date="2022-02-14T06:54:00Z" w:initials="jjb">
    <w:p w14:paraId="5B58A15D" w14:textId="3E611DF8" w:rsidR="005A03F5" w:rsidRDefault="005A03F5" w:rsidP="002114DB">
      <w:pPr>
        <w:pStyle w:val="CommentText"/>
      </w:pPr>
      <w:r>
        <w:rPr>
          <w:rStyle w:val="CommentReference"/>
        </w:rPr>
        <w:annotationRef/>
      </w:r>
      <w:r>
        <w:t>Packages require citations I think</w:t>
      </w:r>
    </w:p>
  </w:comment>
  <w:comment w:id="46" w:author="Daniel Foster" w:date="2022-04-14T16:46:00Z" w:initials="DF">
    <w:p w14:paraId="28859AF8" w14:textId="77777777" w:rsidR="00907D59" w:rsidRDefault="00907D59" w:rsidP="009127D2">
      <w:pPr>
        <w:pStyle w:val="CommentText"/>
      </w:pPr>
      <w:r>
        <w:rPr>
          <w:rStyle w:val="CommentReference"/>
        </w:rPr>
        <w:annotationRef/>
      </w:r>
      <w:r>
        <w:t>PdV: Some would say it would be worth trying smaller bins and computing longer to check the sensitivity to bin width.  Depends on programmatically your code is set up whether that would be easy or hard to do.</w:t>
      </w:r>
    </w:p>
  </w:comment>
  <w:comment w:id="47" w:author="j battles" w:date="2022-02-14T06:55:00Z" w:initials="jjb">
    <w:p w14:paraId="57FF6C4B" w14:textId="2896D318" w:rsidR="005A03F5" w:rsidRDefault="005A03F5" w:rsidP="007F5BF6">
      <w:pPr>
        <w:pStyle w:val="CommentText"/>
      </w:pPr>
      <w:r>
        <w:rPr>
          <w:rStyle w:val="CommentReference"/>
        </w:rPr>
        <w:annotationRef/>
      </w:r>
      <w:r>
        <w:t>Seems like you are going halfway here. Either full description/citation or include in supplement.</w:t>
      </w:r>
    </w:p>
  </w:comment>
  <w:comment w:id="48" w:author="Daniel Foster" w:date="2022-02-15T12:22:00Z" w:initials="DF">
    <w:p w14:paraId="74072166" w14:textId="0F279BE8" w:rsidR="000B15A1" w:rsidRDefault="000B15A1">
      <w:pPr>
        <w:pStyle w:val="CommentText"/>
      </w:pPr>
      <w:r>
        <w:rPr>
          <w:rStyle w:val="CommentReference"/>
        </w:rPr>
        <w:annotationRef/>
      </w:r>
      <w:r>
        <w:t>JJB: need to define rhat</w:t>
      </w:r>
    </w:p>
  </w:comment>
  <w:comment w:id="49" w:author="j battles" w:date="2022-02-14T07:34:00Z" w:initials="jjb">
    <w:p w14:paraId="504CE0B5" w14:textId="6A8FE301" w:rsidR="00A128BA" w:rsidRDefault="00A128BA" w:rsidP="00751A10">
      <w:pPr>
        <w:pStyle w:val="CommentText"/>
      </w:pPr>
      <w:r>
        <w:rPr>
          <w:rStyle w:val="CommentReference"/>
        </w:rPr>
        <w:annotationRef/>
      </w:r>
      <w:r>
        <w:t>Info out of order</w:t>
      </w:r>
    </w:p>
  </w:comment>
  <w:comment w:id="50" w:author="j battles" w:date="2022-02-14T07:47:00Z" w:initials="jjb">
    <w:p w14:paraId="31D20EEB" w14:textId="77777777" w:rsidR="004C5044" w:rsidRDefault="004C5044" w:rsidP="00E97A29">
      <w:pPr>
        <w:pStyle w:val="CommentText"/>
      </w:pPr>
      <w:r>
        <w:rPr>
          <w:rStyle w:val="CommentReference"/>
        </w:rPr>
        <w:annotationRef/>
      </w:r>
      <w:r>
        <w:t>Word choice?</w:t>
      </w:r>
    </w:p>
  </w:comment>
  <w:comment w:id="51" w:author="Daniel Foster" w:date="2022-04-14T16:52:00Z" w:initials="DF">
    <w:p w14:paraId="4B388982" w14:textId="77777777" w:rsidR="006B7651" w:rsidRDefault="006B7651" w:rsidP="000D377C">
      <w:pPr>
        <w:pStyle w:val="CommentText"/>
      </w:pPr>
      <w:r>
        <w:rPr>
          <w:rStyle w:val="CommentReference"/>
        </w:rPr>
        <w:annotationRef/>
      </w:r>
      <w:r>
        <w:t>PdV: These are really well done.  See comment there.  Nice job on these!</w:t>
      </w:r>
    </w:p>
  </w:comment>
  <w:comment w:id="53" w:author="Daniel Foster" w:date="2022-04-14T17:02:00Z" w:initials="DF">
    <w:p w14:paraId="1076B911" w14:textId="77777777" w:rsidR="00B95CE0" w:rsidRDefault="00B95CE0" w:rsidP="009C530B">
      <w:pPr>
        <w:pStyle w:val="CommentText"/>
      </w:pPr>
      <w:r>
        <w:rPr>
          <w:rStyle w:val="CommentReference"/>
        </w:rPr>
        <w:annotationRef/>
      </w:r>
      <w:r>
        <w:t>PdV: See above comments about your A notation.  You could use A_u,v(c, d), for example.</w:t>
      </w:r>
    </w:p>
  </w:comment>
  <w:comment w:id="54" w:author="Daniel Foster" w:date="2022-04-14T17:02:00Z" w:initials="DF">
    <w:p w14:paraId="7F29A7A3" w14:textId="77777777" w:rsidR="00B95CE0" w:rsidRDefault="00B95CE0" w:rsidP="00E503F7">
      <w:pPr>
        <w:pStyle w:val="CommentText"/>
      </w:pPr>
      <w:r>
        <w:rPr>
          <w:rStyle w:val="CommentReference"/>
        </w:rPr>
        <w:annotationRef/>
      </w:r>
      <w:r>
        <w:t>asymptotic</w:t>
      </w:r>
    </w:p>
  </w:comment>
  <w:comment w:id="55" w:author="Daniel Foster" w:date="2022-04-14T17:01:00Z" w:initials="DF">
    <w:p w14:paraId="55ACDD77" w14:textId="7C111471" w:rsidR="00B95CE0" w:rsidRDefault="00B95CE0" w:rsidP="00F87982">
      <w:pPr>
        <w:pStyle w:val="CommentText"/>
      </w:pPr>
      <w:r>
        <w:rPr>
          <w:rStyle w:val="CommentReference"/>
        </w:rPr>
        <w:annotationRef/>
      </w:r>
      <w:r>
        <w:t>PdV: Paragraph break here.</w:t>
      </w:r>
    </w:p>
  </w:comment>
  <w:comment w:id="57" w:author="Daniel Foster" w:date="2022-02-15T12:19:00Z" w:initials="DF">
    <w:p w14:paraId="53C8D511" w14:textId="63B913CB" w:rsidR="000B15A1" w:rsidRDefault="000B15A1">
      <w:pPr>
        <w:pStyle w:val="CommentText"/>
      </w:pPr>
      <w:r>
        <w:rPr>
          <w:rStyle w:val="CommentReference"/>
        </w:rPr>
        <w:annotationRef/>
      </w:r>
      <w:r>
        <w:t>JJB: results are all in 10-year-interval-land, need to map them to annual values</w:t>
      </w:r>
    </w:p>
  </w:comment>
  <w:comment w:id="58" w:author="Daniel Foster" w:date="2022-02-15T12:20:00Z" w:initials="DF">
    <w:p w14:paraId="2B53ED64" w14:textId="336CC8AC" w:rsidR="000B15A1" w:rsidRDefault="000B15A1">
      <w:pPr>
        <w:pStyle w:val="CommentText"/>
      </w:pPr>
      <w:r>
        <w:rPr>
          <w:rStyle w:val="CommentReference"/>
        </w:rPr>
        <w:annotationRef/>
      </w:r>
      <w:r>
        <w:t>Jjb: easy way is to just provide more info about what a census interval is (distribution of intervals)</w:t>
      </w:r>
    </w:p>
  </w:comment>
  <w:comment w:id="59" w:author="Daniel Foster" w:date="2022-04-14T17:02:00Z" w:initials="DF">
    <w:p w14:paraId="711AC4A4" w14:textId="77777777" w:rsidR="00B95CE0" w:rsidRDefault="00B95CE0" w:rsidP="003A3D10">
      <w:pPr>
        <w:pStyle w:val="CommentText"/>
      </w:pPr>
      <w:r>
        <w:rPr>
          <w:rStyle w:val="CommentReference"/>
        </w:rPr>
        <w:annotationRef/>
      </w:r>
      <w:r>
        <w:t>See comments above: I don’t know what this all means very clearly.</w:t>
      </w:r>
    </w:p>
  </w:comment>
  <w:comment w:id="60" w:author="j battles" w:date="2022-02-14T07:50:00Z" w:initials="jjb">
    <w:p w14:paraId="14DD7EF8" w14:textId="2AF6B354" w:rsidR="004C5044" w:rsidRDefault="004C5044" w:rsidP="00EB16E5">
      <w:pPr>
        <w:pStyle w:val="CommentText"/>
      </w:pPr>
      <w:r>
        <w:rPr>
          <w:rStyle w:val="CommentReference"/>
        </w:rPr>
        <w:annotationRef/>
      </w:r>
      <w:r>
        <w:t>So validation is just a yes/no type response? How good is the model?</w:t>
      </w:r>
    </w:p>
  </w:comment>
  <w:comment w:id="61" w:author="j battles" w:date="2022-02-14T08:03:00Z" w:initials="jjb">
    <w:p w14:paraId="3C23C491" w14:textId="77777777" w:rsidR="00A22F02" w:rsidRDefault="001C02F2" w:rsidP="000F1741">
      <w:pPr>
        <w:pStyle w:val="CommentText"/>
      </w:pPr>
      <w:r>
        <w:rPr>
          <w:rStyle w:val="CommentReference"/>
        </w:rPr>
        <w:annotationRef/>
      </w:r>
      <w:r w:rsidR="00A22F02">
        <w:t>The appropriate metric for growth is always an issue. DBH has a scale problem, but then again size is in the model. So the stats are OK but the interpretation lends itself to misinterpretation. Big trees grew faster at a rate proportional to the square of the DBH.</w:t>
      </w:r>
    </w:p>
  </w:comment>
  <w:comment w:id="62" w:author="Daniel Foster" w:date="2022-04-14T17:04:00Z" w:initials="DF">
    <w:p w14:paraId="73D3D6EC" w14:textId="77777777" w:rsidR="00B95CE0" w:rsidRDefault="00B95CE0" w:rsidP="00134424">
      <w:pPr>
        <w:pStyle w:val="CommentText"/>
      </w:pPr>
      <w:r>
        <w:rPr>
          <w:rStyle w:val="CommentReference"/>
        </w:rPr>
        <w:annotationRef/>
      </w:r>
      <w:r>
        <w:t>PdV: BTW, another term if you want something less arcane would be “long-term”, just noting that.</w:t>
      </w:r>
    </w:p>
  </w:comment>
  <w:comment w:id="63" w:author="j battles" w:date="2022-02-14T08:17:00Z" w:initials="jjb">
    <w:p w14:paraId="07924C61" w14:textId="3E5AFB3D" w:rsidR="008A2F91" w:rsidRDefault="008A2F91" w:rsidP="009A312E">
      <w:pPr>
        <w:pStyle w:val="CommentText"/>
      </w:pPr>
      <w:r>
        <w:rPr>
          <w:rStyle w:val="CommentReference"/>
        </w:rPr>
        <w:annotationRef/>
      </w:r>
      <w:r>
        <w:t>Avoid this construction.</w:t>
      </w:r>
    </w:p>
  </w:comment>
  <w:comment w:id="64" w:author="j battles" w:date="2022-02-14T08:29:00Z" w:initials="jjb">
    <w:p w14:paraId="596576CA" w14:textId="77777777" w:rsidR="00A47588" w:rsidRDefault="00A47588" w:rsidP="00AA5FC3">
      <w:pPr>
        <w:pStyle w:val="CommentText"/>
      </w:pPr>
      <w:r>
        <w:rPr>
          <w:rStyle w:val="CommentReference"/>
        </w:rPr>
        <w:annotationRef/>
      </w:r>
      <w:r>
        <w:t xml:space="preserve">This should be the first result after you validate your model; not the last. Seems like you have buried the lede. </w:t>
      </w:r>
    </w:p>
  </w:comment>
  <w:comment w:id="65" w:author="Daniel Foster" w:date="2022-05-27T14:07:00Z" w:initials="DF">
    <w:p w14:paraId="5F7E88F7" w14:textId="77777777" w:rsidR="006B3BFA" w:rsidRDefault="006B3BFA" w:rsidP="0090288E">
      <w:pPr>
        <w:pStyle w:val="CommentText"/>
      </w:pPr>
      <w:r>
        <w:rPr>
          <w:rStyle w:val="CommentReference"/>
        </w:rPr>
        <w:annotationRef/>
      </w:r>
      <w:r>
        <w:t>Keeping the order as-is so that the presentation of results follows the presentation of the methods</w:t>
      </w:r>
    </w:p>
  </w:comment>
  <w:comment w:id="66" w:author="Daniel Foster" w:date="2022-04-14T17:04:00Z" w:initials="DF">
    <w:p w14:paraId="1DCA23AA" w14:textId="14595BC0" w:rsidR="00B95CE0" w:rsidRDefault="00B95CE0" w:rsidP="00297E89">
      <w:pPr>
        <w:pStyle w:val="CommentText"/>
      </w:pPr>
      <w:r>
        <w:rPr>
          <w:rStyle w:val="CommentReference"/>
        </w:rPr>
        <w:annotationRef/>
      </w:r>
      <w:r>
        <w:t>PdV: I only skimmed this.</w:t>
      </w:r>
    </w:p>
  </w:comment>
  <w:comment w:id="67" w:author="j battles" w:date="2022-02-14T08:19:00Z" w:initials="jjb">
    <w:p w14:paraId="00FAAEC5" w14:textId="6EC6F7F0" w:rsidR="008A2F91" w:rsidRDefault="008A2F91">
      <w:pPr>
        <w:pStyle w:val="CommentText"/>
      </w:pPr>
      <w:r>
        <w:rPr>
          <w:rStyle w:val="CommentReference"/>
        </w:rPr>
        <w:annotationRef/>
      </w:r>
      <w:r>
        <w:t xml:space="preserve">Not your first question. Answer them in the order posed: </w:t>
      </w:r>
    </w:p>
    <w:p w14:paraId="2C0F7CD5" w14:textId="77777777" w:rsidR="008A2F91" w:rsidRDefault="008A2F91">
      <w:pPr>
        <w:pStyle w:val="CommentText"/>
      </w:pPr>
      <w:r>
        <w:t>What is the current status and trajectory of the ensemble of sugar pine populations across its range?</w:t>
      </w:r>
    </w:p>
    <w:p w14:paraId="6934B2DF" w14:textId="77777777" w:rsidR="008A2F91" w:rsidRDefault="008A2F91" w:rsidP="0089566E">
      <w:pPr>
        <w:pStyle w:val="CommentText"/>
      </w:pPr>
      <w:r>
        <w:t>What is the relative importance of the various stressors acting on sugar pine?</w:t>
      </w:r>
    </w:p>
  </w:comment>
  <w:comment w:id="68" w:author="j battles" w:date="2022-02-14T08:19:00Z" w:initials="jjb">
    <w:p w14:paraId="1E7BE88B" w14:textId="77777777" w:rsidR="008A2F91" w:rsidRDefault="008A2F91" w:rsidP="003F49B7">
      <w:pPr>
        <w:pStyle w:val="CommentText"/>
      </w:pPr>
      <w:r>
        <w:rPr>
          <w:rStyle w:val="CommentReference"/>
        </w:rPr>
        <w:annotationRef/>
      </w:r>
      <w:r>
        <w:t>Can you do a demographic sensitivity analysis?</w:t>
      </w:r>
    </w:p>
  </w:comment>
  <w:comment w:id="69" w:author="j battles" w:date="2022-02-14T08:23:00Z" w:initials="jjb">
    <w:p w14:paraId="25C3DF89" w14:textId="77777777" w:rsidR="00A47588" w:rsidRDefault="00A47588" w:rsidP="002F1C58">
      <w:pPr>
        <w:pStyle w:val="CommentText"/>
      </w:pPr>
      <w:r>
        <w:rPr>
          <w:rStyle w:val="CommentReference"/>
        </w:rPr>
        <w:annotationRef/>
      </w:r>
      <w:r>
        <w:t>Not sure what you mean by temporary. Do you mean it is an one-time disturbance and not a chronic stressor?</w:t>
      </w:r>
    </w:p>
  </w:comment>
  <w:comment w:id="70" w:author="j battles" w:date="2022-02-14T08:25:00Z" w:initials="jjb">
    <w:p w14:paraId="2CE9BFA9" w14:textId="77777777" w:rsidR="00A47588" w:rsidRDefault="00A47588" w:rsidP="00CF6252">
      <w:pPr>
        <w:pStyle w:val="CommentText"/>
      </w:pPr>
      <w:r>
        <w:rPr>
          <w:rStyle w:val="CommentReference"/>
        </w:rPr>
        <w:annotationRef/>
      </w:r>
      <w:r>
        <w:t>Relevance?</w:t>
      </w:r>
    </w:p>
  </w:comment>
  <w:comment w:id="71" w:author="j battles" w:date="2022-02-14T08:30:00Z" w:initials="jjb">
    <w:p w14:paraId="28535D48" w14:textId="77777777" w:rsidR="00A47588" w:rsidRDefault="00A47588" w:rsidP="005563B4">
      <w:pPr>
        <w:pStyle w:val="CommentText"/>
      </w:pPr>
      <w:r>
        <w:rPr>
          <w:rStyle w:val="CommentReference"/>
        </w:rPr>
        <w:annotationRef/>
      </w:r>
      <w:r>
        <w:t xml:space="preserve">Yes but consider the timing. What 10 year interval did you sample? </w:t>
      </w:r>
    </w:p>
  </w:comment>
  <w:comment w:id="72" w:author="Daniel Foster" w:date="2022-02-15T12:12:00Z" w:initials="DF">
    <w:p w14:paraId="42877B66" w14:textId="472002B8" w:rsidR="007108F6" w:rsidRDefault="007108F6">
      <w:pPr>
        <w:pStyle w:val="CommentText"/>
      </w:pPr>
      <w:r>
        <w:rPr>
          <w:rStyle w:val="CommentReference"/>
        </w:rPr>
        <w:annotationRef/>
      </w:r>
      <w:r>
        <w:t>Ss: reformat and cut also</w:t>
      </w:r>
    </w:p>
  </w:comment>
  <w:comment w:id="74" w:author="Daniel Foster" w:date="2022-02-15T12:30:00Z" w:initials="DF">
    <w:p w14:paraId="6DD3F7DE" w14:textId="37D10956" w:rsidR="002626E1" w:rsidRDefault="002626E1">
      <w:pPr>
        <w:pStyle w:val="CommentText"/>
      </w:pPr>
      <w:r>
        <w:rPr>
          <w:rStyle w:val="CommentReference"/>
        </w:rPr>
        <w:annotationRef/>
      </w:r>
      <w:r>
        <w:t>TS: This is very interesting- can you provide a more specific example or theoretical scenario similar to the examples provided above this?</w:t>
      </w:r>
    </w:p>
  </w:comment>
  <w:comment w:id="73" w:author="j battles" w:date="2022-02-14T08:35:00Z" w:initials="jjb">
    <w:p w14:paraId="792E6663" w14:textId="77777777" w:rsidR="00832E90" w:rsidRDefault="00832E90" w:rsidP="004215BA">
      <w:pPr>
        <w:pStyle w:val="CommentText"/>
      </w:pPr>
      <w:r>
        <w:rPr>
          <w:rStyle w:val="CommentReference"/>
        </w:rPr>
        <w:annotationRef/>
      </w:r>
      <w:r>
        <w:t>Important point. Develop.</w:t>
      </w:r>
    </w:p>
  </w:comment>
  <w:comment w:id="75" w:author="j battles" w:date="2022-02-14T08:37:00Z" w:initials="jjb">
    <w:p w14:paraId="4625DC06" w14:textId="77777777" w:rsidR="00832E90" w:rsidRDefault="00832E90" w:rsidP="009D313A">
      <w:pPr>
        <w:pStyle w:val="CommentText"/>
      </w:pPr>
      <w:r>
        <w:rPr>
          <w:rStyle w:val="CommentReference"/>
        </w:rPr>
        <w:annotationRef/>
      </w:r>
      <w:r>
        <w:t>Rather than catalog a litany of weaknesses, bring up the limitation in the relevant contexts.</w:t>
      </w:r>
    </w:p>
  </w:comment>
  <w:comment w:id="76" w:author="j battles" w:date="2022-02-14T08:38:00Z" w:initials="jjb">
    <w:p w14:paraId="2CDE40FE" w14:textId="77777777" w:rsidR="00832E90" w:rsidRDefault="00832E90" w:rsidP="00F337EC">
      <w:pPr>
        <w:pStyle w:val="CommentText"/>
      </w:pPr>
      <w:r>
        <w:rPr>
          <w:rStyle w:val="CommentReference"/>
        </w:rPr>
        <w:annotationRef/>
      </w:r>
      <w:r>
        <w:t xml:space="preserve">Stop beating yourself up about the coordinates. </w:t>
      </w:r>
    </w:p>
  </w:comment>
  <w:comment w:id="77" w:author="j battles" w:date="2022-02-14T08:40:00Z" w:initials="jjb">
    <w:p w14:paraId="68014A17" w14:textId="77777777" w:rsidR="00832E90" w:rsidRDefault="00832E90" w:rsidP="00D415D4">
      <w:pPr>
        <w:pStyle w:val="CommentText"/>
      </w:pPr>
      <w:r>
        <w:rPr>
          <w:rStyle w:val="CommentReference"/>
        </w:rPr>
        <w:annotationRef/>
      </w:r>
      <w:r>
        <w:t>Make a bigger point of ecoregion analysis?</w:t>
      </w:r>
    </w:p>
  </w:comment>
  <w:comment w:id="78" w:author="Daniel Foster" w:date="2022-02-15T12:14:00Z" w:initials="DF">
    <w:p w14:paraId="1549214D" w14:textId="7BCD5C98" w:rsidR="00B13331" w:rsidRDefault="00B13331">
      <w:pPr>
        <w:pStyle w:val="CommentText"/>
      </w:pPr>
      <w:r>
        <w:rPr>
          <w:rStyle w:val="CommentReference"/>
        </w:rPr>
        <w:annotationRef/>
      </w:r>
      <w:r>
        <w:t>Ss: add cite for stephens 2005</w:t>
      </w:r>
    </w:p>
  </w:comment>
  <w:comment w:id="79" w:author="j battles" w:date="2022-02-14T08:42:00Z" w:initials="jjb">
    <w:p w14:paraId="27EAFBC6" w14:textId="77777777" w:rsidR="00832E90" w:rsidRDefault="00832E90" w:rsidP="004D63AB">
      <w:pPr>
        <w:pStyle w:val="CommentText"/>
      </w:pPr>
      <w:r>
        <w:rPr>
          <w:rStyle w:val="CommentReference"/>
        </w:rPr>
        <w:annotationRef/>
      </w:r>
      <w:r>
        <w:t>Huh?</w:t>
      </w:r>
    </w:p>
  </w:comment>
  <w:comment w:id="81" w:author="j battles" w:date="2022-02-14T08:42:00Z" w:initials="jjb">
    <w:p w14:paraId="0B0CAB76" w14:textId="77777777" w:rsidR="00832E90" w:rsidRDefault="00832E90" w:rsidP="00A20768">
      <w:pPr>
        <w:pStyle w:val="CommentText"/>
      </w:pPr>
      <w:r>
        <w:rPr>
          <w:rStyle w:val="CommentReference"/>
        </w:rPr>
        <w:annotationRef/>
      </w:r>
      <w:r>
        <w:t xml:space="preserve">Need to set-up these management recommendations. </w:t>
      </w:r>
    </w:p>
  </w:comment>
  <w:comment w:id="80" w:author="Daniel Foster" w:date="2022-02-15T12:30:00Z" w:initials="DF">
    <w:p w14:paraId="0F91713B" w14:textId="4198F13E" w:rsidR="002626E1" w:rsidRDefault="002626E1">
      <w:pPr>
        <w:pStyle w:val="CommentText"/>
      </w:pPr>
      <w:r>
        <w:rPr>
          <w:rStyle w:val="CommentReference"/>
        </w:rPr>
        <w:annotationRef/>
      </w:r>
      <w:r>
        <w:t>TS: Such a great results section! You provided fantastic context for your results and help the reader understand the significance of all your modeling, etc. Really well done. My one question which I’ll bring up in lab meeting is about disentangling CWD from fire risk just as a general conceptual premise. If CWD contributes to fire risk, whats the best approach to acknowledging that while also presenting an analysis that isolates the two. Overall, you should be really proud of your work!</w:t>
      </w:r>
    </w:p>
  </w:comment>
  <w:comment w:id="87" w:author="Daniel Foster" w:date="2022-04-14T16:54:00Z" w:initials="DF">
    <w:p w14:paraId="30648AA3" w14:textId="77777777" w:rsidR="00090276" w:rsidRDefault="00090276" w:rsidP="007D5C0E">
      <w:pPr>
        <w:pStyle w:val="CommentText"/>
      </w:pPr>
      <w:r>
        <w:rPr>
          <w:rStyle w:val="CommentReference"/>
        </w:rPr>
        <w:annotationRef/>
      </w:r>
      <w:r>
        <w:t>PdV: This is very nicely done.  I’ve seen so many derived posterior results figures that are hard to make sense and use poor graphical choices.  Nice job.</w:t>
      </w:r>
    </w:p>
  </w:comment>
  <w:comment w:id="93" w:author="Daniel Foster" w:date="2022-04-14T17:06:00Z" w:initials="DF">
    <w:p w14:paraId="78518F06" w14:textId="77777777" w:rsidR="00F94B8B" w:rsidRDefault="00F94B8B" w:rsidP="00F94B8B">
      <w:pPr>
        <w:pStyle w:val="CommentText"/>
      </w:pPr>
      <w:r>
        <w:rPr>
          <w:rStyle w:val="CommentReference"/>
        </w:rPr>
        <w:annotationRef/>
      </w:r>
      <w:r>
        <w:t xml:space="preserve">PdV: Median posterior parameter values.  Here I wonder if there is a better graphical device that could combine posterior uncertainty within plots and variation across plots. It looks like plot to plot heterogeneity is quite important. </w:t>
      </w:r>
    </w:p>
  </w:comment>
  <w:comment w:id="100" w:author="j battles" w:date="2022-02-14T07:57:00Z" w:initials="jjb">
    <w:p w14:paraId="7A77AEE1" w14:textId="7FD6AF66" w:rsidR="001C02F2" w:rsidRDefault="001C02F2" w:rsidP="00965CD0">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6E9554" w15:done="0"/>
  <w15:commentEx w15:paraId="7FE583B2" w15:done="0"/>
  <w15:commentEx w15:paraId="1887F201" w15:done="0"/>
  <w15:commentEx w15:paraId="1E38F6F8" w15:done="0"/>
  <w15:commentEx w15:paraId="29B2D88F" w15:done="0"/>
  <w15:commentEx w15:paraId="79E6A8C7" w15:done="0"/>
  <w15:commentEx w15:paraId="5289D00C" w15:done="0"/>
  <w15:commentEx w15:paraId="1740E1C3" w15:done="0"/>
  <w15:commentEx w15:paraId="1DA08E0E" w15:done="0"/>
  <w15:commentEx w15:paraId="18B30F1A" w15:done="0"/>
  <w15:commentEx w15:paraId="59E7DADC" w15:done="0"/>
  <w15:commentEx w15:paraId="7E316F93" w15:paraIdParent="59E7DADC" w15:done="0"/>
  <w15:commentEx w15:paraId="27299236" w15:done="0"/>
  <w15:commentEx w15:paraId="060D81E0" w15:done="0"/>
  <w15:commentEx w15:paraId="2A6403CB" w15:done="0"/>
  <w15:commentEx w15:paraId="6866659D" w15:done="0"/>
  <w15:commentEx w15:paraId="21E219BD" w15:paraIdParent="6866659D" w15:done="0"/>
  <w15:commentEx w15:paraId="4AB51EEC" w15:done="0"/>
  <w15:commentEx w15:paraId="64DC206F" w15:paraIdParent="4AB51EEC" w15:done="0"/>
  <w15:commentEx w15:paraId="011023D5" w15:done="0"/>
  <w15:commentEx w15:paraId="0674A2C4" w15:done="0"/>
  <w15:commentEx w15:paraId="7920D9D5" w15:done="0"/>
  <w15:commentEx w15:paraId="28858193" w15:done="1"/>
  <w15:commentEx w15:paraId="54BCD148" w15:done="1"/>
  <w15:commentEx w15:paraId="31782CEE" w15:done="0"/>
  <w15:commentEx w15:paraId="484A4806" w15:done="0"/>
  <w15:commentEx w15:paraId="3E8B8A4B" w15:done="0"/>
  <w15:commentEx w15:paraId="4EA188E8" w15:done="1"/>
  <w15:commentEx w15:paraId="43179952" w15:done="0"/>
  <w15:commentEx w15:paraId="4F850460" w15:done="0"/>
  <w15:commentEx w15:paraId="023A6CC2" w15:done="0"/>
  <w15:commentEx w15:paraId="65CB9711" w15:done="1"/>
  <w15:commentEx w15:paraId="6880F7FC" w15:done="1"/>
  <w15:commentEx w15:paraId="01E2B449" w15:done="0"/>
  <w15:commentEx w15:paraId="524881A6" w15:done="0"/>
  <w15:commentEx w15:paraId="049AA384" w15:done="0"/>
  <w15:commentEx w15:paraId="2F6B9171" w15:done="1"/>
  <w15:commentEx w15:paraId="0BB07E8F" w15:done="1"/>
  <w15:commentEx w15:paraId="547F0D74" w15:done="1"/>
  <w15:commentEx w15:paraId="5B58A15D" w15:done="0"/>
  <w15:commentEx w15:paraId="28859AF8" w15:done="1"/>
  <w15:commentEx w15:paraId="57FF6C4B" w15:done="0"/>
  <w15:commentEx w15:paraId="74072166" w15:done="0"/>
  <w15:commentEx w15:paraId="504CE0B5" w15:done="1"/>
  <w15:commentEx w15:paraId="31D20EEB" w15:done="1"/>
  <w15:commentEx w15:paraId="4B388982" w15:done="0"/>
  <w15:commentEx w15:paraId="1076B911" w15:done="1"/>
  <w15:commentEx w15:paraId="7F29A7A3" w15:done="1"/>
  <w15:commentEx w15:paraId="55ACDD77" w15:done="1"/>
  <w15:commentEx w15:paraId="53C8D511" w15:done="1"/>
  <w15:commentEx w15:paraId="2B53ED64" w15:paraIdParent="53C8D511" w15:done="1"/>
  <w15:commentEx w15:paraId="711AC4A4" w15:done="1"/>
  <w15:commentEx w15:paraId="14DD7EF8" w15:done="1"/>
  <w15:commentEx w15:paraId="3C23C491" w15:done="0"/>
  <w15:commentEx w15:paraId="73D3D6EC" w15:done="0"/>
  <w15:commentEx w15:paraId="07924C61" w15:done="1"/>
  <w15:commentEx w15:paraId="596576CA" w15:done="1"/>
  <w15:commentEx w15:paraId="5F7E88F7" w15:paraIdParent="596576CA" w15:done="1"/>
  <w15:commentEx w15:paraId="1DCA23AA" w15:done="1"/>
  <w15:commentEx w15:paraId="6934B2DF" w15:done="1"/>
  <w15:commentEx w15:paraId="1E7BE88B" w15:done="0"/>
  <w15:commentEx w15:paraId="25C3DF89" w15:done="1"/>
  <w15:commentEx w15:paraId="2CE9BFA9" w15:done="0"/>
  <w15:commentEx w15:paraId="28535D48" w15:done="0"/>
  <w15:commentEx w15:paraId="42877B66" w15:done="0"/>
  <w15:commentEx w15:paraId="6DD3F7DE" w15:done="1"/>
  <w15:commentEx w15:paraId="792E6663" w15:done="0"/>
  <w15:commentEx w15:paraId="4625DC06" w15:done="0"/>
  <w15:commentEx w15:paraId="2CDE40FE" w15:done="0"/>
  <w15:commentEx w15:paraId="68014A17" w15:done="0"/>
  <w15:commentEx w15:paraId="1549214D" w15:done="0"/>
  <w15:commentEx w15:paraId="27EAFBC6" w15:done="0"/>
  <w15:commentEx w15:paraId="0B0CAB76" w15:done="0"/>
  <w15:commentEx w15:paraId="0F91713B" w15:done="0"/>
  <w15:commentEx w15:paraId="30648AA3" w15:done="0"/>
  <w15:commentEx w15:paraId="78518F06" w15:done="1"/>
  <w15:commentEx w15:paraId="7A77AEE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1921" w16cex:dateUtc="2022-02-15T20:20:00Z"/>
  <w16cex:commentExtensible w16cex:durableId="25B45D95" w16cex:dateUtc="2022-02-14T12:48:00Z"/>
  <w16cex:commentExtensible w16cex:durableId="25B612CF" w16cex:dateUtc="2022-02-15T19:53:00Z"/>
  <w16cex:commentExtensible w16cex:durableId="25B45D59" w16cex:dateUtc="2022-02-14T12:47:00Z"/>
  <w16cex:commentExtensible w16cex:durableId="25B619D9" w16cex:dateUtc="2022-02-15T20:23:00Z"/>
  <w16cex:commentExtensible w16cex:durableId="25B45DB5" w16cex:dateUtc="2022-02-14T12:48:00Z"/>
  <w16cex:commentExtensible w16cex:durableId="25B6132A" w16cex:dateUtc="2022-02-15T19:55:00Z"/>
  <w16cex:commentExtensible w16cex:durableId="25B61A3F" w16cex:dateUtc="2022-02-15T20:25:00Z"/>
  <w16cex:commentExtensible w16cex:durableId="25B45E87" w16cex:dateUtc="2022-02-14T12:52:00Z"/>
  <w16cex:commentExtensible w16cex:durableId="25B45EED" w16cex:dateUtc="2022-02-14T12:54:00Z"/>
  <w16cex:commentExtensible w16cex:durableId="25B614BB" w16cex:dateUtc="2022-02-15T20:02:00Z"/>
  <w16cex:commentExtensible w16cex:durableId="2628C774" w16cex:dateUtc="2022-05-13T19:03:00Z"/>
  <w16cex:commentExtensible w16cex:durableId="25B462DB" w16cex:dateUtc="2022-02-14T13:10:00Z"/>
  <w16cex:commentExtensible w16cex:durableId="25B614EA" w16cex:dateUtc="2022-02-15T20:02:00Z"/>
  <w16cex:commentExtensible w16cex:durableId="25B61A64" w16cex:dateUtc="2022-02-15T20:26:00Z"/>
  <w16cex:commentExtensible w16cex:durableId="25B61880" w16cex:dateUtc="2022-02-15T20:18:00Z"/>
  <w16cex:commentExtensible w16cex:durableId="25B61891" w16cex:dateUtc="2022-02-15T20:18:00Z"/>
  <w16cex:commentExtensible w16cex:durableId="25B6188C" w16cex:dateUtc="2022-02-15T20:18:00Z"/>
  <w16cex:commentExtensible w16cex:durableId="262CB50D" w16cex:dateUtc="2022-05-16T18:33:00Z"/>
  <w16cex:commentExtensible w16cex:durableId="26376458" w16cex:dateUtc="2022-05-24T21:04:00Z"/>
  <w16cex:commentExtensible w16cex:durableId="26376469" w16cex:dateUtc="2022-05-24T21:04:00Z"/>
  <w16cex:commentExtensible w16cex:durableId="25B4671A" w16cex:dateUtc="2022-02-14T13:28:00Z"/>
  <w16cex:commentExtensible w16cex:durableId="25B46747" w16cex:dateUtc="2022-02-14T13:29:00Z"/>
  <w16cex:commentExtensible w16cex:durableId="25B61AFB" w16cex:dateUtc="2022-02-15T20:28:00Z"/>
  <w16cex:commentExtensible w16cex:durableId="25B469A1" w16cex:dateUtc="2022-02-14T13:39:00Z"/>
  <w16cex:commentExtensible w16cex:durableId="25B47054" w16cex:dateUtc="2022-02-14T14:08:00Z"/>
  <w16cex:commentExtensible w16cex:durableId="25B61564" w16cex:dateUtc="2022-02-15T20:04:00Z"/>
  <w16cex:commentExtensible w16cex:durableId="263883CB" w16cex:dateUtc="2022-04-14T23:45:00Z"/>
  <w16cex:commentExtensible w16cex:durableId="25B48CEE" w16cex:dateUtc="2022-02-14T16:10:00Z"/>
  <w16cex:commentExtensible w16cex:durableId="25B46BBF" w16cex:dateUtc="2022-02-14T13:48:00Z"/>
  <w16cex:commentExtensible w16cex:durableId="25B6157D" w16cex:dateUtc="2022-02-15T20:05:00Z"/>
  <w16cex:commentExtensible w16cex:durableId="26378AB8" w16cex:dateUtc="2022-05-24T23:47:00Z"/>
  <w16cex:commentExtensible w16cex:durableId="2602CCA3" w16cex:dateUtc="2022-04-14T23:38:00Z"/>
  <w16cex:commentExtensible w16cex:durableId="25B46FD4" w16cex:dateUtc="2022-02-14T14:06:00Z"/>
  <w16cex:commentExtensible w16cex:durableId="25B47093" w16cex:dateUtc="2022-02-14T14:09:00Z"/>
  <w16cex:commentExtensible w16cex:durableId="2602CCB5" w16cex:dateUtc="2022-04-14T23:39:00Z"/>
  <w16cex:commentExtensible w16cex:durableId="25B615DD" w16cex:dateUtc="2022-02-15T20:06:00Z"/>
  <w16cex:commentExtensible w16cex:durableId="2602CD22" w16cex:dateUtc="2022-04-14T23:41:00Z"/>
  <w16cex:commentExtensible w16cex:durableId="2602CDA6" w16cex:dateUtc="2022-04-14T23:43:00Z"/>
  <w16cex:commentExtensible w16cex:durableId="25B47B18" w16cex:dateUtc="2022-02-14T14:54:00Z"/>
  <w16cex:commentExtensible w16cex:durableId="2602CE6D" w16cex:dateUtc="2022-04-14T23:46:00Z"/>
  <w16cex:commentExtensible w16cex:durableId="25B47B7A" w16cex:dateUtc="2022-02-14T14:55:00Z"/>
  <w16cex:commentExtensible w16cex:durableId="25B6198C" w16cex:dateUtc="2022-02-15T20:22:00Z"/>
  <w16cex:commentExtensible w16cex:durableId="25B4847C" w16cex:dateUtc="2022-02-14T15:34:00Z"/>
  <w16cex:commentExtensible w16cex:durableId="25B487AD" w16cex:dateUtc="2022-02-14T15:47:00Z"/>
  <w16cex:commentExtensible w16cex:durableId="2602CFEA" w16cex:dateUtc="2022-04-14T23:52:00Z"/>
  <w16cex:commentExtensible w16cex:durableId="2602D211" w16cex:dateUtc="2022-04-15T00:02:00Z"/>
  <w16cex:commentExtensible w16cex:durableId="2602D224" w16cex:dateUtc="2022-04-15T00:02:00Z"/>
  <w16cex:commentExtensible w16cex:durableId="2602D1FE" w16cex:dateUtc="2022-04-15T00:01:00Z"/>
  <w16cex:commentExtensible w16cex:durableId="25B618E6" w16cex:dateUtc="2022-02-15T20:19:00Z"/>
  <w16cex:commentExtensible w16cex:durableId="25B61902" w16cex:dateUtc="2022-02-15T20:20:00Z"/>
  <w16cex:commentExtensible w16cex:durableId="2602D23C" w16cex:dateUtc="2022-04-15T00:02:00Z"/>
  <w16cex:commentExtensible w16cex:durableId="25B4882E" w16cex:dateUtc="2022-02-14T15:50:00Z"/>
  <w16cex:commentExtensible w16cex:durableId="25B48B42" w16cex:dateUtc="2022-02-14T16:03:00Z"/>
  <w16cex:commentExtensible w16cex:durableId="2602D284" w16cex:dateUtc="2022-04-15T00:04:00Z"/>
  <w16cex:commentExtensible w16cex:durableId="25B48E90" w16cex:dateUtc="2022-02-14T16:17:00Z"/>
  <w16cex:commentExtensible w16cex:durableId="25B4916A" w16cex:dateUtc="2022-02-14T16:29:00Z"/>
  <w16cex:commentExtensible w16cex:durableId="263B59A2" w16cex:dateUtc="2022-05-27T21:07:00Z"/>
  <w16cex:commentExtensible w16cex:durableId="2602D298" w16cex:dateUtc="2022-04-15T00:04:00Z"/>
  <w16cex:commentExtensible w16cex:durableId="25B48F0D" w16cex:dateUtc="2022-02-14T16:19:00Z"/>
  <w16cex:commentExtensible w16cex:durableId="25B48F1F" w16cex:dateUtc="2022-02-14T16:19:00Z"/>
  <w16cex:commentExtensible w16cex:durableId="25B4900F" w16cex:dateUtc="2022-02-14T16:23:00Z"/>
  <w16cex:commentExtensible w16cex:durableId="25B49064" w16cex:dateUtc="2022-02-14T16:25:00Z"/>
  <w16cex:commentExtensible w16cex:durableId="25B4919E" w16cex:dateUtc="2022-02-14T16:30:00Z"/>
  <w16cex:commentExtensible w16cex:durableId="25B61735" w16cex:dateUtc="2022-02-15T20:12:00Z"/>
  <w16cex:commentExtensible w16cex:durableId="25B61B48" w16cex:dateUtc="2022-02-15T20:30:00Z"/>
  <w16cex:commentExtensible w16cex:durableId="25B492E6" w16cex:dateUtc="2022-02-14T16:35:00Z"/>
  <w16cex:commentExtensible w16cex:durableId="25B4934A" w16cex:dateUtc="2022-02-14T16:37:00Z"/>
  <w16cex:commentExtensible w16cex:durableId="25B49382" w16cex:dateUtc="2022-02-14T16:38:00Z"/>
  <w16cex:commentExtensible w16cex:durableId="25B493F3" w16cex:dateUtc="2022-02-14T16:40:00Z"/>
  <w16cex:commentExtensible w16cex:durableId="25B61792" w16cex:dateUtc="2022-02-15T20:14:00Z"/>
  <w16cex:commentExtensible w16cex:durableId="25B49462" w16cex:dateUtc="2022-02-14T16:42:00Z"/>
  <w16cex:commentExtensible w16cex:durableId="25B49487" w16cex:dateUtc="2022-02-14T16:42:00Z"/>
  <w16cex:commentExtensible w16cex:durableId="25B61B76" w16cex:dateUtc="2022-02-15T20:30:00Z"/>
  <w16cex:commentExtensible w16cex:durableId="2602D061" w16cex:dateUtc="2022-04-14T23:54:00Z"/>
  <w16cex:commentExtensible w16cex:durableId="2602D331" w16cex:dateUtc="2022-04-15T00:06:00Z"/>
  <w16cex:commentExtensible w16cex:durableId="25B489F7" w16cex:dateUtc="2022-02-14T15: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6E9554" w16cid:durableId="25B61921"/>
  <w16cid:commentId w16cid:paraId="7FE583B2" w16cid:durableId="25B45D95"/>
  <w16cid:commentId w16cid:paraId="1887F201" w16cid:durableId="25B612CF"/>
  <w16cid:commentId w16cid:paraId="1E38F6F8" w16cid:durableId="25B45D59"/>
  <w16cid:commentId w16cid:paraId="29B2D88F" w16cid:durableId="25B619D9"/>
  <w16cid:commentId w16cid:paraId="79E6A8C7" w16cid:durableId="25B45DB5"/>
  <w16cid:commentId w16cid:paraId="5289D00C" w16cid:durableId="25B6132A"/>
  <w16cid:commentId w16cid:paraId="1740E1C3" w16cid:durableId="25B61A3F"/>
  <w16cid:commentId w16cid:paraId="1DA08E0E" w16cid:durableId="25B45E87"/>
  <w16cid:commentId w16cid:paraId="18B30F1A" w16cid:durableId="25B45EED"/>
  <w16cid:commentId w16cid:paraId="59E7DADC" w16cid:durableId="25B614BB"/>
  <w16cid:commentId w16cid:paraId="7E316F93" w16cid:durableId="2628C774"/>
  <w16cid:commentId w16cid:paraId="27299236" w16cid:durableId="25B462DB"/>
  <w16cid:commentId w16cid:paraId="060D81E0" w16cid:durableId="25B614EA"/>
  <w16cid:commentId w16cid:paraId="2A6403CB" w16cid:durableId="25B61A64"/>
  <w16cid:commentId w16cid:paraId="6866659D" w16cid:durableId="25B61880"/>
  <w16cid:commentId w16cid:paraId="21E219BD" w16cid:durableId="25B61891"/>
  <w16cid:commentId w16cid:paraId="4AB51EEC" w16cid:durableId="25B6188C"/>
  <w16cid:commentId w16cid:paraId="64DC206F" w16cid:durableId="262CB50D"/>
  <w16cid:commentId w16cid:paraId="011023D5" w16cid:durableId="26376458"/>
  <w16cid:commentId w16cid:paraId="0674A2C4" w16cid:durableId="26376469"/>
  <w16cid:commentId w16cid:paraId="7920D9D5" w16cid:durableId="25B4671A"/>
  <w16cid:commentId w16cid:paraId="28858193" w16cid:durableId="25B46747"/>
  <w16cid:commentId w16cid:paraId="54BCD148" w16cid:durableId="25B61AFB"/>
  <w16cid:commentId w16cid:paraId="31782CEE" w16cid:durableId="25B469A1"/>
  <w16cid:commentId w16cid:paraId="484A4806" w16cid:durableId="25B47054"/>
  <w16cid:commentId w16cid:paraId="3E8B8A4B" w16cid:durableId="25B61564"/>
  <w16cid:commentId w16cid:paraId="4EA188E8" w16cid:durableId="263883CB"/>
  <w16cid:commentId w16cid:paraId="43179952" w16cid:durableId="25B48CEE"/>
  <w16cid:commentId w16cid:paraId="4F850460" w16cid:durableId="25B46BBF"/>
  <w16cid:commentId w16cid:paraId="023A6CC2" w16cid:durableId="25B6157D"/>
  <w16cid:commentId w16cid:paraId="65CB9711" w16cid:durableId="26378AB8"/>
  <w16cid:commentId w16cid:paraId="6880F7FC" w16cid:durableId="2602CCA3"/>
  <w16cid:commentId w16cid:paraId="01E2B449" w16cid:durableId="25B46FD4"/>
  <w16cid:commentId w16cid:paraId="524881A6" w16cid:durableId="25B47093"/>
  <w16cid:commentId w16cid:paraId="049AA384" w16cid:durableId="2602CCB5"/>
  <w16cid:commentId w16cid:paraId="2F6B9171" w16cid:durableId="25B615DD"/>
  <w16cid:commentId w16cid:paraId="0BB07E8F" w16cid:durableId="2602CD22"/>
  <w16cid:commentId w16cid:paraId="547F0D74" w16cid:durableId="2602CDA6"/>
  <w16cid:commentId w16cid:paraId="5B58A15D" w16cid:durableId="25B47B18"/>
  <w16cid:commentId w16cid:paraId="28859AF8" w16cid:durableId="2602CE6D"/>
  <w16cid:commentId w16cid:paraId="57FF6C4B" w16cid:durableId="25B47B7A"/>
  <w16cid:commentId w16cid:paraId="74072166" w16cid:durableId="25B6198C"/>
  <w16cid:commentId w16cid:paraId="504CE0B5" w16cid:durableId="25B4847C"/>
  <w16cid:commentId w16cid:paraId="31D20EEB" w16cid:durableId="25B487AD"/>
  <w16cid:commentId w16cid:paraId="4B388982" w16cid:durableId="2602CFEA"/>
  <w16cid:commentId w16cid:paraId="1076B911" w16cid:durableId="2602D211"/>
  <w16cid:commentId w16cid:paraId="7F29A7A3" w16cid:durableId="2602D224"/>
  <w16cid:commentId w16cid:paraId="55ACDD77" w16cid:durableId="2602D1FE"/>
  <w16cid:commentId w16cid:paraId="53C8D511" w16cid:durableId="25B618E6"/>
  <w16cid:commentId w16cid:paraId="2B53ED64" w16cid:durableId="25B61902"/>
  <w16cid:commentId w16cid:paraId="711AC4A4" w16cid:durableId="2602D23C"/>
  <w16cid:commentId w16cid:paraId="14DD7EF8" w16cid:durableId="25B4882E"/>
  <w16cid:commentId w16cid:paraId="3C23C491" w16cid:durableId="25B48B42"/>
  <w16cid:commentId w16cid:paraId="73D3D6EC" w16cid:durableId="2602D284"/>
  <w16cid:commentId w16cid:paraId="07924C61" w16cid:durableId="25B48E90"/>
  <w16cid:commentId w16cid:paraId="596576CA" w16cid:durableId="25B4916A"/>
  <w16cid:commentId w16cid:paraId="5F7E88F7" w16cid:durableId="263B59A2"/>
  <w16cid:commentId w16cid:paraId="1DCA23AA" w16cid:durableId="2602D298"/>
  <w16cid:commentId w16cid:paraId="6934B2DF" w16cid:durableId="25B48F0D"/>
  <w16cid:commentId w16cid:paraId="1E7BE88B" w16cid:durableId="25B48F1F"/>
  <w16cid:commentId w16cid:paraId="25C3DF89" w16cid:durableId="25B4900F"/>
  <w16cid:commentId w16cid:paraId="2CE9BFA9" w16cid:durableId="25B49064"/>
  <w16cid:commentId w16cid:paraId="28535D48" w16cid:durableId="25B4919E"/>
  <w16cid:commentId w16cid:paraId="42877B66" w16cid:durableId="25B61735"/>
  <w16cid:commentId w16cid:paraId="6DD3F7DE" w16cid:durableId="25B61B48"/>
  <w16cid:commentId w16cid:paraId="792E6663" w16cid:durableId="25B492E6"/>
  <w16cid:commentId w16cid:paraId="4625DC06" w16cid:durableId="25B4934A"/>
  <w16cid:commentId w16cid:paraId="2CDE40FE" w16cid:durableId="25B49382"/>
  <w16cid:commentId w16cid:paraId="68014A17" w16cid:durableId="25B493F3"/>
  <w16cid:commentId w16cid:paraId="1549214D" w16cid:durableId="25B61792"/>
  <w16cid:commentId w16cid:paraId="27EAFBC6" w16cid:durableId="25B49462"/>
  <w16cid:commentId w16cid:paraId="0B0CAB76" w16cid:durableId="25B49487"/>
  <w16cid:commentId w16cid:paraId="0F91713B" w16cid:durableId="25B61B76"/>
  <w16cid:commentId w16cid:paraId="30648AA3" w16cid:durableId="2602D061"/>
  <w16cid:commentId w16cid:paraId="78518F06" w16cid:durableId="2602D331"/>
  <w16cid:commentId w16cid:paraId="7A77AEE1" w16cid:durableId="25B489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B7C87" w14:textId="77777777" w:rsidR="001D3356" w:rsidRDefault="001D3356" w:rsidP="00912F9C">
      <w:pPr>
        <w:spacing w:after="0" w:line="240" w:lineRule="auto"/>
      </w:pPr>
      <w:r>
        <w:separator/>
      </w:r>
    </w:p>
  </w:endnote>
  <w:endnote w:type="continuationSeparator" w:id="0">
    <w:p w14:paraId="33674762" w14:textId="77777777" w:rsidR="001D3356" w:rsidRDefault="001D3356" w:rsidP="00912F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1"/>
    <w:family w:val="roman"/>
    <w:pitch w:val="variable"/>
    <w:sig w:usb0="E0000AFF" w:usb1="500078FF" w:usb2="00000021" w:usb3="00000000" w:csb0="000001BF" w:csb1="00000000"/>
  </w:font>
  <w:font w:name="AR PL SungtiL GB">
    <w:altName w:val="Cambri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C8A84E" w14:textId="77777777" w:rsidR="001D3356" w:rsidRDefault="001D3356" w:rsidP="00912F9C">
      <w:pPr>
        <w:spacing w:after="0" w:line="240" w:lineRule="auto"/>
      </w:pPr>
      <w:r>
        <w:separator/>
      </w:r>
    </w:p>
  </w:footnote>
  <w:footnote w:type="continuationSeparator" w:id="0">
    <w:p w14:paraId="276A43EC" w14:textId="77777777" w:rsidR="001D3356" w:rsidRDefault="001D3356" w:rsidP="00912F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6B9DE" w14:textId="0BB0EF23" w:rsidR="00912F9C" w:rsidRDefault="00912F9C" w:rsidP="00912F9C">
    <w:pPr>
      <w:pStyle w:val="Header"/>
      <w:jc w:val="right"/>
    </w:pPr>
    <w:r>
      <w:t>Foster 2022</w:t>
    </w:r>
  </w:p>
  <w:p w14:paraId="435B66A5" w14:textId="77777777" w:rsidR="00912F9C" w:rsidRDefault="0091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A0B41"/>
    <w:multiLevelType w:val="hybridMultilevel"/>
    <w:tmpl w:val="FDBEF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5501AE"/>
    <w:multiLevelType w:val="hybridMultilevel"/>
    <w:tmpl w:val="6AC0ACBE"/>
    <w:lvl w:ilvl="0" w:tplc="4998C88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263212"/>
    <w:multiLevelType w:val="hybridMultilevel"/>
    <w:tmpl w:val="E5E07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F62D00"/>
    <w:multiLevelType w:val="hybridMultilevel"/>
    <w:tmpl w:val="A9A0D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E360A"/>
    <w:multiLevelType w:val="hybridMultilevel"/>
    <w:tmpl w:val="60A4F622"/>
    <w:lvl w:ilvl="0" w:tplc="CFEAD3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15:restartNumberingAfterBreak="0">
    <w:nsid w:val="56C92A18"/>
    <w:multiLevelType w:val="hybridMultilevel"/>
    <w:tmpl w:val="E222B5EC"/>
    <w:lvl w:ilvl="0" w:tplc="BF64FF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7768E"/>
    <w:multiLevelType w:val="hybridMultilevel"/>
    <w:tmpl w:val="A698BCD0"/>
    <w:lvl w:ilvl="0" w:tplc="A950E3A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4B3044"/>
    <w:multiLevelType w:val="hybridMultilevel"/>
    <w:tmpl w:val="467EB82E"/>
    <w:lvl w:ilvl="0" w:tplc="F93AD06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817092"/>
    <w:multiLevelType w:val="hybridMultilevel"/>
    <w:tmpl w:val="2CDC4968"/>
    <w:lvl w:ilvl="0" w:tplc="5446764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D954EA"/>
    <w:multiLevelType w:val="hybridMultilevel"/>
    <w:tmpl w:val="5DC2582C"/>
    <w:lvl w:ilvl="0" w:tplc="1E18E47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31521822">
    <w:abstractNumId w:val="4"/>
  </w:num>
  <w:num w:numId="2" w16cid:durableId="535853427">
    <w:abstractNumId w:val="0"/>
  </w:num>
  <w:num w:numId="3" w16cid:durableId="1224759816">
    <w:abstractNumId w:val="1"/>
  </w:num>
  <w:num w:numId="4" w16cid:durableId="146164939">
    <w:abstractNumId w:val="9"/>
  </w:num>
  <w:num w:numId="5" w16cid:durableId="2124759403">
    <w:abstractNumId w:val="7"/>
  </w:num>
  <w:num w:numId="6" w16cid:durableId="1684821424">
    <w:abstractNumId w:val="2"/>
  </w:num>
  <w:num w:numId="7" w16cid:durableId="955671046">
    <w:abstractNumId w:val="3"/>
  </w:num>
  <w:num w:numId="8" w16cid:durableId="1801654202">
    <w:abstractNumId w:val="8"/>
  </w:num>
  <w:num w:numId="9" w16cid:durableId="2135710911">
    <w:abstractNumId w:val="5"/>
  </w:num>
  <w:num w:numId="10" w16cid:durableId="6546494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Foster">
    <w15:presenceInfo w15:providerId="None" w15:userId="Daniel Foster"/>
  </w15:person>
  <w15:person w15:author="j battles">
    <w15:presenceInfo w15:providerId="None" w15:userId="j battl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35DE"/>
    <w:rsid w:val="00002AF5"/>
    <w:rsid w:val="00005093"/>
    <w:rsid w:val="000144C2"/>
    <w:rsid w:val="00021D10"/>
    <w:rsid w:val="00022E40"/>
    <w:rsid w:val="00030856"/>
    <w:rsid w:val="00035CCB"/>
    <w:rsid w:val="00036010"/>
    <w:rsid w:val="000451DF"/>
    <w:rsid w:val="00047C53"/>
    <w:rsid w:val="00052104"/>
    <w:rsid w:val="00054C5F"/>
    <w:rsid w:val="000624D9"/>
    <w:rsid w:val="00065C38"/>
    <w:rsid w:val="00070BD5"/>
    <w:rsid w:val="000711D9"/>
    <w:rsid w:val="0007640A"/>
    <w:rsid w:val="00090276"/>
    <w:rsid w:val="00092713"/>
    <w:rsid w:val="00093900"/>
    <w:rsid w:val="000948BA"/>
    <w:rsid w:val="00097CE1"/>
    <w:rsid w:val="00097D16"/>
    <w:rsid w:val="000A0F76"/>
    <w:rsid w:val="000A5484"/>
    <w:rsid w:val="000B07C3"/>
    <w:rsid w:val="000B15A1"/>
    <w:rsid w:val="000B2974"/>
    <w:rsid w:val="000B464D"/>
    <w:rsid w:val="000B4F67"/>
    <w:rsid w:val="000C08B9"/>
    <w:rsid w:val="000D023F"/>
    <w:rsid w:val="000D09FA"/>
    <w:rsid w:val="000D3AD8"/>
    <w:rsid w:val="000E59FA"/>
    <w:rsid w:val="00101105"/>
    <w:rsid w:val="00105668"/>
    <w:rsid w:val="001161D9"/>
    <w:rsid w:val="00120798"/>
    <w:rsid w:val="00123CAC"/>
    <w:rsid w:val="00134157"/>
    <w:rsid w:val="0013741A"/>
    <w:rsid w:val="00143E5F"/>
    <w:rsid w:val="001545DE"/>
    <w:rsid w:val="00161CA5"/>
    <w:rsid w:val="00165CBF"/>
    <w:rsid w:val="00166284"/>
    <w:rsid w:val="00171F10"/>
    <w:rsid w:val="001854A2"/>
    <w:rsid w:val="00187B04"/>
    <w:rsid w:val="00191A72"/>
    <w:rsid w:val="0019268D"/>
    <w:rsid w:val="001957F1"/>
    <w:rsid w:val="00197ED8"/>
    <w:rsid w:val="001A3E0B"/>
    <w:rsid w:val="001A40BC"/>
    <w:rsid w:val="001A4E05"/>
    <w:rsid w:val="001C02F2"/>
    <w:rsid w:val="001C27C2"/>
    <w:rsid w:val="001D0752"/>
    <w:rsid w:val="001D3356"/>
    <w:rsid w:val="001E0490"/>
    <w:rsid w:val="001E1A16"/>
    <w:rsid w:val="001E3443"/>
    <w:rsid w:val="001E52DB"/>
    <w:rsid w:val="001F3219"/>
    <w:rsid w:val="001F3ED4"/>
    <w:rsid w:val="001F58D0"/>
    <w:rsid w:val="001F5EDA"/>
    <w:rsid w:val="001F6D70"/>
    <w:rsid w:val="0020010E"/>
    <w:rsid w:val="0020245B"/>
    <w:rsid w:val="0021304E"/>
    <w:rsid w:val="00213912"/>
    <w:rsid w:val="0021575D"/>
    <w:rsid w:val="002212B2"/>
    <w:rsid w:val="00222543"/>
    <w:rsid w:val="00226C3F"/>
    <w:rsid w:val="002352A0"/>
    <w:rsid w:val="00237E63"/>
    <w:rsid w:val="002435DE"/>
    <w:rsid w:val="00243B4B"/>
    <w:rsid w:val="00245CBF"/>
    <w:rsid w:val="00251274"/>
    <w:rsid w:val="002535C7"/>
    <w:rsid w:val="002626E1"/>
    <w:rsid w:val="0026626B"/>
    <w:rsid w:val="002666E7"/>
    <w:rsid w:val="0027112C"/>
    <w:rsid w:val="0027122B"/>
    <w:rsid w:val="00272B03"/>
    <w:rsid w:val="002739B1"/>
    <w:rsid w:val="00276327"/>
    <w:rsid w:val="00277C16"/>
    <w:rsid w:val="00277ED1"/>
    <w:rsid w:val="002821CE"/>
    <w:rsid w:val="00283D34"/>
    <w:rsid w:val="0029268F"/>
    <w:rsid w:val="00293491"/>
    <w:rsid w:val="00296C3D"/>
    <w:rsid w:val="002A29BB"/>
    <w:rsid w:val="002B0C18"/>
    <w:rsid w:val="002B625B"/>
    <w:rsid w:val="002B6328"/>
    <w:rsid w:val="002C19B3"/>
    <w:rsid w:val="002C7D13"/>
    <w:rsid w:val="002D072E"/>
    <w:rsid w:val="002D364A"/>
    <w:rsid w:val="002F78E4"/>
    <w:rsid w:val="00304447"/>
    <w:rsid w:val="0030686A"/>
    <w:rsid w:val="00307D27"/>
    <w:rsid w:val="00307FC1"/>
    <w:rsid w:val="003103FA"/>
    <w:rsid w:val="00311911"/>
    <w:rsid w:val="00312174"/>
    <w:rsid w:val="003204E3"/>
    <w:rsid w:val="00323628"/>
    <w:rsid w:val="00323FA0"/>
    <w:rsid w:val="00334F13"/>
    <w:rsid w:val="0033554D"/>
    <w:rsid w:val="00342BA1"/>
    <w:rsid w:val="003502A0"/>
    <w:rsid w:val="0035131C"/>
    <w:rsid w:val="00353F3B"/>
    <w:rsid w:val="00356D90"/>
    <w:rsid w:val="00361DD5"/>
    <w:rsid w:val="00362541"/>
    <w:rsid w:val="00364352"/>
    <w:rsid w:val="0036501F"/>
    <w:rsid w:val="003658FD"/>
    <w:rsid w:val="00366F92"/>
    <w:rsid w:val="00371AC7"/>
    <w:rsid w:val="003735F2"/>
    <w:rsid w:val="00374BD9"/>
    <w:rsid w:val="0038352F"/>
    <w:rsid w:val="003B1739"/>
    <w:rsid w:val="003B4431"/>
    <w:rsid w:val="003B72CD"/>
    <w:rsid w:val="003C1D45"/>
    <w:rsid w:val="003C2EB4"/>
    <w:rsid w:val="003D564A"/>
    <w:rsid w:val="003E04A3"/>
    <w:rsid w:val="003E0B60"/>
    <w:rsid w:val="003E41BD"/>
    <w:rsid w:val="003E5D44"/>
    <w:rsid w:val="003F0D40"/>
    <w:rsid w:val="003F5372"/>
    <w:rsid w:val="00400795"/>
    <w:rsid w:val="00403C76"/>
    <w:rsid w:val="00407119"/>
    <w:rsid w:val="00420927"/>
    <w:rsid w:val="00422EF5"/>
    <w:rsid w:val="004230C7"/>
    <w:rsid w:val="00430D45"/>
    <w:rsid w:val="00433AEF"/>
    <w:rsid w:val="0044137D"/>
    <w:rsid w:val="004438A3"/>
    <w:rsid w:val="00445077"/>
    <w:rsid w:val="004501B5"/>
    <w:rsid w:val="0046219E"/>
    <w:rsid w:val="00462B96"/>
    <w:rsid w:val="004639A9"/>
    <w:rsid w:val="0047208D"/>
    <w:rsid w:val="004769F7"/>
    <w:rsid w:val="00477228"/>
    <w:rsid w:val="004776E6"/>
    <w:rsid w:val="00481C21"/>
    <w:rsid w:val="00481D04"/>
    <w:rsid w:val="00483267"/>
    <w:rsid w:val="00485321"/>
    <w:rsid w:val="00486861"/>
    <w:rsid w:val="004900A0"/>
    <w:rsid w:val="004940F9"/>
    <w:rsid w:val="0049671D"/>
    <w:rsid w:val="004A222B"/>
    <w:rsid w:val="004A6BFC"/>
    <w:rsid w:val="004A7549"/>
    <w:rsid w:val="004C0B8F"/>
    <w:rsid w:val="004C5044"/>
    <w:rsid w:val="004D47AC"/>
    <w:rsid w:val="004D614E"/>
    <w:rsid w:val="004E6FBC"/>
    <w:rsid w:val="004F00F1"/>
    <w:rsid w:val="004F3A49"/>
    <w:rsid w:val="004F672B"/>
    <w:rsid w:val="004F6CE4"/>
    <w:rsid w:val="00504371"/>
    <w:rsid w:val="00512388"/>
    <w:rsid w:val="00513781"/>
    <w:rsid w:val="00517F42"/>
    <w:rsid w:val="0052071A"/>
    <w:rsid w:val="00522FF0"/>
    <w:rsid w:val="0052326E"/>
    <w:rsid w:val="00533EAF"/>
    <w:rsid w:val="005400AE"/>
    <w:rsid w:val="00542DB6"/>
    <w:rsid w:val="005441D3"/>
    <w:rsid w:val="00561760"/>
    <w:rsid w:val="00565CA7"/>
    <w:rsid w:val="00566DC3"/>
    <w:rsid w:val="00573E2C"/>
    <w:rsid w:val="00574C47"/>
    <w:rsid w:val="00582802"/>
    <w:rsid w:val="00583A63"/>
    <w:rsid w:val="00584886"/>
    <w:rsid w:val="0058771A"/>
    <w:rsid w:val="00592F89"/>
    <w:rsid w:val="005A03F5"/>
    <w:rsid w:val="005A35BD"/>
    <w:rsid w:val="005A4789"/>
    <w:rsid w:val="005B06F2"/>
    <w:rsid w:val="005B0749"/>
    <w:rsid w:val="005B1295"/>
    <w:rsid w:val="005B4308"/>
    <w:rsid w:val="005C0FDC"/>
    <w:rsid w:val="005C39DA"/>
    <w:rsid w:val="005C7999"/>
    <w:rsid w:val="005D154F"/>
    <w:rsid w:val="005D180E"/>
    <w:rsid w:val="005D2253"/>
    <w:rsid w:val="005E7ECB"/>
    <w:rsid w:val="005F02B2"/>
    <w:rsid w:val="005F1EF2"/>
    <w:rsid w:val="005F4623"/>
    <w:rsid w:val="0061208B"/>
    <w:rsid w:val="00613A4B"/>
    <w:rsid w:val="006144D6"/>
    <w:rsid w:val="006152D3"/>
    <w:rsid w:val="00620936"/>
    <w:rsid w:val="00625B40"/>
    <w:rsid w:val="006271C9"/>
    <w:rsid w:val="006456A1"/>
    <w:rsid w:val="00677CDB"/>
    <w:rsid w:val="006807F0"/>
    <w:rsid w:val="006838F2"/>
    <w:rsid w:val="006A2B6F"/>
    <w:rsid w:val="006B3BFA"/>
    <w:rsid w:val="006B6761"/>
    <w:rsid w:val="006B7651"/>
    <w:rsid w:val="006C7CA9"/>
    <w:rsid w:val="006D25A7"/>
    <w:rsid w:val="006E0CA4"/>
    <w:rsid w:val="006E230D"/>
    <w:rsid w:val="006E2387"/>
    <w:rsid w:val="006E26D2"/>
    <w:rsid w:val="006E2D9F"/>
    <w:rsid w:val="006E6E45"/>
    <w:rsid w:val="006E754A"/>
    <w:rsid w:val="006F2ABD"/>
    <w:rsid w:val="006F5254"/>
    <w:rsid w:val="006F5E9A"/>
    <w:rsid w:val="007108F6"/>
    <w:rsid w:val="00714833"/>
    <w:rsid w:val="0071532B"/>
    <w:rsid w:val="00715CFB"/>
    <w:rsid w:val="00717725"/>
    <w:rsid w:val="00725975"/>
    <w:rsid w:val="007314F1"/>
    <w:rsid w:val="00737989"/>
    <w:rsid w:val="007411CB"/>
    <w:rsid w:val="00750468"/>
    <w:rsid w:val="00752208"/>
    <w:rsid w:val="007553FB"/>
    <w:rsid w:val="00766541"/>
    <w:rsid w:val="00771B14"/>
    <w:rsid w:val="007847A0"/>
    <w:rsid w:val="00785480"/>
    <w:rsid w:val="00787085"/>
    <w:rsid w:val="00790CD7"/>
    <w:rsid w:val="007934A7"/>
    <w:rsid w:val="00796EDF"/>
    <w:rsid w:val="007A371B"/>
    <w:rsid w:val="007B296F"/>
    <w:rsid w:val="007B3DC9"/>
    <w:rsid w:val="007B4248"/>
    <w:rsid w:val="007B6647"/>
    <w:rsid w:val="007E3804"/>
    <w:rsid w:val="007E7CA6"/>
    <w:rsid w:val="0080786A"/>
    <w:rsid w:val="00807967"/>
    <w:rsid w:val="00817E66"/>
    <w:rsid w:val="008206D4"/>
    <w:rsid w:val="0082493A"/>
    <w:rsid w:val="00826123"/>
    <w:rsid w:val="00832565"/>
    <w:rsid w:val="00832E90"/>
    <w:rsid w:val="008360A1"/>
    <w:rsid w:val="00837AAE"/>
    <w:rsid w:val="008400A4"/>
    <w:rsid w:val="0084014F"/>
    <w:rsid w:val="0084135D"/>
    <w:rsid w:val="008415CA"/>
    <w:rsid w:val="00843673"/>
    <w:rsid w:val="00844EFD"/>
    <w:rsid w:val="008469C9"/>
    <w:rsid w:val="00851A3D"/>
    <w:rsid w:val="008569B1"/>
    <w:rsid w:val="008574D6"/>
    <w:rsid w:val="00857722"/>
    <w:rsid w:val="00857BF9"/>
    <w:rsid w:val="00860357"/>
    <w:rsid w:val="008611C1"/>
    <w:rsid w:val="00870621"/>
    <w:rsid w:val="008727D0"/>
    <w:rsid w:val="00872B19"/>
    <w:rsid w:val="00873E42"/>
    <w:rsid w:val="00874307"/>
    <w:rsid w:val="00877029"/>
    <w:rsid w:val="00880C94"/>
    <w:rsid w:val="00884AB8"/>
    <w:rsid w:val="00894D9E"/>
    <w:rsid w:val="008A1354"/>
    <w:rsid w:val="008A2F91"/>
    <w:rsid w:val="008A7245"/>
    <w:rsid w:val="008A7881"/>
    <w:rsid w:val="008A7C78"/>
    <w:rsid w:val="008C4383"/>
    <w:rsid w:val="008D1390"/>
    <w:rsid w:val="008E09B2"/>
    <w:rsid w:val="008E28B3"/>
    <w:rsid w:val="008E6E2C"/>
    <w:rsid w:val="008F0ED0"/>
    <w:rsid w:val="008F25B6"/>
    <w:rsid w:val="008F329F"/>
    <w:rsid w:val="008F5DAE"/>
    <w:rsid w:val="0090133B"/>
    <w:rsid w:val="00907D59"/>
    <w:rsid w:val="00910F38"/>
    <w:rsid w:val="00912F9C"/>
    <w:rsid w:val="009166BF"/>
    <w:rsid w:val="00925586"/>
    <w:rsid w:val="0093310D"/>
    <w:rsid w:val="00935912"/>
    <w:rsid w:val="00950212"/>
    <w:rsid w:val="009509EA"/>
    <w:rsid w:val="009525DA"/>
    <w:rsid w:val="00954945"/>
    <w:rsid w:val="009567E4"/>
    <w:rsid w:val="009639E6"/>
    <w:rsid w:val="0097720B"/>
    <w:rsid w:val="00980556"/>
    <w:rsid w:val="009824D0"/>
    <w:rsid w:val="009917FF"/>
    <w:rsid w:val="00991CC2"/>
    <w:rsid w:val="00996B72"/>
    <w:rsid w:val="009A1DFC"/>
    <w:rsid w:val="009A3AF4"/>
    <w:rsid w:val="009A512B"/>
    <w:rsid w:val="009A6AAC"/>
    <w:rsid w:val="009B0C1C"/>
    <w:rsid w:val="009B22BB"/>
    <w:rsid w:val="009B3615"/>
    <w:rsid w:val="009B4725"/>
    <w:rsid w:val="009B5737"/>
    <w:rsid w:val="009B5B45"/>
    <w:rsid w:val="009D1E6E"/>
    <w:rsid w:val="009D4174"/>
    <w:rsid w:val="009E14F1"/>
    <w:rsid w:val="009E3517"/>
    <w:rsid w:val="009E4689"/>
    <w:rsid w:val="009E5157"/>
    <w:rsid w:val="009E6363"/>
    <w:rsid w:val="009F381B"/>
    <w:rsid w:val="009F5DED"/>
    <w:rsid w:val="009F616C"/>
    <w:rsid w:val="009F6E8A"/>
    <w:rsid w:val="00A06CE3"/>
    <w:rsid w:val="00A12463"/>
    <w:rsid w:val="00A128BA"/>
    <w:rsid w:val="00A17E82"/>
    <w:rsid w:val="00A22F02"/>
    <w:rsid w:val="00A27379"/>
    <w:rsid w:val="00A302ED"/>
    <w:rsid w:val="00A320BF"/>
    <w:rsid w:val="00A354E8"/>
    <w:rsid w:val="00A37AF9"/>
    <w:rsid w:val="00A41A84"/>
    <w:rsid w:val="00A47588"/>
    <w:rsid w:val="00A63A59"/>
    <w:rsid w:val="00A70058"/>
    <w:rsid w:val="00A708CE"/>
    <w:rsid w:val="00A9076E"/>
    <w:rsid w:val="00A95BB0"/>
    <w:rsid w:val="00AA3167"/>
    <w:rsid w:val="00AB1821"/>
    <w:rsid w:val="00AC4853"/>
    <w:rsid w:val="00AC69CD"/>
    <w:rsid w:val="00AD7299"/>
    <w:rsid w:val="00AD7841"/>
    <w:rsid w:val="00AE693D"/>
    <w:rsid w:val="00AF1B9C"/>
    <w:rsid w:val="00B01E28"/>
    <w:rsid w:val="00B02855"/>
    <w:rsid w:val="00B05195"/>
    <w:rsid w:val="00B064C4"/>
    <w:rsid w:val="00B1320D"/>
    <w:rsid w:val="00B13331"/>
    <w:rsid w:val="00B21325"/>
    <w:rsid w:val="00B23450"/>
    <w:rsid w:val="00B27150"/>
    <w:rsid w:val="00B31E6F"/>
    <w:rsid w:val="00B41811"/>
    <w:rsid w:val="00B50353"/>
    <w:rsid w:val="00B57920"/>
    <w:rsid w:val="00B65A24"/>
    <w:rsid w:val="00B66F59"/>
    <w:rsid w:val="00B7042D"/>
    <w:rsid w:val="00B72A60"/>
    <w:rsid w:val="00B76637"/>
    <w:rsid w:val="00B81610"/>
    <w:rsid w:val="00B82FD6"/>
    <w:rsid w:val="00B91F66"/>
    <w:rsid w:val="00B9336D"/>
    <w:rsid w:val="00B95CE0"/>
    <w:rsid w:val="00B95D6C"/>
    <w:rsid w:val="00BA2B3B"/>
    <w:rsid w:val="00BA5AB2"/>
    <w:rsid w:val="00BC1636"/>
    <w:rsid w:val="00BC4DD2"/>
    <w:rsid w:val="00BC7D86"/>
    <w:rsid w:val="00BD0EC9"/>
    <w:rsid w:val="00BD15C5"/>
    <w:rsid w:val="00BD1FBD"/>
    <w:rsid w:val="00BD4BA9"/>
    <w:rsid w:val="00BE0F16"/>
    <w:rsid w:val="00BE4CEB"/>
    <w:rsid w:val="00BE5019"/>
    <w:rsid w:val="00BF1ABD"/>
    <w:rsid w:val="00BF1B42"/>
    <w:rsid w:val="00BF40EA"/>
    <w:rsid w:val="00C07C6D"/>
    <w:rsid w:val="00C125F1"/>
    <w:rsid w:val="00C15C9A"/>
    <w:rsid w:val="00C1655F"/>
    <w:rsid w:val="00C21994"/>
    <w:rsid w:val="00C243DB"/>
    <w:rsid w:val="00C34525"/>
    <w:rsid w:val="00C358F3"/>
    <w:rsid w:val="00C3625A"/>
    <w:rsid w:val="00C37C6B"/>
    <w:rsid w:val="00C45A1A"/>
    <w:rsid w:val="00C52916"/>
    <w:rsid w:val="00C5434B"/>
    <w:rsid w:val="00C56685"/>
    <w:rsid w:val="00C57012"/>
    <w:rsid w:val="00C63FF8"/>
    <w:rsid w:val="00C65DC4"/>
    <w:rsid w:val="00C7269F"/>
    <w:rsid w:val="00C73ACA"/>
    <w:rsid w:val="00C76CEE"/>
    <w:rsid w:val="00C818B3"/>
    <w:rsid w:val="00C83A6E"/>
    <w:rsid w:val="00C942ED"/>
    <w:rsid w:val="00C94452"/>
    <w:rsid w:val="00C945E1"/>
    <w:rsid w:val="00C94BCF"/>
    <w:rsid w:val="00CA6E7F"/>
    <w:rsid w:val="00CA7A32"/>
    <w:rsid w:val="00CB0832"/>
    <w:rsid w:val="00CB38F8"/>
    <w:rsid w:val="00CB550D"/>
    <w:rsid w:val="00CC6F71"/>
    <w:rsid w:val="00CD4F3D"/>
    <w:rsid w:val="00CE6534"/>
    <w:rsid w:val="00CF75E9"/>
    <w:rsid w:val="00D06053"/>
    <w:rsid w:val="00D10804"/>
    <w:rsid w:val="00D23103"/>
    <w:rsid w:val="00D2760D"/>
    <w:rsid w:val="00D312C0"/>
    <w:rsid w:val="00D45C6F"/>
    <w:rsid w:val="00D54D68"/>
    <w:rsid w:val="00D60BA1"/>
    <w:rsid w:val="00D617E7"/>
    <w:rsid w:val="00D67D58"/>
    <w:rsid w:val="00D70E5C"/>
    <w:rsid w:val="00D71062"/>
    <w:rsid w:val="00D73B16"/>
    <w:rsid w:val="00D80EA7"/>
    <w:rsid w:val="00D8211E"/>
    <w:rsid w:val="00D93CCF"/>
    <w:rsid w:val="00D95337"/>
    <w:rsid w:val="00D96875"/>
    <w:rsid w:val="00DA141A"/>
    <w:rsid w:val="00DA5840"/>
    <w:rsid w:val="00DB0132"/>
    <w:rsid w:val="00DB4861"/>
    <w:rsid w:val="00DB4E95"/>
    <w:rsid w:val="00DC36D7"/>
    <w:rsid w:val="00DC37FC"/>
    <w:rsid w:val="00DD222B"/>
    <w:rsid w:val="00DD37D1"/>
    <w:rsid w:val="00DE4D0E"/>
    <w:rsid w:val="00DF0297"/>
    <w:rsid w:val="00E005FB"/>
    <w:rsid w:val="00E01957"/>
    <w:rsid w:val="00E07EF6"/>
    <w:rsid w:val="00E13880"/>
    <w:rsid w:val="00E14B2D"/>
    <w:rsid w:val="00E16782"/>
    <w:rsid w:val="00E167D6"/>
    <w:rsid w:val="00E23769"/>
    <w:rsid w:val="00E304D0"/>
    <w:rsid w:val="00E32098"/>
    <w:rsid w:val="00E358D9"/>
    <w:rsid w:val="00E52428"/>
    <w:rsid w:val="00E61EC6"/>
    <w:rsid w:val="00E638E5"/>
    <w:rsid w:val="00E813D6"/>
    <w:rsid w:val="00E81A5D"/>
    <w:rsid w:val="00E84CFD"/>
    <w:rsid w:val="00E9049A"/>
    <w:rsid w:val="00E92F0B"/>
    <w:rsid w:val="00E9506F"/>
    <w:rsid w:val="00EA2ACC"/>
    <w:rsid w:val="00EA5263"/>
    <w:rsid w:val="00EB1B4C"/>
    <w:rsid w:val="00EB4A84"/>
    <w:rsid w:val="00EB5290"/>
    <w:rsid w:val="00EE5D6E"/>
    <w:rsid w:val="00EF6399"/>
    <w:rsid w:val="00F214FC"/>
    <w:rsid w:val="00F23E3D"/>
    <w:rsid w:val="00F25243"/>
    <w:rsid w:val="00F30BF0"/>
    <w:rsid w:val="00F30DE4"/>
    <w:rsid w:val="00F35683"/>
    <w:rsid w:val="00F4015B"/>
    <w:rsid w:val="00F40C3D"/>
    <w:rsid w:val="00F479B6"/>
    <w:rsid w:val="00F47B1D"/>
    <w:rsid w:val="00F50DFD"/>
    <w:rsid w:val="00F72294"/>
    <w:rsid w:val="00F73E88"/>
    <w:rsid w:val="00F91D2B"/>
    <w:rsid w:val="00F94B8B"/>
    <w:rsid w:val="00FA20C3"/>
    <w:rsid w:val="00FB1E1F"/>
    <w:rsid w:val="00FC4865"/>
    <w:rsid w:val="00FC5A10"/>
    <w:rsid w:val="00FD714B"/>
    <w:rsid w:val="00FE1095"/>
    <w:rsid w:val="00FE2333"/>
    <w:rsid w:val="00FF3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4BE2B8"/>
  <w15:chartTrackingRefBased/>
  <w15:docId w15:val="{51AEF918-8962-4B50-BCC4-CEC8E20F8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435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5D6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35DE"/>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435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35D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435DE"/>
    <w:pPr>
      <w:spacing w:after="0" w:line="240" w:lineRule="auto"/>
      <w:ind w:left="720"/>
      <w:contextualSpacing/>
    </w:pPr>
    <w:rPr>
      <w:rFonts w:ascii="Liberation Serif" w:eastAsia="AR PL SungtiL GB" w:hAnsi="Liberation Serif" w:cs="Mangal"/>
      <w:kern w:val="2"/>
      <w:sz w:val="24"/>
      <w:szCs w:val="21"/>
      <w:lang w:eastAsia="zh-CN" w:bidi="hi-IN"/>
    </w:rPr>
  </w:style>
  <w:style w:type="paragraph" w:styleId="Header">
    <w:name w:val="header"/>
    <w:basedOn w:val="Normal"/>
    <w:link w:val="HeaderChar"/>
    <w:uiPriority w:val="99"/>
    <w:unhideWhenUsed/>
    <w:rsid w:val="00912F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F9C"/>
  </w:style>
  <w:style w:type="paragraph" w:styleId="Footer">
    <w:name w:val="footer"/>
    <w:basedOn w:val="Normal"/>
    <w:link w:val="FooterChar"/>
    <w:uiPriority w:val="99"/>
    <w:unhideWhenUsed/>
    <w:rsid w:val="00912F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F9C"/>
  </w:style>
  <w:style w:type="character" w:customStyle="1" w:styleId="Heading2Char">
    <w:name w:val="Heading 2 Char"/>
    <w:basedOn w:val="DefaultParagraphFont"/>
    <w:link w:val="Heading2"/>
    <w:uiPriority w:val="9"/>
    <w:rsid w:val="00EE5D6E"/>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8211E"/>
    <w:rPr>
      <w:color w:val="0563C1" w:themeColor="hyperlink"/>
      <w:u w:val="single"/>
    </w:rPr>
  </w:style>
  <w:style w:type="character" w:styleId="UnresolvedMention">
    <w:name w:val="Unresolved Mention"/>
    <w:basedOn w:val="DefaultParagraphFont"/>
    <w:uiPriority w:val="99"/>
    <w:semiHidden/>
    <w:unhideWhenUsed/>
    <w:rsid w:val="00D8211E"/>
    <w:rPr>
      <w:color w:val="605E5C"/>
      <w:shd w:val="clear" w:color="auto" w:fill="E1DFDD"/>
    </w:rPr>
  </w:style>
  <w:style w:type="character" w:styleId="PlaceholderText">
    <w:name w:val="Placeholder Text"/>
    <w:basedOn w:val="DefaultParagraphFont"/>
    <w:uiPriority w:val="99"/>
    <w:semiHidden/>
    <w:rsid w:val="000B2974"/>
    <w:rPr>
      <w:color w:val="808080"/>
    </w:rPr>
  </w:style>
  <w:style w:type="paragraph" w:styleId="Caption">
    <w:name w:val="caption"/>
    <w:basedOn w:val="Normal"/>
    <w:next w:val="Normal"/>
    <w:uiPriority w:val="35"/>
    <w:unhideWhenUsed/>
    <w:qFormat/>
    <w:rsid w:val="000A0F76"/>
    <w:pPr>
      <w:spacing w:after="200" w:line="240" w:lineRule="auto"/>
    </w:pPr>
    <w:rPr>
      <w:i/>
      <w:iCs/>
      <w:color w:val="44546A" w:themeColor="text2"/>
      <w:sz w:val="18"/>
      <w:szCs w:val="18"/>
    </w:rPr>
  </w:style>
  <w:style w:type="table" w:styleId="TableGrid">
    <w:name w:val="Table Grid"/>
    <w:basedOn w:val="TableNormal"/>
    <w:uiPriority w:val="39"/>
    <w:rsid w:val="003625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E3517"/>
    <w:rPr>
      <w:sz w:val="16"/>
      <w:szCs w:val="16"/>
    </w:rPr>
  </w:style>
  <w:style w:type="paragraph" w:styleId="CommentText">
    <w:name w:val="annotation text"/>
    <w:basedOn w:val="Normal"/>
    <w:link w:val="CommentTextChar"/>
    <w:uiPriority w:val="99"/>
    <w:unhideWhenUsed/>
    <w:rsid w:val="009E3517"/>
    <w:pPr>
      <w:spacing w:line="240" w:lineRule="auto"/>
    </w:pPr>
    <w:rPr>
      <w:sz w:val="20"/>
      <w:szCs w:val="20"/>
    </w:rPr>
  </w:style>
  <w:style w:type="character" w:customStyle="1" w:styleId="CommentTextChar">
    <w:name w:val="Comment Text Char"/>
    <w:basedOn w:val="DefaultParagraphFont"/>
    <w:link w:val="CommentText"/>
    <w:uiPriority w:val="99"/>
    <w:rsid w:val="009E3517"/>
    <w:rPr>
      <w:sz w:val="20"/>
      <w:szCs w:val="20"/>
    </w:rPr>
  </w:style>
  <w:style w:type="paragraph" w:styleId="CommentSubject">
    <w:name w:val="annotation subject"/>
    <w:basedOn w:val="CommentText"/>
    <w:next w:val="CommentText"/>
    <w:link w:val="CommentSubjectChar"/>
    <w:uiPriority w:val="99"/>
    <w:semiHidden/>
    <w:unhideWhenUsed/>
    <w:rsid w:val="009E3517"/>
    <w:rPr>
      <w:b/>
      <w:bCs/>
    </w:rPr>
  </w:style>
  <w:style w:type="character" w:customStyle="1" w:styleId="CommentSubjectChar">
    <w:name w:val="Comment Subject Char"/>
    <w:basedOn w:val="CommentTextChar"/>
    <w:link w:val="CommentSubject"/>
    <w:uiPriority w:val="99"/>
    <w:semiHidden/>
    <w:rsid w:val="009E3517"/>
    <w:rPr>
      <w:b/>
      <w:bCs/>
      <w:sz w:val="20"/>
      <w:szCs w:val="20"/>
    </w:rPr>
  </w:style>
  <w:style w:type="paragraph" w:styleId="Revision">
    <w:name w:val="Revision"/>
    <w:hidden/>
    <w:uiPriority w:val="99"/>
    <w:semiHidden/>
    <w:rsid w:val="00A95BB0"/>
    <w:pPr>
      <w:spacing w:after="0" w:line="240" w:lineRule="auto"/>
    </w:pPr>
  </w:style>
  <w:style w:type="paragraph" w:styleId="FootnoteText">
    <w:name w:val="footnote text"/>
    <w:basedOn w:val="Normal"/>
    <w:link w:val="FootnoteTextChar"/>
    <w:uiPriority w:val="99"/>
    <w:semiHidden/>
    <w:unhideWhenUsed/>
    <w:rsid w:val="00D2760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2760D"/>
    <w:rPr>
      <w:sz w:val="20"/>
      <w:szCs w:val="20"/>
    </w:rPr>
  </w:style>
  <w:style w:type="character" w:styleId="FootnoteReference">
    <w:name w:val="footnote reference"/>
    <w:basedOn w:val="DefaultParagraphFont"/>
    <w:uiPriority w:val="99"/>
    <w:semiHidden/>
    <w:unhideWhenUsed/>
    <w:rsid w:val="00D2760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84293">
      <w:bodyDiv w:val="1"/>
      <w:marLeft w:val="0"/>
      <w:marRight w:val="0"/>
      <w:marTop w:val="0"/>
      <w:marBottom w:val="0"/>
      <w:divBdr>
        <w:top w:val="none" w:sz="0" w:space="0" w:color="auto"/>
        <w:left w:val="none" w:sz="0" w:space="0" w:color="auto"/>
        <w:bottom w:val="none" w:sz="0" w:space="0" w:color="auto"/>
        <w:right w:val="none" w:sz="0" w:space="0" w:color="auto"/>
      </w:divBdr>
    </w:div>
    <w:div w:id="318584019">
      <w:bodyDiv w:val="1"/>
      <w:marLeft w:val="0"/>
      <w:marRight w:val="0"/>
      <w:marTop w:val="0"/>
      <w:marBottom w:val="0"/>
      <w:divBdr>
        <w:top w:val="none" w:sz="0" w:space="0" w:color="auto"/>
        <w:left w:val="none" w:sz="0" w:space="0" w:color="auto"/>
        <w:bottom w:val="none" w:sz="0" w:space="0" w:color="auto"/>
        <w:right w:val="none" w:sz="0" w:space="0" w:color="auto"/>
      </w:divBdr>
    </w:div>
    <w:div w:id="668479636">
      <w:bodyDiv w:val="1"/>
      <w:marLeft w:val="0"/>
      <w:marRight w:val="0"/>
      <w:marTop w:val="0"/>
      <w:marBottom w:val="0"/>
      <w:divBdr>
        <w:top w:val="none" w:sz="0" w:space="0" w:color="auto"/>
        <w:left w:val="none" w:sz="0" w:space="0" w:color="auto"/>
        <w:bottom w:val="none" w:sz="0" w:space="0" w:color="auto"/>
        <w:right w:val="none" w:sz="0" w:space="0" w:color="auto"/>
      </w:divBdr>
    </w:div>
    <w:div w:id="834733504">
      <w:bodyDiv w:val="1"/>
      <w:marLeft w:val="0"/>
      <w:marRight w:val="0"/>
      <w:marTop w:val="0"/>
      <w:marBottom w:val="0"/>
      <w:divBdr>
        <w:top w:val="none" w:sz="0" w:space="0" w:color="auto"/>
        <w:left w:val="none" w:sz="0" w:space="0" w:color="auto"/>
        <w:bottom w:val="none" w:sz="0" w:space="0" w:color="auto"/>
        <w:right w:val="none" w:sz="0" w:space="0" w:color="auto"/>
      </w:divBdr>
    </w:div>
    <w:div w:id="1546865695">
      <w:bodyDiv w:val="1"/>
      <w:marLeft w:val="0"/>
      <w:marRight w:val="0"/>
      <w:marTop w:val="0"/>
      <w:marBottom w:val="0"/>
      <w:divBdr>
        <w:top w:val="none" w:sz="0" w:space="0" w:color="auto"/>
        <w:left w:val="none" w:sz="0" w:space="0" w:color="auto"/>
        <w:bottom w:val="none" w:sz="0" w:space="0" w:color="auto"/>
        <w:right w:val="none" w:sz="0" w:space="0" w:color="auto"/>
      </w:divBdr>
    </w:div>
    <w:div w:id="1982154289">
      <w:bodyDiv w:val="1"/>
      <w:marLeft w:val="0"/>
      <w:marRight w:val="0"/>
      <w:marTop w:val="0"/>
      <w:marBottom w:val="0"/>
      <w:divBdr>
        <w:top w:val="none" w:sz="0" w:space="0" w:color="auto"/>
        <w:left w:val="none" w:sz="0" w:space="0" w:color="auto"/>
        <w:bottom w:val="none" w:sz="0" w:space="0" w:color="auto"/>
        <w:right w:val="none" w:sz="0" w:space="0" w:color="auto"/>
      </w:divBdr>
    </w:div>
    <w:div w:id="1994721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A64EA-417B-4882-B137-7E5D17896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TotalTime>
  <Pages>47</Pages>
  <Words>69264</Words>
  <Characters>394807</Characters>
  <Application>Microsoft Office Word</Application>
  <DocSecurity>0</DocSecurity>
  <Lines>3290</Lines>
  <Paragraphs>926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Foster</dc:creator>
  <cp:keywords/>
  <dc:description/>
  <cp:lastModifiedBy>Daniel Foster</cp:lastModifiedBy>
  <cp:revision>7</cp:revision>
  <dcterms:created xsi:type="dcterms:W3CDTF">2022-05-25T19:47:00Z</dcterms:created>
  <dcterms:modified xsi:type="dcterms:W3CDTF">2022-05-27T22:21:00Z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fa767aee-db51-350e-9b23-023fa2c56400</vt:lpwstr>
  </property>
  <property fmtid="{D5CDD505-2E9C-101B-9397-08002B2CF9AE}" pid="24" name="Mendeley Citation Style_1">
    <vt:lpwstr>http://www.zotero.org/styles/harvard-cite-them-right</vt:lpwstr>
  </property>
</Properties>
</file>