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04F921A8" w:rsidR="00F40C3D" w:rsidRPr="00105668" w:rsidRDefault="00912F9C" w:rsidP="002739B1">
      <w:pPr>
        <w:pStyle w:val="Title"/>
      </w:pPr>
      <w:commentRangeStart w:id="0"/>
      <w:r>
        <w:t>Demographic</w:t>
      </w:r>
      <w:commentRangeEnd w:id="0"/>
      <w:r w:rsidR="000B15A1">
        <w:rPr>
          <w:rStyle w:val="CommentReference"/>
          <w:rFonts w:asciiTheme="minorHAnsi" w:eastAsiaTheme="minorHAnsi" w:hAnsiTheme="minorHAnsi" w:cstheme="minorBidi"/>
          <w:spacing w:val="0"/>
          <w:kern w:val="0"/>
        </w:rPr>
        <w:commentReference w:id="0"/>
      </w:r>
      <w:r>
        <w:t xml:space="preserve"> status, trajectory, and stressors</w:t>
      </w:r>
      <w:r w:rsidR="002435DE">
        <w:t xml:space="preserve"> of </w:t>
      </w:r>
      <w:r w:rsidR="002435DE" w:rsidRPr="00912F9C">
        <w:rPr>
          <w:i/>
          <w:iCs/>
        </w:rPr>
        <w:t>Pinus lambertiana</w:t>
      </w:r>
      <w:r w:rsidR="00105668">
        <w:t xml:space="preserve"> across the western USA</w:t>
      </w:r>
    </w:p>
    <w:p w14:paraId="4FC52404" w14:textId="59038CFC" w:rsidR="002435DE" w:rsidRDefault="002435DE" w:rsidP="00E01957">
      <w:pPr>
        <w:spacing w:line="360" w:lineRule="auto"/>
      </w:pPr>
    </w:p>
    <w:p w14:paraId="2F37AD4C" w14:textId="460F6C0A" w:rsidR="002B0C18" w:rsidRDefault="002B0C18" w:rsidP="00E01957">
      <w:pPr>
        <w:pStyle w:val="Heading1"/>
        <w:spacing w:line="360" w:lineRule="auto"/>
      </w:pPr>
      <w:r>
        <w:t>Abstract</w:t>
      </w:r>
    </w:p>
    <w:p w14:paraId="58B08609" w14:textId="727EE292" w:rsidR="002B0C18" w:rsidRPr="002B0C18" w:rsidRDefault="002B0C18" w:rsidP="009D1E6E">
      <w:pPr>
        <w:spacing w:line="360" w:lineRule="auto"/>
      </w:pPr>
      <w:r w:rsidRPr="002B0C18">
        <w:t>Sugar pine (</w:t>
      </w:r>
      <w:r w:rsidRPr="009D1E6E">
        <w:rPr>
          <w:i/>
          <w:iCs/>
        </w:rPr>
        <w:t>Pinus lambertiana</w:t>
      </w:r>
      <w:r w:rsidRPr="002B0C18">
        <w:t>) is the largest Pinus species, an important timber species, and a component of several dry conifer forest types of western North America, in particular the extensive Sierra Nevada mixed conifer forest. The species faces several challenges in the Anthropocene, including a disrupted fire regime, an invasive pathogen, forest structure changes, and drought with ensuing bark beetle epidemics. Managers are concerned about the conservation outlook for sugar pine, but it is unclear where and how to best invest conservation resources. In this study, we use data from the US Forest Service's Forest Inventory and Analysis dataset to assess how these various stressors shape the vital rates (survival, growth, and fecundity) of sugar pine across the vast majority of its range. We synthesize the vital rate functions by constructing an integral projection model which predicts the effects of various stressors on the asymptotic population growth rate. The analysis reveals that wildfire and forest density are key drivers of the demographic rates of sugar pine across its range. Fire has strong negative effects on survival and reduces the growth of surviving large trees, resulting in a negative asymptotic population growth rate on burned sites. Conversely, lower than average forest density (neighborhood basal area) results in a positive population growth rate via beneficial effects on growth and fecundity.</w:t>
      </w:r>
      <w:r w:rsidR="008469C9">
        <w:t xml:space="preserve"> </w:t>
      </w:r>
      <w:r w:rsidR="008469C9" w:rsidRPr="008469C9">
        <w:t>These results highlight the value of fire hazard mitigation, particularly where it also reduces forest density, in the conservation of this important species.</w:t>
      </w:r>
    </w:p>
    <w:p w14:paraId="5D418BAA" w14:textId="5A63516D" w:rsidR="002435DE" w:rsidRDefault="002435DE" w:rsidP="00E01957">
      <w:pPr>
        <w:pStyle w:val="Heading1"/>
        <w:spacing w:line="360" w:lineRule="auto"/>
      </w:pPr>
      <w:commentRangeStart w:id="1"/>
      <w:r>
        <w:t>Introduction</w:t>
      </w:r>
      <w:commentRangeEnd w:id="1"/>
      <w:r w:rsidR="00A95BB0">
        <w:rPr>
          <w:rStyle w:val="CommentReference"/>
          <w:rFonts w:asciiTheme="minorHAnsi" w:eastAsiaTheme="minorHAnsi" w:hAnsiTheme="minorHAnsi" w:cstheme="minorBidi"/>
          <w:color w:val="auto"/>
        </w:rPr>
        <w:commentReference w:id="1"/>
      </w:r>
    </w:p>
    <w:p w14:paraId="1EE45711" w14:textId="19767269" w:rsidR="00192E71" w:rsidRDefault="00192E71" w:rsidP="009971A5">
      <w:pPr>
        <w:spacing w:line="360" w:lineRule="auto"/>
        <w:ind w:firstLine="720"/>
      </w:pPr>
      <w:r>
        <w:t xml:space="preserve">Novel Anthropogenic stressors threaten species but may be amenable to management </w:t>
      </w:r>
      <w:r>
        <w:fldChar w:fldCharType="begin" w:fldLock="1"/>
      </w:r>
      <w:r w:rsidR="00206D93">
        <w:instrText>ADDIN CSL_CITATION {"citationItems":[{"id":"ITEM-1","itemData":{"DOI":"10.1126/science.aaa9933","ISSN":"10959203","PMID":"26293954","abstract":"Although disturbances such as fire and native insects can contribute to natural dynamics of forest health, exceptional droughts, directly and in combination with other disturbance factors, are pushing some temperate forests beyond thresholds of sustainability. Interactions from increasing temperatures, drought, native insects and pathogens, and uncharacteristically severe wildfire are resulting in forest mortality beyond the levels of 20th-century experience. Additional anthropogenic stressors, such as atmospheric pollution and invasive species, further weaken trees in some regions. Although continuing climate change will likely drive many areas of temperate forest toward large-scale transformations, management actions can help ease transitions and minimize losses of socially valued ecosystem services.","author":[{"dropping-particle":"","family":"Millar","given":"Constance I.","non-dropping-particle":"","parse-names":false,"suffix":""},{"dropping-particle":"","family":"Stephenson","given":"Nathan L.","non-dropping-particle":"","parse-names":false,"suffix":""}],"container-title":"Science","id":"ITEM-1","issue":"6250","issued":{"date-parts":[["2015"]]},"note":"see esp refs: 14, 28, 30","page":"823-826","title":"Temperate forest health in an era of emerging megadisturbance","type":"article-journal","volume":"349"},"uris":["http://www.mendeley.com/documents/?uuid=6a47f147-54b1-4a86-8bea-f875dc96abcb"]},{"id":"ITEM-2","itemData":{"DOI":"10.1002/eap.2432","ISSN":"1051-0761","abstract":"ABSTRACT Forest landscapes across western North America (wNA) have experienced extensive changes over the last two centuries, while climatic warming has become a global reality over the last 4 decades. Resulting interactions between historical increases in forested area and density and recent rapid warming, increasing insect mortality, and wildfire burned areas, are now leading to substantial abrupt landscape alterations. These outcomes are forcing forest planners and managers to identify strategies that can modify future outcomes that are ecologically and/or socially undesirable. Past forest management, including widespread harvest of fire- and climate-tolerant large old trees and old forests, fire exclusion (both Indigenous and lightning ignitions), and highly effective wildfire suppression have contributed to the current state of wNA forests. These practices were successful at meeting short-term demands, but they match poorly to modern realities. Hagmann et al. (in press) review a century of observations and multi-scale, multi-proxy research evidence that details widespread changes in forested landscapes and wildfire regimes since the influx of European colonists. Over the preceding 10 millennia, large areas of wNA were already settled and proactively managed with intentional burning by Indigenous tribes. Prichard et al. (in press) then review the research on management practices historically applied by Indigenous tribes and currently applied by some managers to intentionally manage forests for resilient conditions. They address ten questions surrounding the application and relevance of these management practices. Here, we highlight the main findings of both papers and offer recommendations for management. We discuss progress paralysis that often occurs with strict adherence to the precautionary principle; offer insights for dealing with the common problem of irreducible uncertainty and suggestions for reframing management and policy direction; and identify key knowledge gaps and research needs.","author":[{"dropping-particle":"","family":"Hessburg","given":"Paul F.","non-dropping-particle":"","parse-names":false,"suffix":""},{"dropping-particle":"","family":"Prichard","given":"Susan J.","non-dropping-particle":"","parse-names":false,"suffix":""},{"dropping-particle":"","family":"Hagmann","given":"R. Keala","non-dropping-particle":"","parse-names":false,"suffix":""},{"dropping-particle":"","family":"Povak","given":"Nicholas A.","non-dropping-particle":"","parse-names":false,"suffix":""},{"dropping-particle":"","family":"Lake","given":"Frank K.","non-dropping-particle":"","parse-names":false,"suffix":""}],"container-title":"Ecological Applications","id":"ITEM-2","issue":"0","issued":{"date-parts":[["2021"]]},"title":"Wildfire and climate change adaptation of western North American forests: a case for intentional management","type":"article-journal","volume":"0"},"uris":["http://www.mendeley.com/documents/?uuid=c9f4c867-91e6-4f4d-929f-ec42f2969fc9"]}],"mendeley":{"formattedCitation":"(Millar and Stephenson, 2015; Hessburg &lt;i&gt;et al.&lt;/i&gt;, 2021)","plainTextFormattedCitation":"(Millar and Stephenson, 2015; Hessburg et al., 2021)","previouslyFormattedCitation":"(Millar and Stephenson, 2015; Hessburg &lt;i&gt;et al.&lt;/i&gt;, 2021)"},"properties":{"noteIndex":0},"schema":"https://github.com/citation-style-language/schema/raw/master/csl-citation.json"}</w:instrText>
      </w:r>
      <w:r>
        <w:fldChar w:fldCharType="separate"/>
      </w:r>
      <w:r w:rsidR="00206D93" w:rsidRPr="00206D93">
        <w:rPr>
          <w:noProof/>
        </w:rPr>
        <w:t xml:space="preserve">(Millar and Stephenson, 2015; Hessburg </w:t>
      </w:r>
      <w:r w:rsidR="00206D93" w:rsidRPr="00206D93">
        <w:rPr>
          <w:i/>
          <w:noProof/>
        </w:rPr>
        <w:t>et al.</w:t>
      </w:r>
      <w:r w:rsidR="00206D93" w:rsidRPr="00206D93">
        <w:rPr>
          <w:noProof/>
        </w:rPr>
        <w:t>, 2021)</w:t>
      </w:r>
      <w:r>
        <w:fldChar w:fldCharType="end"/>
      </w:r>
      <w:r>
        <w:t>. However, conservation resources are scarce, so it is often necessary to prioritize some stressors over others</w:t>
      </w:r>
      <w:r w:rsidR="00206D93">
        <w:t xml:space="preserve"> </w:t>
      </w:r>
      <w:r w:rsidR="00206D93">
        <w:fldChar w:fldCharType="begin" w:fldLock="1"/>
      </w:r>
      <w:r w:rsidR="00D46E1C">
        <w:instrText>ADDIN CSL_CITATION {"citationItems":[{"id":"ITEM-1","itemData":{"author":[{"dropping-particle":"","family":"Panek","given":"J A","non-dropping-particle":"","parse-names":false,"suffix":""},{"dropping-particle":"","family":"Austin","given":"J T","non-dropping-particle":"","parse-names":false,"suffix":""},{"dropping-particle":"","family":"Battles","given":"J J","non-dropping-particle":"","parse-names":false,"suffix":""},{"dropping-particle":"","family":"Nydick","given":"K R","non-dropping-particle":"","parse-names":false,"suffix":""},{"dropping-particle":"","family":"Esperanza","given":"A M","non-dropping-particle":"","parse-names":false,"suffix":""},{"dropping-particle":"","family":"Saah","given":"D S","non-dropping-particle":"","parse-names":false,"suffix":""},{"dropping-particle":"","family":"Sydoriak","given":"C A","non-dropping-particle":"","parse-names":false,"suffix":""}],"container-title":"Natural Resource Report NPS/SEKI/NRR—2012","id":"ITEM-1","issued":{"date-parts":[["2012"]]},"title":"A natural resource condition assessment for Sequoia and Kings Canyon National Parks","type":"article-journal"},"uris":["http://www.mendeley.com/documents/?uuid=c6dd64d8-162e-4b58-b8bc-8f7c64b96d89"]},{"id":"ITEM-2","itemData":{"DOI":"10.1016/j.foreco.2018.09.007","ISBN":"9781594770913","ISSN":"03781127","abstract":"The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author":[{"dropping-particle":"","family":"North","given":"Malcolm","non-dropping-particle":"","parse-names":false,"suffix":""},{"dropping-particle":"","family":"Stine","given":"Peter","non-dropping-particle":"","parse-names":false,"suffix":""},{"dropping-particle":"","family":"O'Hara","given":"Kevin","non-dropping-particle":"","parse-names":false,"suffix":""},{"dropping-particle":"","family":"Zielinski","given":"William","non-dropping-particle":"","parse-names":false,"suffix":""},{"dropping-particle":"","family":"Stephens","given":"Scott","non-dropping-particle":"","parse-names":false,"suffix":""},{"dropping-particle":"","family":"Service","given":"Forest","non-dropping-particle":"","parse-names":false,"suffix":""},{"dropping-particle":"","family":"Hara","given":"Kevin O","non-dropping-particle":"","parse-names":false,"suffix":""}],"container-title":"USDA Forest Service, Pacific Southwest Research Station, General Technical Report","id":"ITEM-3","issue":"March","issued":{"date-parts":[["2009"]]},"page":"PSW-GTR-220","title":"An ecosystem management strategy for Sierran mixed- conifer forests","type":"article-journal"},"uris":["http://www.mendeley.com/documents/?uuid=94819ab6-04af-446d-9075-82ab2aa22223"]}],"mendeley":{"formattedCitation":"(North &lt;i&gt;et al.&lt;/i&gt;, 2009, 2019; Panek &lt;i&gt;et al.&lt;/i&gt;, 2012)","plainTextFormattedCitation":"(North et al., 2009, 2019; Panek et al., 2012)","previouslyFormattedCitation":"(North &lt;i&gt;et al.&lt;/i&gt;, 2009, 2019; Panek &lt;i&gt;et al.&lt;/i&gt;, 2012)"},"properties":{"noteIndex":0},"schema":"https://github.com/citation-style-language/schema/raw/master/csl-citation.json"}</w:instrText>
      </w:r>
      <w:r w:rsidR="00206D93">
        <w:fldChar w:fldCharType="separate"/>
      </w:r>
      <w:r w:rsidR="00D46E1C" w:rsidRPr="00D46E1C">
        <w:rPr>
          <w:noProof/>
        </w:rPr>
        <w:t xml:space="preserve">(North </w:t>
      </w:r>
      <w:r w:rsidR="00D46E1C" w:rsidRPr="00D46E1C">
        <w:rPr>
          <w:i/>
          <w:noProof/>
        </w:rPr>
        <w:t>et al.</w:t>
      </w:r>
      <w:r w:rsidR="00D46E1C" w:rsidRPr="00D46E1C">
        <w:rPr>
          <w:noProof/>
        </w:rPr>
        <w:t xml:space="preserve">, 2009, 2019; Panek </w:t>
      </w:r>
      <w:r w:rsidR="00D46E1C" w:rsidRPr="00D46E1C">
        <w:rPr>
          <w:i/>
          <w:noProof/>
        </w:rPr>
        <w:t>et al.</w:t>
      </w:r>
      <w:r w:rsidR="00D46E1C" w:rsidRPr="00D46E1C">
        <w:rPr>
          <w:noProof/>
        </w:rPr>
        <w:t>, 2012)</w:t>
      </w:r>
      <w:r w:rsidR="00206D93">
        <w:fldChar w:fldCharType="end"/>
      </w:r>
      <w:r>
        <w:t>. Demographic models built around large-scale longitudinal datasets (such as the Forest Inventory and Analysis, or FIA, dataset) can provide detailed insight into how stressors impact species of concern across wide geographic ranges</w:t>
      </w:r>
      <w:r w:rsidR="00D46E1C">
        <w:t xml:space="preserve"> </w:t>
      </w:r>
      <w:r w:rsidR="00D46E1C">
        <w:fldChar w:fldCharType="begin" w:fldLock="1"/>
      </w:r>
      <w:r w:rsidR="00213CB6">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B.","non-dropping-particle":"","parse-names":false,"suffix":""}],"container-title":"Ecology","id":"ITEM-2","issue":"0","issued":{"date-parts":[["2021"]]},"page":"1-12","title":"Quantifying the demographic vulnerabilities of dry woodlands to climate and competition using range‐wide monitoring data","type":"article-journal","volume":"0"},"uris":["http://www.mendeley.com/documents/?uuid=11821100-49dc-46c9-bda1-134da21a5ab2"]}],"mendeley":{"formattedCitation":"(Davis &lt;i&gt;et al.&lt;/i&gt;, 2019; Shriver &lt;i&gt;et al.&lt;/i&gt;, 2021)","plainTextFormattedCitation":"(Davis et al., 2019; Shriver et al., 2021)","previouslyFormattedCitation":"(Davis &lt;i&gt;et al.&lt;/i&gt;, 2019; Shriver &lt;i&gt;et al.&lt;/i&gt;, 2021)"},"properties":{"noteIndex":0},"schema":"https://github.com/citation-style-language/schema/raw/master/csl-citation.json"}</w:instrText>
      </w:r>
      <w:r w:rsidR="00D46E1C">
        <w:fldChar w:fldCharType="separate"/>
      </w:r>
      <w:r w:rsidR="00213CB6" w:rsidRPr="00213CB6">
        <w:rPr>
          <w:noProof/>
        </w:rPr>
        <w:t xml:space="preserve">(Davis </w:t>
      </w:r>
      <w:r w:rsidR="00213CB6" w:rsidRPr="00213CB6">
        <w:rPr>
          <w:i/>
          <w:noProof/>
        </w:rPr>
        <w:t>et al.</w:t>
      </w:r>
      <w:r w:rsidR="00213CB6" w:rsidRPr="00213CB6">
        <w:rPr>
          <w:noProof/>
        </w:rPr>
        <w:t xml:space="preserve">, 2019; Shriver </w:t>
      </w:r>
      <w:r w:rsidR="00213CB6" w:rsidRPr="00213CB6">
        <w:rPr>
          <w:i/>
          <w:noProof/>
        </w:rPr>
        <w:t>et al.</w:t>
      </w:r>
      <w:r w:rsidR="00213CB6" w:rsidRPr="00213CB6">
        <w:rPr>
          <w:noProof/>
        </w:rPr>
        <w:t>, 2021)</w:t>
      </w:r>
      <w:r w:rsidR="00D46E1C">
        <w:fldChar w:fldCharType="end"/>
      </w:r>
      <w:r>
        <w:t xml:space="preserve">. </w:t>
      </w:r>
      <w:r w:rsidR="00D46E1C">
        <w:t>In this paper, we</w:t>
      </w:r>
      <w:r>
        <w:t xml:space="preserve"> </w:t>
      </w:r>
      <w:r w:rsidR="00D46E1C">
        <w:t xml:space="preserve">fit vital rate </w:t>
      </w:r>
      <w:r w:rsidR="00D46E1C">
        <w:lastRenderedPageBreak/>
        <w:t>models including key stressors</w:t>
      </w:r>
      <w:r w:rsidR="00213CB6">
        <w:t>. By</w:t>
      </w:r>
      <w:r>
        <w:t xml:space="preserve"> </w:t>
      </w:r>
      <w:r w:rsidR="00213CB6">
        <w:t>comparing</w:t>
      </w:r>
      <w:r>
        <w:t xml:space="preserve"> their effects on vital rates and demographic summary statistics (such as the asymptotic population growth rate), we can assess the relative importance of the stressors and highlight the mechanisms by which they influence the population trajectory. Findings from </w:t>
      </w:r>
      <w:r w:rsidR="00213CB6">
        <w:t>such demographic</w:t>
      </w:r>
      <w:r>
        <w:t xml:space="preserve"> analys</w:t>
      </w:r>
      <w:r w:rsidR="00213CB6">
        <w:t>e</w:t>
      </w:r>
      <w:r>
        <w:t>s can provide crucial information about how best to prioritize varied stressors in making management decisions</w:t>
      </w:r>
      <w:r w:rsidR="00D46E1C">
        <w:t xml:space="preserve"> </w:t>
      </w:r>
      <w:r w:rsidR="00D46E1C">
        <w:fldChar w:fldCharType="begin" w:fldLock="1"/>
      </w:r>
      <w:r w:rsidR="00213CB6">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disturbance","type":"article-journal","volume":"22"},"uris":["http://www.mendeley.com/documents/?uuid=2b5cea9f-f1cc-4605-9928-78a2aa0932f7"]},{"id":"ITEM-2","itemData":{"DOI":"10.1016/j.foreco.2022.120088","ISSN":"03781127","abstract":"Drought-induced tree mortality is predicted to increase in dry forests across the globe as future projections show hotter, drier climates. This could potentially result in large-scale tree die-offs, changes in species composition, and loss of forest ecosystem services, including carbon storage. While some studies have found that forest stands with greater basal areas (BA) have higher drought mortality, many have not evaluated the extent to which forests restored to lower densities via restoration activities affect drought mortality. The southwestern USA is particularly susceptible to tree mortality due to the predicted increases in temperature, drier soils, and forests with high density. Our objective was to evaluate how ponderosa pine mortality is expected to be influenced by the Four Forests Restoration Initiative (4FRI), a large-scale forest restoration effort ongoing in northern Arizona, USA, that will reduce stand BA by approximately 40%. Specifically, we modeled drought mortality in three time periods, one contemporary (1970–2010), and two future (2020–2059 and 2060–2099) under three restoration scenarios: no thinning, 4FRI thinning, and a BA reduction beyond the 4FRI plan (4FRI-intensive). We estimated mortality using 11 climate models under two emissions scenarios. Without thinning, our model predicted that by mid-century (2020–2059), changes in climate could increase annual ponderosa pine mortality rates by 45–57% over contemporary rates. However, with thinning, mid-century mortality was predicted to remain near or below contemporary rates and these rates are 31–35% (4FRI) and 46–51% (4FRI-intensive) less than the mid-century scenarios without thinning. Our study shows that while climate change is likely to increase tree mortality rates, large-scale forest restoration projects, such as 4FRI, have the potential to ameliorate the effects of climate change and keep mortality rates near contemporary levels for decades.","author":[{"dropping-particle":"","family":"McCauley","given":"Lisa A.","non-dropping-particle":"","parse-names":false,"suffix":""},{"dropping-particle":"","family":"Bradford","given":"John B.","non-dropping-particle":"","parse-names":false,"suffix":""},{"dropping-particle":"","family":"Robles","given":"Marcos D.","non-dropping-particle":"","parse-names":false,"suffix":""},{"dropping-particle":"","family":"Shriver","given":"Robert K.","non-dropping-particle":"","parse-names":false,"suffix":""},{"dropping-particle":"","family":"Woolley","given":"Travis J.","non-dropping-particle":"","parse-names":false,"suffix":""},{"dropping-particle":"","family":"Andrews","given":"Caitlin A.","non-dropping-particle":"","parse-names":false,"suffix":""}],"container-title":"Forest Ecology and Management","id":"ITEM-2","issue":"February","issued":{"date-parts":[["2022"]]},"page":"120088","publisher":"Elsevier B.V.","title":"Landscape-scale forest restoration decreases vulnerability to drought mortality under climate change in southwest USA ponderosa forest","type":"article-journal","volume":"509"},"uris":["http://www.mendeley.com/documents/?uuid=32e3ea94-03d4-42f6-8877-46356028669c"]},{"id":"ITEM-3","itemData":{"DOI":"10.1111/1365-2664.14073","ISSN":"13652664","abstract":"The future of dry forests around the world is uncertain given predictions that rising temperatures and enhanced aridity will increase drought-induced tree mortality. Using forest management and ecological restoration to reduce density and competition for water offers one of the few pathways that forests managers can potentially minimize drought-induced tree mortality. Competition for water during drought leads to elevated tree mortality in dense stands, although the influence of density on heat-induced stress and the durations of hot or dry conditions that most impact mortality remain unclear. Understanding how competition interacts with hot-drought stress is essential to recognize how, where and how much reducing density can help sustain dry forests in a rapidly changing world. Here, we integrated repeat measurements of 28,881 ponderosa pine trees across the western US (2000–2017) with soil moisture estimates from a water balance model to examine how annual mortality responds to competition, temperature and soil moisture conditions. Tree mortality responded most strongly to basal area, and was elevated in places with high mean temperatures, unusually hot 7-year high temperature anomalies, and unusually dry 8-year low soil moisture anomalies. Mortality was also lower in places that experienced unusually wet 3-year soil moisture anomalies between measurements. Importantly, we found that basal area interacts with temperature and soil moisture, exacerbating mortality during times of stress imposed by high temperature or low moisture. Synthesis and applications. Our results imply that a 50% reduction in forest basal area could reduce drought-driven tree mortality by 20%–80%. The largest impacts of density reduction are seen in areas with high current basal area and places that experience high temperatures and/or severe multiyear droughts. These interactions between competition and drought are critical to understand past and future patterns of tree mortality in the context of climate change, and provide information for resource managers seeking to enhance dry forest drought resistance.","author":[{"dropping-particle":"","family":"Bradford","given":"John B.","non-dropping-particle":"","parse-names":false,"suffix":""},{"dropping-particle":"","family":"Shriver","given":"Robert K.","non-dropping-particle":"","parse-names":false,"suffix":""},{"dropping-particle":"","family":"Robles","given":"Marcos D.","non-dropping-particle":"","parse-names":false,"suffix":""},{"dropping-particle":"","family":"McCauley","given":"Lisa A.","non-dropping-particle":"","parse-names":false,"suffix":""},{"dropping-particle":"","family":"Woolley","given":"Travis J.","non-dropping-particle":"","parse-names":false,"suffix":""},{"dropping-particle":"","family":"Andrews","given":"Caitlin A.","non-dropping-particle":"","parse-names":false,"suffix":""},{"dropping-particle":"","family":"Crimmins","given":"Michael","non-dropping-particle":"","parse-names":false,"suffix":""},{"dropping-particle":"","family":"Bell","given":"David M.","non-dropping-particle":"","parse-names":false,"suffix":""}],"container-title":"Journal of Applied Ecology","id":"ITEM-3","issue":"2","issued":{"date-parts":[["2022"]]},"page":"549-559","title":"Tree mortality response to drought-density interactions suggests opportunities to enhance drought resistance","type":"article-journal","volume":"59"},"uris":["http://www.mendeley.com/documents/?uuid=b5c155df-c555-4ef7-9f91-84c15344a5b7"]}],"mendeley":{"formattedCitation":"(Shriver &lt;i&gt;et al.&lt;/i&gt;, 2019; Bradford &lt;i&gt;et al.&lt;/i&gt;, 2022; McCauley &lt;i&gt;et al.&lt;/i&gt;, 2022)","plainTextFormattedCitation":"(Shriver et al., 2019; Bradford et al., 2022; McCauley et al., 2022)","previouslyFormattedCitation":"(Shriver &lt;i&gt;et al.&lt;/i&gt;, 2019)"},"properties":{"noteIndex":0},"schema":"https://github.com/citation-style-language/schema/raw/master/csl-citation.json"}</w:instrText>
      </w:r>
      <w:r w:rsidR="00D46E1C">
        <w:fldChar w:fldCharType="separate"/>
      </w:r>
      <w:r w:rsidR="00213CB6" w:rsidRPr="00213CB6">
        <w:rPr>
          <w:noProof/>
        </w:rPr>
        <w:t xml:space="preserve">(Shriver </w:t>
      </w:r>
      <w:r w:rsidR="00213CB6" w:rsidRPr="00213CB6">
        <w:rPr>
          <w:i/>
          <w:noProof/>
        </w:rPr>
        <w:t>et al.</w:t>
      </w:r>
      <w:r w:rsidR="00213CB6" w:rsidRPr="00213CB6">
        <w:rPr>
          <w:noProof/>
        </w:rPr>
        <w:t xml:space="preserve">, 2019; Bradford </w:t>
      </w:r>
      <w:r w:rsidR="00213CB6" w:rsidRPr="00213CB6">
        <w:rPr>
          <w:i/>
          <w:noProof/>
        </w:rPr>
        <w:t>et al.</w:t>
      </w:r>
      <w:r w:rsidR="00213CB6" w:rsidRPr="00213CB6">
        <w:rPr>
          <w:noProof/>
        </w:rPr>
        <w:t xml:space="preserve">, 2022; McCauley </w:t>
      </w:r>
      <w:r w:rsidR="00213CB6" w:rsidRPr="00213CB6">
        <w:rPr>
          <w:i/>
          <w:noProof/>
        </w:rPr>
        <w:t>et al.</w:t>
      </w:r>
      <w:r w:rsidR="00213CB6" w:rsidRPr="00213CB6">
        <w:rPr>
          <w:noProof/>
        </w:rPr>
        <w:t>, 2022)</w:t>
      </w:r>
      <w:r w:rsidR="00D46E1C">
        <w:fldChar w:fldCharType="end"/>
      </w:r>
      <w:r>
        <w:t>.</w:t>
      </w:r>
    </w:p>
    <w:p w14:paraId="7B9D2987" w14:textId="4B4C6A8C" w:rsidR="002435DE" w:rsidRDefault="00D070A9" w:rsidP="009971A5">
      <w:pPr>
        <w:spacing w:line="360" w:lineRule="auto"/>
        <w:ind w:firstLine="720"/>
      </w:pPr>
      <w:commentRangeStart w:id="2"/>
      <w:r>
        <w:t>Like many other plant and animal species, Sugar pine faces numerous challenges in the Anthropocene</w:t>
      </w:r>
      <w:commentRangeEnd w:id="2"/>
      <w:r>
        <w:rPr>
          <w:rStyle w:val="CommentReference"/>
        </w:rPr>
        <w:commentReference w:id="2"/>
      </w:r>
      <w:r>
        <w:t xml:space="preserve">, and managers and policymakers are concerned about the future status of the species </w:t>
      </w:r>
      <w:r>
        <w:fldChar w:fldCharType="begin" w:fldLock="1"/>
      </w:r>
      <w:r>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fldChar w:fldCharType="separate"/>
      </w:r>
      <w:r w:rsidRPr="00EB4A84">
        <w:rPr>
          <w:noProof/>
        </w:rPr>
        <w:t>(Kinloch Jr., Marosy and Huddleston, 1996)</w:t>
      </w:r>
      <w:r>
        <w:fldChar w:fldCharType="end"/>
      </w:r>
      <w:r>
        <w:t xml:space="preserve">. </w:t>
      </w:r>
      <w:commentRangeStart w:id="3"/>
      <w:r w:rsidR="002435DE">
        <w:t>Sugar pine (</w:t>
      </w:r>
      <w:r w:rsidR="002435DE" w:rsidRPr="00F701A7">
        <w:rPr>
          <w:i/>
          <w:iCs/>
        </w:rPr>
        <w:t>Pinus lambertiana</w:t>
      </w:r>
      <w:r w:rsidR="002435DE">
        <w:t>) is the largest Pinus species, an important timber species, and a component of several dry western conifer forest types</w:t>
      </w:r>
      <w:r w:rsidR="009971A5">
        <w:t>. In</w:t>
      </w:r>
      <w:r w:rsidR="002435DE">
        <w:t xml:space="preserve"> the extensive Sierra Nevada Mixed Conifer forest</w:t>
      </w:r>
      <w:r w:rsidR="00533EAF">
        <w:t>,</w:t>
      </w:r>
      <w:r w:rsidR="002435DE">
        <w:t xml:space="preserve"> </w:t>
      </w:r>
      <w:r w:rsidR="00533EAF">
        <w:t>sugar pine</w:t>
      </w:r>
      <w:r w:rsidR="002435DE">
        <w:t xml:space="preserve"> typically composes 5-25% of basal area </w:t>
      </w:r>
      <w:r w:rsidR="00420927">
        <w:fldChar w:fldCharType="begin" w:fldLock="1"/>
      </w:r>
      <w:r w:rsidR="002C19B3">
        <w:instrText>ADDIN CSL_CITATION {"citationItems":[{"id":"ITEM-1","itemData":{"author":[{"dropping-particle":"","family":"Kinloch","given":"Bohun B","non-dropping-particle":"","parse-names":false,"suffix":""},{"dropping-particle":"","family":"Scheuner","given":"William H","non-dropping-particle":"","parse-names":false,"suffix":""}],"container-title":"Silvics of North America 1","id":"ITEM-1","issued":{"date-parts":[["1990"]]},"page":"370-380","title":"Pinus lambertiana Dougl.","type":"chapter"},"uris":["http://www.mendeley.com/documents/?uuid=5479eee3-07f9-42cf-896b-73906ebcc0a6"]},{"id":"ITEM-2","itemData":{"author":[{"dropping-particle":"","family":"Safford","given":"Hugh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Oregon","type":"article-journal","volume":"273"},"uris":["http://www.mendeley.com/documents/?uuid=57513bd6-50dd-45ab-81a2-2f825c133caf"]}],"mendeley":{"formattedCitation":"(Kinloch and Scheuner, 1990; Safford and Stevens, 2017; Bohlman, Safford and Skinner, 2021)","plainTextFormattedCitation":"(Kinloch and Scheuner, 1990; Safford and Stevens, 2017; Bohlman, Safford and Skinner, 2021)","previouslyFormattedCitation":"(Kinloch and Scheuner, 1990; Safford and Stevens, 2017; Bohlman, Safford and Skinner, 2021)"},"properties":{"noteIndex":0},"schema":"https://github.com/citation-style-language/schema/raw/master/csl-citation.json"}</w:instrText>
      </w:r>
      <w:r w:rsidR="00420927">
        <w:fldChar w:fldCharType="separate"/>
      </w:r>
      <w:r w:rsidR="00EB4A84" w:rsidRPr="00EB4A84">
        <w:rPr>
          <w:noProof/>
        </w:rPr>
        <w:t>(Kinloch and Scheuner, 1990; Safford and Stevens, 2017; Bohlman, Safford and Skinner, 2021)</w:t>
      </w:r>
      <w:r w:rsidR="00420927">
        <w:fldChar w:fldCharType="end"/>
      </w:r>
      <w:commentRangeEnd w:id="3"/>
      <w:r w:rsidR="00105668">
        <w:rPr>
          <w:rStyle w:val="CommentReference"/>
        </w:rPr>
        <w:commentReference w:id="3"/>
      </w:r>
      <w:r w:rsidR="002435DE">
        <w:t>. Its range extends through much of the North American Mediterranean zone throughout mountain ranges in California</w:t>
      </w:r>
      <w:r w:rsidR="00105668">
        <w:t>,</w:t>
      </w:r>
      <w:r w:rsidR="002435DE">
        <w:t xml:space="preserve"> central Oregon, </w:t>
      </w:r>
      <w:r w:rsidR="00105668">
        <w:t>and a small population in northwestern Mexico but</w:t>
      </w:r>
      <w:r w:rsidR="00346542">
        <w:t xml:space="preserve"> with the heart of its range</w:t>
      </w:r>
      <w:commentRangeStart w:id="4"/>
      <w:r w:rsidR="002435DE">
        <w:t xml:space="preserve"> </w:t>
      </w:r>
      <w:commentRangeEnd w:id="4"/>
      <w:r w:rsidR="00A95BB0">
        <w:rPr>
          <w:rStyle w:val="CommentReference"/>
        </w:rPr>
        <w:commentReference w:id="4"/>
      </w:r>
      <w:r w:rsidR="002435DE">
        <w:t xml:space="preserve">located in California. </w:t>
      </w:r>
      <w:r w:rsidR="008D1390">
        <w:t xml:space="preserve">Sugar pine seeds are an important food source for animal species </w:t>
      </w:r>
      <w:r w:rsidR="002C19B3">
        <w:fldChar w:fldCharType="begin" w:fldLock="1"/>
      </w:r>
      <w:r w:rsidR="00346542">
        <w:instrText>ADDIN CSL_CITATION {"citationItems":[{"id":"ITEM-1","itemData":{"DOI":"10.3398/064.070.0314","ISSN":"15270904","abstract":"This is the first report of Clark's Nutcrackers (Nucifraga columbiana) harvesting seeds from the cones of sugar pine (Pinus lambertiana), based on observations over several years in Crater Lake National Park, Oregon. The harvesting period in late September corresponded to peak cone-opening dates. Nutcrackers placed harvested seeds in their throat pouches, a behavior associated with seed caching. © 2010 Western North American Naturalist.","author":[{"dropping-particle":"","family":"Murray","given":"Michael P.","non-dropping-particle":"","parse-names":false,"suffix":""},{"dropping-particle":"","family":"Tomback","given":"Diana F.","non-dropping-particle":"","parse-names":false,"suffix":""}],"container-title":"Western North American Naturalist","id":"ITEM-1","issue":"3","issued":{"date-parts":[["2010"]]},"page":"413-414","title":"Clark's nutcrackers harvest sugar pine seeds from cones","type":"article-journal","volume":"70"},"uris":["http://www.mendeley.com/documents/?uuid=eab07144-f38e-44e6-bb50-47e8edfb932c"]},{"id":"ITEM-2","itemData":{"ISBN":"Technical Bulletin 1150","author":[{"dropping-particle":"","family":"Fowells","given":"H A","non-dropping-particle":"","parse-names":false,"suffix":""},{"dropping-particle":"","family":"Schubert","given":"G H","non-dropping-particle":"","parse-names":false,"suffix":""}],"container-title":"USDA Technical Bulletin","id":"ITEM-2","issue":"1150","issued":{"date-parts":[["1956"]]},"page":"1-48","title":"Seed crops of forest trees in the pine region of California","type":"article-journal","volume":"1150"},"uris":["http://www.mendeley.com/documents/?uuid=ead79d64-7cd1-4e56-b8e3-b3532ddf6681"]}],"mendeley":{"formattedCitation":"(Fowells and Schubert, 1956; Murray and Tomback, 2010)","plainTextFormattedCitation":"(Fowells and Schubert, 1956; Murray and Tomback, 2010)","previouslyFormattedCitation":"(Fowells and Schubert, 1956; Murray and Tomback, 2010)"},"properties":{"noteIndex":0},"schema":"https://github.com/citation-style-language/schema/raw/master/csl-citation.json"}</w:instrText>
      </w:r>
      <w:r w:rsidR="002C19B3">
        <w:fldChar w:fldCharType="separate"/>
      </w:r>
      <w:r w:rsidR="008C2844" w:rsidRPr="008C2844">
        <w:rPr>
          <w:noProof/>
        </w:rPr>
        <w:t>(Fowells and Schubert, 1956; Murray and Tomback, 2010)</w:t>
      </w:r>
      <w:r w:rsidR="002C19B3">
        <w:fldChar w:fldCharType="end"/>
      </w:r>
      <w:r w:rsidR="002C19B3">
        <w:t xml:space="preserve">, and </w:t>
      </w:r>
      <w:r w:rsidR="008611C1">
        <w:t>mature sugar pines are large-diameter trees which</w:t>
      </w:r>
      <w:r w:rsidR="002C19B3">
        <w:t xml:space="preserve"> play </w:t>
      </w:r>
      <w:commentRangeStart w:id="5"/>
      <w:r w:rsidR="00BC1636">
        <w:t xml:space="preserve">a key role </w:t>
      </w:r>
      <w:commentRangeEnd w:id="5"/>
      <w:r w:rsidR="002626E1">
        <w:rPr>
          <w:rStyle w:val="CommentReference"/>
        </w:rPr>
        <w:commentReference w:id="5"/>
      </w:r>
      <w:r w:rsidR="00BC1636">
        <w:t xml:space="preserve">in the structure and function of ecosystems they occur in </w:t>
      </w:r>
      <w:r w:rsidR="00BC1636">
        <w:fldChar w:fldCharType="begin" w:fldLock="1"/>
      </w:r>
      <w:r w:rsidR="00192E71">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trees","type":"article-journal","volume":"27"},"uris":["http://www.mendeley.com/documents/?uuid=4cce4722-d96c-497f-987b-7ff4cf9cc13a"]},{"id":"ITEM-2","itemData":{"DOI":"10.1186/s13717-020-00243-8","ISSN":"21921709","abstract":"The reintroduction of fire to landscapes where it was once common is considered a priority to restore historical forest dynamics, including reducing tree density and decreasing levels of woody biomass on the forest floor. However, reintroducing fire causes tree mortality that can have unintended ecological outcomes related to woody biomass, with potential impacts to fuel accumulation, carbon sequestration, subsequent fire severity, and forest management. In this study, we examine the interplay between fire and carbon dynamics by asking how reintroduced fire impacts fuel accumulation, carbon sequestration, and subsequent fire severity potential. Beginning pre-fire, and continuing 6 years post-fire, we tracked all live, dead, and fallen trees ≥ 1 cm in diameter and mapped all pieces of deadwood (downed woody debris) originating from tree boles ≥ 10 cm diameter and ≥ 1 m in length in 25.6 ha of an Abies concolor/Pinus lambertiana forest in the central Sierra Nevada, California, USA. We also tracked surface fuels along 2240 m of planar transects pre-fire, immediately post-fire, and 6 years post-fire. Six years after moderate-severity fire, deadwood ≥ 10 cm diameter was 73 Mg ha−1, comprised of 32 Mg ha−1 that persisted through fire and 41 Mg ha−1 of newly fallen wood (compared to 72 Mg ha−1 pre-fire). Woody surface fuel loading was spatially heterogeneous, with mass varying almost four orders of magnitude at the scale of 20 m × 20 m quadrats (minimum, 0.1 Mg ha−1; mean, 73 Mg ha−1; maximum, 497 Mg ha−1). Wood from large-diameter trees (≥ 60 cm diameter) comprised 57% of surface fuel in 2019, but was 75% of snag biomass, indicating high contributions to current and future fuel loading. Reintroduction of fire does not consume all large-diameter fuel and generates high levels of surface fuels ≥ 10 cm diameter within 6 years. Repeated fires are needed to reduce surface fuel loading.","author":[{"dropping-particle":"","family":"Lutz","given":"James A.","non-dropping-particle":"","parse-names":false,"suffix":""},{"dropping-particle":"","family":"Struckman","given":"Soren","non-dropping-particle":"","parse-names":false,"suffix":""},{"dropping-particle":"","family":"Furniss","given":"Tucker J.","non-dropping-particle":"","parse-names":false,"suffix":""},{"dropping-particle":"","family":"Cansler","given":"C. Alina","non-dropping-particle":"","parse-names":false,"suffix":""},{"dropping-particle":"","family":"Germain","given":"Sara J.","non-dropping-particle":"","parse-names":false,"suffix":""},{"dropping-particle":"","family":"Yocom","given":"Larissa L.","non-dropping-particle":"","parse-names":false,"suffix":""},{"dropping-particle":"","family":"McAvoy","given":"Darren J.","non-dropping-particle":"","parse-names":false,"suffix":""},{"dropping-particle":"","family":"Kolden","given":"Crystal A.","non-dropping-particle":"","parse-names":false,"suffix":""},{"dropping-particle":"","family":"Smith","given":"Alistair M.S.","non-dropping-particle":"","parse-names":false,"suffix":""},{"dropping-particle":"","family":"Swanson","given":"Mark E.","non-dropping-particle":"","parse-names":false,"suffix":""},{"dropping-particle":"","family":"Larson","given":"Andrew J.","non-dropping-particle":"","parse-names":false,"suffix":""}],"container-title":"Ecological Processes","id":"ITEM-2","issue":"1","issued":{"date-parts":[["2020"]]},"publisher":"Ecological Processes","title":"Large-diameter trees dominate snag and surface biomass following reintroduced fire","type":"article-journal","volume":"9"},"uris":["http://www.mendeley.com/documents/?uuid=1ce330b5-a9b0-427a-8117-c7ea71325d14"]},{"id":"ITEM-3","itemData":{"DOI":"10.1371/journal.pone.0082784","ISSN":"19326203","PMID":"24376579","abstract":"Large-diameter trees dominate the structure, dynamics and function of many temperate and tropical forests. However, their attendant contributions to forest heterogeneity are rarely addressed. We established the Wind River Forest Dynamics Plot, a 25.6 ha permanent plot within which we tagged and mapped all 30,973 woody stems ≥1 cm dbh, all 1,966 snags ≥10 cm dbh, and all shrub patches ≥2 m2. Basal area of the 26 woody species was 62.18 m 2/ha, of which 61.60 m2/ha was trees and 0.58 m 2/ha was tall shrubs. Large-diameter trees (≥100 cm dbh) comprised 1.5% of stems, 31.8% of basal area, and 17.6% of the heterogeneity of basal area, with basal area dominated by Tsuga heterophylla and Pseudotsuga menziesii. Small-diameter subpopulations of Pseudotsuga menziesii, Tsuga heterophylla and Thuja plicata, as well as all tree species combined, exhibited significant aggregation relative to the null model of complete spatial randomness (CSR) up to 9 m (P≤0.001). Patterns of large-diameter trees were either not different from CSR ( Tsuga heterophylla), or exhibited slight aggregation (Pseudotsuga menziesii and Thuja plicata). Significant spatial repulsion between large-diameter and small-diameter Tsuga heterophylla suggests that large-diameter Tsuga heterophylla function as organizers of tree demography over decadal timescales through competitive interactions. Comparison among two forest dynamics plots suggests that forest structural diversity responds to intermediate-scale environmental heterogeneity and disturbances, similar to hypotheses about patterns of species richness, and richness- ecosystem function. Large mapped plots with detailed within-plot environmental spatial covariates will be required to test these hypotheses. Copyright: © 2013 Lutz et al.","author":[{"dropping-particle":"","family":"Lutz","given":"James A.","non-dropping-particle":"","parse-names":false,"suffix":""},{"dropping-particle":"","family":"Larson","given":"Andrew J.","non-dropping-particle":"","parse-names":false,"suffix":""},{"dropping-particle":"","family":"Freund","given":"James A.","non-dropping-particle":"","parse-names":false,"suffix":""},{"dropping-particle":"","family":"Swanson","given":"Mark E.","non-dropping-particle":"","parse-names":false,"suffix":""},{"dropping-particle":"","family":"Bible","given":"Kenneth J.","non-dropping-particle":"","parse-names":false,"suffix":""}],"container-title":"PLoS ONE","id":"ITEM-3","issue":"12","issued":{"date-parts":[["2013"]]},"title":"The importance of large-diameter trees to forest structural heterogeneity","type":"article-journal","volume":"8"},"uris":["http://www.mendeley.com/documents/?uuid=e98b64c5-ad5f-4617-b7ae-53e92ccb12a4"]}],"mendeley":{"formattedCitation":"(Lutz &lt;i&gt;et al.&lt;/i&gt;, 2013, 2018, 2020)","plainTextFormattedCitation":"(Lutz et al., 2013, 2018, 2020)","previouslyFormattedCitation":"(Lutz &lt;i&gt;et al.&lt;/i&gt;, 2013, 2018, 2020)"},"properties":{"noteIndex":0},"schema":"https://github.com/citation-style-language/schema/raw/master/csl-citation.json"}</w:instrText>
      </w:r>
      <w:r w:rsidR="00BC1636">
        <w:fldChar w:fldCharType="separate"/>
      </w:r>
      <w:r w:rsidR="00346542" w:rsidRPr="00346542">
        <w:rPr>
          <w:noProof/>
        </w:rPr>
        <w:t xml:space="preserve">(Lutz </w:t>
      </w:r>
      <w:r w:rsidR="00346542" w:rsidRPr="00346542">
        <w:rPr>
          <w:i/>
          <w:noProof/>
        </w:rPr>
        <w:t>et al.</w:t>
      </w:r>
      <w:r w:rsidR="00346542" w:rsidRPr="00346542">
        <w:rPr>
          <w:noProof/>
        </w:rPr>
        <w:t>, 2013, 2018, 2020)</w:t>
      </w:r>
      <w:r w:rsidR="00BC1636">
        <w:fldChar w:fldCharType="end"/>
      </w:r>
      <w:r w:rsidR="00BC1636">
        <w:t>.</w:t>
      </w:r>
      <w:r w:rsidR="008C2844">
        <w:t xml:space="preserve"> However, sugar pines face numerous challenges in the Anthropocene.</w:t>
      </w:r>
    </w:p>
    <w:p w14:paraId="0720B5B8" w14:textId="1A9DA8FE" w:rsidR="00DB0132" w:rsidRDefault="008611C1" w:rsidP="009971A5">
      <w:pPr>
        <w:spacing w:line="360" w:lineRule="auto"/>
        <w:ind w:firstLine="720"/>
      </w:pPr>
      <w:commentRangeStart w:id="6"/>
      <w:r>
        <w:t xml:space="preserve">First, </w:t>
      </w:r>
      <w:commentRangeEnd w:id="6"/>
      <w:r w:rsidR="00105668">
        <w:rPr>
          <w:rStyle w:val="CommentReference"/>
        </w:rPr>
        <w:commentReference w:id="6"/>
      </w:r>
      <w:r>
        <w:t xml:space="preserve">disruptions to the fire </w:t>
      </w:r>
      <w:r w:rsidR="00B23450">
        <w:t xml:space="preserve">regime have challenged sugar pine. Sugar pine is a fire-tolerant species with moderate shade intolerance </w:t>
      </w:r>
      <w:r w:rsidR="00B23450">
        <w:fldChar w:fldCharType="begin" w:fldLock="1"/>
      </w:r>
      <w:r w:rsidR="00B23450">
        <w:instrText>ADDIN CSL_CITATION {"citationItems":[{"id":"ITEM-1","itemData":{"author":[{"dropping-particle":"","family":"Yeaton","given":"Richard I","non-dropping-particle":"","parse-names":false,"suffix":""}],"id":"ITEM-1","issue":"3","issued":{"date-parts":[["1983"]]},"page":"292-297","title":"The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","type":"article-journal","volume":"110"},"uris":["http://www.mendeley.com/documents/?uuid=906b2319-be0e-41d8-8a45-ebff3d65f29a"]},{"id":"ITEM-2","itemData":{"author":[{"dropping-particle":"","family":"Yeaton","given":"Richard I.","non-dropping-particle":"","parse-names":false,"suffix":""}],"container-title":"The American Midland Naturalist","id":"ITEM-2","issue":"1","issued":{"date-parts":[["1984"]]},"page":"126-137","title":"Aspects of the Population Biology of Sugar Pine ( Pinus lambertiana Dougl .) on an Elevational Gradient in the Sierra Nevada of Central California","type":"article-journal","volume":"111"},"uris":["http://www.mendeley.com/documents/?uuid=2ec4908c-3817-4f06-b070-42c88909b87a"]},{"id":"ITEM-3","itemData":{"author":[{"dropping-particle":"","family":"Bohlman","given":"Gabrielle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Oregon","type":"article-journal","volume":"273"},"uris":["http://www.mendeley.com/documents/?uuid=57513bd6-50dd-45ab-81a2-2f825c133caf"]}],"mendeley":{"formattedCitation":"(Yeaton, 1983, 1984; Bohlman, Safford and Skinner, 2021)","plainTextFormattedCitation":"(Yeaton, 1983, 1984; Bohlman, Safford and Skinner, 2021)","previouslyFormattedCitation":"(Yeaton, 1983, 1984; Bohlman, Safford and Skinner, 2021)"},"properties":{"noteIndex":0},"schema":"https://github.com/citation-style-language/schema/raw/master/csl-citation.json"}</w:instrText>
      </w:r>
      <w:r w:rsidR="00B23450">
        <w:fldChar w:fldCharType="separate"/>
      </w:r>
      <w:r w:rsidR="00B23450" w:rsidRPr="00EB4A84">
        <w:rPr>
          <w:noProof/>
        </w:rPr>
        <w:t>(Yeaton, 1983, 1984; Bohlman, Safford and Skinner, 2021)</w:t>
      </w:r>
      <w:r w:rsidR="00B23450">
        <w:fldChar w:fldCharType="end"/>
      </w:r>
      <w:r w:rsidR="00B23450">
        <w:t xml:space="preserve"> and persisted in frequent fire forest types with mean fire return intervals of at most 11-16 years </w:t>
      </w:r>
      <w:r w:rsidR="00B23450">
        <w:fldChar w:fldCharType="begin" w:fldLock="1"/>
      </w:r>
      <w:r w:rsidR="00B23450">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Forests","type":"article-journal"},"uris":["http://www.mendeley.com/documents/?uuid=865d47ce-7aba-4ed2-802c-803bb9610f75"]},{"id":"ITEM-2","itemData":{"author":[{"dropping-particle":"","family":"Bohlman","given":"Gabrielle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p.","id":"ITEM-2","issue":"November","issued":{"date-parts":[["2021"]]},"title":"Natural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Bohlman, Safford and Skinner, 2021)","plainTextFormattedCitation":"(Safford and Stevens, 2017; Bohlman, Safford and Skinner, 2021)","previouslyFormattedCitation":"(Safford and Stevens, 2017; Bohlman, Safford and Skinner, 2021)"},"properties":{"noteIndex":0},"schema":"https://github.com/citation-style-language/schema/raw/master/csl-citation.json"}</w:instrText>
      </w:r>
      <w:r w:rsidR="00B23450">
        <w:fldChar w:fldCharType="separate"/>
      </w:r>
      <w:r w:rsidR="00B23450" w:rsidRPr="00EB4A84">
        <w:rPr>
          <w:noProof/>
        </w:rPr>
        <w:t>(Safford and Stevens, 2017; Bohlman, Safford and Skinner, 2021)</w:t>
      </w:r>
      <w:r w:rsidR="00B23450">
        <w:fldChar w:fldCharType="end"/>
      </w:r>
      <w:r w:rsidR="00B23450">
        <w:t xml:space="preserve">. Sugar pine has traits associated </w:t>
      </w:r>
      <w:r w:rsidR="00A95BB0">
        <w:t xml:space="preserve">with </w:t>
      </w:r>
      <w:r w:rsidR="00B23450">
        <w:t xml:space="preserve">a fire-surviving strategy </w:t>
      </w:r>
      <w:r w:rsidR="00B23450">
        <w:fldChar w:fldCharType="begin" w:fldLock="1"/>
      </w:r>
      <w:r w:rsidR="0020010E">
        <w:instrText>ADDIN CSL_CITATION {"citationItems":[{"id":"ITEM-1","itemData":{"author":[{"dropping-particle":"","family":"Schwilk","given":"Dylan W","non-dropping-particle":"","parse-names":false,"suffix":""},{"dropping-particle":"","family":"Ackerly","given":"David D.","non-dropping-particle":"","parse-names":false,"suffix":""}],"container-title":"Oikos","id":"ITEM-1","issued":{"date-parts":[["2001"]]},"page":"326-336","title":"Flammability and Serotiny as Strategies : Correlated Evolution in Pines evolution correlated as strategies : and serotiny Flammability in pines","type":"article-journal","volume":"94"},"uris":["http://www.mendeley.com/documents/?uuid=4e11b3ff-c24a-4850-9031-31200fcfce8d"]}],"mendeley":{"formattedCitation":"(Schwilk and Ackerly, 2001)","plainTextFormattedCitation":"(Schwilk and Ackerly, 2001)","previouslyFormattedCitation":"(Schwilk and Ackerly, 2001)"},"properties":{"noteIndex":0},"schema":"https://github.com/citation-style-language/schema/raw/master/csl-citation.json"}</w:instrText>
      </w:r>
      <w:r w:rsidR="00B23450">
        <w:fldChar w:fldCharType="separate"/>
      </w:r>
      <w:r w:rsidR="00B23450" w:rsidRPr="00B23450">
        <w:rPr>
          <w:noProof/>
        </w:rPr>
        <w:t>(Schwilk and Ackerly, 2001)</w:t>
      </w:r>
      <w:r w:rsidR="00B23450">
        <w:fldChar w:fldCharType="end"/>
      </w:r>
      <w:r w:rsidR="00B23450">
        <w:t xml:space="preserve">, whereby large adults survive wildfires and provide offspring that can take advantage of reduced competition for light and water in the postfire environment. </w:t>
      </w:r>
      <w:r w:rsidR="0020010E">
        <w:t>However, intensive historical logging and fire suppression in the 20</w:t>
      </w:r>
      <w:r w:rsidR="0020010E" w:rsidRPr="0020010E">
        <w:rPr>
          <w:vertAlign w:val="superscript"/>
        </w:rPr>
        <w:t>th</w:t>
      </w:r>
      <w:r w:rsidR="0020010E">
        <w:t xml:space="preserve"> century have altered forest structure and a warming climate </w:t>
      </w:r>
      <w:r w:rsidR="00105668">
        <w:t>have increased</w:t>
      </w:r>
      <w:r w:rsidR="0020010E">
        <w:t xml:space="preserve"> the area affected by high severity fire within sugar pine’s range </w:t>
      </w:r>
      <w:r w:rsidR="0020010E">
        <w:fldChar w:fldCharType="begin" w:fldLock="1"/>
      </w:r>
      <w:r w:rsidR="00DB0132">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2017","type":"article-journal","volume":"47"},"uris":["http://www.mendeley.com/documents/?uuid=c62781ce-2164-4b01-b721-ce147287a476"]},{"id":"ITEM-2","itemData":{"DOI":"10.1016/j.foreco.2017.08.051","ISSN":"03781127","abstract":"Stand-replacing fire has profound ecological impacts in conifer forests, yet there is continued uncertainty over how best to describe the scale of stand-replacing effects within individual fires, and how these effects are changing over time. In forests where regeneration following stand-replacing fire depends on seed dispersal from surviving trees, the size and shape of stand-replacing patches are critical metrics that are difficult to describe and often overlooked. We used a novel, recently-developed metric that describes the amount of stand-replacing area within a given distance of a live-tree patch edge, in order to compare fires that may be otherwise similar in fire size or the percentage of stand-replacing effects. Specifically, we analyzed 477 fires in California pine, fir, and mixed-conifer forests between 1984 and 2015 and asked whether this metric, the stand-replacing decay coefficient (SDC), has changed over time, whether it is affected by fire management, and how it responds to extreme weather conditions at the time of the fire. Mean annual SDC became smaller over time (significantly so in the Sierra Nevada region), indicating that stand-replacing patches became larger and more regularly shaped. The decrease in SDC was particularly pronounced in the years since 2011. While SDC is correlated with percent high-severity, it is able to distinguish fires of comparable percent high-severity but different spatial pattern, with fires managed for suppression having smaller SDC than fires managed for resource benefit. Similarly, fires managed by the US Forest Service had smaller SDC than fires managed by the National Park Service. Fire weather also played an important role, with higher maximum temperatures generally associated with smaller SDC values. SDC is useful for comparing fires because it is associated with more conventional metrics such as percent high-severity, but also incorporates a measure of regeneration potential – distance to surviving trees at stand-replacement patch edges – which is a biological legacy that directly affects the resilience of forests to increasingly frequent and severe fire disturbances. We estimate that from 1984 to 2015, over 80,000 ha of forestland burned with stand-replacing effects greater than 120 m in from patch edges, denoting areas vulnerable to extended conifer forest loss due to dispersal limitation. Managing unplanned ignitions under less extreme weather conditions can achieve beneficial “fine-grained” effec…","author":[{"dropping-particle":"","family":"Stevens","given":"Jens T.","non-dropping-particle":"","parse-names":false,"suffix":""},{"dropping-particle":"","family":"Collins","given":"Brandon M.","non-dropping-particle":"","parse-names":false,"suffix":""},{"dropping-particle":"","family":"Miller","given":"Jay D.","non-dropping-particle":"","parse-names":false,"suffix":""},{"dropping-particle":"","family":"North","given":"Malcolm P.","non-dropping-particle":"","parse-names":false,"suffix":""},{"dropping-particle":"","family":"Stephens","given":"Scott L.","non-dropping-particle":"","parse-names":false,"suffix":""}],"container-title":"Forest Ecology and Management","id":"ITEM-2","issue":"August","issued":{"date-parts":[["2017"]]},"page":"28-36","publisher":"Elsevier","title":"Changing spatial patterns of stand-replacing fire in California conifer forests","type":"article-journal","volume":"406"},"uris":["http://www.mendeley.com/documents/?uuid=7e44a2bb-e159-4d15-bf4d-4f61f9dce42f"]},{"id":"ITEM-3","itemData":{"author":[{"dropping-particle":"","family":"Safford","given":"Hugh D.","non-dropping-particle":"","parse-names":false,"suffix":""},{"dropping-particle":"","family":"Stevens","given":"Jens T.","non-dropping-particle":"","parse-names":false,"suffix":""}],"container-title":"Gen. Tech. Rep. PSW-GTR-2562","id":"ITEM-3","issue":"October","issued":{"date-parts":[["2017"]]},"page":"1-151","title":"Natural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Forests","type":"article-journal"},"uris":["http://www.mendeley.com/documents/?uuid=865d47ce-7aba-4ed2-802c-803bb9610f75"]},{"id":"ITEM-4","itemData":{"author":[{"dropping-particle":"","family":"Bohlman","given":"Gabrielle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p.","id":"ITEM-4","issue":"November","issued":{"date-parts":[["2021"]]},"title":"Natural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Stevens &lt;i&gt;et al.&lt;/i&gt;, 2017; Parks and Abatzoglou, 2020; Bohlman, Safford and Skinner, 2021)","plainTextFormattedCitation":"(Safford and Stevens, 2017; Stevens et al., 2017; Parks and Abatzoglou, 2020; Bohlman, Safford and Skinner, 2021)","previouslyFormattedCitation":"(Safford and Stevens, 2017; Stevens &lt;i&gt;et al.&lt;/i&gt;, 2017; Parks and Abatzoglou, 2020; Bohlman, Safford and Skinner, 2021)"},"properties":{"noteIndex":0},"schema":"https://github.com/citation-style-language/schema/raw/master/csl-citation.json"}</w:instrText>
      </w:r>
      <w:r w:rsidR="0020010E">
        <w:fldChar w:fldCharType="separate"/>
      </w:r>
      <w:r w:rsidR="000624D9" w:rsidRPr="000624D9">
        <w:rPr>
          <w:noProof/>
        </w:rPr>
        <w:t xml:space="preserve">(Safford and Stevens, 2017; Stevens </w:t>
      </w:r>
      <w:r w:rsidR="000624D9" w:rsidRPr="000624D9">
        <w:rPr>
          <w:i/>
          <w:noProof/>
        </w:rPr>
        <w:t>et al.</w:t>
      </w:r>
      <w:r w:rsidR="000624D9" w:rsidRPr="000624D9">
        <w:rPr>
          <w:noProof/>
        </w:rPr>
        <w:t>, 2017; Parks and Abatzoglou, 2020; Bohlman, Safford and Skinner, 2021)</w:t>
      </w:r>
      <w:r w:rsidR="0020010E">
        <w:fldChar w:fldCharType="end"/>
      </w:r>
      <w:r w:rsidR="000624D9">
        <w:t xml:space="preserve">. This novel fire regime has increased the proportion of the sugar pine’s range where </w:t>
      </w:r>
      <w:r w:rsidR="0020010E">
        <w:t>there are no surviving adult</w:t>
      </w:r>
      <w:r w:rsidR="00DB0132">
        <w:t xml:space="preserve"> conifers </w:t>
      </w:r>
      <w:r w:rsidR="0020010E">
        <w:t>to produce the next generation</w:t>
      </w:r>
      <w:r w:rsidR="000624D9">
        <w:t>, threatening not just sugar pine but the mixed conifer forest type as a whole</w:t>
      </w:r>
      <w:r w:rsidR="0020010E">
        <w:t xml:space="preserve"> </w:t>
      </w:r>
      <w:r w:rsidR="0020010E">
        <w:fldChar w:fldCharType="begin" w:fldLock="1"/>
      </w:r>
      <w:r w:rsidR="000624D9">
        <w:instrText>ADDIN CSL_CITATION {"citationItems":[{"id":"ITEM-1","itemData":{"DOI":"10.1890/ES14-00224.1","ISSN":"21508925","abstract":"© 2015 Steel et al.Fire is one of the most important natural disturbance processes in the western United States and ecosystems differ markedly with respect to their ecological and evolutionary relationships with fire. Reference fire regimes in forested ecosystems can be categorized along a gradient ranging from \"fuellimited\" to \"climate-limited\" where the former types are often characterized by frequent, lower-severity wildfires and the latter by infrequent, more severe wildfires. Using spatial data on fire severity from 1984- 2011 and metrics related to fire frequency, we tested how divergence from historic (pre-Euroamerican settlement) fire frequencies due to a century of fire suppression influences rates of high-severity fire in five forest types in California. With some variation among bioregions, our results suggest that fires in forest types characterized by fuel-limited fire regimes (e.g., yellow pine and mixed conifer forest) tend to burn with greater proportions of high-severity fire as either time since last fire or the mean modern fire return interval (FRI) increases. Two intermediate fire regime types (mixed evergreen and bigcone Douglas-fir) showed a similar relationship between fire frequency and fire severity. However, red fir and redwood forests, which are characterized by more climate-limited fire regimes, did not show significant positive relationships between FRI and fire severity. This analysis provides strong evidence that for fuel-limited fire regimes, lack of fire leads to increasing rates of high-severity burning. Our study also substantiates the general validity of \"fuel-limited\" vs. \"climate-limited\" explanations of differing patterns of fire effects and response in forest types of the western US.","author":[{"dropping-particle":"","family":"Steel","given":"Zachary L.","non-dropping-particle":"","parse-names":false,"suffix":""},{"dropping-particle":"","family":"Safford","given":"Hugh D.","non-dropping-particle":"","parse-names":false,"suffix":""},{"dropping-particle":"","family":"Viers","given":"Joshua H.","non-dropping-particle":"","parse-names":false,"suffix":""}],"container-title":"Ecosphere","id":"ITEM-1","issue":"1","issued":{"date-parts":[["2015"]]},"title":"The fire frequency-severity relationship and the legacy of fire suppression in California forests http://www.esajournals.org/doi/pdf/10.1890/ES14-00224.1","type":"article-journal","volume":"6"},"uris":["http://www.mendeley.com/documents/?uuid=1ab7e8c2-3339-4847-aec1-5a74446758ee"]},{"id":"ITEM-2","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C.","non-dropping-particle":"","parse-names":false,"suffix":""}],"container-title":"BioScience","id":"ITEM-2","issue":"8","issued":{"date-parts":[["2020"]]},"page":"659-673","title":"Wildfire-Driven Forest Conversion in Western North American Landscapes","type":"article-journal","volume":"70"},"uris":["http://www.mendeley.com/documents/?uuid=4c19d33d-7ce8-44c4-b892-af9da5f5c49d"]},{"id":"ITEM-3","itemData":{"DOI":"10.1002/eap.1756","ISSN":"10510761","author":[{"dropping-particle":"","family":"Shive","given":"Kristen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Applications","id":"ITEM-3","issue":"6","issued":{"date-parts":[["2018"]]},"page":"1626-1639","title":"From the stand scale to the landscape scale: predicting the spatial patterns of forest regeneration after disturbance","type":"article-journal","volume":"28"},"uris":["http://www.mendeley.com/documents/?uuid=088a8267-0133-4892-9fb1-7380b3beadc5"]}],"mendeley":{"formattedCitation":"(Steel, Safford and Viers, 2015; Shive &lt;i&gt;et al.&lt;/i&gt;, 2018; Coop &lt;i&gt;et al.&lt;/i&gt;, 2020)","plainTextFormattedCitation":"(Steel, Safford and Viers, 2015; Shive et al., 2018; Coop et al., 2020)","previouslyFormattedCitation":"(Steel, Safford and Viers, 2015; Shive &lt;i&gt;et al.&lt;/i&gt;, 2018; Coop &lt;i&gt;et al.&lt;/i&gt;, 2020)"},"properties":{"noteIndex":0},"schema":"https://github.com/citation-style-language/schema/raw/master/csl-citation.json"}</w:instrText>
      </w:r>
      <w:r w:rsidR="0020010E">
        <w:fldChar w:fldCharType="separate"/>
      </w:r>
      <w:r w:rsidR="000624D9" w:rsidRPr="000624D9">
        <w:rPr>
          <w:noProof/>
        </w:rPr>
        <w:t xml:space="preserve">(Steel, Safford and Viers, 2015; Shive </w:t>
      </w:r>
      <w:r w:rsidR="000624D9" w:rsidRPr="000624D9">
        <w:rPr>
          <w:i/>
          <w:noProof/>
        </w:rPr>
        <w:t>et al.</w:t>
      </w:r>
      <w:r w:rsidR="000624D9" w:rsidRPr="000624D9">
        <w:rPr>
          <w:noProof/>
        </w:rPr>
        <w:t xml:space="preserve">, 2018; Coop </w:t>
      </w:r>
      <w:r w:rsidR="000624D9" w:rsidRPr="000624D9">
        <w:rPr>
          <w:i/>
          <w:noProof/>
        </w:rPr>
        <w:t>et al.</w:t>
      </w:r>
      <w:r w:rsidR="000624D9" w:rsidRPr="000624D9">
        <w:rPr>
          <w:noProof/>
        </w:rPr>
        <w:t>, 2020)</w:t>
      </w:r>
      <w:r w:rsidR="0020010E">
        <w:fldChar w:fldCharType="end"/>
      </w:r>
      <w:r w:rsidR="0020010E">
        <w:t>.</w:t>
      </w:r>
      <w:r w:rsidR="00DB0132">
        <w:t xml:space="preserve"> </w:t>
      </w:r>
    </w:p>
    <w:p w14:paraId="2610385A" w14:textId="75AC3661" w:rsidR="008611C1" w:rsidRPr="00E005FB" w:rsidRDefault="00DB0132" w:rsidP="009971A5">
      <w:pPr>
        <w:spacing w:line="360" w:lineRule="auto"/>
        <w:ind w:firstLine="720"/>
      </w:pPr>
      <w:commentRangeStart w:id="7"/>
      <w:r>
        <w:lastRenderedPageBreak/>
        <w:t xml:space="preserve">Second, an invasive fungal pathogen, </w:t>
      </w:r>
      <w:r w:rsidRPr="00F701A7">
        <w:rPr>
          <w:i/>
          <w:iCs/>
        </w:rPr>
        <w:t>Cronartium ribicola</w:t>
      </w:r>
      <w:r>
        <w:t xml:space="preserve"> (white pine blister rust; WPBR)</w:t>
      </w:r>
      <w:commentRangeEnd w:id="7"/>
      <w:r w:rsidR="002626E1">
        <w:rPr>
          <w:rStyle w:val="CommentReference"/>
        </w:rPr>
        <w:commentReference w:id="7"/>
      </w:r>
      <w:r>
        <w:t xml:space="preserve"> has spread across much of sugar pine’s range since its introduction</w:t>
      </w:r>
      <w:r w:rsidR="0084014F">
        <w:t xml:space="preserve"> to North America in the early 20</w:t>
      </w:r>
      <w:r w:rsidR="0084014F" w:rsidRPr="0084014F">
        <w:rPr>
          <w:vertAlign w:val="superscript"/>
        </w:rPr>
        <w:t>th</w:t>
      </w:r>
      <w:r w:rsidR="0084014F">
        <w:t xml:space="preserve"> century </w:t>
      </w:r>
      <w:r>
        <w:t xml:space="preserve">and has caused substantial mortality </w:t>
      </w:r>
      <w:r>
        <w:fldChar w:fldCharType="begin" w:fldLock="1"/>
      </w:r>
      <w:r w:rsidR="00030856">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species","type":"article-journal","volume":"11"},"uris":["http://www.mendeley.com/documents/?uuid=54eba3d7-5ed4-4e44-a51e-b1150e7c2215"]},{"id":"ITEM-3","itemData":{"DOI":"10.1016/j.foreco.2011.05.011","ISSN":"03781127","abstract":"Historical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Management","id":"ITEM-3","issue":"5","issued":{"date-parts":[["2011"]]},"page":"770-779","publisher":"Elsevier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restoration","type":"article-journal","volume":"262"},"uris":["http://www.mendeley.com/documents/?uuid=9a0c821b-c50c-45fc-9062-b98c1d978b4e"]}],"mendeley":{"formattedCitation":"(Van Mantgem &lt;i&gt;et al.&lt;/i&gt;, 2004; Maloney &lt;i&gt;et al.&lt;/i&gt;, 2011; Dudney &lt;i&gt;et al.&lt;/i&gt;, 2020)","plainTextFormattedCitation":"(Van Mantgem et al., 2004; Maloney et al., 2011; Dudney et al., 2020)","previouslyFormattedCitation":"(Van Mantgem &lt;i&gt;et al.&lt;/i&gt;, 2004; Maloney &lt;i&gt;et al.&lt;/i&gt;, 2011; Dudney &lt;i&gt;et al.&lt;/i&gt;, 2020)"},"properties":{"noteIndex":0},"schema":"https://github.com/citation-style-language/schema/raw/master/csl-citation.json"}</w:instrText>
      </w:r>
      <w:r>
        <w:fldChar w:fldCharType="separate"/>
      </w:r>
      <w:r w:rsidRPr="00DB0132">
        <w:rPr>
          <w:noProof/>
        </w:rPr>
        <w:t xml:space="preserve">(Van Mantgem </w:t>
      </w:r>
      <w:r w:rsidRPr="00DB0132">
        <w:rPr>
          <w:i/>
          <w:noProof/>
        </w:rPr>
        <w:t>et al.</w:t>
      </w:r>
      <w:r w:rsidRPr="00DB0132">
        <w:rPr>
          <w:noProof/>
        </w:rPr>
        <w:t xml:space="preserve">, 2004; Maloney </w:t>
      </w:r>
      <w:r w:rsidRPr="00DB0132">
        <w:rPr>
          <w:i/>
          <w:noProof/>
        </w:rPr>
        <w:t>et al.</w:t>
      </w:r>
      <w:r w:rsidRPr="00DB0132">
        <w:rPr>
          <w:noProof/>
        </w:rPr>
        <w:t xml:space="preserve">, 2011; Dudney </w:t>
      </w:r>
      <w:r w:rsidRPr="00DB0132">
        <w:rPr>
          <w:i/>
          <w:noProof/>
        </w:rPr>
        <w:t>et al.</w:t>
      </w:r>
      <w:r w:rsidRPr="00DB0132">
        <w:rPr>
          <w:noProof/>
        </w:rPr>
        <w:t>, 2020)</w:t>
      </w:r>
      <w:r>
        <w:fldChar w:fldCharType="end"/>
      </w:r>
      <w:r>
        <w:t xml:space="preserve">. </w:t>
      </w:r>
      <w:r w:rsidR="00E07EF6">
        <w:t xml:space="preserve">WPBR affects white pines (subgenus </w:t>
      </w:r>
      <w:r w:rsidR="00E07EF6">
        <w:rPr>
          <w:i/>
          <w:iCs/>
        </w:rPr>
        <w:t>Strobus</w:t>
      </w:r>
      <w:r w:rsidR="009B4725">
        <w:t xml:space="preserve">, excluding the pinyon pines in subsection </w:t>
      </w:r>
      <w:r w:rsidR="009B4725">
        <w:rPr>
          <w:i/>
          <w:iCs/>
        </w:rPr>
        <w:t>Cembroides</w:t>
      </w:r>
      <w:r w:rsidR="00E07EF6">
        <w:t xml:space="preserve">) </w:t>
      </w:r>
      <w:r w:rsidR="00030856">
        <w:t xml:space="preserve">by parasitizing foliage, shoots, inner bark, and outer xylem, causing the formation of cankers which can reduce vigor and kill outright by girdling the stem </w:t>
      </w:r>
      <w:r w:rsidR="00030856">
        <w:fldChar w:fldCharType="begin" w:fldLock="1"/>
      </w:r>
      <w:r w:rsidR="00E005FB">
        <w:instrText>ADDIN CSL_CITATION {"citationItems":[{"id":"ITEM-1","itemData":{"DOI":"10.1111/j.1439-0329.2010.00654.x","ISSN":"14374781","abstract":"For over a century, white pine blister rust (Cronartium ribicola) has linked white pines (Strobus) with currants and gooseberries (Ribes) in a complex and serious disease epidemic in Asia, Europe, and North America. Because of ongoing changes in climate, societal demands for forests and their amenities, and scientific advances in genetics and proteomics, our current understanding and management of the white pine blister rust pathosystem has become outdated. Here, we present a review and synthesis of international scope on the biology and management of blister rust, white pines, Ribes, and other hosts. In this article, we provide a geographical and historical background, describe the taxonomy and life cycle of the rust, discuss pathology and ecology, and introduce a series of invited papers. These review articles summarize the literature on white pines, Ribes, and blister rust with respect to their status, threats, and management through genetics and silviculture. Although the principal focus is on North America, the different epidemics in Europe and Asia are also described. In the final article, we discuss several of the key observations and conclusions from the preceding review articles and identify prudent actions for research and management of white pine blister rust. © 2010 Blackwell Verlag GmbH and Crown in the right of Canada.","author":[{"dropping-particle":"","family":"Geils","given":"Brian W.","non-dropping-particle":"","parse-names":false,"suffix":""},{"dropping-particle":"","family":"Hummer","given":"Kim E.","non-dropping-particle":"","parse-names":false,"suffix":""},{"dropping-particle":"","family":"Hunt","given":"Richard S.","non-dropping-particle":"","parse-names":false,"suffix":""}],"container-title":"Forest Pathology","id":"ITEM-1","issue":"3-4","issued":{"date-parts":[["2010"]]},"page":"147-185","title":"White pines, Ribes, and blister rust: A review and synthesis","type":"article-journal","volume":"40"},"uris":["http://www.mendeley.com/documents/?uuid=fc76315d-a4b3-404f-9576-b260cb172979"]}],"mendeley":{"formattedCitation":"(Geils, Hummer and Hunt, 2010)","plainTextFormattedCitation":"(Geils, Hummer and Hunt, 2010)","previouslyFormattedCitation":"(Geils, Hummer and Hunt, 2010)"},"properties":{"noteIndex":0},"schema":"https://github.com/citation-style-language/schema/raw/master/csl-citation.json"}</w:instrText>
      </w:r>
      <w:r w:rsidR="00030856">
        <w:fldChar w:fldCharType="separate"/>
      </w:r>
      <w:r w:rsidR="00030856" w:rsidRPr="00030856">
        <w:rPr>
          <w:noProof/>
        </w:rPr>
        <w:t>(Geils, Hummer and Hunt, 2010)</w:t>
      </w:r>
      <w:r w:rsidR="00030856">
        <w:fldChar w:fldCharType="end"/>
      </w:r>
      <w:r w:rsidR="00030856">
        <w:t xml:space="preserve">. </w:t>
      </w:r>
      <w:commentRangeStart w:id="8"/>
      <w:r w:rsidR="00E005FB">
        <w:t>The epidemic in the western United States has been severe enough to cause the related species</w:t>
      </w:r>
      <w:r w:rsidR="00105668">
        <w:t>,</w:t>
      </w:r>
      <w:r w:rsidR="00E005FB">
        <w:t xml:space="preserve"> </w:t>
      </w:r>
      <w:r w:rsidR="00E005FB">
        <w:rPr>
          <w:i/>
          <w:iCs/>
        </w:rPr>
        <w:t>Pinus albicaulis</w:t>
      </w:r>
      <w:r w:rsidR="00105668">
        <w:t>,</w:t>
      </w:r>
      <w:r w:rsidR="00E005FB">
        <w:t xml:space="preserve"> to be listed as endangered </w:t>
      </w:r>
      <w:r w:rsidR="00E005FB">
        <w:fldChar w:fldCharType="begin" w:fldLock="1"/>
      </w:r>
      <w:r w:rsidR="00E005FB">
        <w:instrText>ADDIN CSL_CITATION {"citationItems":[{"id":"ITEM-1","itemData":{"author":[{"dropping-particle":"","family":"Mahalovich","given":"M.","non-dropping-particle":"","parse-names":false,"suffix":""},{"dropping-particle":"","family":"Stritch","given":"L.","non-dropping-particle":"","parse-names":false,"suffix":""}],"id":"ITEM-1","issued":{"date-parts":[["2013"]]},"title":"Pinus albicaulis. The IUCN Red List of Threatened Species 2013","type":"article"},"uris":["http://www.mendeley.com/documents/?uuid=01c5c33e-f405-4ec0-b7ef-fe493d548c6e"]}],"mendeley":{"formattedCitation":"(Mahalovich and Stritch, 2013)","plainTextFormattedCitation":"(Mahalovich and Stritch, 2013)","previouslyFormattedCitation":"(Mahalovich and Stritch, 2013)"},"properties":{"noteIndex":0},"schema":"https://github.com/citation-style-language/schema/raw/master/csl-citation.json"}</w:instrText>
      </w:r>
      <w:r w:rsidR="00E005FB">
        <w:fldChar w:fldCharType="separate"/>
      </w:r>
      <w:r w:rsidR="00E005FB" w:rsidRPr="00E005FB">
        <w:rPr>
          <w:noProof/>
        </w:rPr>
        <w:t>(Mahalovich and Stritch, 2013)</w:t>
      </w:r>
      <w:r w:rsidR="00E005FB">
        <w:fldChar w:fldCharType="end"/>
      </w:r>
      <w:r w:rsidR="00E005FB">
        <w:t xml:space="preserve">, </w:t>
      </w:r>
      <w:commentRangeEnd w:id="8"/>
      <w:r w:rsidR="00A95BB0">
        <w:rPr>
          <w:rStyle w:val="CommentReference"/>
        </w:rPr>
        <w:commentReference w:id="8"/>
      </w:r>
      <w:r w:rsidR="00E005FB">
        <w:t xml:space="preserve">and there has been considerable concern about the outlook for sugar pine as well </w:t>
      </w:r>
      <w:r w:rsidR="00E005FB">
        <w:fldChar w:fldCharType="begin" w:fldLock="1"/>
      </w:r>
      <w:r w:rsidR="00542DB6">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E005FB">
        <w:fldChar w:fldCharType="separate"/>
      </w:r>
      <w:r w:rsidR="00E005FB" w:rsidRPr="00E005FB">
        <w:rPr>
          <w:noProof/>
        </w:rPr>
        <w:t>(Kinloch Jr., Marosy and Huddleston, 1996)</w:t>
      </w:r>
      <w:r w:rsidR="00E005FB">
        <w:fldChar w:fldCharType="end"/>
      </w:r>
      <w:r w:rsidR="00E005FB">
        <w:t xml:space="preserve">. </w:t>
      </w:r>
    </w:p>
    <w:p w14:paraId="439F6345" w14:textId="33DC3EC5" w:rsidR="008611C1" w:rsidRPr="005B4308" w:rsidRDefault="00542DB6" w:rsidP="009971A5">
      <w:pPr>
        <w:spacing w:line="360" w:lineRule="auto"/>
        <w:ind w:firstLine="720"/>
      </w:pPr>
      <w:commentRangeStart w:id="9"/>
      <w:r>
        <w:t>Third</w:t>
      </w:r>
      <w:commentRangeEnd w:id="9"/>
      <w:r w:rsidR="00A95BB0">
        <w:rPr>
          <w:rStyle w:val="CommentReference"/>
        </w:rPr>
        <w:commentReference w:id="9"/>
      </w:r>
      <w:r>
        <w:t>, there is evidence that the modern densified forest structure threatens sugar pine in numerous ways. Effective fire suppression, which was instituted across much of sugar pine’s range in the 20</w:t>
      </w:r>
      <w:r w:rsidRPr="003B39CC">
        <w:rPr>
          <w:vertAlign w:val="superscript"/>
        </w:rPr>
        <w:t>th</w:t>
      </w:r>
      <w:r>
        <w:t xml:space="preserve"> century, has resulted in an overall densification of these forests </w:t>
      </w:r>
      <w:r>
        <w:fldChar w:fldCharType="begin" w:fldLock="1"/>
      </w:r>
      <w:r>
        <w:instrText>ADDIN CSL_CITATION {"citationItems":[{"id":"ITEM-1","itemData":{"author":[{"dropping-particle":"","family":"Stephens","given":"S Cott L S","non-dropping-particle":"","parse-names":false,"suffix":""},{"dropping-particle":"","family":"Ydersen","given":"J Amie M L","non-dropping-particle":"","parse-names":false,"suffix":""},{"dropping-particle":"","family":"Ollins","given":"B Randon M C","non-dropping-particle":"","parse-names":false,"suffix":""},{"dropping-particle":"","family":"Ry","given":"D Anny L F","non-dropping-particle":"","parse-names":false,"suffix":""}],"container-title":"Ecosphere","id":"ITEM-1","issue":"May","issued":{"date-parts":[["2015"]]},"note":"Has the actual surveyor's notes in the appendix, would be an interesting thing to poke at with language-processing","page":"1-63","title":"Historical and current landscape-scale ponderosa pine and mixed conifer forest structure in the Southern Sierra Nevada","type":"article-journal","volume":"6"},"uris":["http://www.mendeley.com/documents/?uuid=391ec200-2601-4bef-8a9b-b6d1e45be8c8"]},{"id":"ITEM-2","itemData":{"author":[{"dropping-particle":"","family":"Safford","given":"Hugh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forests","type":"article-journal","volume":"507"},"uris":["http://www.mendeley.com/documents/?uuid=465230a6-1d96-4a43-8dec-1e3c5870286d"]}],"mendeley":{"formattedCitation":"(Stephens &lt;i&gt;et al.&lt;/i&gt;, 2015; Safford and Stevens, 2017; Bohlman, Safford and Skinner, 2021; North &lt;i&gt;et al.&lt;/i&gt;, 2022)","plainTextFormattedCitation":"(Stephens et al., 2015; Safford and Stevens, 2017; Bohlman, Safford and Skinner, 2021; North et al., 2022)","previouslyFormattedCitation":"(Stephens &lt;i&gt;et al.&lt;/i&gt;, 2015; Safford and Stevens, 2017; Bohlman, Safford and Skinner, 2021; North &lt;i&gt;et al.&lt;/i&gt;, 2022)"},"properties":{"noteIndex":0},"schema":"https://github.com/citation-style-language/schema/raw/master/csl-citation.json"}</w:instrText>
      </w:r>
      <w:r>
        <w:fldChar w:fldCharType="separate"/>
      </w:r>
      <w:r w:rsidRPr="00542DB6">
        <w:rPr>
          <w:noProof/>
        </w:rPr>
        <w:t xml:space="preserve">(Stephens </w:t>
      </w:r>
      <w:r w:rsidRPr="00542DB6">
        <w:rPr>
          <w:i/>
          <w:noProof/>
        </w:rPr>
        <w:t>et al.</w:t>
      </w:r>
      <w:r w:rsidRPr="00542DB6">
        <w:rPr>
          <w:noProof/>
        </w:rPr>
        <w:t xml:space="preserve">, 2015; Safford and Stevens, 2017; Bohlman, Safford and Skinner, 2021; North </w:t>
      </w:r>
      <w:r w:rsidRPr="00542DB6">
        <w:rPr>
          <w:i/>
          <w:noProof/>
        </w:rPr>
        <w:t>et al.</w:t>
      </w:r>
      <w:r w:rsidRPr="00542DB6">
        <w:rPr>
          <w:noProof/>
        </w:rPr>
        <w:t>, 2022)</w:t>
      </w:r>
      <w:r>
        <w:fldChar w:fldCharType="end"/>
      </w:r>
      <w:r>
        <w:t xml:space="preserve">. </w:t>
      </w:r>
      <w:r w:rsidR="005B4308" w:rsidRPr="005B4308">
        <w:t xml:space="preserve">Sugar pine is only moderately shade tolerant </w:t>
      </w:r>
      <w:r w:rsidR="005B4308">
        <w:fldChar w:fldCharType="begin" w:fldLock="1"/>
      </w:r>
      <w:r w:rsidR="005B4308">
        <w:instrText>ADDIN CSL_CITATION {"citationItems":[{"id":"ITEM-1","itemData":{"author":[{"dropping-particle":"","family":"Bohlman","given":"Gabrielle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p.","id":"ITEM-1","issue":"November","issued":{"date-parts":[["2021"]]},"title":"Natural range of variation for yellow pine and mixed-conifer forests in northwestern California and southwestern Oregon","type":"article-journal","volume":"273"},"uris":["http://www.mendeley.com/documents/?uuid=57513bd6-50dd-45ab-81a2-2f825c133caf"]},{"id":"ITEM-2","itemData":{"author":[{"dropping-particle":"","family":"Yeaton","given":"Richard I","non-dropping-particle":"","parse-names":false,"suffix":""}],"id":"ITEM-2","issue":"3","issued":{"date-parts":[["1983"]]},"page":"292-297","title":"The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","type":"article-journal","volume":"110"},"uris":["http://www.mendeley.com/documents/?uuid=906b2319-be0e-41d8-8a45-ebff3d65f29a"]}],"mendeley":{"formattedCitation":"(Yeaton, 1983; Bohlman, Safford and Skinner, 2021)","plainTextFormattedCitation":"(Yeaton, 1983; Bohlman, Safford and Skinner, 2021)","previouslyFormattedCitation":"(Yeaton, 1983; Bohlman, Safford and Skinner, 2021)"},"properties":{"noteIndex":0},"schema":"https://github.com/citation-style-language/schema/raw/master/csl-citation.json"}</w:instrText>
      </w:r>
      <w:r w:rsidR="005B4308">
        <w:fldChar w:fldCharType="separate"/>
      </w:r>
      <w:r w:rsidR="005B4308" w:rsidRPr="005B4308">
        <w:rPr>
          <w:noProof/>
        </w:rPr>
        <w:t>(Yeaton, 1983; Bohlman, Safford and Skinner, 2021)</w:t>
      </w:r>
      <w:r w:rsidR="005B4308">
        <w:fldChar w:fldCharType="end"/>
      </w:r>
      <w:r w:rsidR="005B4308">
        <w:t xml:space="preserve"> </w:t>
      </w:r>
      <w:r w:rsidR="005B4308" w:rsidRPr="005B4308">
        <w:t xml:space="preserve">and there is evidence that it is outcompeted by species such as </w:t>
      </w:r>
      <w:r w:rsidR="005B4308" w:rsidRPr="005B4308">
        <w:rPr>
          <w:i/>
          <w:iCs/>
        </w:rPr>
        <w:t xml:space="preserve">Abies concolor </w:t>
      </w:r>
      <w:r w:rsidR="005B4308" w:rsidRPr="005B4308">
        <w:t xml:space="preserve">and </w:t>
      </w:r>
      <w:r w:rsidR="005B4308" w:rsidRPr="005B4308">
        <w:rPr>
          <w:i/>
          <w:iCs/>
        </w:rPr>
        <w:t>Calodecrus decurrens</w:t>
      </w:r>
      <w:r w:rsidR="005B4308" w:rsidRPr="005B4308">
        <w:t xml:space="preserve"> under modern dense canopies</w:t>
      </w:r>
      <w:r w:rsidR="00105668">
        <w:t>.</w:t>
      </w:r>
      <w:r w:rsidR="005B4308" w:rsidRPr="005B4308">
        <w:t xml:space="preserve"> </w:t>
      </w:r>
      <w:r>
        <w:t xml:space="preserve">Species composition (especially of younger cohorts) has shifted towards shade-tolerant firs and incense-cedar </w:t>
      </w:r>
      <w:r>
        <w:fldChar w:fldCharType="begin" w:fldLock="1"/>
      </w:r>
      <w:r w:rsidR="005B4308">
        <w:instrText>ADDIN CSL_CITATION {"citationItems":[{"id":"ITEM-1","itemData":{"DOI":"10.1139/cjfr-2015-0406","ISBN":"0045-5067","ISSN":"0045-5067","abstract":"In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Research","id":"ITEM-1","issue":"5","issued":{"date-parts":[["2016"]]},"page":"745-752","title":"Long-term demographic trends in a fire-suppressed mixed-conifer forest","type":"article-journal","volume":"46"},"uris":["http://www.mendeley.com/documents/?uuid=d23a6c87-7bd8-4d6f-9854-d1b054b6fd88"]},{"id":"ITEM-2","itemData":{"author":[{"dropping-particle":"","family":"Ansley","given":"Jolie-Ann S.","non-dropping-particle":"","parse-names":false,"suffix":""},{"dropping-particle":"","family":"Battles","given":"John J.","non-dropping-particle":"","parse-names":false,"suffix":""}],"container-title":"The Journal of the Torrey Botanical Society","id":"ITEM-2","issue":"4","issued":{"date-parts":[["1998"]]},"page":"297-308","title":"Forest Composition , Structure , and Change in an Old-Growth Mixed Conifer Forest in the Northern Sierra Nevada Author ( s ): Jolie-Anne S . Ansley and John J . Battles Published by : Torrey Botanical Society Stable URL : http://www.jstor.org/stable/29972","type":"article-journal","volume":"125"},"uris":["http://www.mendeley.com/documents/?uuid=34dda059-28a1-4cb6-892b-71b3a0a5079a"]}],"mendeley":{"formattedCitation":"(Ansley and Battles, 1998; Levine &lt;i&gt;et al.&lt;/i&gt;, 2016)","plainTextFormattedCitation":"(Ansley and Battles, 1998; Levine et al., 2016)","previouslyFormattedCitation":"(Ansley and Battles, 1998; Levine &lt;i&gt;et al.&lt;/i&gt;, 2016)"},"properties":{"noteIndex":0},"schema":"https://github.com/citation-style-language/schema/raw/master/csl-citation.json"}</w:instrText>
      </w:r>
      <w:r>
        <w:fldChar w:fldCharType="separate"/>
      </w:r>
      <w:r w:rsidRPr="00542DB6">
        <w:rPr>
          <w:noProof/>
        </w:rPr>
        <w:t xml:space="preserve">(Ansley and Battles, 1998; Levine </w:t>
      </w:r>
      <w:r w:rsidRPr="00542DB6">
        <w:rPr>
          <w:i/>
          <w:noProof/>
        </w:rPr>
        <w:t>et al.</w:t>
      </w:r>
      <w:r w:rsidRPr="00542DB6">
        <w:rPr>
          <w:noProof/>
        </w:rPr>
        <w:t>, 2016)</w:t>
      </w:r>
      <w:r>
        <w:fldChar w:fldCharType="end"/>
      </w:r>
      <w:r>
        <w:t xml:space="preserve">. </w:t>
      </w:r>
      <w:r w:rsidR="005B4308">
        <w:t xml:space="preserve">There is also evidence that the densified forest structure has reduced the vigor of adult sugar pines, thus reducing their ability to resist other stresses </w:t>
      </w:r>
      <w:commentRangeStart w:id="10"/>
      <w:commentRangeStart w:id="11"/>
      <w:r w:rsidR="005B4308">
        <w:fldChar w:fldCharType="begin" w:fldLock="1"/>
      </w:r>
      <w:r w:rsidR="00D070A9">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Letters","id":"ITEM-3","issue":"1","issued":{"date-parts":[["2017"]]},"page":"78-86","title":"Long-term climate and competition explain forest mortality patterns under extreme drought","type":"article-journal","volume":"20"},"uris":["http://www.mendeley.com/documents/?uuid=11db3a96-5a65-4eb7-b92a-5cde2681bbb2"]},{"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forests","type":"article-journal","volume":"507"},"uris":["http://www.mendeley.com/documents/?uuid=465230a6-1d96-4a43-8dec-1e3c5870286d"]}],"mendeley":{"formattedCitation":"(Young &lt;i&gt;et al.&lt;/i&gt;, 2017; Restaino &lt;i&gt;et al.&lt;/i&gt;, 2019; Furniss &lt;i&gt;et al.&lt;/i&gt;, 2021; North &lt;i&gt;et al.&lt;/i&gt;, 2022)","plainTextFormattedCitation":"(Young et al., 2017; Restaino et al., 2019; Furniss et al., 2021; North et al., 2022)","previouslyFormattedCitation":"(Young &lt;i&gt;et al.&lt;/i&gt;, 2017; Restaino &lt;i&gt;et al.&lt;/i&gt;, 2019; Furniss &lt;i&gt;et al.&lt;/i&gt;, 2021; North &lt;i&gt;et al.&lt;/i&gt;, 2022)"},"properties":{"noteIndex":0},"schema":"https://github.com/citation-style-language/schema/raw/master/csl-citation.json"}</w:instrText>
      </w:r>
      <w:r w:rsidR="005B4308">
        <w:fldChar w:fldCharType="separate"/>
      </w:r>
      <w:r w:rsidR="000B37E1" w:rsidRPr="000B37E1">
        <w:rPr>
          <w:noProof/>
        </w:rPr>
        <w:t xml:space="preserve">(Young </w:t>
      </w:r>
      <w:r w:rsidR="000B37E1" w:rsidRPr="000B37E1">
        <w:rPr>
          <w:i/>
          <w:noProof/>
        </w:rPr>
        <w:t>et al.</w:t>
      </w:r>
      <w:r w:rsidR="000B37E1" w:rsidRPr="000B37E1">
        <w:rPr>
          <w:noProof/>
        </w:rPr>
        <w:t xml:space="preserve">, 2017; Restaino </w:t>
      </w:r>
      <w:r w:rsidR="000B37E1" w:rsidRPr="000B37E1">
        <w:rPr>
          <w:i/>
          <w:noProof/>
        </w:rPr>
        <w:t>et al.</w:t>
      </w:r>
      <w:r w:rsidR="000B37E1" w:rsidRPr="000B37E1">
        <w:rPr>
          <w:noProof/>
        </w:rPr>
        <w:t xml:space="preserve">, 2019; Furniss </w:t>
      </w:r>
      <w:r w:rsidR="000B37E1" w:rsidRPr="000B37E1">
        <w:rPr>
          <w:i/>
          <w:noProof/>
        </w:rPr>
        <w:t>et al.</w:t>
      </w:r>
      <w:r w:rsidR="000B37E1" w:rsidRPr="000B37E1">
        <w:rPr>
          <w:noProof/>
        </w:rPr>
        <w:t xml:space="preserve">, 2021; North </w:t>
      </w:r>
      <w:r w:rsidR="000B37E1" w:rsidRPr="000B37E1">
        <w:rPr>
          <w:i/>
          <w:noProof/>
        </w:rPr>
        <w:t>et al.</w:t>
      </w:r>
      <w:r w:rsidR="000B37E1" w:rsidRPr="000B37E1">
        <w:rPr>
          <w:noProof/>
        </w:rPr>
        <w:t>, 2022)</w:t>
      </w:r>
      <w:r w:rsidR="005B4308">
        <w:fldChar w:fldCharType="end"/>
      </w:r>
      <w:r w:rsidR="005B4308">
        <w:t>.</w:t>
      </w:r>
      <w:commentRangeEnd w:id="10"/>
      <w:r w:rsidR="00105668">
        <w:rPr>
          <w:rStyle w:val="CommentReference"/>
        </w:rPr>
        <w:commentReference w:id="10"/>
      </w:r>
      <w:commentRangeEnd w:id="11"/>
      <w:r w:rsidR="002F78E4">
        <w:rPr>
          <w:rStyle w:val="CommentReference"/>
        </w:rPr>
        <w:commentReference w:id="11"/>
      </w:r>
      <w:r w:rsidR="005B06F2">
        <w:t xml:space="preserve"> </w:t>
      </w:r>
    </w:p>
    <w:p w14:paraId="36249CCE" w14:textId="394D9B51" w:rsidR="008611C1" w:rsidRDefault="005B06F2" w:rsidP="009971A5">
      <w:pPr>
        <w:spacing w:line="360" w:lineRule="auto"/>
        <w:ind w:firstLine="720"/>
      </w:pPr>
      <w:r>
        <w:t xml:space="preserve">Finally, the changing climate may increase the duration and severity of droughts and associated bark beetle epidemics, which are already causing mass mortality events in sugar pine’s range </w:t>
      </w:r>
      <w:r>
        <w:fldChar w:fldCharType="begin" w:fldLock="1"/>
      </w:r>
      <w: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Ecology","id":"ITEM-2","issue":"5","issued":{"date-parts":[["2019"]]},"note":"followup: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-3","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D.","non-dropping-particle":"","parse-names":false,"suffix":""}],"container-title":"Ecosphere","id":"ITEM-3","issue":"January","issued":{"date-parts":[["2021"]]},"title":"Do Forest Fuel Reduction Treatments Confer Resistance to Beetle Infestation and Drought Mortality?","type":"article-journal","volume":"12"},"uris":["http://www.mendeley.com/documents/?uuid=27f300f3-6aa3-4e67-9ff2-302a5568e9e8"]}],"mendeley":{"formattedCitation":"(Fettig &lt;i&gt;et al.&lt;/i&gt;, 2019; Stephenson &lt;i&gt;et al.&lt;/i&gt;, 2019; Steel &lt;i&gt;et al.&lt;/i&gt;, 2021)","plainTextFormattedCitation":"(Fettig et al., 2019; Stephenson et al., 2019; Steel et al., 2021)","previouslyFormattedCitation":"(Fettig &lt;i&gt;et al.&lt;/i&gt;, 2019; Stephenson &lt;i&gt;et al.&lt;/i&gt;, 2019; Steel &lt;i&gt;et al.&lt;/i&gt;, 2021)"},"properties":{"noteIndex":0},"schema":"https://github.com/citation-style-language/schema/raw/master/csl-citation.json"}</w:instrText>
      </w:r>
      <w:r>
        <w:fldChar w:fldCharType="separate"/>
      </w:r>
      <w:r w:rsidRPr="00021D10">
        <w:rPr>
          <w:noProof/>
        </w:rPr>
        <w:t xml:space="preserve">(Fettig </w:t>
      </w:r>
      <w:r w:rsidRPr="00021D10">
        <w:rPr>
          <w:i/>
          <w:noProof/>
        </w:rPr>
        <w:t>et al.</w:t>
      </w:r>
      <w:r w:rsidRPr="00021D10">
        <w:rPr>
          <w:noProof/>
        </w:rPr>
        <w:t xml:space="preserve">, 2019; Stephenson </w:t>
      </w:r>
      <w:r w:rsidRPr="00021D10">
        <w:rPr>
          <w:i/>
          <w:noProof/>
        </w:rPr>
        <w:t>et al.</w:t>
      </w:r>
      <w:r w:rsidRPr="00021D10">
        <w:rPr>
          <w:noProof/>
        </w:rPr>
        <w:t xml:space="preserve">, 2019; Steel </w:t>
      </w:r>
      <w:r w:rsidRPr="00021D10">
        <w:rPr>
          <w:i/>
          <w:noProof/>
        </w:rPr>
        <w:t>et al.</w:t>
      </w:r>
      <w:r w:rsidRPr="00021D10">
        <w:rPr>
          <w:noProof/>
        </w:rPr>
        <w:t>, 2021)</w:t>
      </w:r>
      <w:r>
        <w:fldChar w:fldCharType="end"/>
      </w:r>
      <w:r>
        <w:t xml:space="preserve">. Once these epidemics are underway, bark beetles tend to preferentially target large and reproductively-valuable sugar pines, independent of individuals’ stress </w:t>
      </w:r>
      <w:r>
        <w:fldChar w:fldCharType="begin" w:fldLock="1"/>
      </w:r>
      <w: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fldChar w:fldCharType="separate"/>
      </w:r>
      <w:r w:rsidRPr="00EB4A84">
        <w:rPr>
          <w:noProof/>
        </w:rPr>
        <w:t xml:space="preserve">(Stephenson </w:t>
      </w:r>
      <w:r w:rsidRPr="00EB4A84">
        <w:rPr>
          <w:i/>
          <w:noProof/>
        </w:rPr>
        <w:t>et al.</w:t>
      </w:r>
      <w:r w:rsidRPr="00EB4A84">
        <w:rPr>
          <w:noProof/>
        </w:rPr>
        <w:t>, 2019)</w:t>
      </w:r>
      <w:r>
        <w:fldChar w:fldCharType="end"/>
      </w:r>
      <w:r w:rsidR="009F6E8A">
        <w:t xml:space="preserve">, exacerbating the impact of this stressor on the demographic outlook for sugar pine. Drought can also kill trees, especially small individuals, more directly via </w:t>
      </w:r>
      <w:r w:rsidR="00243B4B">
        <w:t xml:space="preserve">hydraulic failure and/or carbon starvation </w:t>
      </w:r>
      <w:commentRangeStart w:id="12"/>
      <w:r w:rsidR="009F6E8A">
        <w:fldChar w:fldCharType="begin" w:fldLock="1"/>
      </w:r>
      <w:r w:rsidR="00A41A84">
        <w:instrText>ADDIN CSL_CITATION {"citationItems":[{"id":"ITEM-1","itemData":{"DOI":"10.1002/ecs2.2776","ISSN":"21508925","abstract":"Understanding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L.","non-dropping-particle":"","parse-names":false,"suffix":""}],"container-title":"Ecosphere","id":"ITEM-1","issue":"6","issued":{"date-parts":[["2019"]]},"title":"Negative impacts of summer heat on Sierra Nevada tree seedlings","type":"article-journal","volume":"10"},"uris":["http://www.mendeley.com/documents/?uuid=52ae7f69-ba42-496d-827f-0c3f1dd1fb27"]}],"mendeley":{"formattedCitation":"(Moran &lt;i&gt;et al.&lt;/i&gt;, 2019)","plainTextFormattedCitation":"(Moran et al., 2019)","previouslyFormattedCitation":"(Moran &lt;i&gt;et al.&lt;/i&gt;, 2019)"},"properties":{"noteIndex":0},"schema":"https://github.com/citation-style-language/schema/raw/master/csl-citation.json"}</w:instrText>
      </w:r>
      <w:r w:rsidR="009F6E8A">
        <w:fldChar w:fldCharType="separate"/>
      </w:r>
      <w:r w:rsidR="009F6E8A" w:rsidRPr="009F6E8A">
        <w:rPr>
          <w:noProof/>
        </w:rPr>
        <w:t xml:space="preserve">(Moran </w:t>
      </w:r>
      <w:r w:rsidR="009F6E8A" w:rsidRPr="009F6E8A">
        <w:rPr>
          <w:i/>
          <w:noProof/>
        </w:rPr>
        <w:t>et al.</w:t>
      </w:r>
      <w:r w:rsidR="009F6E8A" w:rsidRPr="009F6E8A">
        <w:rPr>
          <w:noProof/>
        </w:rPr>
        <w:t>, 2019)</w:t>
      </w:r>
      <w:r w:rsidR="009F6E8A">
        <w:fldChar w:fldCharType="end"/>
      </w:r>
      <w:commentRangeEnd w:id="12"/>
      <w:r w:rsidR="00BD0EC9">
        <w:rPr>
          <w:rStyle w:val="CommentReference"/>
        </w:rPr>
        <w:commentReference w:id="12"/>
      </w:r>
      <w:r w:rsidR="009F6E8A">
        <w:t>.</w:t>
      </w:r>
    </w:p>
    <w:p w14:paraId="78BF1187" w14:textId="18E5CFAC" w:rsidR="002435DE" w:rsidRDefault="002435DE" w:rsidP="009971A5">
      <w:pPr>
        <w:spacing w:line="360" w:lineRule="auto"/>
        <w:ind w:firstLine="720"/>
      </w:pPr>
      <w:r>
        <w:t>Given these numerous challenges, there are widespread concerns about the future of the species</w:t>
      </w:r>
      <w:r w:rsidR="0035131C">
        <w:t xml:space="preserve"> </w:t>
      </w:r>
      <w:r w:rsidR="0035131C">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35131C">
        <w:fldChar w:fldCharType="separate"/>
      </w:r>
      <w:r w:rsidR="00EB4A84" w:rsidRPr="00EB4A84">
        <w:rPr>
          <w:noProof/>
        </w:rPr>
        <w:t>(Kinloch Jr., Marosy and Huddleston, 1996)</w:t>
      </w:r>
      <w:r w:rsidR="0035131C">
        <w:fldChar w:fldCharType="end"/>
      </w:r>
      <w:r w:rsidR="0035131C">
        <w:t xml:space="preserve">. </w:t>
      </w:r>
      <w:r>
        <w:t xml:space="preserve">Management options to benefit sugar pine are available, ranging from restoration thinning and prescribed fire to restore forest structure </w:t>
      </w:r>
      <w:commentRangeStart w:id="13"/>
      <w:r w:rsidR="0035131C">
        <w:fldChar w:fldCharType="begin" w:fldLock="1"/>
      </w:r>
      <w:r w:rsidR="000B37E1">
        <w:instrText>ADDIN CSL_CITATION {"citationItems":[{"id":"ITEM-1","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D.","non-dropping-particle":"","parse-names":false,"suffix":""}],"container-title":"Ecosphere","id":"ITEM-1","issue":"January","issued":{"date-parts":[["2021"]]},"title":"Do Forest Fuel Reduction Treatments Confer Resistance to Beetle Infestation and Drought Mortality?","type":"article-journal","volume":"12"},"uris":["http://www.mendeley.com/documents/?uuid=27f300f3-6aa3-4e67-9ff2-302a5568e9e8"]},{"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USA","type":"article-journal","volume":"29"},"uris":["http://www.mendeley.com/documents/?uuid=fab20f86-8948-4d2c-85ba-9a0ff200ff1e"]},{"id":"ITEM-3","itemData":{"DOI":"10.1890/07-1755.1","ISBN":"1051-0761","ISSN":"1051-0761","PMID":"19323192","abstract":"Forest structure and species composition in many western U. S. coniferous forests have been altered through. re exclusion, past and ongoing harvesting practices, and livestock grazing over the 20th century. The effects of these activities have been most pronounced in seasonally dry, low and mid-elevation coniferous forests that once experienced frequent, low to moderate intensity,. re regimes. In this paper, we report the effects of Fire and Fire Surrogate (FFS) forest stand treatments on fuel load profiles, potential fire behavior, and fire severity under three weather scenarios from six western U. S. FFS sites. This replicated, multisite experiment provides a framework for drawing broad generalizations about the effectiveness of prescribed. re and mechanical treatments on surface fuel loads, forest structure, and potential. re severity. Mechanical treatments without. re resulted in combined 1-, 10-, and 100-hour surface fuel loads that were significantly greater than controls at three of five FFS sites. Canopy cover was significantly lower than controls at three of five FFS sites with mechanical-only treatments and at all five FFS sites with the mechanical plus burning treatment;. re-only treatments reduced canopy cover at only one site. For the combined treatment of mechanical plus. re, all five FFS sites with this treatment had a substantially lower likelihood of passive crown. re as indicated by the very high torching indices. FFS sites that experienced significant increases in 1-, 10-, and 100-hour combined surface fuel loads utilized harvest systems that left all activity fuels within experimental units. When mechanical treatments were followed by prescribed burning or pile burning, they were the most effective treatment for reducing crown fire potential and predicted tree mortality because of low surface fuel loads and increased vertical and horizontal canopy separation. Results indicate that mechanical plus fire, fire-only, and mechanical-only treatments using whole-tree harvest systems were all effective at reducing potential. re severity under severe. re weather conditions. Retaining the largest trees within stands also increased. re resistance.","author":[{"dropping-particle":"","family":"Stephens","given":"Scott L.","non-dropping-particle":"","parse-names":false,"suffix":""},{"dropping-particle":"","family":"Moghaddas","given":"Jason J.","non-dropping-particle":"","parse-names":false,"suffix":""},{"dropping-particle":"","family":"Edminster","given":"Carl","non-dropping-particle":"","parse-names":false,"suffix":""},{"dropping-particle":"","family":"Fiedler","given":"Carl E.","non-dropping-particle":"","parse-names":false,"suffix":""},{"dropping-particle":"","family":"Haase","given":"Sally","non-dropping-particle":"","parse-names":false,"suffix":""},{"dropping-particle":"","family":"Harrington","given":"Michael","non-dropping-particle":"","parse-names":false,"suffix":""},{"dropping-particle":"","family":"Keeley","given":"Jon E.","non-dropping-particle":"","parse-names":false,"suffix":""},{"dropping-particle":"","family":"Knapp","given":"Eric E.","non-dropping-particle":"","parse-names":false,"suffix":""},{"dropping-particle":"","family":"McIver","given":"James D.","non-dropping-particle":"","parse-names":false,"suffix":""},{"dropping-particle":"","family":"Metlen","given":"Kerry","non-dropping-particle":"","parse-names":false,"suffix":""},{"dropping-particle":"","family":"Skinner","given":"Carl N.","non-dropping-particle":"","parse-names":false,"suffix":""},{"dropping-particle":"","family":"Youngblood","given":"Andrew","non-dropping-particle":"","parse-names":false,"suffix":""}],"container-title":"Ecological Applications","id":"ITEM-3","issue":"2","issued":{"date-parts":[["2009"]]},"page":"305-320","title":"Fire Treatment Effects on Vegetation Structure , Fuels , and Potential Fire Severity in Western U . S . Forests","type":"article-journal","volume":"19"},"uris":["http://www.mendeley.com/documents/?uuid=3429606a-819b-4422-8620-ba8303282bca"]}],"mendeley":{"formattedCitation":"(Stephens &lt;i&gt;et al.&lt;/i&gt;, 2009; Restaino &lt;i&gt;et al.&lt;/i&gt;, 2019; Steel &lt;i&gt;et al.&lt;/i&gt;, 2021)","plainTextFormattedCitation":"(Stephens et al., 2009; Restaino et al., 2019; Steel et al., 2021)","previouslyFormattedCitation":"(Stephens &lt;i&gt;et al.&lt;/i&gt;, 2009; Restaino &lt;i&gt;et al.&lt;/i&gt;, 2019; Steel &lt;i&gt;et al.&lt;/i&gt;, 2021)"},"properties":{"noteIndex":0},"schema":"https://github.com/citation-style-language/schema/raw/master/csl-citation.json"}</w:instrText>
      </w:r>
      <w:r w:rsidR="0035131C">
        <w:fldChar w:fldCharType="separate"/>
      </w:r>
      <w:r w:rsidR="000B37E1" w:rsidRPr="000B37E1">
        <w:rPr>
          <w:noProof/>
        </w:rPr>
        <w:t xml:space="preserve">(Stephens </w:t>
      </w:r>
      <w:r w:rsidR="000B37E1" w:rsidRPr="000B37E1">
        <w:rPr>
          <w:i/>
          <w:noProof/>
        </w:rPr>
        <w:t>et al.</w:t>
      </w:r>
      <w:r w:rsidR="000B37E1" w:rsidRPr="000B37E1">
        <w:rPr>
          <w:noProof/>
        </w:rPr>
        <w:t xml:space="preserve">, 2009; Restaino </w:t>
      </w:r>
      <w:r w:rsidR="000B37E1" w:rsidRPr="000B37E1">
        <w:rPr>
          <w:i/>
          <w:noProof/>
        </w:rPr>
        <w:t>et al.</w:t>
      </w:r>
      <w:r w:rsidR="000B37E1" w:rsidRPr="000B37E1">
        <w:rPr>
          <w:noProof/>
        </w:rPr>
        <w:t xml:space="preserve">, 2019; Steel </w:t>
      </w:r>
      <w:r w:rsidR="000B37E1" w:rsidRPr="000B37E1">
        <w:rPr>
          <w:i/>
          <w:noProof/>
        </w:rPr>
        <w:t>et al.</w:t>
      </w:r>
      <w:r w:rsidR="000B37E1" w:rsidRPr="000B37E1">
        <w:rPr>
          <w:noProof/>
        </w:rPr>
        <w:t>, 2021)</w:t>
      </w:r>
      <w:r w:rsidR="0035131C">
        <w:fldChar w:fldCharType="end"/>
      </w:r>
      <w:r>
        <w:t xml:space="preserve"> </w:t>
      </w:r>
      <w:commentRangeEnd w:id="13"/>
      <w:r w:rsidR="007108F6">
        <w:rPr>
          <w:rStyle w:val="CommentReference"/>
        </w:rPr>
        <w:commentReference w:id="13"/>
      </w:r>
      <w:r>
        <w:t>to out</w:t>
      </w:r>
      <w:r w:rsidR="008C4383">
        <w:t xml:space="preserve"> </w:t>
      </w:r>
      <w:r>
        <w:t xml:space="preserve">planting seedlings with genetic resistance to WPBR </w:t>
      </w:r>
      <w:r w:rsidR="0097720B">
        <w:fldChar w:fldCharType="begin" w:fldLock="1"/>
      </w:r>
      <w:r w:rsidR="002C19B3">
        <w:instrText>ADDIN CSL_CITATION {"citationItems":[{"id":"ITEM-1","itemData":{"DOI":"10.1146/annurev-ecolsys-110512-135747","author":[{"dropping-particle":"","family":"Aitken","given":"Sally N","non-dropping-particle":"","parse-names":false,"suffix":""},{"dropping-particle":"","family":"Whitlock","given":"Michael C","non-dropping-particle":"","parse-names":false,"suffix":""}],"container-title":"Annual Review of Ecology, evolution, and Systematics","id":"ITEM-1","issued":{"date-parts":[["2013"]]},"page":"367-88","title":"Assisted Gene Flow to Facilitate Local Adaptation to Climate Change","type":"article-journal","volume":"44"},"uris":["http://www.mendeley.com/documents/?uuid=14f238d5-06eb-4428-9f86-0be8558a45fa"]},{"id":"ITEM-2","itemData":{"DOI":"10.1016/j.foreco.2018.09.007","ISBN":"9781594770913","ISSN":"03781127","abstract":"The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forests","type":"article-journal","volume":"432"},"uris":["http://www.mendeley.com/documents/?uuid=4ca71152-bbb4-4682-9438-f468bbf36faf"]}],"mendeley":{"formattedCitation":"(Aitken and Whitlock, 2013; North &lt;i&gt;et al.&lt;/i&gt;, 2019)","plainTextFormattedCitation":"(Aitken and Whitlock, 2013; North et al., 2019)","previouslyFormattedCitation":"(Aitken and Whitlock, 2013; North &lt;i&gt;et al.&lt;/i&gt;, 2019)"},"properties":{"noteIndex":0},"schema":"https://github.com/citation-style-language/schema/raw/master/csl-citation.json"}</w:instrText>
      </w:r>
      <w:r w:rsidR="0097720B">
        <w:fldChar w:fldCharType="separate"/>
      </w:r>
      <w:r w:rsidR="00EB4A84" w:rsidRPr="00EB4A84">
        <w:rPr>
          <w:noProof/>
        </w:rPr>
        <w:t xml:space="preserve">(Aitken and Whitlock, 2013; North </w:t>
      </w:r>
      <w:r w:rsidR="00EB4A84" w:rsidRPr="00EB4A84">
        <w:rPr>
          <w:i/>
          <w:noProof/>
        </w:rPr>
        <w:t>et al.</w:t>
      </w:r>
      <w:r w:rsidR="00EB4A84" w:rsidRPr="00EB4A84">
        <w:rPr>
          <w:noProof/>
        </w:rPr>
        <w:t>, 2019)</w:t>
      </w:r>
      <w:r w:rsidR="0097720B">
        <w:fldChar w:fldCharType="end"/>
      </w:r>
      <w:r>
        <w:t xml:space="preserve">. However, many of these options are expensive. </w:t>
      </w:r>
      <w:commentRangeStart w:id="14"/>
      <w:r>
        <w:t xml:space="preserve">In </w:t>
      </w:r>
      <w:r>
        <w:lastRenderedPageBreak/>
        <w:t>a context where natural resource management funding is constrained, it is important to understand the status and demographic outlook for sugar pine as a species</w:t>
      </w:r>
      <w:commentRangeEnd w:id="14"/>
      <w:r w:rsidR="002626E1">
        <w:rPr>
          <w:rStyle w:val="CommentReference"/>
        </w:rPr>
        <w:commentReference w:id="14"/>
      </w:r>
      <w:r>
        <w:t xml:space="preserve">. This study seeks to inform decisions about when and where to prioritize management actions to conserve sugar pine. To that end, </w:t>
      </w:r>
      <w:r w:rsidR="0097720B">
        <w:t>we</w:t>
      </w:r>
      <w:r>
        <w:t xml:space="preserve"> address t</w:t>
      </w:r>
      <w:r w:rsidR="00D312C0">
        <w:t>wo</w:t>
      </w:r>
      <w:r>
        <w:t xml:space="preserve"> questions:</w:t>
      </w:r>
    </w:p>
    <w:p w14:paraId="2E1390DE" w14:textId="4F52C7A9" w:rsidR="00540755" w:rsidRDefault="00E51EB0" w:rsidP="00E01957">
      <w:pPr>
        <w:numPr>
          <w:ilvl w:val="0"/>
          <w:numId w:val="1"/>
        </w:numPr>
        <w:spacing w:line="360" w:lineRule="auto"/>
      </w:pPr>
      <w:r>
        <w:t>What is the current trajectory of</w:t>
      </w:r>
      <w:r w:rsidR="00540755">
        <w:t xml:space="preserve"> abundance across the range-wide ensemble of sugar pine populations?</w:t>
      </w:r>
    </w:p>
    <w:p w14:paraId="39543004" w14:textId="77274D5B" w:rsidR="007553FB" w:rsidRDefault="00D312C0" w:rsidP="00540755">
      <w:pPr>
        <w:numPr>
          <w:ilvl w:val="0"/>
          <w:numId w:val="1"/>
        </w:numPr>
        <w:spacing w:line="360" w:lineRule="auto"/>
      </w:pPr>
      <w:r>
        <w:t>What is the relative importance of the various stressors acting on sugar pine?</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1ECE5FFC"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w:t>
      </w:r>
      <w:r w:rsidR="0097720B">
        <w:t>(</w:t>
      </w:r>
      <w:r w:rsidR="0097720B">
        <w:fldChar w:fldCharType="begin"/>
      </w:r>
      <w:r w:rsidR="0097720B">
        <w:instrText xml:space="preserve"> REF _Ref94877166 \h </w:instrText>
      </w:r>
      <w:r w:rsidR="0097720B">
        <w:fldChar w:fldCharType="separate"/>
      </w:r>
      <w:r w:rsidR="0097720B">
        <w:t xml:space="preserve">Figure </w:t>
      </w:r>
      <w:r w:rsidR="0097720B">
        <w:rPr>
          <w:noProof/>
        </w:rPr>
        <w:t>1</w:t>
      </w:r>
      <w:r w:rsidR="0097720B">
        <w:fldChar w:fldCharType="end"/>
      </w:r>
      <w:r w:rsidR="0097720B">
        <w:t>)</w:t>
      </w:r>
      <w:r>
        <w:t>, which is the vast majority of the species’ range</w:t>
      </w:r>
      <w:r w:rsidR="0097720B">
        <w:t xml:space="preserve"> (exclud</w:t>
      </w:r>
      <w:r w:rsidR="00A41A84">
        <w:t>ing only</w:t>
      </w:r>
      <w:r w:rsidR="0097720B">
        <w:t xml:space="preserve"> an isolated population in Baja California)</w:t>
      </w:r>
      <w:r>
        <w:t>.</w:t>
      </w:r>
      <w:r w:rsidR="007847A0">
        <w:t xml:space="preserve"> </w:t>
      </w:r>
      <w:r>
        <w:t xml:space="preserve"> </w:t>
      </w:r>
      <w:r w:rsidR="007847A0">
        <w:t xml:space="preserve">The range of sugar pine </w:t>
      </w:r>
      <w:r w:rsidR="00C125F1">
        <w:t xml:space="preserve">in the United States </w:t>
      </w:r>
      <w:r w:rsidR="007847A0">
        <w:t>extends</w:t>
      </w:r>
      <w:r w:rsidR="00C125F1">
        <w:t xml:space="preserve"> </w:t>
      </w:r>
      <w:r w:rsidR="005400AE">
        <w:t xml:space="preserve">from </w:t>
      </w:r>
      <w:r w:rsidR="0097720B">
        <w:t>33.7</w:t>
      </w:r>
      <w:r w:rsidR="00C125F1">
        <w:rPr>
          <w:rFonts w:cstheme="minorHAnsi"/>
        </w:rPr>
        <w:t>°N to 45.3°N</w:t>
      </w:r>
      <w:r w:rsidR="005400AE">
        <w:t xml:space="preserve"> throughout much of the Sierra Nevada and Klamath mountain</w:t>
      </w:r>
      <w:r w:rsidR="00FF38BC">
        <w:t>s, and parts of the Transverse</w:t>
      </w:r>
      <w:r w:rsidR="007108F6">
        <w:t>, Peninsular,</w:t>
      </w:r>
      <w:r w:rsidR="00FF38BC">
        <w:t xml:space="preserve"> and Southern Cascades ranges in the US states of California and Oregon. Sugar pine is widely distributed throughout this range as an important element of the mixed conifer forest belt at elevations ranging from </w:t>
      </w:r>
      <w:r w:rsidR="00AD7299">
        <w:t>1000 m</w:t>
      </w:r>
      <w:r w:rsidR="00FF38BC">
        <w:t xml:space="preserve"> to </w:t>
      </w:r>
      <w:r w:rsidR="00AD7299">
        <w:t xml:space="preserve">2700 m, depending on latitude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FF38BC">
        <w:t>. The climate throughout this range is Mediterranean, with</w:t>
      </w:r>
      <w:r w:rsidR="00323628">
        <w:t xml:space="preserve"> a </w:t>
      </w:r>
      <w:r w:rsidR="00AD7299">
        <w:t xml:space="preserve">cool-wet season and a warm-dry season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323628">
        <w:t xml:space="preserve">. </w:t>
      </w:r>
    </w:p>
    <w:p w14:paraId="145C8BAB" w14:textId="7C8DAD7C" w:rsidR="00EE5D6E" w:rsidRDefault="00EE5D6E" w:rsidP="00E01957">
      <w:pPr>
        <w:pStyle w:val="Heading2"/>
        <w:spacing w:line="360" w:lineRule="auto"/>
      </w:pPr>
      <w:commentRangeStart w:id="15"/>
      <w:commentRangeStart w:id="16"/>
      <w:r>
        <w:t>Inventory</w:t>
      </w:r>
      <w:commentRangeEnd w:id="15"/>
      <w:r w:rsidR="000B15A1">
        <w:rPr>
          <w:rStyle w:val="CommentReference"/>
          <w:rFonts w:asciiTheme="minorHAnsi" w:eastAsiaTheme="minorHAnsi" w:hAnsiTheme="minorHAnsi" w:cstheme="minorBidi"/>
          <w:color w:val="auto"/>
        </w:rPr>
        <w:commentReference w:id="15"/>
      </w:r>
      <w:commentRangeEnd w:id="16"/>
      <w:r w:rsidR="000B15A1">
        <w:rPr>
          <w:rStyle w:val="CommentReference"/>
          <w:rFonts w:asciiTheme="minorHAnsi" w:eastAsiaTheme="minorHAnsi" w:hAnsiTheme="minorHAnsi" w:cstheme="minorBidi"/>
          <w:color w:val="auto"/>
        </w:rPr>
        <w:commentReference w:id="16"/>
      </w:r>
      <w:r>
        <w:t xml:space="preserve"> </w:t>
      </w:r>
      <w:commentRangeStart w:id="17"/>
      <w:commentRangeStart w:id="18"/>
      <w:r>
        <w:t>Data</w:t>
      </w:r>
      <w:commentRangeEnd w:id="17"/>
      <w:r w:rsidR="000B15A1">
        <w:rPr>
          <w:rStyle w:val="CommentReference"/>
          <w:rFonts w:asciiTheme="minorHAnsi" w:eastAsiaTheme="minorHAnsi" w:hAnsiTheme="minorHAnsi" w:cstheme="minorBidi"/>
          <w:color w:val="auto"/>
        </w:rPr>
        <w:commentReference w:id="17"/>
      </w:r>
      <w:commentRangeEnd w:id="18"/>
      <w:r w:rsidR="00BD15C5">
        <w:rPr>
          <w:rStyle w:val="CommentReference"/>
          <w:rFonts w:asciiTheme="minorHAnsi" w:eastAsiaTheme="minorHAnsi" w:hAnsiTheme="minorHAnsi" w:cstheme="minorBidi"/>
          <w:color w:val="auto"/>
        </w:rPr>
        <w:commentReference w:id="18"/>
      </w:r>
    </w:p>
    <w:p w14:paraId="537500C6" w14:textId="25120C30" w:rsidR="00877029" w:rsidRDefault="00197ED8" w:rsidP="00361DD5">
      <w:pPr>
        <w:spacing w:line="360" w:lineRule="auto"/>
        <w:ind w:firstLine="720"/>
      </w:pPr>
      <w:r>
        <w:t>The</w:t>
      </w:r>
      <w:r w:rsidR="009E5157">
        <w:t xml:space="preserve"> Forest Inventory and Analysis</w:t>
      </w:r>
      <w:r>
        <w:t xml:space="preserve"> </w:t>
      </w:r>
      <w:r w:rsidR="009E5157">
        <w:t>(</w:t>
      </w:r>
      <w:commentRangeStart w:id="19"/>
      <w:r>
        <w:t>F</w:t>
      </w:r>
      <w:r w:rsidR="00D8211E">
        <w:t>IA</w:t>
      </w:r>
      <w:commentRangeEnd w:id="19"/>
      <w:r w:rsidR="009E5157">
        <w:rPr>
          <w:rStyle w:val="CommentReference"/>
        </w:rPr>
        <w:commentReference w:id="19"/>
      </w:r>
      <w:r w:rsidR="009E5157">
        <w:t>)</w:t>
      </w:r>
      <w:r>
        <w:t xml:space="preserve"> </w:t>
      </w:r>
      <w:commentRangeStart w:id="20"/>
      <w:r>
        <w:t>plots</w:t>
      </w:r>
      <w:commentRangeEnd w:id="20"/>
      <w:r w:rsidR="009E5157">
        <w:rPr>
          <w:rStyle w:val="CommentReference"/>
        </w:rPr>
        <w:commentReference w:id="20"/>
      </w:r>
      <w:r>
        <w:t xml:space="preserve"> are part of a US Forest Service-run nationwide inventory network operating in its current</w:t>
      </w:r>
      <w:r w:rsidR="00D8211E">
        <w:t xml:space="preserve"> </w:t>
      </w:r>
      <w:r>
        <w:t xml:space="preserve">form since 2001 </w:t>
      </w:r>
      <w:r w:rsidR="006E0CA4">
        <w:fldChar w:fldCharType="begin" w:fldLock="1"/>
      </w:r>
      <w:r w:rsidR="002C19B3">
        <w:instrText>ADDIN CSL_CITATION {"citationItems":[{"id":"ITEM-1","itemData":{"abstract":"The Forest Inventory and Analysis (FIA) Program of the U.S. Department of Agriculture Forest Service is in the process of moving from a system of quasiindependent, regional, periodic inventories to an enhanced program featuring greater national consistency, annual measurement of a proportion of plots in each State, new reporting requirements, and integration with the ground sampling component of the Forest Health Monitoring Program. This documentation presents an overview of the conceptual changes, explains the three phases of FIA's sampling design, describes the sampling frame and plot configuration, presents the estimators that form the basis of FIA's National Information Management System (NIMS), and shows how annual data are combined for analysis. It also references a number of Web-based supplementary documents that provide greater detail about some of the more obscure aspects of the sampling and estimation system, as well as examples of calculations for most of the common estimators produced by FIA.","author":[{"dropping-particle":"","family":"Bechtold","given":"William A","non-dropping-particle":"","parse-names":false,"suffix":""},{"dropping-particle":"","family":"Patterson","given":"Paul L","non-dropping-particle":"","parse-names":false,"suffix":""}],"container-title":"USDA General Technical Report","id":"ITEM-1","issued":{"date-parts":[["2005"]]},"page":"85","title":"The Enhanced Forest Inventory and Analysis Program — National Sampling Design and Estimation Procedures","type":"article-journal","volume":"SRS-80"},"uris":["http://www.mendeley.com/documents/?uuid=416b6508-82c4-4780-bbc6-e971eafd5bf6"]}],"mendeley":{"formattedCitation":"(Bechtold and Patterson, 2005)","plainTextFormattedCitation":"(Bechtold and Patterson, 2005)","previouslyFormattedCitation":"(Bechtold and Patterson, 2005)"},"properties":{"noteIndex":0},"schema":"https://github.com/citation-style-language/schema/raw/master/csl-citation.json"}</w:instrText>
      </w:r>
      <w:r w:rsidR="006E0CA4">
        <w:fldChar w:fldCharType="separate"/>
      </w:r>
      <w:r w:rsidR="00EB4A84" w:rsidRPr="00EB4A84">
        <w:rPr>
          <w:noProof/>
        </w:rPr>
        <w:t>(Bechtold and Patterson, 2005)</w:t>
      </w:r>
      <w:r w:rsidR="006E0CA4">
        <w:fldChar w:fldCharType="end"/>
      </w:r>
      <w:r>
        <w:t xml:space="preserve">. Here, </w:t>
      </w:r>
      <w:r w:rsidR="006E0CA4">
        <w:t>we</w:t>
      </w:r>
      <w:r w:rsidR="00D96875">
        <w:t xml:space="preserve"> use </w:t>
      </w:r>
      <w:r w:rsidR="001D0752">
        <w:t>1,</w:t>
      </w:r>
      <w:r w:rsidR="00540755">
        <w:t>221</w:t>
      </w:r>
      <w:r w:rsidR="001D0752">
        <w:t xml:space="preserve"> </w:t>
      </w:r>
      <w:r w:rsidR="00D96875">
        <w:t>FIA plots</w:t>
      </w:r>
      <w:r>
        <w:t xml:space="preserve"> from California</w:t>
      </w:r>
      <w:r w:rsidR="009B5B45">
        <w:t xml:space="preserve"> and Oregon</w:t>
      </w:r>
      <w:r>
        <w:t xml:space="preserve"> </w:t>
      </w:r>
      <w:r w:rsidR="009E5157">
        <w:t xml:space="preserve">where </w:t>
      </w:r>
      <w:r w:rsidR="004769F7">
        <w:t>live sugar pine was present at initial measurement from 2001-20</w:t>
      </w:r>
      <w:r w:rsidR="00540755">
        <w:t>09 or remeasurement from 2010-2019</w:t>
      </w:r>
      <w:r w:rsidR="001D0752">
        <w:t xml:space="preserve"> (</w:t>
      </w:r>
      <w:r w:rsidR="004769F7">
        <w:t>we used</w:t>
      </w:r>
      <w:r w:rsidR="001D0752">
        <w:t xml:space="preserve"> version number 1.8.0.03</w:t>
      </w:r>
      <w:r w:rsidR="004769F7">
        <w:t xml:space="preserve"> of the FIA database</w:t>
      </w:r>
      <w:r w:rsidR="001D0752">
        <w:t>)</w:t>
      </w:r>
      <w:r>
        <w:t xml:space="preserve">. </w:t>
      </w:r>
      <w:commentRangeStart w:id="21"/>
      <w:r>
        <w:t xml:space="preserve">The geographic coordinates listed for the FIA plots are not exact; </w:t>
      </w:r>
      <w:r w:rsidR="00361DD5">
        <w:t>to</w:t>
      </w:r>
      <w:r>
        <w:t xml:space="preserve"> preserve plot </w:t>
      </w:r>
      <w:r w:rsidR="00361DD5">
        <w:t>integrity,</w:t>
      </w:r>
      <w:r>
        <w:t xml:space="preserve"> the plot coordinates are randomly perturbed, and some plot locations</w:t>
      </w:r>
      <w:r w:rsidR="00D8211E">
        <w:t xml:space="preserve"> </w:t>
      </w:r>
      <w:r>
        <w:t>are swapped. Most perturbations are to a random location within 0.8</w:t>
      </w:r>
      <w:r w:rsidR="006E0CA4">
        <w:t xml:space="preserve"> </w:t>
      </w:r>
      <w:r>
        <w:t>km of the true location, and all</w:t>
      </w:r>
      <w:r w:rsidR="00D8211E">
        <w:t xml:space="preserve"> </w:t>
      </w:r>
      <w:r>
        <w:t>perturbations are to within 1.6 km of the actual location. Between 0 and 10 percent of plot locations are</w:t>
      </w:r>
      <w:r w:rsidR="00D8211E">
        <w:t xml:space="preserve"> </w:t>
      </w:r>
      <w:r>
        <w:t>swapped with a similar plot in the same county</w:t>
      </w:r>
      <w:commentRangeEnd w:id="21"/>
      <w:r w:rsidR="001854A2">
        <w:rPr>
          <w:rStyle w:val="CommentReference"/>
        </w:rPr>
        <w:commentReference w:id="21"/>
      </w:r>
      <w:r w:rsidR="00D8211E">
        <w:t xml:space="preserve">. </w:t>
      </w:r>
      <w:r>
        <w:t>FIA plots are placed on a hexagonal grid</w:t>
      </w:r>
      <w:r w:rsidR="00D8211E">
        <w:t xml:space="preserve"> </w:t>
      </w:r>
      <w:r>
        <w:t xml:space="preserve">with a density of approximately 1 plot per 2429 ha. Each plot is revisited </w:t>
      </w:r>
      <w:r w:rsidR="00BD15C5">
        <w:t>approximately once every 10 years</w:t>
      </w:r>
      <w:r w:rsidR="000451DF">
        <w:t xml:space="preserve">, which we treat as the census interval for </w:t>
      </w:r>
      <w:r w:rsidR="000451DF">
        <w:lastRenderedPageBreak/>
        <w:t>the purpose of calculating vital rates and constructing an IPM</w:t>
      </w:r>
      <w:r w:rsidR="00BD15C5">
        <w:t xml:space="preserve">. Of the </w:t>
      </w:r>
      <w:r w:rsidR="000451DF">
        <w:t>1,</w:t>
      </w:r>
      <w:r w:rsidR="00E9506F">
        <w:t>102</w:t>
      </w:r>
      <w:r w:rsidR="000451DF">
        <w:t xml:space="preserve"> plots used for this study, 90% had an inventory interval from 9.</w:t>
      </w:r>
      <w:r w:rsidR="00E9506F">
        <w:t>6</w:t>
      </w:r>
      <w:r w:rsidR="000451DF">
        <w:t xml:space="preserve"> to 10.</w:t>
      </w:r>
      <w:r w:rsidR="00E9506F">
        <w:t>3</w:t>
      </w:r>
      <w:r w:rsidR="000451DF">
        <w:t xml:space="preserve"> years, with a mean interval of 10.0 years, a minimum interval of 7.9 years, and a maximum interval of 12.3 years</w:t>
      </w:r>
      <w:r>
        <w:t xml:space="preserve">. </w:t>
      </w:r>
      <w:r w:rsidR="00374BD9">
        <w:t>Each included plot was remeasured one time in this study, so we have one census interval per plot</w:t>
      </w:r>
      <w:r w:rsidR="00996B72">
        <w:t>, with the initial censuses taking place from 2001-2009 and the remeasurements from 2011-2019</w:t>
      </w:r>
      <w:r w:rsidR="00374BD9">
        <w:t xml:space="preserve">. </w:t>
      </w:r>
      <w:r>
        <w:t>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w:t>
      </w:r>
      <w:r w:rsidR="006E0CA4">
        <w:rPr>
          <w:vertAlign w:val="superscript"/>
        </w:rPr>
        <w:t>2</w:t>
      </w:r>
      <w:r>
        <w:t xml:space="preserve"> permanent subplots. Small trees from 2.54-12.7</w:t>
      </w:r>
      <w:r w:rsidR="00E638E5">
        <w:t xml:space="preserve"> </w:t>
      </w:r>
      <w:r>
        <w:t xml:space="preserve">cm DBH are </w:t>
      </w:r>
      <w:r w:rsidR="00D8211E">
        <w:t>inventoried</w:t>
      </w:r>
      <w:r>
        <w:t xml:space="preserve"> on </w:t>
      </w:r>
      <w:r w:rsidR="001D0752">
        <w:t>four</w:t>
      </w:r>
      <w:r>
        <w:t xml:space="preserve"> 13.5</w:t>
      </w:r>
      <w:r w:rsidR="00E638E5">
        <w:t xml:space="preserve"> </w:t>
      </w:r>
      <w:r>
        <w:t>m</w:t>
      </w:r>
      <w:r w:rsidR="006E0CA4">
        <w:rPr>
          <w:vertAlign w:val="superscript"/>
        </w:rPr>
        <w:t>2</w:t>
      </w:r>
      <w:r>
        <w:t xml:space="preserve"> microplot</w:t>
      </w:r>
      <w:r w:rsidR="001D0752">
        <w:t>s</w:t>
      </w:r>
      <w:r>
        <w:t>, and large trees</w:t>
      </w:r>
      <w:r w:rsidR="001D0752">
        <w:t xml:space="preserve"> (&gt;= 70.0 cm or &gt;= </w:t>
      </w:r>
      <w:r w:rsidR="003735F2">
        <w:t>91.4 cm DBH, depending on the plot)</w:t>
      </w:r>
      <w:r>
        <w:t xml:space="preserve"> on </w:t>
      </w:r>
      <w:r w:rsidR="001D0752">
        <w:t>four</w:t>
      </w:r>
      <w:r>
        <w:t xml:space="preserve"> 1012</w:t>
      </w:r>
      <w:r w:rsidR="00E638E5">
        <w:t xml:space="preserve"> </w:t>
      </w:r>
      <w:r>
        <w:t>m</w:t>
      </w:r>
      <w:r w:rsidR="006E0CA4">
        <w:rPr>
          <w:vertAlign w:val="superscript"/>
        </w:rPr>
        <w:t>2</w:t>
      </w:r>
      <w:r>
        <w:t xml:space="preserve"> macroplot</w:t>
      </w:r>
      <w:r w:rsidR="003735F2">
        <w:t>s</w:t>
      </w:r>
      <w:r>
        <w:t>.</w:t>
      </w:r>
      <w:r w:rsidR="00E638E5">
        <w:t xml:space="preserve"> Data inventoried for each individual stem include the species, live/dead status, DBH, and a “damage agent” code indicating whether some agent (e.g. white pine blister rust) is visibly affecting the individual’s health.</w:t>
      </w:r>
      <w:r>
        <w:t xml:space="preserve"> </w:t>
      </w:r>
      <w:r w:rsidR="009F5DED">
        <w:t xml:space="preserve">Trees which are individually inventoried (all stems </w:t>
      </w:r>
      <w:r w:rsidR="006E0CA4">
        <w:rPr>
          <w:rFonts w:cstheme="minorHAnsi"/>
        </w:rPr>
        <w:t>≥</w:t>
      </w:r>
      <w:r w:rsidR="009F5DED">
        <w:t xml:space="preserve"> 2.54 cm DBH) are physically tagged to facilitate relocation of specific individuals at remeasurement. </w:t>
      </w:r>
      <w:r w:rsidR="000451DF">
        <w:t xml:space="preserve">The </w:t>
      </w:r>
      <w:r w:rsidR="00070BD5">
        <w:t>survival or death of 3,</w:t>
      </w:r>
      <w:r w:rsidR="00CC6F71">
        <w:t>530</w:t>
      </w:r>
      <w:r w:rsidR="00070BD5">
        <w:t xml:space="preserve"> sugar pine individuals was tracked to estimate the parameters of the survival function, and growth of the </w:t>
      </w:r>
      <w:r w:rsidR="00CC6F71">
        <w:t>2,821</w:t>
      </w:r>
      <w:r w:rsidR="00070BD5">
        <w:t xml:space="preserve"> surviving individuals was used to estimate the parameters of the growth function.</w:t>
      </w:r>
      <w:r w:rsidR="00CC6F71">
        <w:t xml:space="preserve"> </w:t>
      </w:r>
      <w:r w:rsidR="00B31E6F">
        <w:t>We included harvested trees as mortalities in the survival data for two reasons. First, our goal is to understand the actual population dynamics of sugar pine across its range, inclusive of mortality caused by harvests. Second, the prevalence of salvage harvests on some</w:t>
      </w:r>
      <w:r w:rsidR="008E28B3">
        <w:t xml:space="preserve"> land ownerships across the range of sugar pine make it likely that some mortalities caused by fire, drought, or disease were later harvested. </w:t>
      </w:r>
      <w:r w:rsidR="00B31E6F">
        <w:t xml:space="preserve"> </w:t>
      </w:r>
    </w:p>
    <w:p w14:paraId="45A3136F" w14:textId="4343EC2E" w:rsidR="004F3A49" w:rsidRDefault="00D8211E" w:rsidP="00361DD5">
      <w:pPr>
        <w:spacing w:line="360" w:lineRule="auto"/>
        <w:ind w:firstLine="720"/>
      </w:pPr>
      <w:r>
        <w:t xml:space="preserve">The smallest stems surveyed (height </w:t>
      </w:r>
      <w:r w:rsidR="006E0CA4">
        <w:rPr>
          <w:rFonts w:cstheme="minorHAnsi"/>
        </w:rPr>
        <w:t>≥</w:t>
      </w:r>
      <w:r>
        <w:t xml:space="preserve"> 0.15</w:t>
      </w:r>
      <w:r w:rsidR="00E638E5">
        <w:t xml:space="preserve"> </w:t>
      </w:r>
      <w:r>
        <w:t>m and DBH</w:t>
      </w:r>
      <w:r w:rsidR="00E638E5">
        <w:t xml:space="preserve"> &lt; 2.54 cm) are not inventoried as individuals but tallied by species</w:t>
      </w:r>
      <w:r w:rsidR="009F5DED">
        <w:t xml:space="preserve"> and remain untagged</w:t>
      </w:r>
      <w:r w:rsidR="00E638E5">
        <w:t xml:space="preserve">. </w:t>
      </w:r>
      <w:r w:rsidR="006E0CA4">
        <w:t>Thus, the individuals which are untagged at the time of the second census are</w:t>
      </w:r>
      <w:r w:rsidR="009F5DED">
        <w:t xml:space="preserve"> </w:t>
      </w:r>
      <w:commentRangeStart w:id="22"/>
      <w:r w:rsidR="009F5DED">
        <w:t xml:space="preserve">either new recruits </w:t>
      </w:r>
      <w:r w:rsidR="0044137D">
        <w:t xml:space="preserve">(i.e., they were not present at the initial measurement) </w:t>
      </w:r>
      <w:r w:rsidR="009F5DED">
        <w:t>or were not tagged due to small size at initial measurement</w:t>
      </w:r>
      <w:r w:rsidR="0044137D">
        <w:t xml:space="preserve"> (i.e., they were present at the initial measurement)</w:t>
      </w:r>
      <w:r w:rsidR="009F5DED">
        <w:t xml:space="preserve">. </w:t>
      </w:r>
      <w:commentRangeEnd w:id="22"/>
      <w:r w:rsidR="001854A2">
        <w:rPr>
          <w:rStyle w:val="CommentReference"/>
        </w:rPr>
        <w:commentReference w:id="22"/>
      </w:r>
      <w:r w:rsidR="00CC6F71">
        <w:t xml:space="preserve"> </w:t>
      </w:r>
      <w:r w:rsidR="00A12463">
        <w:t>An embedded integral projection model, described below, allowed us to use t</w:t>
      </w:r>
      <w:r w:rsidR="00070BD5">
        <w:t xml:space="preserve">he counts of untagged individuals </w:t>
      </w:r>
      <w:r w:rsidR="0044137D">
        <w:t xml:space="preserve">&lt; 2.54 cm DBH </w:t>
      </w:r>
      <w:r w:rsidR="00070BD5">
        <w:t xml:space="preserve">on </w:t>
      </w:r>
      <w:r w:rsidR="00CC6F71">
        <w:t xml:space="preserve">each </w:t>
      </w:r>
      <w:r w:rsidR="00E81A5D">
        <w:t xml:space="preserve">plot </w:t>
      </w:r>
      <w:r w:rsidR="00A12463">
        <w:t>to</w:t>
      </w:r>
      <w:r w:rsidR="00E81A5D">
        <w:t xml:space="preserve"> estimate the parameters of the fecundity function</w:t>
      </w:r>
      <w:r w:rsidR="00A12463">
        <w:t xml:space="preserve"> despite fecundity being only indirectly observed through these counts</w:t>
      </w:r>
      <w:r w:rsidR="00E81A5D">
        <w:t>.</w:t>
      </w:r>
      <w:r w:rsidR="00877029">
        <w:t xml:space="preserve"> Only 379 plots were used to estimate the fecundity parameters, because the sampling protocol for tallying</w:t>
      </w:r>
      <w:r w:rsidR="00AD7841">
        <w:t xml:space="preserve"> seedlings</w:t>
      </w:r>
      <w:r w:rsidR="00877029">
        <w:t xml:space="preserve"> </w:t>
      </w:r>
      <w:r w:rsidR="00AD7841">
        <w:t>(</w:t>
      </w:r>
      <w:r w:rsidR="00877029">
        <w:t>individuals &lt; 2.54 cm DBH</w:t>
      </w:r>
      <w:r w:rsidR="00AD7841">
        <w:t>)</w:t>
      </w:r>
      <w:r w:rsidR="00877029">
        <w:t xml:space="preserve"> has changed over time, and we restricted analysis to plots where both initial and remeasurement observations use the latest protocol</w:t>
      </w:r>
      <w:r w:rsidR="00A12463">
        <w:t xml:space="preserve"> (FIA manual version &gt;= 2.0).</w:t>
      </w:r>
    </w:p>
    <w:p w14:paraId="7C6AB7C0" w14:textId="4BC40F14" w:rsidR="00E638E5" w:rsidRDefault="00E638E5" w:rsidP="00361DD5">
      <w:pPr>
        <w:spacing w:line="360" w:lineRule="auto"/>
        <w:ind w:firstLine="720"/>
      </w:pPr>
      <w:r>
        <w:t>In a</w:t>
      </w:r>
      <w:r w:rsidR="00361DD5">
        <w:t>ddition to the tree-level data collected, the FIA program also records information about forest conditions, including the presence of significant disturbances (e.g., fire)</w:t>
      </w:r>
      <w:r w:rsidR="00877029">
        <w:t>,</w:t>
      </w:r>
      <w:r w:rsidR="00361DD5">
        <w:t xml:space="preserve"> the ecological subsection the plot is located within</w:t>
      </w:r>
      <w:r w:rsidR="004F3A49">
        <w:t>, and the nominal GPS coordinates of the plot center.</w:t>
      </w:r>
      <w:r w:rsidR="00540755">
        <w:t xml:space="preserve"> </w:t>
      </w:r>
    </w:p>
    <w:p w14:paraId="3B8350FA" w14:textId="2EAC6FFF" w:rsidR="00540755" w:rsidRDefault="00540755" w:rsidP="00361DD5">
      <w:pPr>
        <w:spacing w:line="360" w:lineRule="auto"/>
        <w:ind w:firstLine="720"/>
      </w:pPr>
      <w:r>
        <w:lastRenderedPageBreak/>
        <w:t xml:space="preserve">To assess the current trajectory of sugar pine abundance across its range, we calculated the per-plot basal area and stem densities for individuals greater than 2.54 cm DBH on every plot where sugar pine was present at initial measurement or remeasurement. Across-plot means and standard errors were calculated and plotted for both basal area and stem density. </w:t>
      </w:r>
    </w:p>
    <w:p w14:paraId="6D2A800F" w14:textId="7291FBC8" w:rsidR="004F3A49" w:rsidRDefault="004F3A49" w:rsidP="004F3A49">
      <w:pPr>
        <w:pStyle w:val="Heading2"/>
      </w:pPr>
      <w:r>
        <w:t>Climate Data</w:t>
      </w:r>
    </w:p>
    <w:p w14:paraId="3D48E8C0" w14:textId="009F1DBC" w:rsidR="00E638E5" w:rsidRDefault="004F3A49" w:rsidP="00304447">
      <w:pPr>
        <w:spacing w:line="360" w:lineRule="auto"/>
      </w:pPr>
      <w:r>
        <w:tab/>
        <w:t xml:space="preserve">To </w:t>
      </w:r>
      <w:r w:rsidR="002739B1">
        <w:t xml:space="preserve">assess the level of drought sugar pine individuals were exposed to, </w:t>
      </w:r>
      <w:r w:rsidR="00B064C4">
        <w:t>we</w:t>
      </w:r>
      <w:r w:rsidR="009509EA">
        <w:t xml:space="preserve"> extracted monthly </w:t>
      </w:r>
      <w:commentRangeStart w:id="23"/>
      <w:r w:rsidR="009509EA">
        <w:t>climatic water deficit (CWD</w:t>
      </w:r>
      <w:commentRangeEnd w:id="23"/>
      <w:r w:rsidR="002626E1">
        <w:rPr>
          <w:rStyle w:val="CommentReference"/>
        </w:rPr>
        <w:commentReference w:id="23"/>
      </w:r>
      <w:r w:rsidR="009509EA">
        <w:t>) estimates for each nominal plot location from the TerraClimate dataset</w:t>
      </w:r>
      <w:r w:rsidR="00B064C4">
        <w:t xml:space="preserve"> </w:t>
      </w:r>
      <w:r w:rsidR="00B064C4">
        <w:fldChar w:fldCharType="begin" w:fldLock="1"/>
      </w:r>
      <w:r w:rsidR="002C19B3">
        <w:instrText xml:space="preserve">ADDIN CSL_CITATION {"citationItems":[{"id":"ITEM-1","itemData":{"DOI":"10.1038/sdata.2017.191","ISSN":"20524463","PMID":"29313841","abstract":"We present TerraClimate, a dataset of high-spatial resolution (1/24°, </w:instrText>
      </w:r>
      <w:r w:rsidR="002C19B3">
        <w:rPr>
          <w:rFonts w:ascii="Cambria Math" w:hAnsi="Cambria Math" w:cs="Cambria Math"/>
        </w:rPr>
        <w:instrText>∼</w:instrText>
      </w:r>
      <w:r w:rsidR="002C19B3">
        <w:instrText>4-km) monthly climate and climatic water balance for global terrestrial surfaces from 1958-2015. TerraClimate uses climatically aided interpolation, combining high-spatial resolution climatological normals from the WorldClim dataset, with coarser resolution time varying (i.e., monthly) data from other sources to produce a monthly dataset of precipitation, maximum and minimum temperature, wind speed, vapor pressure, and solar radiation. TerraClimate additionally produces monthly surface water balance datasets using a water balance model that incorporates reference evapotranspiration, precipitation, temperature, and interpolated plant extractable soil water capacity. These data provide important inputs for ecological and hydrological studies at global scales that require high spatial resolution and time varying climate and climatic water balance data. We validated spatiotemporal aspects of TerraClimate using annual temperature, precipitation, and calculated reference evapotranspiration from station data, as well as annual runoff from streamflow gauges. TerraClimate datasets showed noted improvement in overall mean absolute error and increased spatial realism relative to coarser resolution gridded datasets.","author":[{"dropping-particle":"","family":"Abatzoglou","given":"John T.","non-dropping-particle":"","parse-names":false,"suffix":""},{"dropping-particle":"","family":"Dobrowski","given":"Solomon Z.","non-dropping-particle":"","parse-names":false,"suffix":""},{"dropping-particle":"","family":"Parks","given":"Sean A.","non-dropping-particle":"","parse-names":false,"suffix":""},{"dropping-particle":"","family":"Hegewisch","given":"Katherine C.","non-dropping-particle":"","parse-names":false,"suffix":""}],"container-title":"Scientific Data","id":"ITEM-1","issued":{"date-parts":[["2018"]]},"page":"1-12","title":"TerraClimate, a high-resolution global dataset of monthly climate and climatic water balance from 1958-2015","type":"article-journal","volume":"5"},"uris":["http://www.mendeley.com/documents/?uuid=d0abf9a4-3770-4f16-9007-bf83109deb79"]}],"mendeley":{"formattedCitation":"(Abatzoglou &lt;i&gt;et al.&lt;/i&gt;, 2018)","plainTextFormattedCitation":"(Abatzoglou et al., 2018)","previouslyFormattedCitation":"(Abatzoglou &lt;i&gt;et al.&lt;/i&gt;, 2018)"},"properties":{"noteIndex":0},"schema":"https://github.com/citation-style-language/schema/raw/master/csl-citation.json"}</w:instrText>
      </w:r>
      <w:r w:rsidR="00B064C4">
        <w:fldChar w:fldCharType="separate"/>
      </w:r>
      <w:r w:rsidR="00EB4A84" w:rsidRPr="00EB4A84">
        <w:rPr>
          <w:noProof/>
        </w:rPr>
        <w:t xml:space="preserve">(Abatzoglou </w:t>
      </w:r>
      <w:r w:rsidR="00EB4A84" w:rsidRPr="00EB4A84">
        <w:rPr>
          <w:i/>
          <w:noProof/>
        </w:rPr>
        <w:t>et al.</w:t>
      </w:r>
      <w:r w:rsidR="00EB4A84" w:rsidRPr="00EB4A84">
        <w:rPr>
          <w:noProof/>
        </w:rPr>
        <w:t>, 2018)</w:t>
      </w:r>
      <w:r w:rsidR="00B064C4">
        <w:fldChar w:fldCharType="end"/>
      </w:r>
      <w:r w:rsidR="009509EA">
        <w:t xml:space="preserve">. </w:t>
      </w:r>
      <w:r w:rsidR="00D2760D">
        <w:t xml:space="preserve">CWD is a measure of evaporative demand not met by available water </w:t>
      </w:r>
      <w:r w:rsidR="00D2760D">
        <w:fldChar w:fldCharType="begin" w:fldLock="1"/>
      </w:r>
      <w:r w:rsidR="00A37AF9">
        <w:instrText>ADDIN CSL_CITATION {"citationItems":[{"id":"ITEM-1","itemData":{"DOI":"10.1046/j.1365-2699.1998.00233.x","ISSN":"03050270","abstract":"Correlative approaches to understanding the climatic controls of vegetation distribution have exhibited at least two important weaknesses: they have been conceptually divorced across spatial scales, and their climatic parameters have not necessarily represented aspects of climate of broad physiological importance to plants. Using examples from the literature and from the Sierra Nevada of California, I argue that two water balance parameters-actual evapotranspiration (AET) and deficit (D)-are biologically meaningful, are well correlated with the distribution of vegetation types, and exhibit these qualities over several orders of magnitude of spatial scale (continental to local). I reach four additional conclusions. (1) Some pairs of climatic parameters presently in use are functionally similar to AET and D; however, AET and D may be easier to interpret biologically. (2) Several well-known climatic parameters are biologically less meaningful or less important than AET and D, and consequently are poorer correlates of the distribution of vegetation types. Of particular interest, AET is a much better correlate of the distributions of coniferous and deciduous forests than minimum temperature. (3) The effects of evaporative demand and water availability on a site's water balance are intrinsically different. For example, the 'dry' experienced by plants on sunward slopes (high evaporative demand) is not comparable to the 'dry' experienced by plants on soils with low water-holding capacities (low water availability), and these differences are reflected in vegetation patterns. (4) Many traditional topographic moisture scalars-those that additively combine measures related to evaporative demand and water availability are not necessarily meaningful for describing site conditions as sensed by plants; the same holds for measured soil moisture. However, using AET and D in place of moisture scalars and measured soil moisture can solve these problems.","author":[{"dropping-particle":"","family":"Stephenson","given":"Nathan L.","non-dropping-particle":"","parse-names":false,"suffix":""}],"container-title":"Journal of Biogeography","id":"ITEM-1","issue":"5","issued":{"date-parts":[["1998"]]},"page":"855-870","title":"Actual evapotranspiration and deficit: Biologically meaningful correlates of vegetation distribution across spatial scales","type":"article-journal","volume":"25"},"uris":["http://www.mendeley.com/documents/?uuid=70ad6197-a8e8-4d4e-9c09-4bdc1536d577"]}],"mendeley":{"formattedCitation":"(Stephenson, 1998)","plainTextFormattedCitation":"(Stephenson, 1998)","previouslyFormattedCitation":"(Stephenson, 1998)"},"properties":{"noteIndex":0},"schema":"https://github.com/citation-style-language/schema/raw/master/csl-citation.json"}</w:instrText>
      </w:r>
      <w:r w:rsidR="00D2760D">
        <w:fldChar w:fldCharType="separate"/>
      </w:r>
      <w:r w:rsidR="00D2760D" w:rsidRPr="00D2760D">
        <w:rPr>
          <w:noProof/>
        </w:rPr>
        <w:t>(Stephenson, 1998)</w:t>
      </w:r>
      <w:r w:rsidR="00D2760D">
        <w:fldChar w:fldCharType="end"/>
      </w:r>
      <w:r w:rsidR="00D2760D">
        <w:t xml:space="preserve">. </w:t>
      </w:r>
      <w:r w:rsidR="009509EA">
        <w:t xml:space="preserve">The TerraClimate dataset provides modeled estimates of CWD at approximately 4km resolution for years 1958-2020. </w:t>
      </w:r>
      <w:r w:rsidR="003C1D45">
        <w:t xml:space="preserve">The 4 km resolution approximately matches the 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w:t>
      </w:r>
      <w:r w:rsidR="001A4E05">
        <w:t>ht</w:t>
      </w:r>
      <w:r w:rsidR="009509EA">
        <w:t xml:space="preserve"> stress experienced by individuals</w:t>
      </w:r>
      <w:r w:rsidR="003C1D45">
        <w:t xml:space="preserve"> between the two censuses. The annual mean growing season CWD estimates were summarized in two ways</w:t>
      </w:r>
      <w:commentRangeStart w:id="24"/>
      <w:r w:rsidR="003C1D45">
        <w:t xml:space="preserve">: First, the </w:t>
      </w:r>
      <w:r w:rsidR="00092713">
        <w:t>2</w:t>
      </w:r>
      <w:r w:rsidR="003C1D45">
        <w:t xml:space="preserve">0-year mean of the annual CWD estimates provides a measure of the usual </w:t>
      </w:r>
      <w:r w:rsidR="00092713">
        <w:t>climatic dryness characteristic of each site</w:t>
      </w:r>
      <w:r w:rsidR="003C1D45">
        <w:t>, enabling the comparison of typically-wetter vs. typically-drier locations across space. Second, the 90</w:t>
      </w:r>
      <w:r w:rsidR="003C1D45" w:rsidRPr="003C1D45">
        <w:rPr>
          <w:vertAlign w:val="superscript"/>
        </w:rPr>
        <w:t>th</w:t>
      </w:r>
      <w:r w:rsidR="003C1D45">
        <w:t xml:space="preserve"> percentile of the annual departures from the </w:t>
      </w:r>
      <w:r w:rsidR="00092713">
        <w:t xml:space="preserve">site-specific </w:t>
      </w:r>
      <w:r w:rsidR="003C1D45">
        <w:t xml:space="preserve">mean CWD provide a measure of the most severe drought (departure from usual climatic conditions) </w:t>
      </w:r>
      <w:r w:rsidR="00304447">
        <w:t>experienced by each plot location</w:t>
      </w:r>
      <w:r w:rsidR="00092713">
        <w:t xml:space="preserve"> between the initial </w:t>
      </w:r>
      <w:r w:rsidR="009567E4">
        <w:t>observation and the remeasurement</w:t>
      </w:r>
      <w:r w:rsidR="00304447">
        <w:t xml:space="preserve">. </w:t>
      </w:r>
      <w:commentRangeEnd w:id="24"/>
      <w:r w:rsidR="00565CA7">
        <w:rPr>
          <w:rStyle w:val="CommentReference"/>
        </w:rPr>
        <w:commentReference w:id="24"/>
      </w:r>
    </w:p>
    <w:p w14:paraId="679C1310" w14:textId="670E94E5" w:rsidR="00EE5D6E" w:rsidRDefault="00EE5D6E" w:rsidP="00E01957">
      <w:pPr>
        <w:pStyle w:val="Heading2"/>
        <w:spacing w:line="360" w:lineRule="auto"/>
      </w:pPr>
      <w:r>
        <w:t>Vital Rate</w:t>
      </w:r>
      <w:r w:rsidR="00272B03">
        <w:t>s</w:t>
      </w:r>
      <w:r>
        <w:t xml:space="preserve"> </w:t>
      </w:r>
      <w:commentRangeStart w:id="25"/>
      <w:commentRangeStart w:id="26"/>
      <w:r w:rsidR="00272B03">
        <w:t>Model</w:t>
      </w:r>
      <w:commentRangeEnd w:id="25"/>
      <w:r w:rsidR="00FE1095">
        <w:rPr>
          <w:rStyle w:val="CommentReference"/>
          <w:rFonts w:asciiTheme="minorHAnsi" w:eastAsiaTheme="minorHAnsi" w:hAnsiTheme="minorHAnsi" w:cstheme="minorBidi"/>
          <w:color w:val="auto"/>
        </w:rPr>
        <w:commentReference w:id="25"/>
      </w:r>
      <w:commentRangeEnd w:id="26"/>
      <w:r w:rsidR="00545F95">
        <w:rPr>
          <w:rStyle w:val="CommentReference"/>
          <w:rFonts w:asciiTheme="minorHAnsi" w:eastAsiaTheme="minorHAnsi" w:hAnsiTheme="minorHAnsi" w:cstheme="minorBidi"/>
          <w:color w:val="auto"/>
        </w:rPr>
        <w:commentReference w:id="26"/>
      </w:r>
    </w:p>
    <w:p w14:paraId="67C1CCE9" w14:textId="53B098FE" w:rsidR="008F329F" w:rsidRDefault="00304447" w:rsidP="00E01957">
      <w:pPr>
        <w:spacing w:line="360" w:lineRule="auto"/>
      </w:pPr>
      <w:r>
        <w:tab/>
        <w:t>The modelling approach for this study broadly follows that described in</w:t>
      </w:r>
      <w:r w:rsidR="00545F95">
        <w:t xml:space="preserve"> Shriver et al. (2021). </w:t>
      </w:r>
      <w:r w:rsidR="009B5737">
        <w:t>In short, t</w:t>
      </w:r>
      <w:r w:rsidR="00D96875">
        <w:t>his study models three vital demographic rates for sugar pine as functions of individual states and environmental covariates. The vital rates modeled are s</w:t>
      </w:r>
      <w:r w:rsidR="000B2974">
        <w:t xml:space="preserve">urvival, growth, and </w:t>
      </w:r>
      <w:r w:rsidR="009B5737">
        <w:t>fecundity</w:t>
      </w:r>
      <w:r w:rsidR="00B81610">
        <w:t xml:space="preserve">. </w:t>
      </w:r>
      <w:r w:rsidR="00CA7A32">
        <w:t xml:space="preserve">Survival and growth of individuals </w:t>
      </w:r>
      <w:r w:rsidR="008206D4">
        <w:t>are</w:t>
      </w:r>
      <w:r w:rsidR="00CA7A32">
        <w:t xml:space="preserve"> directly observed as data, but fecundity is only indirectly observed through the count of </w:t>
      </w:r>
      <w:r w:rsidR="00B66F59">
        <w:t xml:space="preserve">untagged individuals at remeasurement (which includes both new recruits and small survivors). </w:t>
      </w:r>
      <w:commentRangeStart w:id="27"/>
      <w:r w:rsidR="0090133B">
        <w:rPr>
          <w:rFonts w:eastAsiaTheme="minorEastAsia"/>
        </w:rPr>
        <w:t>The three sub models were analyzed as a single model, so that the findings of the survival and growth sub models could inform the fecundity model</w:t>
      </w:r>
      <w:commentRangeEnd w:id="27"/>
      <w:r w:rsidR="0090133B">
        <w:rPr>
          <w:rStyle w:val="CommentReference"/>
        </w:rPr>
        <w:commentReference w:id="27"/>
      </w:r>
      <w:r w:rsidR="008206D4">
        <w:t>; see below for details</w:t>
      </w:r>
      <w:r w:rsidR="008F329F">
        <w:t>.</w:t>
      </w:r>
    </w:p>
    <w:p w14:paraId="4D73A20D" w14:textId="44309F3C" w:rsidR="00D96875" w:rsidRDefault="00B81610" w:rsidP="00E92F0B">
      <w:pPr>
        <w:spacing w:line="360" w:lineRule="auto"/>
        <w:ind w:firstLine="720"/>
      </w:pPr>
      <w:r>
        <w:t xml:space="preserve">The </w:t>
      </w:r>
      <w:r w:rsidR="00BC7D86">
        <w:t>sub</w:t>
      </w:r>
      <w:r w:rsidR="00826123">
        <w:t xml:space="preserve"> </w:t>
      </w:r>
      <w:r w:rsidR="000B2974">
        <w:t>model for survival is:</w:t>
      </w:r>
      <w:r>
        <w:t xml:space="preserve"> </w:t>
      </w:r>
    </w:p>
    <w:p w14:paraId="2CA2532D" w14:textId="503E6FF4" w:rsidR="00EB1B4C" w:rsidRDefault="00EB1B4C" w:rsidP="00EB1B4C">
      <w:pPr>
        <w:pStyle w:val="Caption"/>
        <w:keepNext/>
      </w:pPr>
      <w:bookmarkStart w:id="28" w:name="_Ref93659669"/>
      <w:r>
        <w:lastRenderedPageBreak/>
        <w:t xml:space="preserve">Equation </w:t>
      </w:r>
      <w:fldSimple w:instr=" SEQ Equation \* ARABIC ">
        <w:r w:rsidR="00D73B16">
          <w:rPr>
            <w:noProof/>
          </w:rPr>
          <w:t>1</w:t>
        </w:r>
      </w:fldSimple>
      <w:bookmarkEnd w:id="28"/>
    </w:p>
    <w:p w14:paraId="17EAD06B" w14:textId="11CC2B26" w:rsidR="000B2974" w:rsidRPr="000B2974" w:rsidRDefault="00585CCB"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3A410EEC" w14:textId="63DCC49B" w:rsidR="00EB1B4C" w:rsidRDefault="00EB1B4C" w:rsidP="00EB1B4C">
      <w:pPr>
        <w:pStyle w:val="Caption"/>
        <w:keepNext/>
      </w:pPr>
      <w:bookmarkStart w:id="29" w:name="_Ref93579342"/>
      <w:r>
        <w:t xml:space="preserve">Equation </w:t>
      </w:r>
      <w:fldSimple w:instr=" SEQ Equation \* ARABIC ">
        <w:r w:rsidR="00D73B16">
          <w:rPr>
            <w:noProof/>
          </w:rPr>
          <w:t>2</w:t>
        </w:r>
      </w:fldSimple>
      <w:bookmarkEnd w:id="29"/>
    </w:p>
    <w:p w14:paraId="33C7DBC4" w14:textId="24BA2673"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m:t>
              </m:r>
            </m:sub>
          </m:sSub>
        </m:oMath>
      </m:oMathPara>
    </w:p>
    <w:p w14:paraId="3425D74A" w14:textId="786A00E8" w:rsidR="00A06CE3" w:rsidRDefault="00A06CE3"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BC7D86">
        <w:rPr>
          <w:rFonts w:eastAsiaTheme="minorEastAsia"/>
        </w:rPr>
        <w:t xml:space="preserve"> is the probability of survival from</w:t>
      </w:r>
      <w:r w:rsidR="008206D4">
        <w:rPr>
          <w:rFonts w:eastAsiaTheme="minorEastAsia"/>
        </w:rPr>
        <w:t xml:space="preserve"> initial measurement to remeasurement</w:t>
      </w:r>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sidR="00BC7D86">
        <w:rPr>
          <w:rFonts w:eastAsiaTheme="minorEastAsia"/>
        </w:rPr>
        <w:t xml:space="preserve"> is a </w:t>
      </w:r>
      <w:r w:rsidR="004F6CE4">
        <w:rPr>
          <w:rFonts w:eastAsiaTheme="minorEastAsia"/>
        </w:rPr>
        <w:t xml:space="preserve">row </w:t>
      </w:r>
      <w:r w:rsidR="00BC7D86">
        <w:rPr>
          <w:rFonts w:eastAsiaTheme="minorEastAsia"/>
        </w:rPr>
        <w:t xml:space="preserve">vector of covariates (described below) for 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w:t>
      </w:r>
      <w:commentRangeStart w:id="30"/>
      <w:r w:rsidR="00296C3D">
        <w:rPr>
          <w:rFonts w:eastAsiaTheme="minorEastAsia"/>
        </w:rPr>
        <w:t xml:space="preserve">vector of ecoregion subsection-level random effects indexed by the ecoregion subsection </w:t>
      </w:r>
      <m:oMath>
        <m:r>
          <w:rPr>
            <w:rFonts w:ascii="Cambria Math" w:eastAsiaTheme="minorEastAsia" w:hAnsi="Cambria Math"/>
          </w:rPr>
          <m:t>k</m:t>
        </m:r>
      </m:oMath>
      <w:r w:rsidR="00296C3D">
        <w:rPr>
          <w:rFonts w:eastAsiaTheme="minorEastAsia"/>
        </w:rPr>
        <w:t xml:space="preserve"> for </w:t>
      </w:r>
      <w:commentRangeEnd w:id="30"/>
      <w:r w:rsidR="00A22F02">
        <w:rPr>
          <w:rStyle w:val="CommentReference"/>
        </w:rPr>
        <w:commentReference w:id="30"/>
      </w:r>
      <w:r w:rsidR="00296C3D">
        <w:rPr>
          <w:rFonts w:eastAsiaTheme="minorEastAsia"/>
        </w:rPr>
        <w:t xml:space="preserve">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p>
    <w:p w14:paraId="7E6E8045" w14:textId="1F529543" w:rsidR="009A3AF4" w:rsidRDefault="009A3AF4" w:rsidP="00E01957">
      <w:pPr>
        <w:spacing w:line="360" w:lineRule="auto"/>
        <w:rPr>
          <w:rFonts w:eastAsiaTheme="minorEastAsia"/>
        </w:rPr>
      </w:pPr>
      <w:r>
        <w:rPr>
          <w:rFonts w:eastAsiaTheme="minorEastAsia"/>
        </w:rPr>
        <w:tab/>
        <w:t xml:space="preserve">The fixed effects covariates for each individual </w:t>
      </w:r>
      <m:oMath>
        <m:r>
          <w:rPr>
            <w:rFonts w:ascii="Cambria Math" w:eastAsiaTheme="minorEastAsia" w:hAnsi="Cambria Math"/>
          </w:rPr>
          <m:t>i</m:t>
        </m:r>
      </m:oMath>
      <w:r>
        <w:rPr>
          <w:rFonts w:eastAsiaTheme="minorEastAsia"/>
        </w:rPr>
        <w:t xml:space="preserve"> in the </w:t>
      </w:r>
      <w:r w:rsidR="006E26D2">
        <w:rPr>
          <w:rFonts w:eastAsiaTheme="minorEastAsia"/>
        </w:rPr>
        <w:t xml:space="preserve">row </w:t>
      </w:r>
      <w:r>
        <w:rPr>
          <w:rFonts w:eastAsiaTheme="minorEastAsia"/>
        </w:rPr>
        <w:t xml:space="preserve">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w:t>
      </w:r>
      <w:r w:rsidR="006E26D2">
        <w:rPr>
          <w:rFonts w:eastAsiaTheme="minorEastAsia"/>
        </w:rPr>
        <w:t xml:space="preserve"> initial measurement</w:t>
      </w:r>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w:t>
      </w:r>
      <w:r w:rsidR="006E26D2">
        <w:rPr>
          <w:rFonts w:eastAsiaTheme="minorEastAsia"/>
        </w:rPr>
        <w:t xml:space="preserve"> the squared DBH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6E26D2">
        <w:rPr>
          <w:rFonts w:eastAsiaTheme="minorEastAsia"/>
        </w:rPr>
        <w:t>)</w:t>
      </w:r>
      <w:r w:rsidR="00171F10">
        <w:rPr>
          <w:rFonts w:eastAsiaTheme="minorEastAsia"/>
        </w:rPr>
        <w:t>,</w:t>
      </w:r>
      <w:r>
        <w:rPr>
          <w:rFonts w:eastAsiaTheme="minorEastAsia"/>
        </w:rPr>
        <w:t xml:space="preserve"> </w:t>
      </w:r>
      <w:r w:rsidR="0030686A">
        <w:rPr>
          <w:rFonts w:eastAsiaTheme="minorEastAsia"/>
        </w:rPr>
        <w:t xml:space="preserve">a binary flag indicating whether the individual’s 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w:r w:rsidR="006E26D2">
        <w:rPr>
          <w:rFonts w:eastAsiaTheme="minorEastAsia"/>
        </w:rPr>
        <w:t xml:space="preserve">between initial measurement and remeasurement </w:t>
      </w:r>
      <w:r w:rsidR="00C34525">
        <w:rPr>
          <w:rFonts w:eastAsiaTheme="minorEastAsia"/>
        </w:rPr>
        <w:t>(</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plot displayed signs of white pine blister rust infection at </w:t>
      </w:r>
      <w:r w:rsidR="006E26D2">
        <w:rPr>
          <w:rFonts w:eastAsiaTheme="minorEastAsia"/>
        </w:rPr>
        <w:t xml:space="preserve">initial measurement </w:t>
      </w:r>
      <w:r w:rsidR="00C34525">
        <w:rPr>
          <w:rFonts w:eastAsiaTheme="minorEastAsia"/>
        </w:rPr>
        <w:t>(</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plot-level basal area at </w:t>
      </w:r>
      <w:r w:rsidR="006E26D2">
        <w:rPr>
          <w:rFonts w:eastAsiaTheme="minorEastAsia"/>
        </w:rPr>
        <w:t>initial measurement</w:t>
      </w:r>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w:t>
      </w:r>
      <w:r w:rsidR="006E26D2">
        <w:rPr>
          <w:rFonts w:eastAsiaTheme="minorEastAsia"/>
        </w:rPr>
        <w:t xml:space="preserve"> between initial measurement and remeasurement</w:t>
      </w:r>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w:r w:rsidR="00B95D6C">
        <w:rPr>
          <w:rFonts w:eastAsiaTheme="minorEastAsia"/>
        </w:rPr>
        <w:t>and all other variables (</w:t>
      </w:r>
      <m:oMath>
        <m:r>
          <w:rPr>
            <w:rFonts w:ascii="Cambria Math" w:eastAsiaTheme="minorEastAsia" w:hAnsi="Cambria Math"/>
          </w:rPr>
          <m:t>DBH×FIRE</m:t>
        </m:r>
      </m:oMath>
      <w:r w:rsidR="00B95D6C">
        <w:rPr>
          <w:rFonts w:eastAsiaTheme="minorEastAsia"/>
        </w:rPr>
        <w:t>,</w:t>
      </w:r>
      <w:r w:rsidR="00334F13">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×FIRE</m:t>
        </m:r>
      </m:oMath>
      <w:r w:rsidR="00334F13">
        <w:rPr>
          <w:rFonts w:eastAsiaTheme="minorEastAsia"/>
        </w:rPr>
        <w:t xml:space="preserve">, </w:t>
      </w:r>
      <m:oMath>
        <m:r>
          <w:rPr>
            <w:rFonts w:ascii="Cambria Math" w:eastAsiaTheme="minorEastAsia" w:hAnsi="Cambria Math"/>
          </w:rPr>
          <m:t>DBH×WPBR</m:t>
        </m:r>
      </m:oMath>
      <w:r w:rsidR="00B95D6C">
        <w:rPr>
          <w:rFonts w:eastAsiaTheme="minorEastAsia"/>
        </w:rPr>
        <w:t>,</w:t>
      </w:r>
      <w:r w:rsidR="00334F13" w:rsidRPr="00334F13">
        <w:rPr>
          <w:rFonts w:ascii="Cambria Math" w:eastAsiaTheme="minorEastAsia" w:hAnsi="Cambria Math"/>
          <w:i/>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×WPBR</m:t>
        </m:r>
      </m:oMath>
      <w:r w:rsidR="00334F13">
        <w:rPr>
          <w:rFonts w:ascii="Cambria Math" w:eastAsiaTheme="minorEastAsia" w:hAnsi="Cambria Math"/>
          <w:i/>
        </w:rPr>
        <w:t>,</w:t>
      </w:r>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×BA</m:t>
        </m:r>
      </m:oMath>
      <w:r w:rsidR="00334F13">
        <w:rPr>
          <w:rFonts w:eastAsiaTheme="minorEastAsia"/>
        </w:rPr>
        <w:t xml:space="preserve">, </w:t>
      </w:r>
      <m:oMath>
        <m:r>
          <w:rPr>
            <w:rFonts w:ascii="Cambria Math" w:eastAsiaTheme="minorEastAsia" w:hAnsi="Cambria Math"/>
          </w:rPr>
          <m:t>DBH×DROUGHT</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×DROUGHT</m:t>
        </m:r>
      </m:oMath>
      <w:r w:rsidR="00334F13">
        <w:rPr>
          <w:rFonts w:eastAsiaTheme="minorEastAsia"/>
        </w:rPr>
        <w:t xml:space="preserve">, </w:t>
      </w:r>
      <m:oMath>
        <m:r>
          <w:rPr>
            <w:rFonts w:ascii="Cambria Math" w:eastAsiaTheme="minorEastAsia" w:hAnsi="Cambria Math"/>
          </w:rPr>
          <m:t>DBH×DRYNESS</m:t>
        </m:r>
      </m:oMath>
      <w:r w:rsidR="00334F1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×DRYNESS</m:t>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m:t>DRYNESS</m:t>
        </m:r>
      </m:oMath>
      <w:r w:rsidR="00C34525">
        <w:rPr>
          <w:rFonts w:eastAsiaTheme="minorEastAsia"/>
        </w:rPr>
        <w:t xml:space="preserve">) were centered and scaled to have 0 mean and unit variance across all subplots. </w:t>
      </w:r>
    </w:p>
    <w:p w14:paraId="43DF7B36" w14:textId="03B57958" w:rsidR="00F30DE4" w:rsidRDefault="00F30DE4" w:rsidP="00E01957">
      <w:pPr>
        <w:spacing w:line="360" w:lineRule="auto"/>
        <w:rPr>
          <w:rFonts w:eastAsiaTheme="minorEastAsia"/>
        </w:rPr>
      </w:pPr>
      <w:r>
        <w:rPr>
          <w:rFonts w:eastAsiaTheme="minorEastAsia"/>
        </w:rPr>
        <w:tab/>
        <w:t>The sub model for growth is:</w:t>
      </w:r>
    </w:p>
    <w:p w14:paraId="581A7A07" w14:textId="50364C58" w:rsidR="00EB1B4C" w:rsidRDefault="00EB1B4C" w:rsidP="00EB1B4C">
      <w:pPr>
        <w:pStyle w:val="Caption"/>
        <w:keepNext/>
      </w:pPr>
      <w:bookmarkStart w:id="31" w:name="_Ref104375706"/>
      <w:r>
        <w:t xml:space="preserve">Equation </w:t>
      </w:r>
      <w:fldSimple w:instr=" SEQ Equation \* ARABIC ">
        <w:r w:rsidR="00D73B16">
          <w:rPr>
            <w:noProof/>
          </w:rPr>
          <w:t>3</w:t>
        </w:r>
      </w:fldSimple>
      <w:bookmarkEnd w:id="31"/>
    </w:p>
    <w:p w14:paraId="63FCE82D" w14:textId="0CD36EF6" w:rsidR="00F30DE4" w:rsidRPr="00880C94" w:rsidRDefault="00585CCB"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m:t>
          </m:r>
        </m:oMath>
      </m:oMathPara>
    </w:p>
    <w:p w14:paraId="755692FA" w14:textId="362F5ED2" w:rsidR="00EB1B4C" w:rsidRDefault="00EB1B4C" w:rsidP="00EB1B4C">
      <w:pPr>
        <w:pStyle w:val="Caption"/>
        <w:keepNext/>
      </w:pPr>
      <w:bookmarkStart w:id="32" w:name="_Ref93578923"/>
      <w:r>
        <w:t xml:space="preserve">Equation </w:t>
      </w:r>
      <w:fldSimple w:instr=" SEQ Equation \* ARABIC ">
        <w:r w:rsidR="00D73B16">
          <w:rPr>
            <w:noProof/>
          </w:rPr>
          <w:t>4</w:t>
        </w:r>
      </w:fldSimple>
      <w:bookmarkEnd w:id="32"/>
    </w:p>
    <w:p w14:paraId="29CA2B75" w14:textId="0F228DF8" w:rsidR="00283D34" w:rsidRPr="00283D34" w:rsidRDefault="00585CCB"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m:t>
              </m:r>
            </m:sub>
          </m:sSub>
          <m:r>
            <w:rPr>
              <w:rFonts w:ascii="Cambria Math" w:hAnsi="Cambria Math"/>
            </w:rPr>
            <m:t xml:space="preserve"> </m:t>
          </m:r>
        </m:oMath>
      </m:oMathPara>
    </w:p>
    <w:p w14:paraId="630D9E57" w14:textId="6B1D4133" w:rsidR="00283D34" w:rsidRDefault="00283D34" w:rsidP="00E01957">
      <w:pPr>
        <w:spacing w:line="360" w:lineRule="auto"/>
        <w:rPr>
          <w:rFonts w:eastAsiaTheme="minorEastAsia"/>
        </w:rPr>
      </w:pPr>
      <w:r>
        <w:rPr>
          <w:rFonts w:eastAsiaTheme="minorEastAsia"/>
        </w:rPr>
        <w:lastRenderedPageBreak/>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w:t>
      </w:r>
      <w:r w:rsidR="005B0749">
        <w:rPr>
          <w:rFonts w:eastAsiaTheme="minorEastAsia"/>
        </w:rPr>
        <w:t xml:space="preserve"> remeasurement</w:t>
      </w:r>
      <w:r w:rsidR="00880C94">
        <w:rPr>
          <w:rFonts w:eastAsiaTheme="minorEastAsia"/>
        </w:rPr>
        <w:t xml:space="preserve"> drawn from a truncated normal distribution (to prevent biologically impossible negative size)</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is a </w:t>
      </w:r>
      <w:r w:rsidR="004F6CE4">
        <w:rPr>
          <w:rFonts w:eastAsiaTheme="minorEastAsia"/>
        </w:rPr>
        <w:t xml:space="preserve">row </w:t>
      </w:r>
      <w:r>
        <w:rPr>
          <w:rFonts w:eastAsiaTheme="minorEastAsia"/>
        </w:rPr>
        <w:t xml:space="preserve">vector </w:t>
      </w:r>
      <w:commentRangeStart w:id="33"/>
      <w:r>
        <w:rPr>
          <w:rFonts w:eastAsiaTheme="minorEastAsia"/>
        </w:rPr>
        <w:t>of</w:t>
      </w:r>
      <w:commentRangeEnd w:id="33"/>
      <w:r w:rsidR="00DF0297">
        <w:rPr>
          <w:rStyle w:val="CommentReference"/>
        </w:rPr>
        <w:commentReference w:id="33"/>
      </w:r>
      <w:r>
        <w:rPr>
          <w:rFonts w:eastAsiaTheme="minorEastAsia"/>
        </w:rPr>
        <w:t xml:space="preserve"> the fixed effects </w:t>
      </w:r>
      <w:r w:rsidR="005B0749">
        <w:rPr>
          <w:rFonts w:eastAsiaTheme="minorEastAsia"/>
        </w:rPr>
        <w:t>covariates</w:t>
      </w:r>
      <w:r>
        <w:rPr>
          <w:rFonts w:eastAsiaTheme="minorEastAsia"/>
        </w:rPr>
        <w:t xml:space="preserve">, and the other parameters </w:t>
      </w:r>
      <w:r w:rsidR="00880C94">
        <w:rPr>
          <w:rFonts w:eastAsiaTheme="minorEastAsia"/>
        </w:rPr>
        <w:t xml:space="preserve">are as 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r w:rsidR="005B0749">
        <w:rPr>
          <w:rFonts w:eastAsiaTheme="minorEastAsia"/>
        </w:rPr>
        <w:t xml:space="preserve"> The fixed effect covariates for the growth model are the same as those for the survival model, except that a quadratic effect of initial size (and the associated interactions) were omitted because </w:t>
      </w:r>
      <w:r w:rsidR="00574C47">
        <w:rPr>
          <w:rFonts w:eastAsiaTheme="minorEastAsia"/>
        </w:rPr>
        <w:t xml:space="preserve">the Hamiltonian Monte Carlo sampling algorithm experienced divergent transitions when attempting to fit models including a quadratic effect of initial size on size at remeasurement. </w:t>
      </w:r>
      <w:r w:rsidR="003B4431">
        <w:rPr>
          <w:rFonts w:eastAsiaTheme="minorEastAsia"/>
        </w:rPr>
        <w:t xml:space="preserve">Visual data exploration did not reveal any evidence </w:t>
      </w:r>
      <w:r w:rsidR="00171F10">
        <w:rPr>
          <w:rFonts w:eastAsiaTheme="minorEastAsia"/>
        </w:rPr>
        <w:t>of a</w:t>
      </w:r>
      <w:r w:rsidR="003B4431">
        <w:rPr>
          <w:rFonts w:eastAsiaTheme="minorEastAsia"/>
        </w:rPr>
        <w:t xml:space="preserve"> quadratic effect of initial size on size at remeasurement. </w:t>
      </w:r>
      <w:r w:rsidR="005B0749">
        <w:rPr>
          <w:rFonts w:eastAsiaTheme="minorEastAsia"/>
        </w:rPr>
        <w:t xml:space="preserve"> </w:t>
      </w:r>
    </w:p>
    <w:p w14:paraId="1004C56C" w14:textId="6348F6B6" w:rsidR="005D154F" w:rsidRDefault="005D154F" w:rsidP="00E01957">
      <w:pPr>
        <w:spacing w:line="360" w:lineRule="auto"/>
        <w:rPr>
          <w:rFonts w:eastAsiaTheme="minorEastAsia"/>
        </w:rPr>
      </w:pPr>
      <w:r>
        <w:rPr>
          <w:rFonts w:eastAsiaTheme="minorEastAsia"/>
        </w:rPr>
        <w:tab/>
        <w:t>A</w:t>
      </w:r>
      <w:r w:rsidR="00545F95">
        <w:rPr>
          <w:rFonts w:eastAsiaTheme="minorEastAsia"/>
        </w:rPr>
        <w:t xml:space="preserve">s noted in </w:t>
      </w:r>
      <w:commentRangeStart w:id="34"/>
      <w:commentRangeEnd w:id="34"/>
      <w:r w:rsidR="007108F6">
        <w:rPr>
          <w:rStyle w:val="CommentReference"/>
        </w:rPr>
        <w:commentReference w:id="34"/>
      </w:r>
      <w:r w:rsidR="00545F95">
        <w:rPr>
          <w:rFonts w:eastAsiaTheme="minorEastAsia"/>
        </w:rPr>
        <w:t xml:space="preserve">Shriver et al. (2021), </w:t>
      </w:r>
      <w:r>
        <w:rPr>
          <w:rFonts w:eastAsiaTheme="minorEastAsia"/>
        </w:rPr>
        <w:t xml:space="preserve">analysis of recruitment is complicated by the fact that seedlings (stems whose </w:t>
      </w:r>
      <w:r>
        <w:t xml:space="preserve">height &gt;= 0.15 m and DBH &lt; </w:t>
      </w:r>
      <w:r w:rsidR="00277C16">
        <w:t>0.0254</w:t>
      </w:r>
      <w:r>
        <w:t xml:space="preserve"> m) are not individually surveyed</w:t>
      </w:r>
      <w:r w:rsidR="009F5DED">
        <w:t xml:space="preserve"> and tagged</w:t>
      </w:r>
      <w:r>
        <w:t xml:space="preserve">, but instead tallied by species. Thus, there is uncertainty as to which of the seedlings present at </w:t>
      </w:r>
      <w:r w:rsidR="003B4431">
        <w:t xml:space="preserve">remeasurement </w:t>
      </w:r>
      <w:r>
        <w:rPr>
          <w:rFonts w:eastAsiaTheme="minorEastAsia"/>
        </w:rPr>
        <w:t xml:space="preserve">are true new recruits (vs. individuals which were already present at </w:t>
      </w:r>
      <w:r w:rsidR="003B4431">
        <w:rPr>
          <w:rFonts w:eastAsiaTheme="minorEastAsia"/>
        </w:rPr>
        <w:t>the initial measurement</w:t>
      </w:r>
      <w:r>
        <w:rPr>
          <w:rFonts w:eastAsiaTheme="minorEastAsia"/>
        </w:rPr>
        <w:t xml:space="preserve">). </w:t>
      </w:r>
      <w:r w:rsidR="003B4431">
        <w:rPr>
          <w:rFonts w:eastAsiaTheme="minorEastAsia"/>
        </w:rPr>
        <w:t>We</w:t>
      </w:r>
      <w:r>
        <w:rPr>
          <w:rFonts w:eastAsiaTheme="minorEastAsia"/>
        </w:rPr>
        <w:t xml:space="preserve"> followed</w:t>
      </w:r>
      <w:r w:rsidR="00171F10">
        <w:rPr>
          <w:rFonts w:eastAsiaTheme="minorEastAsia"/>
        </w:rPr>
        <w:t xml:space="preserve"> the approach of Shriver et al. (2021) </w:t>
      </w:r>
      <w:r>
        <w:rPr>
          <w:rFonts w:eastAsiaTheme="minorEastAsia"/>
        </w:rPr>
        <w:t xml:space="preserve">to address this issue by building a recruitment model which is itself an integral projection model </w:t>
      </w:r>
      <w:r w:rsidR="00C83A6E">
        <w:rPr>
          <w:rFonts w:eastAsiaTheme="minorEastAsia"/>
        </w:rPr>
        <w:t>describing</w:t>
      </w:r>
      <w:r>
        <w:rPr>
          <w:rFonts w:eastAsiaTheme="minorEastAsia"/>
        </w:rPr>
        <w:t xml:space="preserve"> the survival</w:t>
      </w:r>
      <w:r w:rsidR="00481D04">
        <w:rPr>
          <w:rFonts w:eastAsiaTheme="minorEastAsia"/>
        </w:rPr>
        <w:t xml:space="preserve">, growth, and recruitment of seedlings. In this way, the </w:t>
      </w:r>
      <w:r w:rsidR="00AA3167">
        <w:rPr>
          <w:rFonts w:eastAsiaTheme="minorEastAsia"/>
        </w:rPr>
        <w:t>number of new seedlings on each plot can be estimated as a latent state</w:t>
      </w:r>
      <w:r w:rsidR="00481D04">
        <w:rPr>
          <w:rFonts w:eastAsiaTheme="minorEastAsia"/>
        </w:rPr>
        <w:t xml:space="preserve"> based on a count of </w:t>
      </w:r>
      <w:r w:rsidR="00AA3167">
        <w:rPr>
          <w:rFonts w:eastAsiaTheme="minorEastAsia"/>
        </w:rPr>
        <w:t xml:space="preserve">all </w:t>
      </w:r>
      <w:r w:rsidR="00C83A6E">
        <w:rPr>
          <w:rFonts w:eastAsiaTheme="minorEastAsia"/>
        </w:rPr>
        <w:t>seedlings at remeasurement</w:t>
      </w:r>
      <w:r w:rsidR="00481D04">
        <w:rPr>
          <w:rFonts w:eastAsiaTheme="minorEastAsia"/>
        </w:rPr>
        <w:t xml:space="preserve"> and </w:t>
      </w:r>
      <w:r w:rsidR="00C83A6E">
        <w:rPr>
          <w:rFonts w:eastAsiaTheme="minorEastAsia"/>
        </w:rPr>
        <w:t xml:space="preserve">the </w:t>
      </w:r>
      <w:r w:rsidR="00481D04">
        <w:rPr>
          <w:rFonts w:eastAsiaTheme="minorEastAsia"/>
        </w:rPr>
        <w:t xml:space="preserve">estimated (from the survival and growth sub models) rates of growth and survival among pre-existing seedlings. </w:t>
      </w:r>
    </w:p>
    <w:p w14:paraId="50C9C237" w14:textId="2BD3CEBF" w:rsidR="00481D04" w:rsidRDefault="00481D04" w:rsidP="00E01957">
      <w:pPr>
        <w:spacing w:line="360" w:lineRule="auto"/>
        <w:rPr>
          <w:rFonts w:eastAsiaTheme="minorEastAsia"/>
        </w:rPr>
      </w:pPr>
      <w:r>
        <w:rPr>
          <w:rFonts w:eastAsiaTheme="minorEastAsia"/>
        </w:rPr>
        <w:tab/>
        <w:t xml:space="preserve">The response distribution for the </w:t>
      </w:r>
      <w:r w:rsidR="0090133B">
        <w:rPr>
          <w:rFonts w:eastAsiaTheme="minorEastAsia"/>
        </w:rPr>
        <w:t>fecundity</w:t>
      </w:r>
      <w:r>
        <w:rPr>
          <w:rFonts w:eastAsiaTheme="minorEastAsia"/>
        </w:rPr>
        <w:t xml:space="preserve"> sub model is:</w:t>
      </w:r>
    </w:p>
    <w:p w14:paraId="685C303F" w14:textId="389EE448" w:rsidR="00EB1B4C" w:rsidRDefault="00EB1B4C" w:rsidP="00EB1B4C">
      <w:pPr>
        <w:pStyle w:val="Caption"/>
        <w:keepNext/>
      </w:pPr>
      <w:r>
        <w:t xml:space="preserve">Equation </w:t>
      </w:r>
      <w:fldSimple w:instr=" SEQ Equation \* ARABIC ">
        <w:r w:rsidR="00D73B16">
          <w:rPr>
            <w:noProof/>
          </w:rPr>
          <w:t>5</w:t>
        </w:r>
      </w:fldSimple>
    </w:p>
    <w:p w14:paraId="17730052" w14:textId="10279186" w:rsidR="00481D04" w:rsidRPr="004A6BFC" w:rsidRDefault="00585CCB"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b/>
                  <w:bCs/>
                </w:rPr>
                <m:t>c</m:t>
              </m:r>
              <m:r>
                <w:rPr>
                  <w:rFonts w:ascii="Cambria Math" w:hAnsi="Cambria Math"/>
                </w:rPr>
                <m:t>'</m:t>
              </m:r>
            </m:e>
            <m:sub>
              <m:r>
                <w:rPr>
                  <w:rFonts w:ascii="Cambria Math" w:hAnsi="Cambria Math"/>
                </w:rPr>
                <m:t>j</m:t>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j,1</m:t>
              </m:r>
            </m:sub>
          </m:sSub>
          <m:r>
            <w:rPr>
              <w:rFonts w:ascii="Cambria Math" w:hAnsi="Cambria Math"/>
            </w:rPr>
            <m:t>×a,κ</m:t>
          </m:r>
          <m:r>
            <w:rPr>
              <w:rFonts w:ascii="Cambria Math" w:eastAsiaTheme="minorEastAsia" w:hAnsi="Cambria Math"/>
            </w:rPr>
            <m:t>)</m:t>
          </m:r>
        </m:oMath>
      </m:oMathPara>
    </w:p>
    <w:p w14:paraId="4B036C5F" w14:textId="46042FC8" w:rsidR="00C56685" w:rsidRDefault="004A6BFC"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b/>
                <w:bCs/>
              </w:rPr>
              <m:t>c</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is the observed count of</w:t>
      </w:r>
      <w:r w:rsidR="009F5DED">
        <w:rPr>
          <w:rFonts w:eastAsiaTheme="minorEastAsia"/>
        </w:rPr>
        <w:t xml:space="preserve"> </w:t>
      </w:r>
      <w:r w:rsidR="00884AB8">
        <w:rPr>
          <w:rFonts w:eastAsiaTheme="minorEastAsia"/>
        </w:rPr>
        <w:t>seedlings</w:t>
      </w:r>
      <w:r w:rsidR="005D2253">
        <w:rPr>
          <w:rFonts w:eastAsiaTheme="minorEastAsia"/>
        </w:rPr>
        <w:t xml:space="preserve"> on plot </w:t>
      </w:r>
      <m:oMath>
        <m:r>
          <w:rPr>
            <w:rFonts w:ascii="Cambria Math" w:eastAsiaTheme="minorEastAsia" w:hAnsi="Cambria Math"/>
          </w:rPr>
          <m:t>j</m:t>
        </m:r>
      </m:oMath>
      <w:r>
        <w:rPr>
          <w:rFonts w:eastAsiaTheme="minorEastAsia"/>
        </w:rPr>
        <w:t xml:space="preserve"> </w:t>
      </w:r>
      <w:r w:rsidR="00884AB8">
        <w:rPr>
          <w:rFonts w:eastAsiaTheme="minorEastAsia"/>
        </w:rPr>
        <w:t>at remeasurement</w:t>
      </w:r>
      <w:r>
        <w:rPr>
          <w:rFonts w:eastAsiaTheme="minorEastAsia"/>
        </w:rPr>
        <w:t xml:space="preserve">, which </w:t>
      </w:r>
      <w:r w:rsidR="00884AB8">
        <w:rPr>
          <w:rFonts w:eastAsiaTheme="minorEastAsia"/>
        </w:rPr>
        <w:t xml:space="preserve">includes </w:t>
      </w:r>
      <w:r>
        <w:rPr>
          <w:rFonts w:eastAsiaTheme="minorEastAsia"/>
        </w:rPr>
        <w:t xml:space="preserve">both new recruits and </w:t>
      </w:r>
      <w:r w:rsidR="009F5DED">
        <w:rPr>
          <w:rFonts w:eastAsiaTheme="minorEastAsia"/>
        </w:rPr>
        <w:t>individuals which were present but untagged due to their small size at the initial measurement</w:t>
      </w:r>
      <w:commentRangeStart w:id="35"/>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w:t>
      </w:r>
      <w:r w:rsidR="009917FF">
        <w:rPr>
          <w:rFonts w:eastAsiaTheme="minorEastAsia"/>
        </w:rPr>
        <w:t>is</w:t>
      </w:r>
      <w:r w:rsidR="00B02855">
        <w:rPr>
          <w:rFonts w:eastAsiaTheme="minorEastAsia"/>
        </w:rPr>
        <w:t xml:space="preserve"> a </w:t>
      </w:r>
      <m:oMath>
        <m:r>
          <w:rPr>
            <w:rFonts w:ascii="Cambria Math" w:eastAsiaTheme="minorEastAsia" w:hAnsi="Cambria Math"/>
          </w:rPr>
          <m:t>100×1</m:t>
        </m:r>
      </m:oMath>
      <w:r w:rsidR="00B02855">
        <w:rPr>
          <w:rFonts w:eastAsiaTheme="minorEastAsia"/>
        </w:rPr>
        <w:t xml:space="preserve"> vector containing</w:t>
      </w:r>
      <w:r w:rsidR="009917FF">
        <w:rPr>
          <w:rFonts w:eastAsiaTheme="minorEastAsia"/>
        </w:rPr>
        <w:t xml:space="preserve"> the </w:t>
      </w:r>
      <w:r>
        <w:rPr>
          <w:rFonts w:eastAsiaTheme="minorEastAsia"/>
        </w:rPr>
        <w:t>area-standardized occurrence rate</w:t>
      </w:r>
      <w:r w:rsidR="00B02855">
        <w:rPr>
          <w:rFonts w:eastAsiaTheme="minorEastAsia"/>
        </w:rPr>
        <w:t xml:space="preserve">s of 100 </w:t>
      </w:r>
      <w:r w:rsidR="00277C16">
        <w:rPr>
          <w:rFonts w:eastAsiaTheme="minorEastAsia"/>
        </w:rPr>
        <w:t>0.0</w:t>
      </w:r>
      <w:r w:rsidR="00B02855">
        <w:rPr>
          <w:rFonts w:eastAsiaTheme="minorEastAsia"/>
        </w:rPr>
        <w:t xml:space="preserve">254 m wide DBH size classes </w:t>
      </w:r>
      <w:r w:rsidR="00C83A6E">
        <w:rPr>
          <w:rFonts w:eastAsiaTheme="minorEastAsia"/>
        </w:rPr>
        <w:t xml:space="preserve">(ranging from 0 to 2.54 m) </w:t>
      </w:r>
      <w:r w:rsidR="00B02855">
        <w:rPr>
          <w:rFonts w:eastAsiaTheme="minorEastAsia"/>
        </w:rPr>
        <w:t xml:space="preserve">on plot </w:t>
      </w:r>
      <m:oMath>
        <m:r>
          <w:rPr>
            <w:rFonts w:ascii="Cambria Math" w:eastAsiaTheme="minorEastAsia" w:hAnsi="Cambria Math"/>
          </w:rPr>
          <m:t>j</m:t>
        </m:r>
      </m:oMath>
      <w:r w:rsidR="00B02855">
        <w:rPr>
          <w:rFonts w:eastAsiaTheme="minorEastAsia"/>
        </w:rPr>
        <w:t xml:space="preserve"> at remeasurement,</w:t>
      </w:r>
      <w:r w:rsidR="0029268F">
        <w:rPr>
          <w:rFonts w:eastAsiaTheme="minorEastAsia"/>
        </w:rPr>
        <w:t xml:space="preserve"> </w:t>
      </w:r>
      <m:oMath>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j,1</m:t>
            </m:r>
          </m:sub>
        </m:sSub>
      </m:oMath>
      <w:r w:rsidR="00B02855">
        <w:rPr>
          <w:rFonts w:eastAsiaTheme="minorEastAsia"/>
        </w:rPr>
        <w:t xml:space="preserve"> </w:t>
      </w:r>
      <w:r w:rsidR="0029268F">
        <w:rPr>
          <w:rFonts w:eastAsiaTheme="minorEastAsia"/>
        </w:rPr>
        <w:t xml:space="preserve">is the first element of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sidR="0029268F">
        <w:rPr>
          <w:rFonts w:eastAsiaTheme="minorEastAsia"/>
        </w:rPr>
        <w:t xml:space="preserve"> and is the area-standardized occurrence rate </w:t>
      </w:r>
      <w:r w:rsidR="009917FF">
        <w:rPr>
          <w:rFonts w:eastAsiaTheme="minorEastAsia"/>
        </w:rPr>
        <w:t>of seedlings</w:t>
      </w:r>
      <w:r w:rsidR="005441D3">
        <w:rPr>
          <w:rFonts w:eastAsiaTheme="minorEastAsia"/>
        </w:rPr>
        <w:t xml:space="preserve"> </w:t>
      </w:r>
      <w:r w:rsidR="005D2253">
        <w:rPr>
          <w:rFonts w:eastAsiaTheme="minorEastAsia"/>
        </w:rPr>
        <w:t xml:space="preserve">(size class 1) </w:t>
      </w:r>
      <w:r w:rsidR="005441D3">
        <w:rPr>
          <w:rFonts w:eastAsiaTheme="minorEastAsia"/>
        </w:rPr>
        <w:t>at remeasurement</w:t>
      </w:r>
      <w:r w:rsidR="0093310D">
        <w:rPr>
          <w:rFonts w:eastAsiaTheme="minorEastAsia"/>
        </w:rPr>
        <w:t>,</w:t>
      </w:r>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g</w:t>
      </w:r>
      <w:r w:rsidR="009917FF">
        <w:rPr>
          <w:rFonts w:eastAsiaTheme="minorEastAsia"/>
        </w:rPr>
        <w:t>ives</w:t>
      </w:r>
      <w:r w:rsidR="005F02B2">
        <w:rPr>
          <w:rFonts w:eastAsiaTheme="minorEastAsia"/>
        </w:rPr>
        <w:t xml:space="preserve"> the total plot area surveyed for </w:t>
      </w:r>
      <w:r w:rsidR="009917FF">
        <w:rPr>
          <w:rFonts w:eastAsiaTheme="minorEastAsia"/>
        </w:rPr>
        <w:t>seedlings</w:t>
      </w:r>
      <w:commentRangeEnd w:id="35"/>
      <w:r w:rsidR="005D2253">
        <w:rPr>
          <w:rStyle w:val="CommentReference"/>
        </w:rPr>
        <w:commentReference w:id="35"/>
      </w:r>
      <w:r w:rsidR="005F02B2">
        <w:rPr>
          <w:rFonts w:eastAsiaTheme="minorEastAsia"/>
        </w:rPr>
        <w:t xml:space="preserve">, and </w:t>
      </w:r>
      <m:oMath>
        <m:r>
          <w:rPr>
            <w:rFonts w:ascii="Cambria Math" w:eastAsiaTheme="minorEastAsia" w:hAnsi="Cambria Math"/>
          </w:rPr>
          <m:t>κ</m:t>
        </m:r>
      </m:oMath>
      <w:r w:rsidR="005F02B2">
        <w:rPr>
          <w:rFonts w:eastAsiaTheme="minorEastAsia"/>
        </w:rPr>
        <w:t xml:space="preserve"> is the dispersion parameter for the negative binomial distribution. </w:t>
      </w:r>
      <w:r w:rsidR="001E1A16">
        <w:rPr>
          <w:rFonts w:eastAsiaTheme="minorEastAsia"/>
        </w:rPr>
        <w:t>The</w:t>
      </w:r>
      <w:r w:rsidR="00513781">
        <w:rPr>
          <w:rFonts w:eastAsiaTheme="minorEastAsia"/>
        </w:rPr>
        <w:t xml:space="preserve"> largest observed individual in the data is 2.45 m.  </w:t>
      </w:r>
    </w:p>
    <w:p w14:paraId="5C655F76" w14:textId="52ABE052" w:rsidR="009917FF" w:rsidRDefault="009917FF" w:rsidP="00E01957">
      <w:pPr>
        <w:spacing w:line="360" w:lineRule="auto"/>
        <w:rPr>
          <w:rFonts w:eastAsiaTheme="minorEastAsia"/>
        </w:rPr>
      </w:pPr>
      <w:r>
        <w:rPr>
          <w:rFonts w:eastAsiaTheme="minorEastAsia"/>
        </w:rPr>
        <w:lastRenderedPageBreak/>
        <w:tab/>
        <w:t>The area-standardized occurrence rate</w:t>
      </w:r>
      <w:r w:rsidR="005D2253">
        <w:rPr>
          <w:rFonts w:eastAsiaTheme="minorEastAsia"/>
        </w:rPr>
        <w:t>s of all size classes at remeasurement</w:t>
      </w:r>
      <w:r w:rsidR="005441D3">
        <w:rPr>
          <w:rFonts w:eastAsiaTheme="minorEastAsia"/>
        </w:rPr>
        <w:t>,</w:t>
      </w:r>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sidR="005441D3">
        <w:rPr>
          <w:rFonts w:eastAsiaTheme="minorEastAsia"/>
        </w:rPr>
        <w:t>,</w:t>
      </w:r>
      <w:r>
        <w:rPr>
          <w:rFonts w:eastAsiaTheme="minorEastAsia"/>
        </w:rPr>
        <w:t xml:space="preserve"> is the product of </w:t>
      </w:r>
      <w:r w:rsidR="005441D3">
        <w:rPr>
          <w:rFonts w:eastAsiaTheme="minorEastAsia"/>
        </w:rPr>
        <w:t>an integral projection model transition kernel and the area-standardized occurrence rate</w:t>
      </w:r>
      <w:r w:rsidR="00C83A6E">
        <w:rPr>
          <w:rFonts w:eastAsiaTheme="minorEastAsia"/>
        </w:rPr>
        <w:t>s</w:t>
      </w:r>
      <w:r w:rsidR="005441D3">
        <w:rPr>
          <w:rFonts w:eastAsiaTheme="minorEastAsia"/>
        </w:rPr>
        <w:t xml:space="preserve"> of </w:t>
      </w:r>
      <w:r w:rsidR="0029268F">
        <w:rPr>
          <w:rFonts w:eastAsiaTheme="minorEastAsia"/>
        </w:rPr>
        <w:t xml:space="preserve">the same size classes </w:t>
      </w:r>
      <w:r w:rsidR="005441D3">
        <w:rPr>
          <w:rFonts w:eastAsiaTheme="minorEastAsia"/>
        </w:rPr>
        <w:t>at initial measurement</w:t>
      </w:r>
      <w:r w:rsidR="00582802">
        <w:rPr>
          <w:rFonts w:eastAsiaTheme="minorEastAsia"/>
        </w:rPr>
        <w:t>:</w:t>
      </w:r>
    </w:p>
    <w:p w14:paraId="43E8C03F" w14:textId="679EC856" w:rsidR="00EB1B4C" w:rsidRDefault="00EB1B4C" w:rsidP="00EB1B4C">
      <w:pPr>
        <w:pStyle w:val="Caption"/>
        <w:keepNext/>
      </w:pPr>
      <w:r>
        <w:t xml:space="preserve">Equation </w:t>
      </w:r>
      <w:fldSimple w:instr=" SEQ Equation \* ARABIC ">
        <w:r w:rsidR="00D73B16">
          <w:rPr>
            <w:noProof/>
          </w:rPr>
          <w:t>6</w:t>
        </w:r>
      </w:fldSimple>
    </w:p>
    <w:p w14:paraId="79BE3FAF" w14:textId="5AAB3130" w:rsidR="000B4F67" w:rsidRPr="000B4F67" w:rsidRDefault="00585CCB" w:rsidP="00E01957">
      <w:pPr>
        <w:spacing w:line="360" w:lineRule="auto"/>
        <w:rPr>
          <w:rFonts w:eastAsiaTheme="minorEastAsia"/>
          <w:b/>
          <w:bCs/>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j,*</m:t>
              </m:r>
            </m:sub>
          </m:sSub>
        </m:oMath>
      </m:oMathPara>
    </w:p>
    <w:p w14:paraId="1AD7E99F" w14:textId="020CAD05" w:rsidR="000B4F67" w:rsidRDefault="000B4F67" w:rsidP="00E01957">
      <w:pPr>
        <w:spacing w:line="360" w:lineRule="auto"/>
        <w:rPr>
          <w:rFonts w:eastAsiaTheme="minorEastAsia"/>
        </w:rPr>
      </w:pPr>
      <w:r>
        <w:rPr>
          <w:rFonts w:eastAsiaTheme="minorEastAsia"/>
          <w:b/>
          <w:bCs/>
        </w:rPr>
        <w:tab/>
      </w:r>
      <w:r w:rsidR="00CA6E7F">
        <w:rPr>
          <w:rFonts w:eastAsiaTheme="minorEastAsia"/>
        </w:rPr>
        <w:t>w</w:t>
      </w:r>
      <w:r>
        <w:rPr>
          <w:rFonts w:eastAsiaTheme="minorEastAsia"/>
        </w:rPr>
        <w:t>here</w:t>
      </w:r>
      <w:r w:rsidR="006152D3">
        <w:rPr>
          <w:rFonts w:eastAsiaTheme="minorEastAsia"/>
        </w:rPr>
        <w:t xml:space="preserve"> each</w:t>
      </w:r>
      <w:r>
        <w:rPr>
          <w:rFonts w:eastAsiaTheme="minorEastAsia"/>
        </w:rPr>
        <w:t xml:space="preserve">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w:rPr>
            <w:rFonts w:ascii="Cambria Math" w:eastAsiaTheme="minorEastAsia" w:hAnsi="Cambria Math"/>
          </w:rPr>
          <m:t xml:space="preserve"> </m:t>
        </m:r>
      </m:oMath>
      <w:r>
        <w:rPr>
          <w:rFonts w:eastAsiaTheme="minorEastAsia"/>
        </w:rPr>
        <w:t xml:space="preserve">is a </w:t>
      </w:r>
      <m:oMath>
        <m:r>
          <w:rPr>
            <w:rFonts w:ascii="Cambria Math" w:eastAsiaTheme="minorEastAsia" w:hAnsi="Cambria Math"/>
          </w:rPr>
          <m:t>100×100</m:t>
        </m:r>
      </m:oMath>
      <w:r>
        <w:rPr>
          <w:rFonts w:eastAsiaTheme="minorEastAsia"/>
        </w:rPr>
        <w:t xml:space="preserve"> </w:t>
      </w:r>
      <w:r w:rsidR="004900A0">
        <w:rPr>
          <w:rFonts w:eastAsiaTheme="minorEastAsia"/>
        </w:rPr>
        <w:t xml:space="preserve">discretized integral projection model kernel describing the rates of transition from each of </w:t>
      </w:r>
      <m:oMath>
        <m:r>
          <w:rPr>
            <w:rFonts w:ascii="Cambria Math" w:eastAsiaTheme="minorEastAsia" w:hAnsi="Cambria Math"/>
          </w:rPr>
          <m:t>v=1,2,…,100</m:t>
        </m:r>
      </m:oMath>
      <w:r w:rsidR="004900A0">
        <w:rPr>
          <w:rFonts w:eastAsiaTheme="minorEastAsia"/>
        </w:rPr>
        <w:t xml:space="preserve"> size classes </w:t>
      </w:r>
      <w:r w:rsidR="005B1295">
        <w:rPr>
          <w:rFonts w:eastAsiaTheme="minorEastAsia"/>
        </w:rPr>
        <w:t>in</w:t>
      </w:r>
      <w:r w:rsidR="004900A0">
        <w:rPr>
          <w:rFonts w:eastAsiaTheme="minorEastAsia"/>
        </w:rPr>
        <w:t xml:space="preserve">to </w:t>
      </w:r>
      <m:oMath>
        <m:r>
          <w:rPr>
            <w:rFonts w:ascii="Cambria Math" w:eastAsiaTheme="minorEastAsia" w:hAnsi="Cambria Math"/>
          </w:rPr>
          <m:t>u=1,2,…,100</m:t>
        </m:r>
      </m:oMath>
      <w:r w:rsidR="0029268F">
        <w:rPr>
          <w:rFonts w:eastAsiaTheme="minorEastAsia"/>
        </w:rPr>
        <w:t xml:space="preserve"> size classes,</w:t>
      </w:r>
      <w:r w:rsidR="005B1295">
        <w:rPr>
          <w:rFonts w:eastAsiaTheme="minorEastAsia"/>
        </w:rPr>
        <w:t xml:space="preserve"> </w:t>
      </w:r>
      <w:r w:rsidR="008415CA">
        <w:rPr>
          <w:rFonts w:eastAsiaTheme="minorEastAsia"/>
        </w:rPr>
        <w:t xml:space="preserve"> which includes fecundity as well as growth and survival.</w:t>
      </w:r>
      <w:r w:rsidR="006152D3">
        <w:rPr>
          <w:rFonts w:eastAsiaTheme="minorEastAsia"/>
        </w:rPr>
        <w:t xml:space="preserve"> </w:t>
      </w:r>
      <w:r w:rsidR="00C83A6E">
        <w:rPr>
          <w:rFonts w:eastAsiaTheme="minorEastAsia"/>
        </w:rPr>
        <w:t xml:space="preserve">The elements of this matrix are a function of the parameters for the survival, growth, and fecundity functions and the </w:t>
      </w:r>
      <w:r w:rsidR="00093900">
        <w:rPr>
          <w:rFonts w:eastAsiaTheme="minorEastAsia"/>
        </w:rPr>
        <w:t xml:space="preserve">data describing </w:t>
      </w:r>
      <w:r w:rsidR="00C83A6E">
        <w:rPr>
          <w:rFonts w:eastAsiaTheme="minorEastAsia"/>
        </w:rPr>
        <w:t xml:space="preserve">plot-specific covariates, as described below. </w:t>
      </w:r>
      <w:r w:rsidR="006152D3">
        <w:rPr>
          <w:rFonts w:eastAsiaTheme="minorEastAsia"/>
        </w:rPr>
        <w:t xml:space="preserve">A separate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m:rPr>
            <m:sty m:val="bi"/>
          </m:rPr>
          <w:rPr>
            <w:rFonts w:ascii="Cambria Math" w:hAnsi="Cambria Math"/>
          </w:rPr>
          <m:t xml:space="preserve"> </m:t>
        </m:r>
      </m:oMath>
      <w:r w:rsidR="006152D3">
        <w:rPr>
          <w:rFonts w:eastAsiaTheme="minorEastAsia"/>
        </w:rPr>
        <w:t xml:space="preserve">exists for each plot </w:t>
      </w:r>
      <m:oMath>
        <m:r>
          <w:rPr>
            <w:rFonts w:ascii="Cambria Math" w:eastAsiaTheme="minorEastAsia" w:hAnsi="Cambria Math"/>
          </w:rPr>
          <m:t>j</m:t>
        </m:r>
      </m:oMath>
      <w:r w:rsidR="006152D3">
        <w:rPr>
          <w:rFonts w:eastAsiaTheme="minorEastAsia"/>
        </w:rPr>
        <w:t>.</w:t>
      </w:r>
      <w:r w:rsidR="008415CA">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j,*</m:t>
            </m:r>
          </m:sub>
        </m:sSub>
      </m:oMath>
      <w:r w:rsidR="008415CA">
        <w:rPr>
          <w:rFonts w:eastAsiaTheme="minorEastAsia"/>
        </w:rPr>
        <w:t xml:space="preserve"> is the </w:t>
      </w:r>
      <m:oMath>
        <m:r>
          <w:rPr>
            <w:rFonts w:ascii="Cambria Math" w:eastAsiaTheme="minorEastAsia" w:hAnsi="Cambria Math"/>
          </w:rPr>
          <m:t>100×1</m:t>
        </m:r>
      </m:oMath>
      <w:r w:rsidR="008415CA">
        <w:rPr>
          <w:rFonts w:eastAsiaTheme="minorEastAsia"/>
        </w:rPr>
        <w:t xml:space="preserve"> vector giving the area-standardized occurrence rates of individuals in each of the </w:t>
      </w:r>
      <w:r w:rsidR="00374BD9">
        <w:rPr>
          <w:rFonts w:eastAsiaTheme="minorEastAsia"/>
        </w:rPr>
        <w:t>100</w:t>
      </w:r>
      <w:r w:rsidR="008415CA">
        <w:rPr>
          <w:rFonts w:eastAsiaTheme="minorEastAsia"/>
        </w:rPr>
        <w:t xml:space="preserve"> size classes at </w:t>
      </w:r>
      <w:r w:rsidR="00374BD9">
        <w:rPr>
          <w:rFonts w:eastAsiaTheme="minorEastAsia"/>
        </w:rPr>
        <w:t>initial measurement</w:t>
      </w:r>
      <w:r w:rsidR="008415CA">
        <w:rPr>
          <w:rFonts w:eastAsiaTheme="minorEastAsia"/>
        </w:rPr>
        <w:t xml:space="preserve"> on plot </w:t>
      </w:r>
      <m:oMath>
        <m:r>
          <w:rPr>
            <w:rFonts w:ascii="Cambria Math" w:eastAsiaTheme="minorEastAsia" w:hAnsi="Cambria Math"/>
          </w:rPr>
          <m:t>j</m:t>
        </m:r>
      </m:oMath>
      <w:r w:rsidR="00093900">
        <w:rPr>
          <w:rFonts w:eastAsiaTheme="minorEastAsia"/>
        </w:rPr>
        <w:t>, which are observed data.</w:t>
      </w:r>
      <w:r w:rsidR="008415CA">
        <w:rPr>
          <w:rFonts w:eastAsiaTheme="minorEastAsia"/>
        </w:rPr>
        <w:t xml:space="preserve"> The elements of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oMath>
      <w:r w:rsidR="008415CA">
        <w:rPr>
          <w:rFonts w:eastAsiaTheme="minorEastAsia"/>
        </w:rPr>
        <w:t xml:space="preserve">for each plot </w:t>
      </w:r>
      <m:oMath>
        <m:r>
          <w:rPr>
            <w:rFonts w:ascii="Cambria Math" w:eastAsiaTheme="minorEastAsia" w:hAnsi="Cambria Math"/>
          </w:rPr>
          <m:t>j</m:t>
        </m:r>
      </m:oMath>
      <w:r w:rsidR="008415CA">
        <w:rPr>
          <w:rFonts w:eastAsiaTheme="minorEastAsia"/>
        </w:rPr>
        <w:t xml:space="preserve"> are given by:</w:t>
      </w:r>
    </w:p>
    <w:p w14:paraId="0D02CBA6" w14:textId="744EE78D" w:rsidR="00EB1B4C" w:rsidRDefault="00EB1B4C" w:rsidP="00EB1B4C">
      <w:pPr>
        <w:pStyle w:val="Caption"/>
        <w:keepNext/>
      </w:pPr>
      <w:r>
        <w:t xml:space="preserve">Equation </w:t>
      </w:r>
      <w:fldSimple w:instr=" SEQ Equation \* ARABIC ">
        <w:r w:rsidR="00D73B16">
          <w:rPr>
            <w:noProof/>
          </w:rPr>
          <w:t>7</w:t>
        </w:r>
      </w:fldSimple>
    </w:p>
    <w:p w14:paraId="452449EA" w14:textId="70B83413" w:rsidR="008415CA" w:rsidRPr="007B3DC9" w:rsidRDefault="00585CCB"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m:oMathPara>
    </w:p>
    <w:p w14:paraId="4DE25905" w14:textId="1C9B94A0" w:rsidR="009A6AAC" w:rsidRDefault="007B3DC9" w:rsidP="00E01957">
      <w:pPr>
        <w:spacing w:line="360" w:lineRule="auto"/>
        <w:rPr>
          <w:rFonts w:eastAsiaTheme="minorEastAsia"/>
        </w:rPr>
      </w:pPr>
      <w:r>
        <w:rPr>
          <w:rFonts w:eastAsiaTheme="minorEastAsia"/>
        </w:rPr>
        <w:tab/>
      </w:r>
      <w:r w:rsidR="00CA6E7F">
        <w:rPr>
          <w:rFonts w:eastAsiaTheme="minorEastAsia"/>
        </w:rPr>
        <w:t>w</w:t>
      </w:r>
      <w:commentRangeStart w:id="36"/>
      <w:r>
        <w:rPr>
          <w:rFonts w:eastAsiaTheme="minorEastAsia"/>
        </w:rPr>
        <w:t>here</w:t>
      </w:r>
      <w:commentRangeEnd w:id="36"/>
      <w:r w:rsidR="00DA5840">
        <w:rPr>
          <w:rStyle w:val="CommentReference"/>
        </w:rPr>
        <w:commentReference w:id="36"/>
      </w:r>
      <w:r w:rsidR="006E754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oMath>
      <w:r>
        <w:rPr>
          <w:rFonts w:eastAsiaTheme="minorEastAsia"/>
        </w:rPr>
        <w:t xml:space="preserve"> </w:t>
      </w:r>
      <w:r w:rsidR="006E754A">
        <w:rPr>
          <w:rFonts w:eastAsiaTheme="minorEastAsia"/>
        </w:rPr>
        <w:t xml:space="preserve">is the proportion of surviving individuals in class </w:t>
      </w:r>
      <m:oMath>
        <m:r>
          <w:rPr>
            <w:rFonts w:ascii="Cambria Math" w:eastAsiaTheme="minorEastAsia" w:hAnsi="Cambria Math"/>
          </w:rPr>
          <m:t>v</m:t>
        </m:r>
      </m:oMath>
      <w:r w:rsidR="006E754A">
        <w:rPr>
          <w:rFonts w:eastAsiaTheme="minorEastAsia"/>
        </w:rPr>
        <w:t xml:space="preserve"> which grow into class </w:t>
      </w:r>
      <m:oMath>
        <m:r>
          <w:rPr>
            <w:rFonts w:ascii="Cambria Math" w:eastAsiaTheme="minorEastAsia" w:hAnsi="Cambria Math"/>
          </w:rPr>
          <m:t>u</m:t>
        </m:r>
      </m:oMath>
      <w:r w:rsidR="006E754A">
        <w:rPr>
          <w:rFonts w:eastAsiaTheme="minorEastAsia"/>
        </w:rPr>
        <w:t xml:space="preserve"> during the census interval</w:t>
      </w:r>
      <w:r w:rsidR="006456A1">
        <w:rPr>
          <w:rFonts w:eastAsiaTheme="minorEastAsia"/>
        </w:rPr>
        <w:t xml:space="preserve"> on plot </w:t>
      </w:r>
      <m:oMath>
        <m:r>
          <w:rPr>
            <w:rFonts w:ascii="Cambria Math" w:eastAsiaTheme="minorEastAsia" w:hAnsi="Cambria Math"/>
          </w:rPr>
          <m:t>j</m:t>
        </m:r>
      </m:oMath>
      <w:r>
        <w:rPr>
          <w:rFonts w:eastAsiaTheme="minorEastAsia"/>
        </w:rPr>
        <w:t>,</w:t>
      </w:r>
      <w:r w:rsidR="00A2737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oMath>
      <w:r w:rsidR="00A27379">
        <w:rPr>
          <w:rFonts w:eastAsiaTheme="minorEastAsia"/>
        </w:rPr>
        <w:t xml:space="preserve"> is the probability that an individual in size class </w:t>
      </w:r>
      <m:oMath>
        <m:r>
          <w:rPr>
            <w:rFonts w:ascii="Cambria Math" w:eastAsiaTheme="minorEastAsia" w:hAnsi="Cambria Math"/>
          </w:rPr>
          <m:t>v</m:t>
        </m:r>
      </m:oMath>
      <w:r w:rsidR="00A27379">
        <w:rPr>
          <w:rFonts w:eastAsiaTheme="minorEastAsia"/>
        </w:rPr>
        <w:t xml:space="preserve"> will survive the 10-year census interval</w:t>
      </w:r>
      <w:r w:rsidR="006456A1">
        <w:rPr>
          <w:rFonts w:eastAsiaTheme="minorEastAsia"/>
        </w:rPr>
        <w:t xml:space="preserve"> on plot </w:t>
      </w:r>
      <m:oMath>
        <m:r>
          <w:rPr>
            <w:rFonts w:ascii="Cambria Math" w:eastAsiaTheme="minorEastAsia" w:hAnsi="Cambria Math"/>
          </w:rPr>
          <m:t>j</m:t>
        </m:r>
      </m:oMath>
      <w:r w:rsidR="00A27379">
        <w:rPr>
          <w:rFonts w:eastAsiaTheme="minorEastAsia"/>
        </w:rPr>
        <w:t>,</w:t>
      </w:r>
      <w:r w:rsidR="000A548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0A5484">
        <w:rPr>
          <w:rFonts w:eastAsiaTheme="minorEastAsia"/>
        </w:rPr>
        <w:t xml:space="preserve"> is the probability that a new recruit will transition into size class </w:t>
      </w:r>
      <m:oMath>
        <m:r>
          <w:rPr>
            <w:rFonts w:ascii="Cambria Math" w:eastAsiaTheme="minorEastAsia" w:hAnsi="Cambria Math"/>
          </w:rPr>
          <m:t>u</m:t>
        </m:r>
      </m:oMath>
      <w:r w:rsidR="000A5484">
        <w:rPr>
          <w:rFonts w:eastAsiaTheme="minorEastAsia"/>
        </w:rPr>
        <w:t xml:space="preserve"> by </w:t>
      </w:r>
      <w:r w:rsidR="006F2ABD">
        <w:rPr>
          <w:rFonts w:eastAsiaTheme="minorEastAsia"/>
        </w:rPr>
        <w:t>the end of the 10 year interval</w:t>
      </w:r>
      <w:r w:rsidR="000A548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w:r w:rsidR="000A5484">
        <w:rPr>
          <w:rFonts w:eastAsiaTheme="minorEastAsia"/>
        </w:rPr>
        <w:t xml:space="preserve"> is the number of new recruits generated per existing </w:t>
      </w:r>
      <w:commentRangeStart w:id="37"/>
      <w:r w:rsidR="000A5484">
        <w:rPr>
          <w:rFonts w:eastAsiaTheme="minorEastAsia"/>
        </w:rPr>
        <w:t xml:space="preserve">individual in size class </w:t>
      </w:r>
      <w:commentRangeEnd w:id="37"/>
      <w:r w:rsidR="00FE1095">
        <w:rPr>
          <w:rStyle w:val="CommentReference"/>
        </w:rPr>
        <w:commentReference w:id="37"/>
      </w:r>
      <m:oMath>
        <m:r>
          <w:rPr>
            <w:rFonts w:ascii="Cambria Math" w:eastAsiaTheme="minorEastAsia" w:hAnsi="Cambria Math"/>
          </w:rPr>
          <m:t>v</m:t>
        </m:r>
      </m:oMath>
      <w:r w:rsidR="000A5484">
        <w:rPr>
          <w:rFonts w:eastAsiaTheme="minorEastAsia"/>
        </w:rPr>
        <w:t xml:space="preserve"> </w:t>
      </w:r>
      <w:r w:rsidR="006456A1">
        <w:rPr>
          <w:rFonts w:eastAsiaTheme="minorEastAsia"/>
        </w:rPr>
        <w:t xml:space="preserve">plot </w:t>
      </w:r>
      <m:oMath>
        <m:r>
          <w:rPr>
            <w:rFonts w:ascii="Cambria Math" w:eastAsiaTheme="minorEastAsia" w:hAnsi="Cambria Math"/>
          </w:rPr>
          <m:t>j</m:t>
        </m:r>
      </m:oMath>
      <w:r w:rsidR="00E23769">
        <w:rPr>
          <w:rFonts w:eastAsiaTheme="minorEastAsia"/>
        </w:rPr>
        <w:t xml:space="preserve"> (which we refer to as the fecundity, following Shriver et al. 2021</w:t>
      </w:r>
      <w:r w:rsidR="000A5484">
        <w:rPr>
          <w:rFonts w:eastAsiaTheme="minorEastAsia"/>
        </w:rPr>
        <w:t>).</w:t>
      </w:r>
    </w:p>
    <w:p w14:paraId="4A4F36DE" w14:textId="03BBEBE7" w:rsidR="007B3DC9" w:rsidRDefault="00851A3D" w:rsidP="00E92F0B">
      <w:pPr>
        <w:spacing w:line="360" w:lineRule="auto"/>
        <w:ind w:firstLine="720"/>
        <w:rPr>
          <w:rFonts w:eastAsiaTheme="minorEastAsia"/>
        </w:rPr>
      </w:pPr>
      <w:r>
        <w:rPr>
          <w:rFonts w:eastAsiaTheme="minorEastAsia"/>
        </w:rPr>
        <w:t>Following the recommendations of</w:t>
      </w:r>
      <w:r w:rsidR="00BF40EA">
        <w:rPr>
          <w:rFonts w:eastAsiaTheme="minorEastAsia"/>
        </w:rPr>
        <w:t xml:space="preserve"> Doak et al. (2021)</w:t>
      </w:r>
      <w:r>
        <w:rPr>
          <w:rFonts w:eastAsiaTheme="minorEastAsia"/>
        </w:rPr>
        <w:t xml:space="preserve">, the continuous growth kernel described in </w:t>
      </w:r>
      <w:r w:rsidR="00BF40EA">
        <w:rPr>
          <w:rFonts w:eastAsiaTheme="minorEastAsia"/>
        </w:rPr>
        <w:fldChar w:fldCharType="begin"/>
      </w:r>
      <w:r w:rsidR="00BF40EA">
        <w:rPr>
          <w:rFonts w:eastAsiaTheme="minorEastAsia"/>
        </w:rPr>
        <w:instrText xml:space="preserve"> REF _Ref104375706 \h </w:instrText>
      </w:r>
      <w:r w:rsidR="00BF40EA">
        <w:rPr>
          <w:rFonts w:eastAsiaTheme="minorEastAsia"/>
        </w:rPr>
      </w:r>
      <w:r w:rsidR="00BF40EA">
        <w:rPr>
          <w:rFonts w:eastAsiaTheme="minorEastAsia"/>
        </w:rPr>
        <w:fldChar w:fldCharType="separate"/>
      </w:r>
      <w:r w:rsidR="00BF40EA">
        <w:t xml:space="preserve">Equation </w:t>
      </w:r>
      <w:r w:rsidR="00BF40EA">
        <w:rPr>
          <w:noProof/>
        </w:rPr>
        <w:t>3</w:t>
      </w:r>
      <w:r w:rsidR="00BF40EA">
        <w:rPr>
          <w:rFonts w:eastAsiaTheme="minorEastAsia"/>
        </w:rPr>
        <w:fldChar w:fldCharType="end"/>
      </w:r>
      <w:r w:rsidR="00BF40EA">
        <w:rPr>
          <w:rFonts w:eastAsiaTheme="minorEastAsia"/>
        </w:rPr>
        <w:t xml:space="preserve"> </w:t>
      </w:r>
      <w:r>
        <w:rPr>
          <w:rFonts w:eastAsiaTheme="minorEastAsia"/>
        </w:rPr>
        <w:t xml:space="preserve">is discretized </w:t>
      </w:r>
      <w:r w:rsidR="007314F1">
        <w:rPr>
          <w:rFonts w:eastAsiaTheme="minorEastAsia"/>
        </w:rPr>
        <w:t xml:space="preserve">into size class transition probabilities </w:t>
      </w:r>
      <w:r w:rsidR="00C37C6B">
        <w:rPr>
          <w:rFonts w:eastAsiaTheme="minorEastAsia"/>
        </w:rPr>
        <w:t xml:space="preserve">using the cumulative density function difference method. That is,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oMath>
      <w:r w:rsidR="00093900">
        <w:rPr>
          <w:rFonts w:eastAsiaTheme="minorEastAsia"/>
        </w:rPr>
        <w:t xml:space="preserve"> is </w:t>
      </w:r>
      <w:r w:rsidR="00C37C6B">
        <w:rPr>
          <w:rFonts w:eastAsiaTheme="minorEastAsia"/>
        </w:rPr>
        <w:t>the probability that an individual</w:t>
      </w:r>
      <w:r w:rsidR="006456A1">
        <w:rPr>
          <w:rFonts w:eastAsiaTheme="minorEastAsia"/>
        </w:rPr>
        <w:t xml:space="preserve"> on plot </w:t>
      </w:r>
      <m:oMath>
        <m:r>
          <w:rPr>
            <w:rFonts w:ascii="Cambria Math" w:eastAsiaTheme="minorEastAsia" w:hAnsi="Cambria Math"/>
          </w:rPr>
          <m:t>j</m:t>
        </m:r>
      </m:oMath>
      <w:r w:rsidR="00C37C6B">
        <w:rPr>
          <w:rFonts w:eastAsiaTheme="minorEastAsia"/>
        </w:rPr>
        <w:t xml:space="preserve"> with DBH equal to the midpoint of size class </w:t>
      </w:r>
      <m:oMath>
        <m:r>
          <w:rPr>
            <w:rFonts w:ascii="Cambria Math" w:eastAsiaTheme="minorEastAsia" w:hAnsi="Cambria Math"/>
          </w:rPr>
          <m:t>v</m:t>
        </m:r>
      </m:oMath>
      <w:r w:rsidR="00C37C6B">
        <w:rPr>
          <w:rFonts w:eastAsiaTheme="minorEastAsia"/>
        </w:rPr>
        <w:t xml:space="preserve"> will have a DBH at remeasurement somewhere between the upper and lower bounds of size class </w:t>
      </w:r>
      <m:oMath>
        <m:r>
          <w:rPr>
            <w:rFonts w:ascii="Cambria Math" w:eastAsiaTheme="minorEastAsia" w:hAnsi="Cambria Math"/>
          </w:rPr>
          <m:t>u</m:t>
        </m:r>
      </m:oMath>
      <w:r w:rsidR="00093900">
        <w:rPr>
          <w:rFonts w:eastAsiaTheme="minorEastAsia"/>
        </w:rPr>
        <w:t xml:space="preserve">, and </w:t>
      </w:r>
      <w:r w:rsidR="0027112C">
        <w:rPr>
          <w:rFonts w:eastAsiaTheme="minorEastAsia"/>
        </w:rPr>
        <w:t>is given by:</w:t>
      </w:r>
    </w:p>
    <w:p w14:paraId="16D438D1" w14:textId="44F77D2C" w:rsidR="00EB1B4C" w:rsidRDefault="00EB1B4C" w:rsidP="00EB1B4C">
      <w:pPr>
        <w:pStyle w:val="Caption"/>
        <w:keepNext/>
      </w:pPr>
      <w:bookmarkStart w:id="38" w:name="_Ref93582027"/>
      <w:commentRangeStart w:id="39"/>
      <w:r>
        <w:t>Equation</w:t>
      </w:r>
      <w:commentRangeEnd w:id="39"/>
      <w:r w:rsidR="00FE1095">
        <w:rPr>
          <w:rStyle w:val="CommentReference"/>
          <w:i w:val="0"/>
          <w:iCs w:val="0"/>
          <w:color w:val="auto"/>
        </w:rPr>
        <w:commentReference w:id="39"/>
      </w:r>
      <w:r>
        <w:t xml:space="preserve"> </w:t>
      </w:r>
      <w:fldSimple w:instr=" SEQ Equation \* ARABIC ">
        <w:r w:rsidR="00D73B16">
          <w:rPr>
            <w:noProof/>
          </w:rPr>
          <w:t>8</w:t>
        </w:r>
      </w:fldSimple>
      <w:bookmarkEnd w:id="38"/>
    </w:p>
    <w:p w14:paraId="36A0526C" w14:textId="36050D21" w:rsidR="0027112C" w:rsidRPr="00860357" w:rsidRDefault="00585CCB" w:rsidP="00E01957">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num>
                    <m:den>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den>
                  </m:f>
                  <m:r>
                    <w:rPr>
                      <w:rFonts w:ascii="Cambria Math" w:hAnsi="Cambria Math"/>
                    </w:rPr>
                    <m:t>,  &amp;v=1</m:t>
                  </m:r>
                </m:e>
                <m:e>
                  <m:r>
                    <w:rPr>
                      <w:rFonts w:ascii="Cambria Math" w:hAnsi="Cambria Math"/>
                    </w:rPr>
                    <m:t>0,  &amp;v&gt;1</m:t>
                  </m:r>
                </m:e>
              </m:eqArr>
            </m:e>
          </m:d>
        </m:oMath>
      </m:oMathPara>
    </w:p>
    <w:p w14:paraId="75E6ADC5" w14:textId="66CEAA4D" w:rsidR="009A6AAC" w:rsidRDefault="00860357" w:rsidP="00E01957">
      <w:pPr>
        <w:spacing w:line="360" w:lineRule="auto"/>
        <w:rPr>
          <w:rFonts w:eastAsiaTheme="minorEastAsia"/>
        </w:rPr>
      </w:pPr>
      <w:r>
        <w:rPr>
          <w:rFonts w:eastAsiaTheme="minorEastAsia"/>
        </w:rPr>
        <w:lastRenderedPageBreak/>
        <w:tab/>
      </w:r>
      <w:r w:rsidR="00CA6E7F">
        <w:rPr>
          <w:rFonts w:eastAsiaTheme="minorEastAsia"/>
        </w:rPr>
        <w:t>w</w:t>
      </w:r>
      <w:commentRangeStart w:id="40"/>
      <w:r>
        <w:rPr>
          <w:rFonts w:eastAsiaTheme="minorEastAsia"/>
        </w:rPr>
        <w:t>here</w:t>
      </w:r>
      <w:commentRangeEnd w:id="40"/>
      <w:r w:rsidR="00DA5840">
        <w:rPr>
          <w:rStyle w:val="CommentReference"/>
        </w:rPr>
        <w:commentReference w:id="40"/>
      </w:r>
      <w:r>
        <w:rPr>
          <w:rFonts w:eastAsiaTheme="minorEastAsia"/>
        </w:rPr>
        <w:t xml:space="preserve"> </w:t>
      </w:r>
      <m:oMath>
        <m:r>
          <m:rPr>
            <m:sty m:val="p"/>
          </m:rPr>
          <w:rPr>
            <w:rFonts w:ascii="Cambria Math" w:eastAsiaTheme="minorEastAsia" w:hAnsi="Cambria Math"/>
          </w:rPr>
          <m:t>Φ</m:t>
        </m:r>
      </m:oMath>
      <w:r>
        <w:rPr>
          <w:rFonts w:eastAsiaTheme="minorEastAsia"/>
        </w:rPr>
        <w:t xml:space="preserve"> is the cumulative probability density </w:t>
      </w:r>
      <w:r w:rsidR="008F0ED0">
        <w:rPr>
          <w:rFonts w:eastAsiaTheme="minorEastAsia"/>
        </w:rPr>
        <w:t xml:space="preserve">function </w:t>
      </w:r>
      <w:r>
        <w:rPr>
          <w:rFonts w:eastAsiaTheme="minorEastAsia"/>
        </w:rPr>
        <w:t xml:space="preserve">of a normal distribution with mean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sidR="00483267">
        <w:rPr>
          <w:rFonts w:eastAsiaTheme="minorEastAsia"/>
        </w:rPr>
        <w:t xml:space="preserve"> evaluated at the upper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sidR="00483267">
        <w:rPr>
          <w:rFonts w:eastAsiaTheme="minorEastAsia"/>
        </w:rPr>
        <w:t xml:space="preserve">), the lower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sidR="00483267">
        <w:rPr>
          <w:rFonts w:eastAsiaTheme="minorEastAsia"/>
        </w:rPr>
        <w:t>),</w:t>
      </w:r>
      <w:r w:rsidR="00A320BF">
        <w:rPr>
          <w:rFonts w:eastAsiaTheme="minorEastAsia"/>
        </w:rPr>
        <w:t xml:space="preserve"> or</w:t>
      </w:r>
      <w:r w:rsidR="00483267">
        <w:rPr>
          <w:rFonts w:eastAsiaTheme="minorEastAsia"/>
        </w:rPr>
        <w:t xml:space="preserve"> 0</w:t>
      </w:r>
      <w:r w:rsidR="00277C16">
        <w:rPr>
          <w:rFonts w:eastAsiaTheme="minorEastAsia"/>
        </w:rPr>
        <w:t xml:space="preserve"> (the minimum possible size)</w:t>
      </w:r>
      <w:r w:rsidR="00483267">
        <w:rPr>
          <w:rFonts w:eastAsiaTheme="minorEastAsia"/>
        </w:rPr>
        <w:t xml:space="preserve">. </w:t>
      </w:r>
      <w:r w:rsidR="00277C16">
        <w:rPr>
          <w:rFonts w:eastAsiaTheme="minorEastAsia"/>
        </w:rPr>
        <w:t xml:space="preserve">This is an exact method for calculating the area under the probability density function for the growth kernel and normalizing it by that portion of the kernel which is in the modeled size range.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 xml:space="preserve"> </m:t>
        </m:r>
      </m:oMath>
      <w:r w:rsidR="00483267">
        <w:rPr>
          <w:rFonts w:eastAsiaTheme="minorEastAsia"/>
        </w:rPr>
        <w:t>is c</w:t>
      </w:r>
      <w:r w:rsidR="00EB1B4C">
        <w:rPr>
          <w:rFonts w:eastAsiaTheme="minorEastAsia"/>
        </w:rPr>
        <w:t>alculated</w:t>
      </w:r>
      <w:r w:rsidR="00400795">
        <w:rPr>
          <w:rFonts w:eastAsiaTheme="minorEastAsia"/>
        </w:rPr>
        <w:t xml:space="preserve"> for each plot </w:t>
      </w:r>
      <m:oMath>
        <m:r>
          <w:rPr>
            <w:rFonts w:ascii="Cambria Math" w:eastAsiaTheme="minorEastAsia" w:hAnsi="Cambria Math"/>
          </w:rPr>
          <m:t>j</m:t>
        </m:r>
      </m:oMath>
      <w:r w:rsidR="00EB1B4C">
        <w:rPr>
          <w:rFonts w:eastAsiaTheme="minorEastAsia"/>
        </w:rPr>
        <w:t xml:space="preserve"> </w:t>
      </w:r>
      <w:r w:rsidR="009A6AAC">
        <w:rPr>
          <w:rFonts w:eastAsiaTheme="minorEastAsia"/>
        </w:rPr>
        <w:t xml:space="preserve">and size class </w:t>
      </w:r>
      <m:oMath>
        <m:r>
          <w:rPr>
            <w:rFonts w:ascii="Cambria Math" w:eastAsiaTheme="minorEastAsia" w:hAnsi="Cambria Math"/>
          </w:rPr>
          <m:t>v</m:t>
        </m:r>
      </m:oMath>
      <w:r w:rsidR="009A6AAC">
        <w:rPr>
          <w:rFonts w:eastAsiaTheme="minorEastAsia"/>
        </w:rPr>
        <w:t xml:space="preserve"> </w:t>
      </w:r>
      <w:r w:rsidR="00EB1B4C">
        <w:rPr>
          <w:rFonts w:eastAsiaTheme="minorEastAsia"/>
        </w:rPr>
        <w:t xml:space="preserve">from </w:t>
      </w:r>
      <w:r w:rsidR="00005093">
        <w:rPr>
          <w:rFonts w:eastAsiaTheme="minorEastAsia"/>
        </w:rPr>
        <w:fldChar w:fldCharType="begin"/>
      </w:r>
      <w:r w:rsidR="00005093">
        <w:rPr>
          <w:rFonts w:eastAsiaTheme="minorEastAsia"/>
        </w:rPr>
        <w:instrText xml:space="preserve"> REF _Ref93578923 \h </w:instrText>
      </w:r>
      <w:r w:rsidR="00005093">
        <w:rPr>
          <w:rFonts w:eastAsiaTheme="minorEastAsia"/>
        </w:rPr>
      </w:r>
      <w:r w:rsidR="00005093">
        <w:rPr>
          <w:rFonts w:eastAsiaTheme="minorEastAsia"/>
        </w:rPr>
        <w:fldChar w:fldCharType="separate"/>
      </w:r>
      <w:r w:rsidR="00005093">
        <w:t xml:space="preserve">Equation </w:t>
      </w:r>
      <w:r w:rsidR="00005093">
        <w:rPr>
          <w:noProof/>
        </w:rPr>
        <w:t>4</w:t>
      </w:r>
      <w:r w:rsidR="00005093">
        <w:rPr>
          <w:rFonts w:eastAsiaTheme="minorEastAsia"/>
        </w:rPr>
        <w:fldChar w:fldCharType="end"/>
      </w:r>
      <w:r w:rsidR="00005093">
        <w:rPr>
          <w:rFonts w:eastAsiaTheme="minorEastAsia"/>
        </w:rPr>
        <w:t xml:space="preserve"> using </w:t>
      </w:r>
      <w:r w:rsidR="009A6AAC">
        <w:rPr>
          <w:rFonts w:eastAsiaTheme="minorEastAsia"/>
        </w:rPr>
        <w:t xml:space="preserve">the midpoint DBH of size class </w:t>
      </w:r>
      <m:oMath>
        <m:r>
          <w:rPr>
            <w:rFonts w:ascii="Cambria Math" w:eastAsiaTheme="minorEastAsia" w:hAnsi="Cambria Math"/>
          </w:rPr>
          <m:t>v</m:t>
        </m:r>
      </m:oMath>
      <w:r w:rsidR="000948BA">
        <w:rPr>
          <w:rFonts w:eastAsiaTheme="minorEastAsia"/>
        </w:rPr>
        <w:t xml:space="preserve"> and the environmental covariates associated with plot </w:t>
      </w:r>
      <m:oMath>
        <m:r>
          <w:rPr>
            <w:rFonts w:ascii="Cambria Math" w:eastAsiaTheme="minorEastAsia" w:hAnsi="Cambria Math"/>
          </w:rPr>
          <m:t>j</m:t>
        </m:r>
      </m:oMath>
      <w:r w:rsidR="000948BA">
        <w:rPr>
          <w:rFonts w:eastAsiaTheme="minorEastAsia"/>
        </w:rPr>
        <w:t xml:space="preserve">. Note that because we are modelling the count of untagged individuals, which by the sampling design must have been in size class 1 at initial measurement, there are no untagged individuals growing from other size classes into size class 1, so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=0</m:t>
        </m:r>
      </m:oMath>
      <w:r w:rsidR="000948BA">
        <w:rPr>
          <w:rFonts w:eastAsiaTheme="minorEastAsia"/>
        </w:rPr>
        <w:t xml:space="preserve"> when </w:t>
      </w:r>
      <m:oMath>
        <m:r>
          <w:rPr>
            <w:rFonts w:ascii="Cambria Math" w:eastAsiaTheme="minorEastAsia" w:hAnsi="Cambria Math"/>
          </w:rPr>
          <m:t>v&gt;1</m:t>
        </m:r>
      </m:oMath>
      <w:r w:rsidR="000948BA">
        <w:rPr>
          <w:rFonts w:eastAsiaTheme="minorEastAsia"/>
        </w:rPr>
        <w:t xml:space="preserve">. </w:t>
      </w:r>
    </w:p>
    <w:p w14:paraId="67D5CEB0" w14:textId="4D00BE64" w:rsidR="00B9336D" w:rsidRDefault="00400795" w:rsidP="009A6AAC">
      <w:pPr>
        <w:spacing w:line="360" w:lineRule="auto"/>
        <w:ind w:firstLine="720"/>
        <w:rPr>
          <w:rFonts w:eastAsiaTheme="minorEastAsia"/>
        </w:rPr>
      </w:pPr>
      <w:r>
        <w:rPr>
          <w:rFonts w:eastAsiaTheme="minorEastAsia"/>
        </w:rPr>
        <w:t xml:space="preserve">Likewise,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oMath>
      <w:r>
        <w:rPr>
          <w:rFonts w:eastAsiaTheme="minorEastAsia"/>
        </w:rPr>
        <w:t xml:space="preserve"> is calculated using </w:t>
      </w:r>
      <w:r>
        <w:rPr>
          <w:rFonts w:eastAsiaTheme="minorEastAsia"/>
        </w:rPr>
        <w:fldChar w:fldCharType="begin"/>
      </w:r>
      <w:r>
        <w:rPr>
          <w:rFonts w:eastAsiaTheme="minorEastAsia"/>
        </w:rPr>
        <w:instrText xml:space="preserve"> REF _Ref93579342 \h </w:instrText>
      </w:r>
      <w:r>
        <w:rPr>
          <w:rFonts w:eastAsiaTheme="minorEastAsia"/>
        </w:rPr>
      </w:r>
      <w:r>
        <w:rPr>
          <w:rFonts w:eastAsiaTheme="minorEastAsia"/>
        </w:rPr>
        <w:fldChar w:fldCharType="separate"/>
      </w:r>
      <w:r>
        <w:t xml:space="preserve">Equation </w:t>
      </w:r>
      <w:r>
        <w:rPr>
          <w:noProof/>
        </w:rPr>
        <w:t>2</w:t>
      </w:r>
      <w:r>
        <w:rPr>
          <w:rFonts w:eastAsiaTheme="minorEastAsia"/>
        </w:rPr>
        <w:fldChar w:fldCharType="end"/>
      </w:r>
      <w:r>
        <w:rPr>
          <w:rFonts w:eastAsiaTheme="minorEastAsia"/>
        </w:rPr>
        <w:t xml:space="preserve"> to predict the survival of an individual </w:t>
      </w:r>
      <w:r w:rsidR="00A27379">
        <w:rPr>
          <w:rFonts w:eastAsiaTheme="minorEastAsia"/>
        </w:rPr>
        <w:t xml:space="preserve">whose DBH is equal to the midpoint of size class </w:t>
      </w:r>
      <m:oMath>
        <m:r>
          <w:rPr>
            <w:rFonts w:ascii="Cambria Math" w:eastAsiaTheme="minorEastAsia" w:hAnsi="Cambria Math"/>
          </w:rPr>
          <m:t>v</m:t>
        </m:r>
      </m:oMath>
      <w:r>
        <w:rPr>
          <w:rFonts w:eastAsiaTheme="minorEastAsia"/>
        </w:rPr>
        <w:t xml:space="preserve"> on plot </w:t>
      </w:r>
      <m:oMath>
        <m:r>
          <w:rPr>
            <w:rFonts w:ascii="Cambria Math" w:eastAsiaTheme="minorEastAsia" w:hAnsi="Cambria Math"/>
          </w:rPr>
          <m:t>j</m:t>
        </m:r>
      </m:oMath>
      <w:r>
        <w:rPr>
          <w:rFonts w:eastAsiaTheme="minorEastAsia"/>
        </w:rPr>
        <w:t xml:space="preserve">. </w:t>
      </w:r>
      <w:commentRangeStart w:id="41"/>
      <w:r w:rsidR="00B21325">
        <w:rPr>
          <w:rFonts w:eastAsiaTheme="minorEastAsia"/>
        </w:rPr>
        <w:t>Shriver et al</w:t>
      </w:r>
      <w:commentRangeEnd w:id="41"/>
      <w:r w:rsidR="007108F6">
        <w:rPr>
          <w:rStyle w:val="CommentReference"/>
        </w:rPr>
        <w:commentReference w:id="41"/>
      </w:r>
      <w:r w:rsidR="00B21325">
        <w:rPr>
          <w:rFonts w:eastAsiaTheme="minorEastAsia"/>
        </w:rPr>
        <w:t>.</w:t>
      </w:r>
      <w:r w:rsidR="002821CE">
        <w:rPr>
          <w:rFonts w:eastAsiaTheme="minorEastAsia"/>
        </w:rPr>
        <w:t xml:space="preserve"> (2021)</w:t>
      </w:r>
      <w:r w:rsidR="00B21325">
        <w:rPr>
          <w:rFonts w:eastAsiaTheme="minorEastAsia"/>
        </w:rPr>
        <w:t xml:space="preserve"> estimated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B21325">
        <w:rPr>
          <w:rFonts w:eastAsiaTheme="minorEastAsia"/>
        </w:rPr>
        <w:t xml:space="preserve"> using a normalized gaussian </w:t>
      </w:r>
      <w:r w:rsidR="005D180E">
        <w:rPr>
          <w:rFonts w:eastAsiaTheme="minorEastAsia"/>
        </w:rPr>
        <w:t>kernel but</w:t>
      </w:r>
      <w:r w:rsidR="00B21325">
        <w:rPr>
          <w:rFonts w:eastAsiaTheme="minorEastAsia"/>
        </w:rPr>
        <w:t xml:space="preserve"> had difficulty estimating the mean and variance of this recruit size kernel. </w:t>
      </w:r>
      <w:r w:rsidR="00A27379">
        <w:rPr>
          <w:rFonts w:eastAsiaTheme="minorEastAsia"/>
        </w:rPr>
        <w:t>During m</w:t>
      </w:r>
      <w:r w:rsidR="008E09B2">
        <w:rPr>
          <w:rFonts w:eastAsiaTheme="minorEastAsia"/>
        </w:rPr>
        <w:t>odel testing for this study</w:t>
      </w:r>
      <w:r w:rsidR="00A27379">
        <w:rPr>
          <w:rFonts w:eastAsiaTheme="minorEastAsia"/>
        </w:rPr>
        <w:t>,</w:t>
      </w:r>
      <w:r w:rsidR="008E09B2">
        <w:rPr>
          <w:rFonts w:eastAsiaTheme="minorEastAsia"/>
        </w:rPr>
        <w:t xml:space="preserve"> </w:t>
      </w:r>
      <w:r w:rsidR="00B21325">
        <w:rPr>
          <w:rFonts w:eastAsiaTheme="minorEastAsia"/>
        </w:rPr>
        <w:t>attempting to estimate th</w:t>
      </w:r>
      <w:r w:rsidR="00A27379">
        <w:rPr>
          <w:rFonts w:eastAsiaTheme="minorEastAsia"/>
        </w:rPr>
        <w:t>e parameters for this kernel</w:t>
      </w:r>
      <w:r w:rsidR="00B21325">
        <w:rPr>
          <w:rFonts w:eastAsiaTheme="minorEastAsia"/>
        </w:rPr>
        <w:t xml:space="preserve"> resulted in </w:t>
      </w:r>
      <w:commentRangeStart w:id="42"/>
      <w:r w:rsidR="00B21325">
        <w:rPr>
          <w:rFonts w:eastAsiaTheme="minorEastAsia"/>
        </w:rPr>
        <w:t>divergent transitions in the Hamiltonian Monte Carlo algorithm described below</w:t>
      </w:r>
      <w:commentRangeEnd w:id="42"/>
      <w:r w:rsidR="00DA5840">
        <w:rPr>
          <w:rStyle w:val="CommentReference"/>
        </w:rPr>
        <w:commentReference w:id="42"/>
      </w:r>
      <w:r w:rsidR="00B21325">
        <w:rPr>
          <w:rFonts w:eastAsiaTheme="minorEastAsia"/>
        </w:rPr>
        <w:t xml:space="preserve">. Rather than attempt to estimate the mean and variance of a gaussian recruitment size kernel, </w:t>
      </w:r>
      <w:r w:rsidR="005D180E">
        <w:rPr>
          <w:rFonts w:eastAsiaTheme="minorEastAsia"/>
        </w:rPr>
        <w:t>we</w:t>
      </w:r>
      <w:r w:rsidR="00B9336D">
        <w:rPr>
          <w:rFonts w:eastAsiaTheme="minorEastAsia"/>
        </w:rPr>
        <w:t xml:space="preserve"> assume that all true new recruits during the 10 year census interval fell into the seedling size class (size class 1) at remeasurement census, based on existing literature documenting growth rates for sugar pine seedlings </w:t>
      </w:r>
      <w:r w:rsidR="00B9336D">
        <w:rPr>
          <w:rFonts w:eastAsiaTheme="minorEastAsia"/>
        </w:rPr>
        <w:fldChar w:fldCharType="begin" w:fldLock="1"/>
      </w:r>
      <w:r w:rsidR="00D2760D">
        <w:rPr>
          <w:rFonts w:eastAsiaTheme="minorEastAsia"/>
        </w:rPr>
        <w:instrText>ADDIN CSL_CITATION {"citationItems":[{"id":"ITEM-1","itemData":{"DOI":"10.1139/x03-222","ISSN":"00455067","abstract":"Replicated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Research","id":"ITEM-1","issue":"3","issued":{"date-parts":[["2004"]]},"page":"630-641","title":"Group selection management in conifer forests: Relationships between opening size and tree growth","type":"article-journal","volume":"34"},"uris":["http://www.mendeley.com/documents/?uuid=99b0ba98-9512-424f-b8f9-5e4fd59cda36"]},{"id":"ITEM-2","itemData":{"DOI":"10.1093/forestry/cpt028","ISSN":"0015752X","abstract":"Concern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characteristics","type":"article-journal","volume":"87"},"uris":["http://www.mendeley.com/documents/?uuid=ee4d8f17-567f-4925-b365-c376bb2df80f"]},{"id":"ITEM-3","itemData":{"author":[{"dropping-particle":"","family":"Harry","given":"David E","non-dropping-particle":"","parse-names":false,"suffix":""},{"dropping-particle":"","family":"Jenkinson","given":"James L","non-dropping-particle":"","parse-names":false,"suffix":""},{"dropping-particle":"","family":"Kinloch","given":"Bohun B","non-dropping-particle":"","parse-names":false,"suffix":""}],"container-title":"Forest Science","id":"ITEM-3","issue":"3","issued":{"date-parts":[["1983"]]},"page":"660-669","title":"Early Growth of Sugar Pine from an Elevational Transect","type":"article-journal","volume":"29"},"uris":["http://www.mendeley.com/documents/?uuid=7860b22f-5186-4919-991d-6b06d5c8dceb"]}],"mendeley":{"formattedCitation":"(Harry, Jenkinson and Kinloch, 1983; York &lt;i&gt;et al.&lt;/i&gt;, 2004; Angell, Waring and Graves, 2014)","plainTextFormattedCitation":"(Harry, Jenkinson and Kinloch, 1983; York et al., 2004; Angell, Waring and Graves, 2014)","previouslyFormattedCitation":"(Harry, Jenkinson and Kinloch, 1983; York &lt;i&gt;et al.&lt;/i&gt;, 2004; Angell, Waring and Graves, 2014)"},"properties":{"noteIndex":0},"schema":"https://github.com/citation-style-language/schema/raw/master/csl-citation.json"}</w:instrText>
      </w:r>
      <w:r w:rsidR="00B9336D">
        <w:rPr>
          <w:rFonts w:eastAsiaTheme="minorEastAsia"/>
        </w:rPr>
        <w:fldChar w:fldCharType="separate"/>
      </w:r>
      <w:r w:rsidR="00B9336D" w:rsidRPr="00312174">
        <w:rPr>
          <w:rFonts w:eastAsiaTheme="minorEastAsia"/>
          <w:noProof/>
        </w:rPr>
        <w:t xml:space="preserve">(Harry, Jenkinson and Kinloch, 1983; York </w:t>
      </w:r>
      <w:r w:rsidR="00B9336D" w:rsidRPr="00312174">
        <w:rPr>
          <w:rFonts w:eastAsiaTheme="minorEastAsia"/>
          <w:i/>
          <w:noProof/>
        </w:rPr>
        <w:t>et al.</w:t>
      </w:r>
      <w:r w:rsidR="00B9336D" w:rsidRPr="00312174">
        <w:rPr>
          <w:rFonts w:eastAsiaTheme="minorEastAsia"/>
          <w:noProof/>
        </w:rPr>
        <w:t>, 2004; Angell, Waring and Graves, 2014)</w:t>
      </w:r>
      <w:r w:rsidR="00B9336D">
        <w:rPr>
          <w:rFonts w:eastAsiaTheme="minorEastAsia"/>
        </w:rPr>
        <w:fldChar w:fldCharType="end"/>
      </w:r>
      <w:r w:rsidR="00477228">
        <w:rPr>
          <w:rFonts w:eastAsiaTheme="minorEastAsia"/>
        </w:rPr>
        <w:t xml:space="preserve"> and the fact that new recruits have, on average, 5 years to grow until being observed in the remeasurement census</w:t>
      </w:r>
      <w:r w:rsidR="00B9336D">
        <w:rPr>
          <w:rFonts w:eastAsiaTheme="minorEastAsia"/>
        </w:rPr>
        <w:t>.</w:t>
      </w:r>
      <w:r w:rsidR="005F1EF2">
        <w:rPr>
          <w:rFonts w:eastAsiaTheme="minorEastAsia"/>
        </w:rPr>
        <w:t xml:space="preserve"> Therefore, we use </w:t>
      </w:r>
      <m:oMath>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r>
          <w:rPr>
            <w:rFonts w:ascii="Cambria Math" w:eastAsiaTheme="minorEastAsia" w:hAnsi="Cambria Math"/>
          </w:rPr>
          <m:t>[1,0,…, 0]</m:t>
        </m:r>
      </m:oMath>
      <w:r w:rsidR="005F1EF2">
        <w:rPr>
          <w:rFonts w:eastAsiaTheme="minorEastAsia"/>
        </w:rPr>
        <w:t>.</w:t>
      </w:r>
    </w:p>
    <w:p w14:paraId="5584BB72" w14:textId="44FB1CC0" w:rsidR="00860357" w:rsidRDefault="00B21325" w:rsidP="00E92F0B">
      <w:pPr>
        <w:spacing w:line="360" w:lineRule="auto"/>
        <w:ind w:firstLine="720"/>
        <w:rPr>
          <w:rFonts w:eastAsiaTheme="minorEastAsia"/>
        </w:rPr>
      </w:pPr>
      <w:r>
        <w:rPr>
          <w:rFonts w:eastAsiaTheme="minorEastAsia"/>
        </w:rPr>
        <w:t xml:space="preserve"> </w:t>
      </w:r>
      <w:commentRangeStart w:id="43"/>
      <w:r w:rsidR="008E09B2">
        <w:rPr>
          <w:rFonts w:eastAsiaTheme="minorEastAsia"/>
        </w:rPr>
        <w:t xml:space="preserve">Finally, the parameter of primary interest </w:t>
      </w:r>
      <w:commentRangeEnd w:id="43"/>
      <w:r w:rsidR="00DA5840">
        <w:rPr>
          <w:rStyle w:val="CommentReference"/>
        </w:rPr>
        <w:commentReference w:id="43"/>
      </w:r>
      <w:r w:rsidR="008E09B2">
        <w:rPr>
          <w:rFonts w:eastAsiaTheme="minorEastAsia"/>
        </w:rPr>
        <w:t xml:space="preserve">in the recruitment sub model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w:r w:rsidR="008E09B2">
        <w:rPr>
          <w:rFonts w:eastAsiaTheme="minorEastAsia"/>
        </w:rPr>
        <w:t xml:space="preserve">, the fecundity of individuals in size class </w:t>
      </w:r>
      <m:oMath>
        <m:r>
          <w:rPr>
            <w:rFonts w:ascii="Cambria Math" w:eastAsiaTheme="minorEastAsia" w:hAnsi="Cambria Math"/>
          </w:rPr>
          <m:t>v</m:t>
        </m:r>
      </m:oMath>
      <w:r w:rsidR="005F1EF2">
        <w:rPr>
          <w:rFonts w:eastAsiaTheme="minorEastAsia"/>
        </w:rPr>
        <w:t xml:space="preserve"> on plot </w:t>
      </w:r>
      <m:oMath>
        <m:r>
          <w:rPr>
            <w:rFonts w:ascii="Cambria Math" w:eastAsiaTheme="minorEastAsia" w:hAnsi="Cambria Math"/>
          </w:rPr>
          <m:t>j</m:t>
        </m:r>
      </m:oMath>
      <w:r w:rsidR="008E09B2">
        <w:rPr>
          <w:rFonts w:eastAsiaTheme="minorEastAsia"/>
        </w:rPr>
        <w:t>:</w:t>
      </w:r>
    </w:p>
    <w:p w14:paraId="12A8D38E" w14:textId="3B02A1C7" w:rsidR="0021304E" w:rsidRDefault="0021304E" w:rsidP="0021304E">
      <w:pPr>
        <w:pStyle w:val="Caption"/>
        <w:keepNext/>
      </w:pPr>
      <w:bookmarkStart w:id="44" w:name="_Ref93583271"/>
      <w:r>
        <w:t xml:space="preserve">Equation </w:t>
      </w:r>
      <w:fldSimple w:instr=" SEQ Equation \* ARABIC ">
        <w:r w:rsidR="00D73B16">
          <w:rPr>
            <w:noProof/>
          </w:rPr>
          <w:t>9</w:t>
        </w:r>
      </w:fldSimple>
      <w:bookmarkEnd w:id="44"/>
    </w:p>
    <w:p w14:paraId="57B8E5BE" w14:textId="02FEF7A8" w:rsidR="008E09B2" w:rsidRDefault="00585CCB" w:rsidP="00E0195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e>
          </m:func>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j,*,v</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(f)k</m:t>
              </m:r>
            </m:sub>
          </m:sSub>
        </m:oMath>
      </m:oMathPara>
    </w:p>
    <w:p w14:paraId="4B051F17" w14:textId="775485EB" w:rsidR="00EB1B4C" w:rsidRDefault="008E09B2" w:rsidP="00EB1B4C">
      <w:pPr>
        <w:spacing w:line="360" w:lineRule="auto"/>
        <w:rPr>
          <w:rFonts w:eastAsiaTheme="minorEastAsia"/>
        </w:rPr>
      </w:pPr>
      <w:r>
        <w:rPr>
          <w:rFonts w:eastAsiaTheme="minorEastAsia"/>
        </w:rPr>
        <w:tab/>
      </w:r>
      <w:r w:rsidR="00CA6E7F">
        <w:rPr>
          <w:rFonts w:eastAsiaTheme="minorEastAsia"/>
        </w:rPr>
        <w:t>w</w:t>
      </w:r>
      <w:r w:rsidR="00EA2ACC">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j,*,v</m:t>
            </m:r>
          </m:sub>
        </m:sSub>
      </m:oMath>
      <w:r w:rsidR="00EA2ACC">
        <w:rPr>
          <w:rFonts w:eastAsiaTheme="minorEastAsia"/>
        </w:rPr>
        <w:t xml:space="preserve"> is a </w:t>
      </w:r>
      <w:r w:rsidR="009A512B">
        <w:rPr>
          <w:rFonts w:eastAsiaTheme="minorEastAsia"/>
        </w:rPr>
        <w:t xml:space="preserve">row </w:t>
      </w:r>
      <w:r w:rsidR="00EA2ACC">
        <w:rPr>
          <w:rFonts w:eastAsiaTheme="minorEastAsia"/>
        </w:rPr>
        <w:t>vector of fixed effects co</w:t>
      </w:r>
      <w:r w:rsidR="00B9336D">
        <w:rPr>
          <w:rFonts w:eastAsiaTheme="minorEastAsia"/>
        </w:rPr>
        <w:t>variates</w:t>
      </w:r>
      <w:r w:rsidR="00EA2ACC">
        <w:rPr>
          <w:rFonts w:eastAsiaTheme="minorEastAsia"/>
        </w:rPr>
        <w:t xml:space="preserve"> for size class </w:t>
      </w:r>
      <m:oMath>
        <m:r>
          <w:rPr>
            <w:rFonts w:ascii="Cambria Math" w:eastAsiaTheme="minorEastAsia" w:hAnsi="Cambria Math"/>
          </w:rPr>
          <m:t>v</m:t>
        </m:r>
      </m:oMath>
      <w:r w:rsidR="00EA2ACC">
        <w:rPr>
          <w:rFonts w:eastAsiaTheme="minorEastAsia"/>
        </w:rPr>
        <w:t xml:space="preserve"> on plot </w:t>
      </w:r>
      <m:oMath>
        <m:r>
          <w:rPr>
            <w:rFonts w:ascii="Cambria Math" w:eastAsiaTheme="minorEastAsia" w:hAnsi="Cambria Math"/>
          </w:rPr>
          <m:t>j</m:t>
        </m:r>
      </m:oMath>
      <w:r w:rsidR="00EA2ACC">
        <w:rPr>
          <w:rFonts w:eastAsiaTheme="minorEastAsia"/>
        </w:rPr>
        <w:t>, again using the m</w:t>
      </w:r>
      <w:r w:rsidR="00B9336D">
        <w:rPr>
          <w:rFonts w:eastAsiaTheme="minorEastAsia"/>
        </w:rPr>
        <w:t>idpoint</w:t>
      </w:r>
      <w:r w:rsidR="00EA2ACC">
        <w:rPr>
          <w:rFonts w:eastAsiaTheme="minorEastAsia"/>
        </w:rPr>
        <w:t xml:space="preserve"> DBH of size class </w:t>
      </w:r>
      <m:oMath>
        <m:r>
          <w:rPr>
            <w:rFonts w:ascii="Cambria Math" w:eastAsiaTheme="minorEastAsia" w:hAnsi="Cambria Math"/>
          </w:rPr>
          <m:t>v</m:t>
        </m:r>
      </m:oMath>
      <w:r w:rsidR="00EA2ACC">
        <w:rPr>
          <w:rFonts w:eastAsiaTheme="minorEastAsia"/>
        </w:rPr>
        <w:t xml:space="preserve"> to approximate the size of an individual in class </w:t>
      </w:r>
      <m:oMath>
        <m:r>
          <w:rPr>
            <w:rFonts w:ascii="Cambria Math" w:eastAsiaTheme="minorEastAsia" w:hAnsi="Cambria Math"/>
          </w:rPr>
          <m:t>v</m:t>
        </m:r>
      </m:oMath>
      <w:r w:rsidR="00EA2ACC">
        <w:rPr>
          <w:rFonts w:eastAsiaTheme="minorEastAsia"/>
        </w:rPr>
        <w:t xml:space="preserve">. The covariates and parameters are as described for the survival sub model, </w:t>
      </w:r>
      <w:r w:rsidR="00B9336D">
        <w:rPr>
          <w:rFonts w:eastAsiaTheme="minorEastAsia"/>
        </w:rPr>
        <w:t xml:space="preserve">with a quadratic effect of size and associated interactions, </w:t>
      </w:r>
      <w:r w:rsidR="00EA2ACC">
        <w:rPr>
          <w:rFonts w:eastAsiaTheme="minorEastAsia"/>
        </w:rPr>
        <w:t xml:space="preserve">though here indexed by </w:t>
      </w:r>
      <m:oMath>
        <m:r>
          <w:rPr>
            <w:rFonts w:ascii="Cambria Math" w:eastAsiaTheme="minorEastAsia" w:hAnsi="Cambria Math"/>
          </w:rPr>
          <m:t>f</m:t>
        </m:r>
      </m:oMath>
      <w:r w:rsidR="00EA2ACC">
        <w:rPr>
          <w:rFonts w:eastAsiaTheme="minorEastAsia"/>
        </w:rPr>
        <w:t xml:space="preserve"> to indicate that the</w:t>
      </w:r>
      <w:r w:rsidR="00B9336D">
        <w:rPr>
          <w:rFonts w:eastAsiaTheme="minorEastAsia"/>
        </w:rPr>
        <w:t>se</w:t>
      </w:r>
      <w:r w:rsidR="00EA2ACC">
        <w:rPr>
          <w:rFonts w:eastAsiaTheme="minorEastAsia"/>
        </w:rPr>
        <w:t xml:space="preserve"> are the parameters for the fecundity sub model.</w:t>
      </w:r>
      <w:r w:rsidR="00B9336D">
        <w:rPr>
          <w:rFonts w:eastAsiaTheme="minorEastAsia"/>
        </w:rPr>
        <w:t xml:space="preserve"> A random effect for plot was not included in the fecundity sub model because there is only one observation (count of untagged individuals at remeasurement) per plot.</w:t>
      </w:r>
    </w:p>
    <w:p w14:paraId="7D69B0AA" w14:textId="18C21EFA" w:rsidR="003E5D44" w:rsidRPr="000B4F67" w:rsidRDefault="003E5D44" w:rsidP="00EB1B4C">
      <w:pPr>
        <w:spacing w:line="360" w:lineRule="auto"/>
        <w:rPr>
          <w:rFonts w:eastAsiaTheme="minorEastAsia"/>
        </w:rPr>
      </w:pPr>
      <w:r>
        <w:rPr>
          <w:rFonts w:eastAsiaTheme="minorEastAsia"/>
        </w:rPr>
        <w:lastRenderedPageBreak/>
        <w:tab/>
        <w:t xml:space="preserve">Model data was prepared using the tidyverse package in R Version 4.1.1, and Bayesian parameter estimation was performed using Hamiltonion Monte Carlo as implemented in stan version 2.28.2 and the cmdstanr </w:t>
      </w:r>
      <w:commentRangeStart w:id="45"/>
      <w:r>
        <w:rPr>
          <w:rFonts w:eastAsiaTheme="minorEastAsia"/>
        </w:rPr>
        <w:t>package</w:t>
      </w:r>
      <w:commentRangeEnd w:id="45"/>
      <w:r w:rsidR="005A03F5">
        <w:rPr>
          <w:rStyle w:val="CommentReference"/>
        </w:rPr>
        <w:commentReference w:id="45"/>
      </w:r>
      <w:r>
        <w:rPr>
          <w:rFonts w:eastAsiaTheme="minorEastAsia"/>
        </w:rPr>
        <w:t xml:space="preserv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m:oMath>
        <m:r>
          <m:rPr>
            <m:nor/>
          </m:rPr>
          <w:rPr>
            <w:rFonts w:ascii="Cambria Math" w:eastAsiaTheme="minorEastAsia" w:hAnsi="Cambria Math"/>
          </w:rPr>
          <m:t>Normal(0,5)</m:t>
        </m:r>
      </m:oMath>
      <w:r w:rsidR="007934A7">
        <w:rPr>
          <w:rFonts w:eastAsiaTheme="minorEastAsia"/>
        </w:rPr>
        <w:t xml:space="preserve"> (with variance terms restricted to positive values) except for the negative binomial 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commentRangeStart w:id="46"/>
      <w:r w:rsidR="00752208">
        <w:rPr>
          <w:rFonts w:eastAsiaTheme="minorEastAsia"/>
        </w:rPr>
        <w:t xml:space="preserve">Other R </w:t>
      </w:r>
      <w:commentRangeEnd w:id="46"/>
      <w:r w:rsidR="00907D59">
        <w:rPr>
          <w:rStyle w:val="CommentReference"/>
        </w:rPr>
        <w:commentReference w:id="46"/>
      </w:r>
      <w:r w:rsidR="00752208">
        <w:rPr>
          <w:rFonts w:eastAsiaTheme="minorEastAsia"/>
        </w:rPr>
        <w:t>packages used for data acquisition, data management, and plotting include</w:t>
      </w:r>
      <w:r w:rsidR="005D180E">
        <w:rPr>
          <w:rFonts w:eastAsiaTheme="minorEastAsia"/>
        </w:rPr>
        <w:t>:</w:t>
      </w:r>
      <w:r w:rsidR="00752208">
        <w:rPr>
          <w:rFonts w:eastAsiaTheme="minorEastAsia"/>
        </w:rPr>
        <w:t xml:space="preserve"> here, sf, spdata, bayesplot, posterior, units, raster, ggplot2, </w:t>
      </w:r>
      <w:r w:rsidR="00B65A24">
        <w:rPr>
          <w:rFonts w:eastAsiaTheme="minorEastAsia"/>
        </w:rPr>
        <w:t>USAboundaries, truncnorm</w:t>
      </w:r>
      <w:r w:rsidR="00D71062">
        <w:rPr>
          <w:rFonts w:eastAsiaTheme="minorEastAsia"/>
        </w:rPr>
        <w:t xml:space="preserve">, cowplot, foreach, </w:t>
      </w:r>
      <w:r w:rsidR="005D180E">
        <w:rPr>
          <w:rFonts w:eastAsiaTheme="minorEastAsia"/>
        </w:rPr>
        <w:t xml:space="preserve">and </w:t>
      </w:r>
      <w:commentRangeStart w:id="47"/>
      <w:r w:rsidR="00D71062">
        <w:rPr>
          <w:rFonts w:eastAsiaTheme="minorEastAsia"/>
        </w:rPr>
        <w:t>doParallel</w:t>
      </w:r>
      <w:commentRangeEnd w:id="47"/>
      <w:r w:rsidR="005A03F5">
        <w:rPr>
          <w:rStyle w:val="CommentReference"/>
        </w:rPr>
        <w:commentReference w:id="47"/>
      </w:r>
      <w:r w:rsidR="00D71062">
        <w:rPr>
          <w:rFonts w:eastAsiaTheme="minorEastAsia"/>
        </w:rPr>
        <w:t xml:space="preserve">. </w:t>
      </w:r>
    </w:p>
    <w:p w14:paraId="4B767712" w14:textId="0EBFF758" w:rsidR="00EE5D6E" w:rsidRPr="00EE5D6E" w:rsidRDefault="00272B03" w:rsidP="00E01957">
      <w:pPr>
        <w:pStyle w:val="Heading2"/>
        <w:spacing w:line="360" w:lineRule="auto"/>
      </w:pPr>
      <w:r>
        <w:t xml:space="preserve">Model </w:t>
      </w:r>
      <w:commentRangeStart w:id="48"/>
      <w:r>
        <w:t>Validation</w:t>
      </w:r>
      <w:commentRangeEnd w:id="48"/>
      <w:r w:rsidR="000B15A1">
        <w:rPr>
          <w:rStyle w:val="CommentReference"/>
          <w:rFonts w:asciiTheme="minorHAnsi" w:eastAsiaTheme="minorHAnsi" w:hAnsiTheme="minorHAnsi" w:cstheme="minorBidi"/>
          <w:color w:val="auto"/>
        </w:rPr>
        <w:commentReference w:id="48"/>
      </w:r>
    </w:p>
    <w:p w14:paraId="6EDBD71F" w14:textId="64768D6F" w:rsidR="009B22BB" w:rsidRDefault="00980556" w:rsidP="00E358D9">
      <w:pPr>
        <w:spacing w:line="360" w:lineRule="auto"/>
        <w:ind w:firstLine="720"/>
      </w:pPr>
      <w:r>
        <w:t xml:space="preserve">The basic diagnostics provided by cmdrstan (R-hat values, trace plots, per-chain posterior density plots, posterior pair plots, and assessment of divergences) were inspected for evidence of convergence and between-chain consistency or signs of difficulty estimating parameters. </w:t>
      </w:r>
      <w:commentRangeStart w:id="49"/>
      <w:r w:rsidR="00366F92">
        <w:t>10</w:t>
      </w:r>
      <w:commentRangeEnd w:id="49"/>
      <w:r w:rsidR="00A128BA">
        <w:rPr>
          <w:rStyle w:val="CommentReference"/>
        </w:rPr>
        <w:commentReference w:id="49"/>
      </w:r>
      <w:r w:rsidR="00366F92">
        <w:t xml:space="preserve">% of plots were randomly held out </w:t>
      </w:r>
      <w:r w:rsidR="004A222B">
        <w:t xml:space="preserve">the training dataset used to estimate parameters, </w:t>
      </w:r>
      <w:r w:rsidR="00366F92">
        <w:t xml:space="preserve">and </w:t>
      </w:r>
      <w:r w:rsidR="004A222B">
        <w:t xml:space="preserve">were </w:t>
      </w:r>
      <w:r w:rsidR="00366F92">
        <w:t xml:space="preserve">only used to assess the out-of-sample predictive performance of the model. </w:t>
      </w:r>
      <w:r w:rsidR="00A17E82">
        <w:t>For both the training and validation data sets, t</w:t>
      </w:r>
      <w:r w:rsidR="00366F92">
        <w:t xml:space="preserve">he central tendency and spread of </w:t>
      </w:r>
      <w:r w:rsidR="003658FD">
        <w:t>data simulated using posterior parameter values (</w:t>
      </w:r>
      <w:r w:rsidR="00366F92">
        <w:t xml:space="preserve">posterior </w:t>
      </w:r>
      <w:r w:rsidR="00A17E82">
        <w:t>predictions</w:t>
      </w:r>
      <w:r w:rsidR="003658FD">
        <w:t>)</w:t>
      </w:r>
      <w:r w:rsidR="00A17E82">
        <w:t xml:space="preserve"> </w:t>
      </w:r>
      <w:r w:rsidR="00366F92">
        <w:t>were compared to the true observed values of individual growth, individual survival, and plot</w:t>
      </w:r>
      <w:r w:rsidR="003658FD">
        <w:t>-level</w:t>
      </w:r>
      <w:r w:rsidR="00366F92">
        <w:t xml:space="preserve"> count of </w:t>
      </w:r>
      <w:r w:rsidR="003658FD">
        <w:t>seedlings</w:t>
      </w:r>
      <w:r w:rsidR="00717725">
        <w:t xml:space="preserve"> to assess whether model results were consistent with real data.</w:t>
      </w:r>
      <w:r w:rsidR="00366F92">
        <w:t xml:space="preserve"> </w:t>
      </w:r>
    </w:p>
    <w:p w14:paraId="16992873" w14:textId="407F2372" w:rsidR="00272B03" w:rsidRDefault="0021304E" w:rsidP="00E01957">
      <w:pPr>
        <w:pStyle w:val="Heading2"/>
        <w:spacing w:line="360" w:lineRule="auto"/>
      </w:pPr>
      <w:r>
        <w:t>Evaluation of vital rate functions and integral projection model</w:t>
      </w:r>
    </w:p>
    <w:p w14:paraId="03FA3EB6" w14:textId="636FAEC7" w:rsidR="0021304E" w:rsidRDefault="00276327" w:rsidP="00E358D9">
      <w:pPr>
        <w:spacing w:line="360" w:lineRule="auto"/>
        <w:ind w:firstLine="720"/>
      </w:pPr>
      <w:r>
        <w:t xml:space="preserve">Once parameters were estimated and model validity checked, </w:t>
      </w:r>
      <w:r w:rsidR="00486861">
        <w:t xml:space="preserve">the fitted </w:t>
      </w:r>
      <w:r w:rsidR="007B296F">
        <w:t>model for vital rate functions</w:t>
      </w:r>
      <w:r w:rsidR="00486861">
        <w:t xml:space="preserve"> was</w:t>
      </w:r>
      <w:r w:rsidR="0052071A">
        <w:t xml:space="preserve"> used to assess the impact of the various stressors (fire, WPBR, stand density, drought, and site dryness) on the vital rates of growth, survival, and fecundity</w:t>
      </w:r>
      <w:commentRangeStart w:id="50"/>
      <w:r w:rsidR="0052071A">
        <w:t xml:space="preserve">. </w:t>
      </w:r>
      <w:r w:rsidR="007B296F">
        <w:t>Idealized</w:t>
      </w:r>
      <w:r w:rsidR="00486861">
        <w:t xml:space="preserve"> </w:t>
      </w:r>
      <w:commentRangeEnd w:id="50"/>
      <w:r w:rsidR="004C5044">
        <w:rPr>
          <w:rStyle w:val="CommentReference"/>
        </w:rPr>
        <w:commentReference w:id="50"/>
      </w:r>
      <w:r w:rsidR="00486861">
        <w:t>explanatory data were constructed representing a</w:t>
      </w:r>
      <w:r w:rsidR="00522FF0">
        <w:t xml:space="preserve"> suite of environmental scenarios correspond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xml:space="preserve">) or elevated/depressed by one standard deviation (in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xml:space="preserve">), while other stressors are absent or held at their mean value (0 for scaled variables). </w:t>
      </w:r>
      <w:r w:rsidR="00486861">
        <w:rPr>
          <w:rFonts w:eastAsiaTheme="minorEastAsia"/>
        </w:rPr>
        <w:t>Given these environmental contexts, vital rates for individuals ranging in size from 0</w:t>
      </w:r>
      <w:r w:rsidR="007B296F">
        <w:rPr>
          <w:rFonts w:eastAsiaTheme="minorEastAsia"/>
        </w:rPr>
        <w:t>-2.54</w:t>
      </w:r>
      <w:r w:rsidR="00486861">
        <w:rPr>
          <w:rFonts w:eastAsiaTheme="minorEastAsia"/>
        </w:rPr>
        <w:t xml:space="preserve"> m DBH were predicted using the parameters from each posterior sample, and the predicted response plotted against DBH and stressor. </w:t>
      </w:r>
      <w:r w:rsidR="006F5254">
        <w:rPr>
          <w:rFonts w:eastAsiaTheme="minorEastAsia"/>
        </w:rPr>
        <w:t xml:space="preserve">Median posterior random effect values for ecoregions in survival, growth, and fecundity functions were mapped to understand regional-scale patterns in vital rates not explained by the fixed effects. </w:t>
      </w:r>
      <w:commentRangeStart w:id="51"/>
      <w:commentRangeEnd w:id="51"/>
      <w:r w:rsidR="006B7651">
        <w:rPr>
          <w:rStyle w:val="CommentReference"/>
        </w:rPr>
        <w:commentReference w:id="51"/>
      </w:r>
    </w:p>
    <w:p w14:paraId="4EAEBD36" w14:textId="23385110" w:rsidR="00517F42" w:rsidRDefault="00BE4CEB" w:rsidP="00E358D9">
      <w:pPr>
        <w:spacing w:line="360" w:lineRule="auto"/>
        <w:ind w:firstLine="720"/>
        <w:rPr>
          <w:rFonts w:eastAsiaTheme="minorEastAsia"/>
        </w:rPr>
      </w:pPr>
      <w:r>
        <w:lastRenderedPageBreak/>
        <w:t>For this paper, three suites of IPMs were constructed. The first suite of IPMs was used for estimating the parameters for the fecundity function, and is described above. In the second suite of IPMs, w</w:t>
      </w:r>
      <w:r w:rsidR="00276327">
        <w:t xml:space="preserve"> </w:t>
      </w:r>
      <w:r>
        <w:t>each draw of</w:t>
      </w:r>
      <w:r w:rsidR="00276327">
        <w:t xml:space="preserve"> posterior parameter values to generate an integral projection model </w:t>
      </w:r>
      <w:r w:rsidR="00737989">
        <w:t>kernel and compute</w:t>
      </w:r>
      <w:r w:rsidR="00AA3167">
        <w:t xml:space="preserve"> p</w:t>
      </w:r>
      <w:r w:rsidR="00276327">
        <w:t xml:space="preserve">osterior asymptotic growth rates under </w:t>
      </w:r>
      <w:r w:rsidR="00522FF0">
        <w:t xml:space="preserve">the </w:t>
      </w:r>
      <w:r w:rsidR="00C945E1">
        <w:t>suite of idealized environmental scenarios described above</w:t>
      </w:r>
      <w:r w:rsidR="00276327">
        <w:t>.</w:t>
      </w:r>
      <w:r w:rsidR="004D614E">
        <w:t xml:space="preserve"> The structure of the integral projection model</w:t>
      </w:r>
      <w:r w:rsidR="00C945E1">
        <w:t>s for the second suite</w:t>
      </w:r>
      <w:r w:rsidR="004D614E">
        <w:t xml:space="preserve"> </w:t>
      </w:r>
      <w:r w:rsidR="00251274">
        <w:t xml:space="preserve">mostly </w:t>
      </w:r>
      <w:r w:rsidR="004D614E">
        <w:t xml:space="preserve">mirrors that used in the parameter estimation stage, using the </w:t>
      </w:r>
      <w:r w:rsidR="00251274">
        <w:t xml:space="preserve">same 100 size classes and vital rate discretization to construct a unique transition kernel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j,*,*,d</m:t>
            </m:r>
          </m:sub>
        </m:sSub>
      </m:oMath>
      <w:r w:rsidR="00251274">
        <w:rPr>
          <w:rFonts w:eastAsiaTheme="minorEastAsia"/>
          <w:b/>
          <w:bCs/>
        </w:rPr>
        <w:t xml:space="preserve"> </w:t>
      </w:r>
      <w:r w:rsidR="00251274">
        <w:rPr>
          <w:rFonts w:eastAsiaTheme="minorEastAsia"/>
        </w:rPr>
        <w:t xml:space="preserve">for each </w:t>
      </w:r>
      <w:r w:rsidR="00C945E1">
        <w:rPr>
          <w:rFonts w:eastAsiaTheme="minorEastAsia"/>
        </w:rPr>
        <w:t>environmental context</w:t>
      </w:r>
      <w:r w:rsidR="00251274">
        <w:rPr>
          <w:rFonts w:eastAsiaTheme="minorEastAsia"/>
        </w:rPr>
        <w:t xml:space="preserve"> </w:t>
      </w:r>
      <m:oMath>
        <m:r>
          <w:rPr>
            <w:rFonts w:ascii="Cambria Math" w:eastAsiaTheme="minorEastAsia" w:hAnsi="Cambria Math"/>
          </w:rPr>
          <m:t>j</m:t>
        </m:r>
      </m:oMath>
      <w:r w:rsidR="00787085">
        <w:rPr>
          <w:rFonts w:eastAsiaTheme="minorEastAsia"/>
        </w:rPr>
        <w:t xml:space="preserve"> </w:t>
      </w:r>
      <w:r w:rsidR="00251274">
        <w:rPr>
          <w:rFonts w:eastAsiaTheme="minorEastAsia"/>
        </w:rPr>
        <w:t>and posterior sample</w:t>
      </w:r>
      <w:r w:rsidR="00787085">
        <w:rPr>
          <w:rFonts w:eastAsiaTheme="minorEastAsia"/>
        </w:rPr>
        <w:t xml:space="preserve"> </w:t>
      </w:r>
      <m:oMath>
        <m:r>
          <w:rPr>
            <w:rFonts w:ascii="Cambria Math" w:eastAsiaTheme="minorEastAsia" w:hAnsi="Cambria Math"/>
          </w:rPr>
          <m:t>d</m:t>
        </m:r>
      </m:oMath>
      <w:r w:rsidR="00251274">
        <w:rPr>
          <w:rFonts w:eastAsiaTheme="minorEastAsia"/>
        </w:rPr>
        <w:t xml:space="preserve">. </w:t>
      </w:r>
    </w:p>
    <w:p w14:paraId="25A218DE" w14:textId="1791C7E8" w:rsidR="004D614E" w:rsidRDefault="00251274" w:rsidP="00E358D9">
      <w:pPr>
        <w:spacing w:line="360" w:lineRule="auto"/>
        <w:ind w:firstLine="720"/>
        <w:rPr>
          <w:rFonts w:eastAsiaTheme="minorEastAsia"/>
        </w:rPr>
      </w:pPr>
      <w:r>
        <w:rPr>
          <w:rFonts w:eastAsiaTheme="minorEastAsia"/>
        </w:rPr>
        <w:t xml:space="preserve">The </w:t>
      </w:r>
      <w:r w:rsidR="00BE4CEB">
        <w:rPr>
          <w:rFonts w:eastAsiaTheme="minorEastAsia"/>
        </w:rPr>
        <w:t>first</w:t>
      </w:r>
      <w:r>
        <w:rPr>
          <w:rFonts w:eastAsiaTheme="minorEastAsia"/>
        </w:rPr>
        <w:t xml:space="preserve"> difference between the construction of the IPM for results interpretation and the IPM used in parameter estimation is that, because we are interested in all individuals and not just untagged ones, the growth kernel is simplified to:</w:t>
      </w:r>
    </w:p>
    <w:p w14:paraId="712AA305" w14:textId="2A390BBC" w:rsidR="00D73B16" w:rsidRDefault="00D73B16" w:rsidP="00E92F0B">
      <w:pPr>
        <w:pStyle w:val="Caption"/>
        <w:keepNext/>
      </w:pPr>
      <w:bookmarkStart w:id="52" w:name="_Ref104379758"/>
      <w:r>
        <w:t xml:space="preserve">Equation </w:t>
      </w:r>
      <w:fldSimple w:instr=" SEQ Equation \* ARABIC ">
        <w:r>
          <w:rPr>
            <w:noProof/>
          </w:rPr>
          <w:t>10</w:t>
        </w:r>
      </w:fldSimple>
      <w:bookmarkEnd w:id="52"/>
    </w:p>
    <w:p w14:paraId="3DDF7F55" w14:textId="402B1649" w:rsidR="00251274" w:rsidRPr="00251274" w:rsidRDefault="00585CCB" w:rsidP="00E358D9">
      <w:pPr>
        <w:spacing w:line="360" w:lineRule="auto"/>
        <w:ind w:firstLine="720"/>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 xml:space="preserve">= </m:t>
          </m:r>
          <m:f>
            <m:fPr>
              <m:ctrlPr>
                <w:rPr>
                  <w:rFonts w:ascii="Cambria Math" w:eastAsiaTheme="minorEastAsia" w:hAnsi="Cambria Math"/>
                  <w:i/>
                </w:rPr>
              </m:ctrlPr>
            </m:fPr>
            <m:num>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num>
            <m:den>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den>
          </m:f>
        </m:oMath>
      </m:oMathPara>
    </w:p>
    <w:p w14:paraId="4D6AA5F9" w14:textId="6F49F3E3" w:rsidR="00737989" w:rsidRDefault="00CA6E7F">
      <w:pPr>
        <w:spacing w:line="360" w:lineRule="auto"/>
        <w:ind w:firstLine="720"/>
      </w:pPr>
      <w:r>
        <w:t>w</w:t>
      </w:r>
      <w:r w:rsidR="00787085">
        <w:t xml:space="preserve">ith the same variable meanings as in </w:t>
      </w:r>
      <w:r w:rsidR="00787085">
        <w:fldChar w:fldCharType="begin"/>
      </w:r>
      <w:r w:rsidR="00787085">
        <w:instrText xml:space="preserve"> REF _Ref93582027 \h </w:instrText>
      </w:r>
      <w:r w:rsidR="00787085">
        <w:fldChar w:fldCharType="separate"/>
      </w:r>
      <w:r w:rsidR="00787085">
        <w:t xml:space="preserve">Equation </w:t>
      </w:r>
      <w:r w:rsidR="00787085">
        <w:rPr>
          <w:noProof/>
        </w:rPr>
        <w:t>8</w:t>
      </w:r>
      <w:r w:rsidR="00787085">
        <w:fldChar w:fldCharType="end"/>
      </w:r>
      <w:r w:rsidR="00787085">
        <w:t>.</w:t>
      </w:r>
      <w:r w:rsidR="004230C7">
        <w:t xml:space="preserve"> </w:t>
      </w:r>
      <w:r w:rsidR="00BE4CEB">
        <w:t xml:space="preserve">The second </w:t>
      </w:r>
      <w:r w:rsidR="00C945E1">
        <w:t>difference is that random effects were omitted to better understand the effects of the stressors, which are represented by the fixed effects</w:t>
      </w:r>
      <w:r w:rsidR="00BE4CEB">
        <w:t>.</w:t>
      </w:r>
      <w:r w:rsidR="00C945E1">
        <w:t xml:space="preserve"> </w:t>
      </w:r>
      <w:r w:rsidR="004230C7">
        <w:t>Eviction from the largest size class is avoided by setting an extremely high upper</w:t>
      </w:r>
      <w:r w:rsidR="00F91D2B">
        <w:t xml:space="preserve"> size</w:t>
      </w:r>
      <w:r w:rsidR="004230C7">
        <w:t xml:space="preserve"> bound for the largest class, such that </w:t>
      </w:r>
      <w:r w:rsidR="00F91D2B">
        <w:t>portion of individuals growing beyond the maximum bound is numerically indistinguishable from 0.</w:t>
      </w:r>
      <w:r w:rsidR="00C945E1">
        <w:t xml:space="preserve"> </w:t>
      </w:r>
    </w:p>
    <w:p w14:paraId="12D16C11" w14:textId="01B1276F" w:rsidR="00C945E1" w:rsidRDefault="00737989" w:rsidP="00C945E1">
      <w:pPr>
        <w:spacing w:line="360" w:lineRule="auto"/>
        <w:rPr>
          <w:rFonts w:eastAsiaTheme="minorEastAsia"/>
        </w:rPr>
      </w:pPr>
      <w:r>
        <w:tab/>
      </w:r>
      <w:r w:rsidR="00445077">
        <w:t xml:space="preserve">The largest real eigenvalue of each full </w:t>
      </w:r>
      <w:commentRangeStart w:id="53"/>
      <w:r w:rsidR="00445077">
        <w:t>transition matrix</w:t>
      </w:r>
      <w:r w:rsidR="00445077">
        <w:rPr>
          <w:rFonts w:eastAsiaTheme="minorEastAsia"/>
        </w:rPr>
        <w:t xml:space="preserve"> </w:t>
      </w:r>
      <w:commentRangeEnd w:id="53"/>
      <w:r w:rsidR="007B296F">
        <w:rPr>
          <w:rFonts w:eastAsiaTheme="minorEastAsia"/>
        </w:rPr>
        <w:t xml:space="preserve"> </w:t>
      </w:r>
      <w:r w:rsidR="00B95CE0">
        <w:rPr>
          <w:rStyle w:val="CommentReference"/>
        </w:rPr>
        <w:commentReference w:id="53"/>
      </w:r>
      <w:r w:rsidR="00445077">
        <w:rPr>
          <w:rFonts w:eastAsiaTheme="minorEastAsia"/>
        </w:rPr>
        <w:t xml:space="preserve">corresponds to </w:t>
      </w:r>
      <w:commentRangeStart w:id="54"/>
      <w:r w:rsidR="00445077">
        <w:rPr>
          <w:rFonts w:eastAsiaTheme="minorEastAsia"/>
        </w:rPr>
        <w:t>the</w:t>
      </w:r>
      <w:commentRangeEnd w:id="54"/>
      <w:r w:rsidR="00B95CE0">
        <w:rPr>
          <w:rStyle w:val="CommentReference"/>
        </w:rPr>
        <w:commentReference w:id="54"/>
      </w:r>
      <w:commentRangeStart w:id="55"/>
      <w:r w:rsidR="00445077">
        <w:rPr>
          <w:rFonts w:eastAsiaTheme="minorEastAsia"/>
        </w:rPr>
        <w:t xml:space="preserve"> asymptotic </w:t>
      </w:r>
      <w:commentRangeEnd w:id="55"/>
      <w:r w:rsidR="00B95CE0">
        <w:rPr>
          <w:rStyle w:val="CommentReference"/>
        </w:rPr>
        <w:commentReference w:id="55"/>
      </w:r>
      <w:r w:rsidR="00445077">
        <w:rPr>
          <w:rFonts w:eastAsiaTheme="minorEastAsia"/>
        </w:rPr>
        <w:t xml:space="preserve">population growth rate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j,d</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w:t>
      </w:r>
      <w:r w:rsidR="004A222B">
        <w:rPr>
          <w:rFonts w:eastAsiaTheme="minorEastAsia"/>
        </w:rPr>
        <w:t>idealized plot</w:t>
      </w:r>
      <w:r w:rsidR="00445077">
        <w:rPr>
          <w:rFonts w:eastAsiaTheme="minorEastAsia"/>
        </w:rPr>
        <w:t xml:space="preserve"> </w:t>
      </w:r>
      <m:oMath>
        <m:r>
          <w:rPr>
            <w:rFonts w:ascii="Cambria Math" w:eastAsiaTheme="minorEastAsia" w:hAnsi="Cambria Math"/>
          </w:rPr>
          <m:t>j</m:t>
        </m:r>
      </m:oMath>
      <w:r w:rsidR="00445077">
        <w:rPr>
          <w:rFonts w:eastAsiaTheme="minorEastAsia"/>
        </w:rPr>
        <w:t xml:space="preserve">. The distribution of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m:t>
            </m:r>
          </m:sub>
        </m:sSub>
        <m:r>
          <m:rPr>
            <m:sty m:val="p"/>
          </m:rPr>
          <w:rPr>
            <w:rFonts w:ascii="Cambria Math" w:eastAsiaTheme="minorEastAsia" w:hAnsi="Cambria Math"/>
          </w:rPr>
          <m:t xml:space="preserve"> </m:t>
        </m:r>
      </m:oMath>
      <w:r w:rsidR="00445077">
        <w:rPr>
          <w:rFonts w:eastAsiaTheme="minorEastAsia"/>
        </w:rPr>
        <w:t xml:space="preserve"> for each environmental context </w:t>
      </w:r>
      <m:oMath>
        <m:r>
          <w:rPr>
            <w:rFonts w:ascii="Cambria Math" w:eastAsiaTheme="minorEastAsia" w:hAnsi="Cambria Math"/>
          </w:rPr>
          <m:t>j</m:t>
        </m:r>
      </m:oMath>
      <w:r w:rsidR="00445077">
        <w:rPr>
          <w:rFonts w:eastAsiaTheme="minorEastAsia"/>
        </w:rPr>
        <w:t xml:space="preserve"> was plotted to understand how the presence or absence of different stressors is expected to shape the asymptotic population growth rate of sugar pine. </w:t>
      </w:r>
    </w:p>
    <w:p w14:paraId="4F4B5330" w14:textId="70FCB057" w:rsidR="009B22BB" w:rsidRDefault="009B22BB" w:rsidP="00293491">
      <w:pPr>
        <w:pStyle w:val="Heading1"/>
        <w:spacing w:line="360" w:lineRule="auto"/>
      </w:pPr>
      <w:commentRangeStart w:id="56"/>
      <w:commentRangeStart w:id="57"/>
      <w:r>
        <w:t>Results</w:t>
      </w:r>
      <w:commentRangeEnd w:id="56"/>
      <w:r w:rsidR="000B15A1">
        <w:rPr>
          <w:rStyle w:val="CommentReference"/>
          <w:rFonts w:asciiTheme="minorHAnsi" w:eastAsiaTheme="minorHAnsi" w:hAnsiTheme="minorHAnsi" w:cstheme="minorBidi"/>
          <w:color w:val="auto"/>
        </w:rPr>
        <w:commentReference w:id="56"/>
      </w:r>
      <w:commentRangeEnd w:id="57"/>
      <w:r w:rsidR="000B15A1">
        <w:rPr>
          <w:rStyle w:val="CommentReference"/>
          <w:rFonts w:asciiTheme="minorHAnsi" w:eastAsiaTheme="minorHAnsi" w:hAnsiTheme="minorHAnsi" w:cstheme="minorBidi"/>
          <w:color w:val="auto"/>
        </w:rPr>
        <w:commentReference w:id="57"/>
      </w:r>
    </w:p>
    <w:p w14:paraId="1D0C92BA" w14:textId="03708612" w:rsidR="00540755" w:rsidRDefault="00540755" w:rsidP="00293491">
      <w:pPr>
        <w:pStyle w:val="Heading2"/>
        <w:spacing w:line="360" w:lineRule="auto"/>
      </w:pPr>
      <w:r>
        <w:t>Trends in Abundance</w:t>
      </w:r>
    </w:p>
    <w:p w14:paraId="0ED40EEC" w14:textId="157B3C5D" w:rsidR="00540755" w:rsidRPr="00E45F15" w:rsidRDefault="00540755" w:rsidP="00CB34EC">
      <w:pPr>
        <w:spacing w:line="360" w:lineRule="auto"/>
      </w:pPr>
      <w:r>
        <w:tab/>
      </w:r>
      <w:r w:rsidR="006A10AA">
        <w:t xml:space="preserve">The abundance of sugar pine on plots where it was present </w:t>
      </w:r>
      <w:r w:rsidR="00331DA8">
        <w:t xml:space="preserve">at either census </w:t>
      </w:r>
      <w:r w:rsidR="006A10AA">
        <w:t>declined between initial censuses (20</w:t>
      </w:r>
      <w:r w:rsidR="00331DA8">
        <w:t>04</w:t>
      </w:r>
      <w:r w:rsidR="006A10AA">
        <w:t>-2009) and remeasurements (201</w:t>
      </w:r>
      <w:r w:rsidR="00331DA8">
        <w:t>4</w:t>
      </w:r>
      <w:r w:rsidR="006A10AA">
        <w:t xml:space="preserve">-2019; </w:t>
      </w:r>
      <w:r w:rsidR="0085572F">
        <w:fldChar w:fldCharType="begin"/>
      </w:r>
      <w:r w:rsidR="0085572F">
        <w:instrText xml:space="preserve"> REF _Ref104988009 \h </w:instrText>
      </w:r>
      <w:r w:rsidR="0085572F">
        <w:fldChar w:fldCharType="separate"/>
      </w:r>
      <w:r w:rsidR="0085572F">
        <w:t xml:space="preserve">Figure </w:t>
      </w:r>
      <w:r w:rsidR="0085572F">
        <w:rPr>
          <w:noProof/>
        </w:rPr>
        <w:t>2</w:t>
      </w:r>
      <w:r w:rsidR="0085572F">
        <w:fldChar w:fldCharType="end"/>
      </w:r>
      <w:r w:rsidR="006A10AA">
        <w:t xml:space="preserve">). Basal area declined from a mean of </w:t>
      </w:r>
      <w:r w:rsidR="00E45F15">
        <w:t>4.</w:t>
      </w:r>
      <w:r w:rsidR="00331DA8">
        <w:t>5</w:t>
      </w:r>
      <w:r w:rsidR="00E45F15">
        <w:t>5 m</w:t>
      </w:r>
      <w:r w:rsidR="00E45F15">
        <w:rPr>
          <w:vertAlign w:val="superscript"/>
        </w:rPr>
        <w:t>2</w:t>
      </w:r>
      <w:r w:rsidR="00E45F15">
        <w:t>/ha (standard error 0.1</w:t>
      </w:r>
      <w:r w:rsidR="00331DA8">
        <w:t>8</w:t>
      </w:r>
      <w:r w:rsidR="00E45F15">
        <w:t xml:space="preserve"> m</w:t>
      </w:r>
      <w:r w:rsidR="00E45F15">
        <w:rPr>
          <w:vertAlign w:val="superscript"/>
        </w:rPr>
        <w:t>2</w:t>
      </w:r>
      <w:r w:rsidR="00E45F15">
        <w:t>/ha) to a mean of 4.</w:t>
      </w:r>
      <w:r w:rsidR="00331DA8">
        <w:t>22</w:t>
      </w:r>
      <w:r w:rsidR="00E45F15">
        <w:t xml:space="preserve"> (0.</w:t>
      </w:r>
      <w:r w:rsidR="00331DA8">
        <w:t>17</w:t>
      </w:r>
      <w:r w:rsidR="00E45F15">
        <w:t>) m</w:t>
      </w:r>
      <w:r w:rsidR="00E45F15">
        <w:rPr>
          <w:vertAlign w:val="superscript"/>
        </w:rPr>
        <w:t>2</w:t>
      </w:r>
      <w:r w:rsidR="00E45F15">
        <w:t xml:space="preserve">/ha. Stem density declined from a </w:t>
      </w:r>
      <w:r w:rsidR="00975E51">
        <w:t>221.8</w:t>
      </w:r>
      <w:r w:rsidR="00E45F15">
        <w:t xml:space="preserve"> (</w:t>
      </w:r>
      <w:r w:rsidR="00975E51">
        <w:t>21.5</w:t>
      </w:r>
      <w:r w:rsidR="00E45F15">
        <w:t xml:space="preserve">) stems/ha to </w:t>
      </w:r>
      <w:r w:rsidR="00975E51">
        <w:t>199.3</w:t>
      </w:r>
      <w:r w:rsidR="00E45F15">
        <w:t xml:space="preserve"> (</w:t>
      </w:r>
      <w:r w:rsidR="00975E51">
        <w:t>17.9</w:t>
      </w:r>
      <w:r w:rsidR="00E45F15">
        <w:t xml:space="preserve">) stems/ha. </w:t>
      </w:r>
      <w:r w:rsidR="00CB34EC">
        <w:t xml:space="preserve">Because these figures include only plots where sugar pine was present, they should be interpreted as upper bounds on the actual density of sugar pine </w:t>
      </w:r>
      <w:r w:rsidR="00CB34EC">
        <w:lastRenderedPageBreak/>
        <w:t xml:space="preserve">across its range. Rather than estimate true abundance, they provide insight into the relative change in abundance across the decade between initial measurement and remeasurement. </w:t>
      </w:r>
    </w:p>
    <w:p w14:paraId="2905F085" w14:textId="3F8644DC" w:rsidR="009B22BB" w:rsidRDefault="00540755" w:rsidP="00293491">
      <w:pPr>
        <w:pStyle w:val="Heading2"/>
        <w:spacing w:line="360" w:lineRule="auto"/>
      </w:pPr>
      <w:r>
        <w:t xml:space="preserve">Vital Rates </w:t>
      </w:r>
      <w:r w:rsidR="00874307">
        <w:t>Model Validation</w:t>
      </w:r>
    </w:p>
    <w:p w14:paraId="53D9844B" w14:textId="15D8C9B2" w:rsidR="00874307" w:rsidRDefault="00844EFD" w:rsidP="00293491">
      <w:pPr>
        <w:spacing w:line="360" w:lineRule="auto"/>
        <w:ind w:firstLine="720"/>
      </w:pPr>
      <w:r>
        <w:t xml:space="preserve">Diagnostics for </w:t>
      </w:r>
      <w:r w:rsidR="006144D6">
        <w:t xml:space="preserve">mixing, </w:t>
      </w:r>
      <w:r>
        <w:t xml:space="preserve">convergence, </w:t>
      </w:r>
      <w:r w:rsidR="00222543">
        <w:t>R-</w:t>
      </w:r>
      <w:r>
        <w:t xml:space="preserve">hat, and transitions all indicated that the </w:t>
      </w:r>
      <w:r w:rsidR="007934A7">
        <w:t xml:space="preserve">model fitting algorithm performed well. Comparisons of posterior distributions with prior distributions showed that </w:t>
      </w:r>
      <w:r w:rsidR="00FC5A10">
        <w:t>the posterior was strongly informed by the data, 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85572F">
        <w:t>Supplementary Materials</w:t>
      </w:r>
      <w:r w:rsidR="00226C3F">
        <w:fldChar w:fldCharType="end"/>
      </w:r>
      <w:r w:rsidR="00C45A1A">
        <w:t>)</w:t>
      </w:r>
      <w:r w:rsidR="00FC5A10">
        <w:t>. The exception, where the posterior was only weakly informed by the data, were the estimates</w:t>
      </w:r>
      <w:r w:rsidR="00134157">
        <w:t xml:space="preserve"> for</w:t>
      </w:r>
      <w:r w:rsidR="00FC5A10">
        <w:rPr>
          <w:rFonts w:eastAsiaTheme="minorEastAsia"/>
        </w:rPr>
        <w:t xml:space="preserve"> the interaction</w:t>
      </w:r>
      <w:r w:rsidR="00134157">
        <w:rPr>
          <w:rFonts w:eastAsiaTheme="minorEastAsia"/>
        </w:rPr>
        <w:t>s</w:t>
      </w:r>
      <w:r w:rsidR="00FC5A10">
        <w:rPr>
          <w:rFonts w:eastAsiaTheme="minorEastAsia"/>
        </w:rPr>
        <w:t xml:space="preserve"> of WPBR with size</w:t>
      </w:r>
      <w:r w:rsidR="00134157">
        <w:rPr>
          <w:rFonts w:eastAsiaTheme="minorEastAsia"/>
        </w:rPr>
        <w:t xml:space="preserve"> and quadratic size affecting survival, the interaction of size with fire affecting fecundity, and the interaction between size and WPBR affecting fecundity</w:t>
      </w:r>
      <w:r w:rsidR="00FC5A10">
        <w:rPr>
          <w:rFonts w:eastAsiaTheme="minorEastAsia"/>
        </w:rPr>
        <w:t>. This uncertainty regarding fecundity</w:t>
      </w:r>
      <w:r w:rsidR="00065C38">
        <w:rPr>
          <w:rFonts w:eastAsiaTheme="minorEastAsia"/>
        </w:rPr>
        <w:t xml:space="preserve"> parameters was likely due to the fact that fecundity was not directly observed, and the uncertainty regarding interactions involving WPBR </w:t>
      </w:r>
      <w:r w:rsidR="00FC5A10">
        <w:rPr>
          <w:rFonts w:eastAsiaTheme="minorEastAsia"/>
        </w:rPr>
        <w:t>was likely due</w:t>
      </w:r>
      <w:r w:rsidR="00222543">
        <w:rPr>
          <w:rFonts w:eastAsiaTheme="minorEastAsia"/>
        </w:rPr>
        <w:t xml:space="preserve"> to the relatively low frequency </w:t>
      </w:r>
      <w:r w:rsidR="00065C38">
        <w:rPr>
          <w:rFonts w:eastAsiaTheme="minorEastAsia"/>
        </w:rPr>
        <w:t xml:space="preserve">of </w:t>
      </w:r>
      <w:r w:rsidR="00222543">
        <w:rPr>
          <w:rFonts w:eastAsiaTheme="minorEastAsia"/>
        </w:rPr>
        <w:t>WPBR presence</w:t>
      </w:r>
      <w:r w:rsidR="00065C38">
        <w:rPr>
          <w:rFonts w:eastAsiaTheme="minorEastAsia"/>
        </w:rPr>
        <w:t xml:space="preserve"> in the data</w:t>
      </w:r>
      <w:r w:rsidR="00FC5A10">
        <w:rPr>
          <w:rFonts w:eastAsiaTheme="minorEastAsia"/>
        </w:rPr>
        <w:t>.</w:t>
      </w:r>
      <w:r w:rsidR="00BE0F16">
        <w:rPr>
          <w:rFonts w:eastAsiaTheme="minorEastAsia"/>
        </w:rPr>
        <w:t xml:space="preserve"> </w:t>
      </w:r>
      <w:r w:rsidR="00134157">
        <w:rPr>
          <w:rFonts w:eastAsiaTheme="minorEastAsia"/>
        </w:rPr>
        <w:t>Posterior predictions</w:t>
      </w:r>
      <w:commentRangeStart w:id="58"/>
      <w:r w:rsidR="00BE0F16">
        <w:rPr>
          <w:rFonts w:eastAsiaTheme="minorEastAsia"/>
        </w:rPr>
        <w:t xml:space="preserve"> </w:t>
      </w:r>
      <w:commentRangeEnd w:id="58"/>
      <w:r w:rsidR="00B95CE0">
        <w:rPr>
          <w:rStyle w:val="CommentReference"/>
        </w:rPr>
        <w:commentReference w:id="58"/>
      </w:r>
      <w:r w:rsidR="00BE0F16">
        <w:rPr>
          <w:rFonts w:eastAsiaTheme="minorEastAsia"/>
        </w:rPr>
        <w:t>generated using the posterior parameter samples and the training data as explanatory variables were</w:t>
      </w:r>
      <w:r w:rsidR="00065C38">
        <w:rPr>
          <w:rFonts w:eastAsiaTheme="minorEastAsia"/>
        </w:rPr>
        <w:t xml:space="preserve"> </w:t>
      </w:r>
      <w:r w:rsidR="00BE0F16">
        <w:rPr>
          <w:rFonts w:eastAsiaTheme="minorEastAsia"/>
        </w:rPr>
        <w:t>consistent with the true values observed in the training data</w:t>
      </w:r>
      <w:r w:rsidR="000711D9">
        <w:rPr>
          <w:rFonts w:eastAsiaTheme="minorEastAsia"/>
        </w:rPr>
        <w:t>, with the true values nearly always falling within the range of variation predicted by the model</w:t>
      </w:r>
      <w:r w:rsidR="00BE0F16">
        <w:rPr>
          <w:rFonts w:eastAsiaTheme="minorEastAsia"/>
        </w:rPr>
        <w:t xml:space="preserve">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85572F">
        <w:t>Supplementary Materials</w:t>
      </w:r>
      <w:r w:rsidR="00BE0F16">
        <w:rPr>
          <w:rFonts w:eastAsiaTheme="minorEastAsia"/>
        </w:rPr>
        <w:fldChar w:fldCharType="end"/>
      </w:r>
      <w:r w:rsidR="00BE0F16">
        <w:rPr>
          <w:rFonts w:eastAsiaTheme="minorEastAsia"/>
        </w:rPr>
        <w:t>)</w:t>
      </w:r>
      <w:r w:rsidR="00065C38">
        <w:rPr>
          <w:rFonts w:eastAsiaTheme="minorEastAsia"/>
        </w:rPr>
        <w:t xml:space="preserve">. </w:t>
      </w:r>
      <w:r w:rsidR="000711D9">
        <w:rPr>
          <w:rFonts w:eastAsiaTheme="minorEastAsia"/>
        </w:rPr>
        <w:t xml:space="preserve">The survival model appeared slightly underconfident, in that true survival rates were slightly lower than predicted survival rates for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&lt;0.8</m:t>
        </m:r>
      </m:oMath>
      <w:r w:rsidR="000711D9">
        <w:rPr>
          <w:rFonts w:eastAsiaTheme="minorEastAsia"/>
        </w:rPr>
        <w:t xml:space="preserve">, and true survival rates were slightly higher than predicted survival rates for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&gt;0.8</m:t>
        </m:r>
      </m:oMath>
      <w:r w:rsidR="000711D9">
        <w:rPr>
          <w:rFonts w:eastAsiaTheme="minorEastAsia"/>
        </w:rPr>
        <w:t xml:space="preserve">. </w:t>
      </w:r>
      <w:r w:rsidR="0061208B">
        <w:rPr>
          <w:rFonts w:eastAsiaTheme="minorEastAsia"/>
        </w:rPr>
        <w:t>Some plots with relatively high predicted seedling counts actually had few or no seedlings (which was within the expected range of variation). Simulations generated</w:t>
      </w:r>
      <w:r w:rsidR="00BE0F16">
        <w:rPr>
          <w:rFonts w:eastAsiaTheme="minorEastAsia"/>
        </w:rPr>
        <w:t xml:space="preserve"> using the posterior parameter samples and the held-out validation data</w:t>
      </w:r>
      <w:r w:rsidR="00C07C6D">
        <w:rPr>
          <w:rFonts w:eastAsiaTheme="minorEastAsia"/>
        </w:rPr>
        <w:t xml:space="preserve"> as explanatory variables were </w:t>
      </w:r>
      <w:r w:rsidR="0061208B">
        <w:rPr>
          <w:rFonts w:eastAsiaTheme="minorEastAsia"/>
        </w:rPr>
        <w:t xml:space="preserve">broadly </w:t>
      </w:r>
      <w:r w:rsidR="00C07C6D">
        <w:rPr>
          <w:rFonts w:eastAsiaTheme="minorEastAsia"/>
        </w:rPr>
        <w:t>consistent with the true values observed in the validation data (</w:t>
      </w:r>
      <w:commentRangeStart w:id="59"/>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85572F">
        <w:t>Supplementary Materials</w:t>
      </w:r>
      <w:r w:rsidR="003E04A3">
        <w:rPr>
          <w:rFonts w:eastAsiaTheme="minorEastAsia"/>
        </w:rPr>
        <w:fldChar w:fldCharType="end"/>
      </w:r>
      <w:commentRangeEnd w:id="59"/>
      <w:r w:rsidR="004C5044">
        <w:rPr>
          <w:rStyle w:val="CommentReference"/>
        </w:rPr>
        <w:commentReference w:id="59"/>
      </w:r>
      <w:r w:rsidR="00C07C6D">
        <w:rPr>
          <w:rFonts w:eastAsiaTheme="minorEastAsia"/>
        </w:rPr>
        <w:t>).</w:t>
      </w:r>
      <w:r w:rsidR="00222543">
        <w:rPr>
          <w:rFonts w:eastAsiaTheme="minorEastAsia"/>
        </w:rPr>
        <w:t xml:space="preserve"> </w:t>
      </w:r>
      <w:r w:rsidR="0061208B">
        <w:rPr>
          <w:rFonts w:eastAsiaTheme="minorEastAsia"/>
        </w:rPr>
        <w:t>Survival was slightly under-predicted</w:t>
      </w:r>
      <w:r w:rsidR="00165CBF">
        <w:rPr>
          <w:rFonts w:eastAsiaTheme="minorEastAsia"/>
        </w:rPr>
        <w:t xml:space="preserve">, though again within the expected range of variation. For the growth model, the central tendency and expected variation in posterior predictions agreed well with both the training and validation data. </w:t>
      </w:r>
    </w:p>
    <w:p w14:paraId="7256D00B" w14:textId="76F9BA11" w:rsidR="00874307" w:rsidRDefault="00874307" w:rsidP="00293491">
      <w:pPr>
        <w:pStyle w:val="Heading2"/>
        <w:spacing w:line="360" w:lineRule="auto"/>
      </w:pPr>
      <w:r>
        <w:t>Survival</w:t>
      </w:r>
    </w:p>
    <w:p w14:paraId="03196E06" w14:textId="6557BFC4" w:rsidR="00A9076E" w:rsidRDefault="004940F9" w:rsidP="004940F9">
      <w:pPr>
        <w:spacing w:line="360" w:lineRule="auto"/>
        <w:ind w:firstLine="720"/>
      </w:pPr>
      <w:r>
        <w:t>There was a strong positive effect of size on survival, with a negative quadratic effect</w:t>
      </w:r>
      <w:r w:rsidR="00B27150">
        <w:t xml:space="preserve"> </w:t>
      </w:r>
      <w:r w:rsidR="00C65DC4">
        <w:t>(</w:t>
      </w:r>
      <w:r w:rsidR="00C65DC4">
        <w:fldChar w:fldCharType="begin"/>
      </w:r>
      <w:r w:rsidR="00C65DC4">
        <w:instrText xml:space="preserve"> REF _Ref104545123 \h </w:instrText>
      </w:r>
      <w:r w:rsidR="00C65DC4">
        <w:fldChar w:fldCharType="separate"/>
      </w:r>
      <w:r w:rsidR="0085572F">
        <w:t xml:space="preserve">Table </w:t>
      </w:r>
      <w:r w:rsidR="0085572F">
        <w:rPr>
          <w:noProof/>
        </w:rPr>
        <w:t>1</w:t>
      </w:r>
      <w:r w:rsidR="00C65DC4">
        <w:fldChar w:fldCharType="end"/>
      </w:r>
      <w:r w:rsidR="00C65DC4">
        <w:t>)</w:t>
      </w:r>
      <w:r>
        <w:t xml:space="preserve">: </w:t>
      </w:r>
      <w:r w:rsidR="00766541">
        <w:t xml:space="preserve">Median posterior predicted </w:t>
      </w:r>
      <w:r>
        <w:t xml:space="preserve">10-year survival rates increased from approximately </w:t>
      </w:r>
      <w:r w:rsidR="00C73ACA">
        <w:t>80</w:t>
      </w:r>
      <w:r w:rsidR="00BD1FBD">
        <w:t xml:space="preserve">% for stems with 0 m DBH up to a maximum of </w:t>
      </w:r>
      <w:r w:rsidR="00C73ACA">
        <w:t>96.5</w:t>
      </w:r>
      <w:r w:rsidR="00BD1FBD">
        <w:t>% for stems with</w:t>
      </w:r>
      <w:r w:rsidR="00C73ACA">
        <w:t xml:space="preserve"> 0.91</w:t>
      </w:r>
      <w:r w:rsidR="00BD1FBD">
        <w:t xml:space="preserve"> m DBH, before rapidly falling off for the largest stems to </w:t>
      </w:r>
      <w:r w:rsidR="00C73ACA">
        <w:t>just 5.6% for a stem with 2.50 m DBH (</w:t>
      </w:r>
      <w:r w:rsidR="00C73ACA">
        <w:fldChar w:fldCharType="begin"/>
      </w:r>
      <w:r w:rsidR="00C73ACA">
        <w:instrText xml:space="preserve"> REF _Ref93744929 \h </w:instrText>
      </w:r>
      <w:r w:rsidR="00C73ACA">
        <w:fldChar w:fldCharType="separate"/>
      </w:r>
      <w:r w:rsidR="0085572F">
        <w:t xml:space="preserve">Figure </w:t>
      </w:r>
      <w:r w:rsidR="0085572F">
        <w:rPr>
          <w:noProof/>
        </w:rPr>
        <w:t>3</w:t>
      </w:r>
      <w:r w:rsidR="00C73ACA">
        <w:fldChar w:fldCharType="end"/>
      </w:r>
      <w:r w:rsidR="00C73ACA">
        <w:t>)</w:t>
      </w:r>
      <w:r w:rsidR="00766541">
        <w:t>, though with relatively large uncertainty</w:t>
      </w:r>
      <w:r w:rsidR="00481C21">
        <w:t xml:space="preserve"> because there were few extremely large individuals</w:t>
      </w:r>
      <w:r w:rsidR="00C73ACA">
        <w:t>. The rapid declines in survival for the largest individuals are striking</w:t>
      </w:r>
      <w:r w:rsidR="00766541">
        <w:t xml:space="preserve"> but in line with the data, where of the </w:t>
      </w:r>
      <w:r w:rsidR="00481C21">
        <w:t>5</w:t>
      </w:r>
      <w:r w:rsidR="00766541">
        <w:t xml:space="preserve"> individuals larger than </w:t>
      </w:r>
      <w:r w:rsidR="00481C21">
        <w:t xml:space="preserve">2.00 </w:t>
      </w:r>
      <w:r w:rsidR="00766541">
        <w:t>m</w:t>
      </w:r>
      <w:r w:rsidR="00481C21">
        <w:t>, only two</w:t>
      </w:r>
      <w:r w:rsidR="00766541">
        <w:t xml:space="preserve"> survived to remeasurement. </w:t>
      </w:r>
      <w:r w:rsidR="00481C21">
        <w:t xml:space="preserve">There was a strong negative main effect of fire and a positive interaction </w:t>
      </w:r>
      <w:r w:rsidR="00481C21">
        <w:lastRenderedPageBreak/>
        <w:t>between fire and size, indicating that fire substantially reduced survival, particularly for smaller trees (</w:t>
      </w:r>
      <w:r w:rsidR="00481C21">
        <w:fldChar w:fldCharType="begin"/>
      </w:r>
      <w:r w:rsidR="00481C21">
        <w:instrText xml:space="preserve"> REF _Ref93744929 \h </w:instrText>
      </w:r>
      <w:r w:rsidR="00481C21">
        <w:fldChar w:fldCharType="separate"/>
      </w:r>
      <w:r w:rsidR="0085572F">
        <w:t xml:space="preserve">Figure </w:t>
      </w:r>
      <w:r w:rsidR="0085572F">
        <w:rPr>
          <w:noProof/>
        </w:rPr>
        <w:t>3</w:t>
      </w:r>
      <w:r w:rsidR="00481C21">
        <w:fldChar w:fldCharType="end"/>
      </w:r>
      <w:r w:rsidR="00481C21">
        <w:t>).</w:t>
      </w:r>
      <w:r w:rsidR="008E28B3">
        <w:t xml:space="preserve"> </w:t>
      </w:r>
      <w:r w:rsidR="001E0490">
        <w:t>There were moderate negative effects of WPBR and basal area on survival, and a positive interaction between basal area and size. Other effects were weak</w:t>
      </w:r>
      <w:r w:rsidR="0033554D">
        <w:t xml:space="preserve"> or uncertain</w:t>
      </w:r>
      <w:r w:rsidR="001E0490">
        <w:t xml:space="preserve"> (their 90% credible intervals overlapped 0). </w:t>
      </w:r>
    </w:p>
    <w:p w14:paraId="030B7D88" w14:textId="5AFC03E7" w:rsidR="00874307" w:rsidRDefault="00874307" w:rsidP="00293491">
      <w:pPr>
        <w:pStyle w:val="Heading2"/>
        <w:spacing w:line="360" w:lineRule="auto"/>
      </w:pPr>
      <w:r>
        <w:t xml:space="preserve">Individual </w:t>
      </w:r>
      <w:r w:rsidR="00935912">
        <w:t>Size (growth)</w:t>
      </w:r>
    </w:p>
    <w:p w14:paraId="7C049D35" w14:textId="0E3BB8E5" w:rsidR="00C358F3" w:rsidRDefault="00935912" w:rsidP="00293491">
      <w:pPr>
        <w:spacing w:line="360" w:lineRule="auto"/>
      </w:pPr>
      <w:r>
        <w:tab/>
      </w:r>
      <w:commentRangeStart w:id="60"/>
      <w:r>
        <w:t>The posterior median for the intercept of the model for size at the second census was 0.0</w:t>
      </w:r>
      <w:r w:rsidR="00C65DC4">
        <w:t>38</w:t>
      </w:r>
      <w:r>
        <w:t>, with a 90% credible interval from 0.0</w:t>
      </w:r>
      <w:r w:rsidR="00954945">
        <w:t>3</w:t>
      </w:r>
      <w:r w:rsidR="00C65DC4">
        <w:t>4</w:t>
      </w:r>
      <w:r>
        <w:t xml:space="preserve"> to 0.04</w:t>
      </w:r>
      <w:r w:rsidR="00C65DC4">
        <w:t>1</w:t>
      </w:r>
      <w:r>
        <w:t xml:space="preserve"> (</w:t>
      </w:r>
      <w:r w:rsidR="00C65DC4">
        <w:fldChar w:fldCharType="begin"/>
      </w:r>
      <w:r w:rsidR="00C65DC4">
        <w:instrText xml:space="preserve"> REF _Ref94609644 \h </w:instrText>
      </w:r>
      <w:r w:rsidR="00C65DC4">
        <w:fldChar w:fldCharType="separate"/>
      </w:r>
      <w:r w:rsidR="0085572F">
        <w:t xml:space="preserve">Table </w:t>
      </w:r>
      <w:r w:rsidR="0085572F">
        <w:rPr>
          <w:noProof/>
        </w:rPr>
        <w:t>2</w:t>
      </w:r>
      <w:r w:rsidR="00C65DC4">
        <w:fldChar w:fldCharType="end"/>
      </w:r>
      <w:r>
        <w:t xml:space="preserve">). The effect of initial size was, as expected, very close to 1. Together, these results indicate that </w:t>
      </w:r>
      <w:r w:rsidR="00C358F3">
        <w:t>the smallest trees</w:t>
      </w:r>
      <w:r>
        <w:t xml:space="preserve"> trees grew an average </w:t>
      </w:r>
      <w:r w:rsidR="00C65DC4">
        <w:t>3.8 cm</w:t>
      </w:r>
      <w:r w:rsidR="00F365CE">
        <w:t xml:space="preserve"> DBH</w:t>
      </w:r>
      <w:r>
        <w:t xml:space="preserve"> in the 10 years between initial and follow-up census</w:t>
      </w:r>
      <w:r w:rsidR="00954945">
        <w:t xml:space="preserve">, </w:t>
      </w:r>
      <w:r w:rsidR="00C358F3">
        <w:t>with larger trees growing slightly more</w:t>
      </w:r>
      <w:r w:rsidR="00954945">
        <w:t xml:space="preserve"> (</w:t>
      </w:r>
      <w:r w:rsidR="00954945">
        <w:fldChar w:fldCharType="begin"/>
      </w:r>
      <w:r w:rsidR="00954945">
        <w:instrText xml:space="preserve"> REF _Ref94611931 \h </w:instrText>
      </w:r>
      <w:r w:rsidR="00954945">
        <w:fldChar w:fldCharType="separate"/>
      </w:r>
      <w:r w:rsidR="0085572F">
        <w:t xml:space="preserve">Figure </w:t>
      </w:r>
      <w:r w:rsidR="0085572F">
        <w:rPr>
          <w:noProof/>
        </w:rPr>
        <w:t>4</w:t>
      </w:r>
      <w:r w:rsidR="00954945">
        <w:fldChar w:fldCharType="end"/>
      </w:r>
      <w:r w:rsidR="00954945">
        <w:t>)</w:t>
      </w:r>
      <w:r>
        <w:t xml:space="preserve">. </w:t>
      </w:r>
      <w:commentRangeEnd w:id="60"/>
      <w:r w:rsidR="001C02F2">
        <w:rPr>
          <w:rStyle w:val="CommentReference"/>
        </w:rPr>
        <w:commentReference w:id="60"/>
      </w:r>
      <w:r w:rsidR="00C358F3">
        <w:t xml:space="preserve">Fire had weak or no effect on growth of the smallest trees, but did reduce the growth of larger stems. </w:t>
      </w:r>
      <w:r w:rsidR="00FC4865">
        <w:t>By contrast, basal area reduced the growth of small stems but not large ones. Site dryness had a negative main effect and a positive interaction with initial size: For the smallest stems growth was lower on dry sites, whereas for stems above approximately 0.60 m growth was higher on dry sites. Other effects were weak</w:t>
      </w:r>
      <w:r w:rsidR="0033554D">
        <w:t xml:space="preserve"> </w:t>
      </w:r>
      <w:r w:rsidR="00FC4865">
        <w:t xml:space="preserve">or uncertain. </w:t>
      </w:r>
    </w:p>
    <w:p w14:paraId="5176C98B" w14:textId="58BE168B" w:rsidR="00874307" w:rsidRDefault="00874307" w:rsidP="00293491">
      <w:pPr>
        <w:pStyle w:val="Heading2"/>
        <w:spacing w:line="360" w:lineRule="auto"/>
      </w:pPr>
      <w:r>
        <w:t>Fecundity</w:t>
      </w:r>
    </w:p>
    <w:p w14:paraId="0F73A96B" w14:textId="6E87574A" w:rsidR="00874307" w:rsidRDefault="00C3625A" w:rsidP="00293491">
      <w:pPr>
        <w:spacing w:line="360" w:lineRule="auto"/>
      </w:pPr>
      <w:r>
        <w:tab/>
      </w:r>
      <w:r w:rsidR="006A2B6F">
        <w:t>As with survival, there was a positive effect of size on fecundity and a negative quadratic effect of size (</w:t>
      </w:r>
      <w:r w:rsidR="006A2B6F">
        <w:fldChar w:fldCharType="begin"/>
      </w:r>
      <w:r w:rsidR="006A2B6F">
        <w:instrText xml:space="preserve"> REF _Ref94613081 \h </w:instrText>
      </w:r>
      <w:r w:rsidR="006A2B6F">
        <w:fldChar w:fldCharType="separate"/>
      </w:r>
      <w:r w:rsidR="0085572F">
        <w:t xml:space="preserve">Table </w:t>
      </w:r>
      <w:r w:rsidR="0085572F">
        <w:rPr>
          <w:noProof/>
        </w:rPr>
        <w:t>3</w:t>
      </w:r>
      <w:r w:rsidR="006A2B6F">
        <w:fldChar w:fldCharType="end"/>
      </w:r>
      <w:r w:rsidR="006A2B6F">
        <w:t>). The predicted number of new seedlings in a 10-year census per existing individual climbed from</w:t>
      </w:r>
      <w:r w:rsidR="00356D90">
        <w:t xml:space="preserve"> 0.02 for individuals of 0 m DBH to a maximum of 1.14 for individuals of 1.74 m DBH, before declining to 0.53 for individuals of 2.5m DBH (</w:t>
      </w:r>
      <w:r w:rsidR="00356D90">
        <w:fldChar w:fldCharType="begin"/>
      </w:r>
      <w:r w:rsidR="00356D90">
        <w:instrText xml:space="preserve"> REF _Ref94613276 \h </w:instrText>
      </w:r>
      <w:r w:rsidR="00356D90">
        <w:fldChar w:fldCharType="separate"/>
      </w:r>
      <w:r w:rsidR="0085572F">
        <w:t xml:space="preserve">Figure </w:t>
      </w:r>
      <w:r w:rsidR="0085572F">
        <w:rPr>
          <w:noProof/>
        </w:rPr>
        <w:t>5</w:t>
      </w:r>
      <w:r w:rsidR="00356D90">
        <w:fldChar w:fldCharType="end"/>
      </w:r>
      <w:r w:rsidR="00356D90">
        <w:t>).</w:t>
      </w:r>
      <w:r w:rsidR="00C57012">
        <w:t xml:space="preserve"> Fecundity was slightly higher on drier sites, except for the largest individuals. There was a positive interaction between WPBR and size on fecundity and a negative interaction between squared size and WPBR, though there was considerable uncertainty about the magnitudes of each: The relationship between size and fecundity was steeper on plots with WPBR. </w:t>
      </w:r>
      <w:r w:rsidR="0033554D">
        <w:t>By contrast, basal area had a negative interaction with size and a positive interaction with squared size, so the relationship between size and fecundity was less steep on plots with high basal area. Other effects were weak or uncertain.</w:t>
      </w:r>
    </w:p>
    <w:p w14:paraId="535238A9" w14:textId="6467D35F" w:rsidR="00874307" w:rsidRPr="00874307" w:rsidRDefault="00874307" w:rsidP="00293491">
      <w:pPr>
        <w:pStyle w:val="Heading2"/>
        <w:spacing w:line="360" w:lineRule="auto"/>
      </w:pPr>
      <w:commentRangeStart w:id="61"/>
      <w:r>
        <w:t>Asymptotic</w:t>
      </w:r>
      <w:commentRangeEnd w:id="61"/>
      <w:r w:rsidR="00B95CE0">
        <w:rPr>
          <w:rStyle w:val="CommentReference"/>
          <w:rFonts w:asciiTheme="minorHAnsi" w:eastAsiaTheme="minorHAnsi" w:hAnsiTheme="minorHAnsi" w:cstheme="minorBidi"/>
          <w:color w:val="auto"/>
        </w:rPr>
        <w:commentReference w:id="61"/>
      </w:r>
      <w:r>
        <w:t xml:space="preserve"> Population Growth Rates</w:t>
      </w:r>
    </w:p>
    <w:p w14:paraId="700C5BA8" w14:textId="357BC842" w:rsidR="00035CCB" w:rsidRDefault="00C15C9A" w:rsidP="00035CCB">
      <w:pPr>
        <w:spacing w:line="360" w:lineRule="auto"/>
      </w:pPr>
      <w:r>
        <w:tab/>
      </w:r>
      <w:r w:rsidR="00832565">
        <w:fldChar w:fldCharType="begin"/>
      </w:r>
      <w:r w:rsidR="00832565">
        <w:instrText xml:space="preserve"> REF _Ref94616225 \h </w:instrText>
      </w:r>
      <w:r w:rsidR="00832565">
        <w:fldChar w:fldCharType="separate"/>
      </w:r>
      <w:r w:rsidR="0085572F">
        <w:t xml:space="preserve">Figure </w:t>
      </w:r>
      <w:r w:rsidR="0085572F">
        <w:rPr>
          <w:noProof/>
        </w:rPr>
        <w:t>6</w:t>
      </w:r>
      <w:r w:rsidR="00832565">
        <w:fldChar w:fldCharType="end"/>
      </w:r>
      <w:r w:rsidR="00832565">
        <w:t xml:space="preserve"> shows the posterior distribution of the asymptotic population growth rate (</w:t>
      </w:r>
      <m:oMath>
        <m:r>
          <w:rPr>
            <w:rFonts w:ascii="Cambria Math" w:hAnsi="Cambria Math" w:cstheme="minorHAnsi"/>
          </w:rPr>
          <m:t>λ</m:t>
        </m:r>
      </m:oMath>
      <w:r w:rsidR="00DD37D1">
        <w:rPr>
          <w:rFonts w:cstheme="minorHAnsi"/>
        </w:rPr>
        <w:t>)</w:t>
      </w:r>
      <w:r w:rsidR="002F38CC">
        <w:rPr>
          <w:rFonts w:cstheme="minorHAnsi"/>
        </w:rPr>
        <w:t xml:space="preserve"> </w:t>
      </w:r>
      <w:r w:rsidR="00832565">
        <w:t>predicted from IPMs built on a variety of hypothetical scenarios. In each scenario, each posterior sample of the parameters is used to calculate a transition matrix for a population of sugar pines on an idealized plot</w:t>
      </w:r>
      <w:r w:rsidR="00097D16">
        <w:t xml:space="preserve"> where the fixed effect</w:t>
      </w:r>
      <w:r w:rsidR="0033554D">
        <w:t xml:space="preserve"> covariates </w:t>
      </w:r>
      <w:r w:rsidR="00097D16">
        <w:t xml:space="preserve">(other than size) for the vital rate models are held to specific values </w:t>
      </w:r>
      <w:r w:rsidR="00097D16">
        <w:lastRenderedPageBreak/>
        <w:t>representing each scenario</w:t>
      </w:r>
      <w:r w:rsidR="00832565">
        <w:t xml:space="preserve">. </w:t>
      </w:r>
      <w:r w:rsidR="00097D16">
        <w:t xml:space="preserve">For each of the nine scenarios, one transition matrix is constructed using the parameter values from each of the 4,000 posterior draws. The dominant eigenvalue of each matrix gives the estimate of </w:t>
      </w:r>
      <m:oMath>
        <m:r>
          <w:rPr>
            <w:rFonts w:ascii="Cambria Math" w:hAnsi="Cambria Math" w:cstheme="minorHAnsi"/>
          </w:rPr>
          <m:t>λ</m:t>
        </m:r>
      </m:oMath>
      <w:r w:rsidR="00097D16">
        <w:t xml:space="preserve"> for that scenario and draw. </w:t>
      </w:r>
    </w:p>
    <w:p w14:paraId="774C18D4" w14:textId="696B3A2F" w:rsidR="009B22BB" w:rsidRDefault="00097D16" w:rsidP="00812F3F">
      <w:pPr>
        <w:spacing w:line="360" w:lineRule="auto"/>
        <w:ind w:firstLine="720"/>
      </w:pPr>
      <w:r>
        <w:t xml:space="preserve">In the undisturbed scenario, </w:t>
      </w:r>
      <w:r w:rsidR="004D47AC">
        <w:t>categorical stressors (fire and WPBR) were absent, while continuous stressors (BA, drought, and site dryness) were held at 0 (their scaled means). Under these circumstances,</w:t>
      </w:r>
      <w:r w:rsidR="00B91F66">
        <w:t xml:space="preserve"> the asymptotic growth rate is above 1, with a</w:t>
      </w:r>
      <w:r w:rsidR="005C39DA">
        <w:t xml:space="preserve"> </w:t>
      </w:r>
      <w:r w:rsidR="00B91F66">
        <w:t>median posterior value of</w:t>
      </w:r>
      <w:r w:rsidR="0013741A">
        <w:t xml:space="preserve"> </w:t>
      </w:r>
      <m:oMath>
        <m:r>
          <w:rPr>
            <w:rFonts w:ascii="Cambria Math" w:hAnsi="Cambria Math"/>
          </w:rPr>
          <m:t>λ</m:t>
        </m:r>
      </m:oMath>
      <w:r w:rsidR="00B91F66">
        <w:t xml:space="preserve"> of </w:t>
      </w:r>
      <w:r w:rsidR="00B05195">
        <w:t>1.</w:t>
      </w:r>
      <w:r w:rsidR="007E7CA6">
        <w:t>0</w:t>
      </w:r>
      <w:r w:rsidR="00B05195">
        <w:t>4</w:t>
      </w:r>
      <w:r w:rsidR="00B91F66">
        <w:t xml:space="preserve"> and a 90% credible interval from </w:t>
      </w:r>
      <w:r w:rsidR="00B05195">
        <w:t>1.0</w:t>
      </w:r>
      <w:r w:rsidR="007E7CA6">
        <w:t>1</w:t>
      </w:r>
      <w:r w:rsidR="00B91F66">
        <w:t xml:space="preserve"> to </w:t>
      </w:r>
      <w:r w:rsidR="00B05195">
        <w:t>1.</w:t>
      </w:r>
      <w:r w:rsidR="007E7CA6">
        <w:t>07</w:t>
      </w:r>
      <w:r w:rsidR="00B91F66">
        <w:t xml:space="preserve"> (</w:t>
      </w:r>
      <w:r w:rsidR="009E6363">
        <w:fldChar w:fldCharType="begin"/>
      </w:r>
      <w:r w:rsidR="009E6363">
        <w:instrText xml:space="preserve"> REF _Ref94616225 \h </w:instrText>
      </w:r>
      <w:r w:rsidR="009E6363">
        <w:fldChar w:fldCharType="separate"/>
      </w:r>
      <w:r w:rsidR="0085572F">
        <w:t xml:space="preserve">Figure </w:t>
      </w:r>
      <w:r w:rsidR="0085572F">
        <w:rPr>
          <w:noProof/>
        </w:rPr>
        <w:t>6</w:t>
      </w:r>
      <w:r w:rsidR="009E6363">
        <w:fldChar w:fldCharType="end"/>
      </w:r>
      <w:r w:rsidR="009E6363">
        <w:t>,</w:t>
      </w:r>
      <w:r w:rsidR="007E7CA6">
        <w:t xml:space="preserve"> Supplementary Table 1</w:t>
      </w:r>
      <w:r w:rsidR="00B91F66">
        <w:t xml:space="preserve">). Where fire is present, </w:t>
      </w:r>
      <m:oMath>
        <m:r>
          <w:rPr>
            <w:rFonts w:ascii="Cambria Math" w:hAnsi="Cambria Math"/>
          </w:rPr>
          <m:t>λ</m:t>
        </m:r>
      </m:oMath>
      <w:r w:rsidR="00B91F66">
        <w:t xml:space="preserve"> is </w:t>
      </w:r>
      <w:r w:rsidR="007E7CA6">
        <w:t xml:space="preserve">strongly </w:t>
      </w:r>
      <w:r w:rsidR="00A70058">
        <w:t xml:space="preserve">reduced </w:t>
      </w:r>
      <w:r w:rsidR="00B91F66">
        <w:t xml:space="preserve">(median </w:t>
      </w:r>
      <w:r w:rsidR="00B05195">
        <w:t>0.</w:t>
      </w:r>
      <w:r w:rsidR="007E7CA6">
        <w:t>61</w:t>
      </w:r>
      <w:r w:rsidR="00B91F66">
        <w:t xml:space="preserve">, CI </w:t>
      </w:r>
      <w:r w:rsidR="00B05195">
        <w:t>0.</w:t>
      </w:r>
      <w:r w:rsidR="007E7CA6">
        <w:t>51</w:t>
      </w:r>
      <w:r w:rsidR="00B91F66">
        <w:t xml:space="preserve"> to </w:t>
      </w:r>
      <w:r w:rsidR="00B05195">
        <w:t>0.</w:t>
      </w:r>
      <w:r w:rsidR="007E7CA6">
        <w:t>70</w:t>
      </w:r>
      <w:r w:rsidR="00B91F66">
        <w:t xml:space="preserve">). Where WPBR is present, the posterior distribution for </w:t>
      </w:r>
      <m:oMath>
        <m:r>
          <w:rPr>
            <w:rFonts w:ascii="Cambria Math" w:hAnsi="Cambria Math"/>
          </w:rPr>
          <m:t>λ</m:t>
        </m:r>
      </m:oMath>
      <w:r w:rsidR="00B91F66">
        <w:t xml:space="preserve"> straddles 1, but is generally lower than that of the undisturbed scenario (</w:t>
      </w:r>
      <w:r w:rsidR="00561760">
        <w:t xml:space="preserve">median </w:t>
      </w:r>
      <w:r w:rsidR="007E7CA6">
        <w:t>0.99</w:t>
      </w:r>
      <w:r w:rsidR="00561760">
        <w:t>, CI 0.</w:t>
      </w:r>
      <w:r w:rsidR="007E7CA6">
        <w:t>90</w:t>
      </w:r>
      <w:r w:rsidR="00561760">
        <w:t xml:space="preserve"> to </w:t>
      </w:r>
      <w:r w:rsidR="007E7CA6">
        <w:t>1.06</w:t>
      </w:r>
      <w:r w:rsidR="00B91F66">
        <w:t>).</w:t>
      </w:r>
      <w:r w:rsidR="009E6363">
        <w:t xml:space="preserve"> When basal area is lower than average, there posterior distribution of </w:t>
      </w:r>
      <m:oMath>
        <m:r>
          <w:rPr>
            <w:rFonts w:ascii="Cambria Math" w:hAnsi="Cambria Math"/>
          </w:rPr>
          <m:t>λ</m:t>
        </m:r>
      </m:oMath>
      <w:r w:rsidR="009E6363">
        <w:t xml:space="preserve"> is</w:t>
      </w:r>
      <w:r w:rsidR="007E7CA6">
        <w:t xml:space="preserve"> </w:t>
      </w:r>
      <w:r w:rsidR="009E6363">
        <w:t xml:space="preserve">well above one (median </w:t>
      </w:r>
      <w:r w:rsidR="00561760">
        <w:t>1.</w:t>
      </w:r>
      <w:r w:rsidR="007E7CA6">
        <w:t>09</w:t>
      </w:r>
      <w:r w:rsidR="009E6363">
        <w:t xml:space="preserve">, CI </w:t>
      </w:r>
      <w:r w:rsidR="00561760">
        <w:t>1.</w:t>
      </w:r>
      <w:r w:rsidR="007E7CA6">
        <w:t>06</w:t>
      </w:r>
      <w:r w:rsidR="009E6363">
        <w:t xml:space="preserve"> to </w:t>
      </w:r>
      <w:r w:rsidR="007E7CA6">
        <w:t>1.13</w:t>
      </w:r>
      <w:r w:rsidR="009E6363">
        <w:t xml:space="preserve">). By contrast, when basal area is higher than average the posterior distribution of </w:t>
      </w:r>
      <m:oMath>
        <m:r>
          <w:rPr>
            <w:rFonts w:ascii="Cambria Math" w:hAnsi="Cambria Math"/>
          </w:rPr>
          <m:t>λ</m:t>
        </m:r>
      </m:oMath>
      <w:r w:rsidR="0013741A">
        <w:t xml:space="preserve"> </w:t>
      </w:r>
      <w:r w:rsidR="009E6363">
        <w:t xml:space="preserve">straddles one (median </w:t>
      </w:r>
      <w:r w:rsidR="00A70058">
        <w:t>0.98</w:t>
      </w:r>
      <w:r w:rsidR="009E6363">
        <w:t xml:space="preserve">, CI </w:t>
      </w:r>
      <w:r w:rsidR="00561760">
        <w:t>0.</w:t>
      </w:r>
      <w:r w:rsidR="00A70058">
        <w:t>94</w:t>
      </w:r>
      <w:r w:rsidR="009E6363">
        <w:t xml:space="preserve"> to </w:t>
      </w:r>
      <w:r w:rsidR="00561760">
        <w:t>1.0</w:t>
      </w:r>
      <w:r w:rsidR="00A70058">
        <w:t>2</w:t>
      </w:r>
      <w:r w:rsidR="009E6363">
        <w:t>)</w:t>
      </w:r>
      <w:r w:rsidR="00A70058">
        <w:t xml:space="preserve"> and is clearly lower than the undisturbed scenario</w:t>
      </w:r>
      <w:r w:rsidR="009E6363">
        <w:t xml:space="preserve">. </w:t>
      </w:r>
      <w:r w:rsidR="00A70058">
        <w:t xml:space="preserve">For sites experiencing low amounts of drought, the median and 90% CI of </w:t>
      </w:r>
      <m:oMath>
        <m:r>
          <w:rPr>
            <w:rFonts w:ascii="Cambria Math" w:hAnsi="Cambria Math"/>
          </w:rPr>
          <m:t>λ</m:t>
        </m:r>
      </m:oMath>
      <w:r w:rsidR="00A70058">
        <w:t xml:space="preserve"> is above 1, while for sites experiencing high drought the posterior distribution of </w:t>
      </w:r>
      <m:oMath>
        <m:r>
          <w:rPr>
            <w:rFonts w:ascii="Cambria Math" w:hAnsi="Cambria Math"/>
          </w:rPr>
          <m:t>λ</m:t>
        </m:r>
      </m:oMath>
      <w:r w:rsidR="00A70058">
        <w:t xml:space="preserve"> straddles one (median 1.03, 90% CI from 0.99 to 1.08). </w:t>
      </w:r>
      <w:r w:rsidR="0013741A">
        <w:t xml:space="preserve">Likewise, on particularly dry sites the posterior distribution of </w:t>
      </w:r>
      <m:oMath>
        <m:r>
          <w:rPr>
            <w:rFonts w:ascii="Cambria Math" w:hAnsi="Cambria Math"/>
          </w:rPr>
          <m:t>λ</m:t>
        </m:r>
      </m:oMath>
      <w:r w:rsidR="0013741A">
        <w:t xml:space="preserve"> straddles 1 (median 1.04, 90% CI from 0.99 to 1.09). Fire had the clearest effect on </w:t>
      </w:r>
      <m:oMath>
        <m:r>
          <w:rPr>
            <w:rFonts w:ascii="Cambria Math" w:hAnsi="Cambria Math"/>
          </w:rPr>
          <m:t>λ</m:t>
        </m:r>
      </m:oMath>
      <w:r w:rsidR="0013741A">
        <w:t xml:space="preserve">, followed by WPBR and high basal area, and then drought and site dryness. </w:t>
      </w:r>
    </w:p>
    <w:p w14:paraId="01A75E00" w14:textId="56102DEE" w:rsidR="00097CE1" w:rsidRPr="009B0C1C" w:rsidRDefault="009B22BB" w:rsidP="009B0C1C">
      <w:pPr>
        <w:pStyle w:val="Heading1"/>
        <w:spacing w:line="360" w:lineRule="auto"/>
      </w:pPr>
      <w:commentRangeStart w:id="62"/>
      <w:commentRangeStart w:id="63"/>
      <w:r>
        <w:t>Discussion</w:t>
      </w:r>
      <w:commentRangeEnd w:id="62"/>
      <w:commentRangeEnd w:id="63"/>
      <w:r w:rsidR="00B95CE0">
        <w:rPr>
          <w:rStyle w:val="CommentReference"/>
          <w:rFonts w:asciiTheme="minorHAnsi" w:eastAsiaTheme="minorHAnsi" w:hAnsiTheme="minorHAnsi" w:cstheme="minorBidi"/>
          <w:color w:val="auto"/>
        </w:rPr>
        <w:commentReference w:id="62"/>
      </w:r>
      <w:r w:rsidR="008A2F91">
        <w:rPr>
          <w:rStyle w:val="CommentReference"/>
          <w:rFonts w:asciiTheme="minorHAnsi" w:eastAsiaTheme="minorHAnsi" w:hAnsiTheme="minorHAnsi" w:cstheme="minorBidi"/>
          <w:color w:val="auto"/>
        </w:rPr>
        <w:commentReference w:id="63"/>
      </w:r>
    </w:p>
    <w:p w14:paraId="7A1030DB" w14:textId="4D10B96A" w:rsidR="003D3B95" w:rsidRDefault="003D3B95" w:rsidP="003D3B95">
      <w:pPr>
        <w:spacing w:line="360" w:lineRule="auto"/>
        <w:ind w:firstLine="720"/>
        <w:rPr>
          <w:rFonts w:cstheme="minorHAnsi"/>
        </w:rPr>
      </w:pPr>
      <w:r>
        <w:rPr>
          <w:rFonts w:cstheme="minorHAnsi"/>
        </w:rPr>
        <w:t>This</w:t>
      </w:r>
      <w:r w:rsidRPr="00F30BF0">
        <w:rPr>
          <w:rFonts w:cstheme="minorHAnsi"/>
        </w:rPr>
        <w:t xml:space="preserve"> study is the first range-wide assessment of stressors impacting the vital rates and population dynamics of sugar pine. </w:t>
      </w:r>
      <w:r w:rsidR="00CB34EC">
        <w:rPr>
          <w:rFonts w:cstheme="minorHAnsi"/>
        </w:rPr>
        <w:t xml:space="preserve">We found the abundance of sugar pine to be slightly declining in terms of both basal area and stem density. </w:t>
      </w:r>
      <w:r w:rsidRPr="00F30BF0">
        <w:rPr>
          <w:rFonts w:cstheme="minorHAnsi"/>
        </w:rPr>
        <w:t xml:space="preserve">The analysis described here allows direct comparison of the influence of fire, WPBR, stand density, short-term drought, and long-term site dryness, providing valuable guidance for managers seeking to </w:t>
      </w:r>
      <w:r w:rsidR="00F067F3">
        <w:rPr>
          <w:rFonts w:cstheme="minorHAnsi"/>
        </w:rPr>
        <w:t xml:space="preserve">prioritize efforts to </w:t>
      </w:r>
      <w:r w:rsidR="00CB34EC">
        <w:rPr>
          <w:rFonts w:cstheme="minorHAnsi"/>
        </w:rPr>
        <w:t>prevent further decline</w:t>
      </w:r>
      <w:r w:rsidRPr="00F30BF0">
        <w:rPr>
          <w:rFonts w:cstheme="minorHAnsi"/>
        </w:rPr>
        <w:t xml:space="preserve">. </w:t>
      </w:r>
    </w:p>
    <w:p w14:paraId="5067BE96" w14:textId="4631A83E" w:rsidR="001545DE" w:rsidRPr="00F30BF0" w:rsidRDefault="001545DE" w:rsidP="003D3B95">
      <w:pPr>
        <w:spacing w:line="360" w:lineRule="auto"/>
        <w:ind w:firstLine="720"/>
        <w:rPr>
          <w:rFonts w:cstheme="minorHAnsi"/>
        </w:rPr>
      </w:pPr>
      <w:r w:rsidRPr="00F30BF0">
        <w:rPr>
          <w:rFonts w:cstheme="minorHAnsi"/>
        </w:rPr>
        <w:t>The results of this study highlight</w:t>
      </w:r>
      <w:r w:rsidR="00E167D6" w:rsidRPr="00F30BF0">
        <w:rPr>
          <w:rFonts w:cstheme="minorHAnsi"/>
        </w:rPr>
        <w:t xml:space="preserve"> fire as a key stressor negatively impacting demographic rates of sugar pine. Fire strongly reduced survival of individual trees</w:t>
      </w:r>
      <w:r w:rsidR="00097CE1" w:rsidRPr="00F30BF0">
        <w:rPr>
          <w:rFonts w:cstheme="minorHAnsi"/>
        </w:rPr>
        <w:t>, particularly small ones</w:t>
      </w:r>
      <w:r w:rsidR="00E167D6" w:rsidRPr="00F30BF0">
        <w:rPr>
          <w:rFonts w:cstheme="minorHAnsi"/>
        </w:rPr>
        <w:t xml:space="preserve">. This finding is broadly consistent with the existing literature, which has documented many cases of negative (and size-dependent) impacts of fire on survival of sugar pine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models","type":"article-journal"},"uris":["http://www.mendeley.com/documents/?uuid=5dce8c9b-16a7-4930-9de8-231f1ca41bb7"]},{"id":"ITEM-2","itemData":{"DOI":"10.1016/j.foreco.2010.05.033","ISSN":"03781127","abstract":"Fire injury was characterized and survival monitored for 5677 trees &gt;25. cm DBH from five wildfires in California that occurred between 2000 and 2004. Logistic regression models for predicting the probability of mortality 5-years after fire were developed for incense cedar (Calocedrus decurrens (Torr.) Florin), white fir (Abies concolor (Gord &amp; Glend.) Lindl. ex Hildebr.), sugar pine (Pinus lambertiana Douglas), Jeffrey pine (P. jeffreyi Balf.), and ponderosa pine (P. ponderosa C. Lawson). Differences in crown injury variables were also compared for Jeffrey and ponderosa pine. Most mortality (70-88% depending on species) occurred within 2 years post-wildfire and had stabilized by year 3. Crown length and crown volume injury variables predicted tree mortality equally well; however, the variables were not interchangeable. Crown injury and cambium kill rating was significant in predicting mortality in all models. DBH was only a significant predictor of mortality for white fir and the combined ponderosa and Jeffrey pine models developed from the McNally Fire; these models all predicted increasing mortality with increasing tree size. Red turpentine beetle (Dendroctonus valens) was a significant predictor variable for sugar pine, ponderosa pine, and Jeffrey pine; ambrosia beetle (Trypodendron and Gnathotrichus spp.) was a significant predictor variable for white fir. The mortality models and post-fire tree survival characteristics provide improved prediction of 5-year post-wildfire tree mortality for several California conifers. The models confirm the overall importance of crown injury in predicting post-fire mortality compared to other injury variables for all species. Additional variables such as cambium kill, bark beetles, and tree size improved model accuracies, but likely not enough to justify the added expense of data collection. ?? 2010.","author":[{"dropping-particle":"","family":"Hood","given":"Sharon M.","non-dropping-particle":"","parse-names":false,"suffix":""},{"dropping-particle":"","family":"Smith","given":"Sheri L.","non-dropping-particle":"","parse-names":false,"suffix":""},{"dropping-particle":"","family":"Cluck","given":"Daniel R.","non-dropping-particle":"","parse-names":false,"suffix":""}],"container-title":"Forest Ecology and Management","id":"ITEM-2","issue":"5","issued":{"date-parts":[["2010"]]},"page":"750-762","publisher":"Elsevier B.V.","title":"Predicting mortality for five California conifers following wildfire","type":"article-journal","volume":"260"},"uris":["http://www.mendeley.com/documents/?uuid=d1d13f42-975c-4bf6-b673-57d32cdf8b55"]},{"id":"ITEM-3","itemData":{"DOI":"10.1139/cjfr-2014-0449","ISSN":"12086037","abstract":"Tree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Research","id":"ITEM-3","issue":"7","issued":{"date-parts":[["2015"]]},"page":"910-919","title":"The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Park","type":"article-journal","volume":"45"},"uris":["http://www.mendeley.com/documents/?uuid=cd8ba33c-48ac-44de-90c9-962cbecf6d95"]},{"id":"ITEM-4","itemData":{"DOI":"10.1002/ecs2.3263","author":[{"dropping-particle":"","family":"Dudney","given":"Joan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J.","non-dropping-particle":"","parse-names":false,"suffix":""}],"container-title":"Ecosphere","id":"ITEM-4","issue":"October","issued":{"date-parts":[["2020"]]},"page":"e03263","title":"Compounding effects of white pine blister rust, mountain pine beetle, and fire threaten four white pine species","type":"article-journal","volume":"11"},"uris":["http://www.mendeley.com/documents/?uuid=54eba3d7-5ed4-4e44-a51e-b1150e7c2215"]},{"id":"ITEM-5","itemData":{"DOI":"10.1890/03-5109","ISSN":"10510761","abstract":"An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Applications","id":"ITEM-5","issue":"5","issued":{"date-parts":[["2004"]]},"page":"1590-1602","title":"Effects of an introduced pathogen and fire exclusion on the demography of sugar pine","type":"article-journal","volume":"14"},"uris":["http://www.mendeley.com/documents/?uuid=4017c084-8b81-48ae-b134-e117d840d93b"]}],"mendeley":{"formattedCitation":"(Van Mantgem &lt;i&gt;et al.&lt;/i&gt;, 2004; Hood, Smith and Cluck, 2010; Nesmith &lt;i&gt;et al.&lt;/i&gt;, 2015; Furniss &lt;i&gt;et al.&lt;/i&gt;, 2018; Dudney &lt;i&gt;et al.&lt;/i&gt;, 2020)","plainTextFormattedCitation":"(Van Mantgem et al., 2004; Hood, Smith and Cluck, 2010; Nesmith et al., 2015; Furniss et al., 2018; Dudney et al., 2020)","previouslyFormattedCitation":"(Van Mantgem &lt;i&gt;et al.&lt;/i&gt;, 2004; Hood, Smith and Cluck, 2010; Nesmith &lt;i&gt;et al.&lt;/i&gt;, 2015; Furniss &lt;i&gt;et al.&lt;/i&gt;, 2018; Dudney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Hood, Smith and Cluck, 2010; Nesmith </w:t>
      </w:r>
      <w:r w:rsidR="00EB4A84" w:rsidRPr="00EB4A84">
        <w:rPr>
          <w:rFonts w:cstheme="minorHAnsi"/>
          <w:i/>
          <w:noProof/>
        </w:rPr>
        <w:t>et al.</w:t>
      </w:r>
      <w:r w:rsidR="00EB4A84" w:rsidRPr="00EB4A84">
        <w:rPr>
          <w:rFonts w:cstheme="minorHAnsi"/>
          <w:noProof/>
        </w:rPr>
        <w:t xml:space="preserve">, 2015; Furniss </w:t>
      </w:r>
      <w:r w:rsidR="00EB4A84" w:rsidRPr="00EB4A84">
        <w:rPr>
          <w:rFonts w:cstheme="minorHAnsi"/>
          <w:i/>
          <w:noProof/>
        </w:rPr>
        <w:t>et al.</w:t>
      </w:r>
      <w:r w:rsidR="00EB4A84" w:rsidRPr="00EB4A84">
        <w:rPr>
          <w:rFonts w:cstheme="minorHAnsi"/>
          <w:noProof/>
        </w:rPr>
        <w:t xml:space="preserve">, 2018; Dudney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E167D6" w:rsidRPr="00F30BF0">
        <w:rPr>
          <w:rFonts w:cstheme="minorHAnsi"/>
        </w:rPr>
        <w:t>. Fire can also inj</w:t>
      </w:r>
      <w:r w:rsidR="00D95337" w:rsidRPr="00F30BF0">
        <w:rPr>
          <w:rFonts w:cstheme="minorHAnsi"/>
        </w:rPr>
        <w:t xml:space="preserve">ure surviving trees, reducing their growth rate </w:t>
      </w:r>
      <w:r w:rsidR="00E32098" w:rsidRPr="00F30BF0">
        <w:rPr>
          <w:rFonts w:cstheme="minorHAnsi"/>
        </w:rPr>
        <w:t xml:space="preserve">as seen in this study and others </w:t>
      </w:r>
      <w:r w:rsidR="00C243DB">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D95337" w:rsidRPr="00F30BF0">
        <w:rPr>
          <w:rFonts w:cstheme="minorHAnsi"/>
        </w:rPr>
        <w:t xml:space="preserve">. Reduced growth rates may have particularly strong effects on the asymptotic population growth rate in species where large / </w:t>
      </w:r>
      <w:r w:rsidR="00D95337" w:rsidRPr="00F30BF0">
        <w:rPr>
          <w:rFonts w:cstheme="minorHAnsi"/>
        </w:rPr>
        <w:lastRenderedPageBreak/>
        <w:t>old individuals disproportionately contribute to reproduction</w:t>
      </w:r>
      <w:r w:rsidR="002535C7" w:rsidRPr="00F30BF0">
        <w:rPr>
          <w:rFonts w:cstheme="minorHAnsi"/>
        </w:rPr>
        <w:t xml:space="preserve"> </w:t>
      </w:r>
      <w:commentRangeStart w:id="64"/>
      <w:r w:rsidR="00C243DB">
        <w:rPr>
          <w:rFonts w:cstheme="minorHAnsi"/>
        </w:rPr>
        <w:fldChar w:fldCharType="begin" w:fldLock="1"/>
      </w:r>
      <w:r w:rsidR="002C19B3">
        <w:rPr>
          <w:rFonts w:cstheme="minorHAnsi"/>
        </w:rPr>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disturbance","type":"article-journal","volume":"22"},"uris":["http://www.mendeley.com/documents/?uuid=2b5cea9f-f1cc-4605-9928-78a2aa0932f7"]}],"mendeley":{"formattedCitation":"(Shriver &lt;i&gt;et al.&lt;/i&gt;, 2019)","plainTextFormattedCitation":"(Shriver et al., 2019)","previouslyFormattedCitation":"(Shriver &lt;i&gt;et al.&lt;/i&gt;, 2019)"},"properties":{"noteIndex":0},"schema":"https://github.com/citation-style-language/schema/raw/master/csl-citation.json"}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(Shriver </w:t>
      </w:r>
      <w:r w:rsidR="00EB4A84" w:rsidRPr="00EB4A84">
        <w:rPr>
          <w:rFonts w:cstheme="minorHAnsi"/>
          <w:i/>
          <w:noProof/>
        </w:rPr>
        <w:t>et al.</w:t>
      </w:r>
      <w:r w:rsidR="00EB4A84" w:rsidRPr="00EB4A84">
        <w:rPr>
          <w:rFonts w:cstheme="minorHAnsi"/>
          <w:noProof/>
        </w:rPr>
        <w:t>, 2019)</w:t>
      </w:r>
      <w:r w:rsidR="00C243DB">
        <w:rPr>
          <w:rFonts w:cstheme="minorHAnsi"/>
        </w:rPr>
        <w:fldChar w:fldCharType="end"/>
      </w:r>
      <w:commentRangeEnd w:id="64"/>
      <w:r w:rsidR="008A2F91">
        <w:rPr>
          <w:rStyle w:val="CommentReference"/>
        </w:rPr>
        <w:commentReference w:id="64"/>
      </w:r>
      <w:r w:rsidR="006B3BFA">
        <w:rPr>
          <w:rFonts w:cstheme="minorHAnsi"/>
        </w:rPr>
        <w:t xml:space="preserve">; </w:t>
      </w:r>
      <w:r w:rsidR="006B3BFA" w:rsidRPr="00F30BF0">
        <w:rPr>
          <w:rFonts w:cstheme="minorHAnsi"/>
        </w:rPr>
        <w:t>Sugar pine is one such species, as seen in the strong effect of individual size on fecundity in this study</w:t>
      </w:r>
      <w:r w:rsidR="006B3BFA">
        <w:rPr>
          <w:rFonts w:cstheme="minorHAnsi"/>
        </w:rPr>
        <w:t>.</w:t>
      </w:r>
      <w:r w:rsidR="00D95337" w:rsidRPr="00F30BF0">
        <w:rPr>
          <w:rFonts w:cstheme="minorHAnsi"/>
        </w:rPr>
        <w:t xml:space="preserve"> </w:t>
      </w:r>
      <w:r w:rsidR="00353F3B">
        <w:rPr>
          <w:rFonts w:cstheme="minorHAnsi"/>
        </w:rPr>
        <w:t>T</w:t>
      </w:r>
      <w:r w:rsidR="005C7999" w:rsidRPr="00F30BF0">
        <w:rPr>
          <w:rFonts w:cstheme="minorHAnsi"/>
        </w:rPr>
        <w:t>he literature suggests that a core way in which fire influences the population dynamics of sugar pine is by killing large high-fecundity individuals</w:t>
      </w:r>
      <w:r w:rsidR="00EB5290"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C243DB">
        <w:rPr>
          <w:rFonts w:cstheme="minorHAnsi"/>
        </w:rPr>
        <w:fldChar w:fldCharType="end"/>
      </w:r>
      <w:r w:rsidR="005C7999" w:rsidRPr="00F30BF0">
        <w:rPr>
          <w:rFonts w:cstheme="minorHAnsi"/>
        </w:rPr>
        <w:t>.</w:t>
      </w:r>
      <w:r w:rsidR="00EB5290" w:rsidRPr="00F30BF0">
        <w:rPr>
          <w:rFonts w:cstheme="minorHAnsi"/>
        </w:rPr>
        <w:t xml:space="preserve"> </w:t>
      </w:r>
      <w:r w:rsidR="00C63FF8" w:rsidRPr="00F30BF0">
        <w:rPr>
          <w:rFonts w:cstheme="minorHAnsi"/>
        </w:rPr>
        <w:t>The most extreme form of this dynamic results in so-called type conversion, where high severity fire locally extirpates sugar pine and other mixed conifer species, resulting in the loss of mixed conifer forest generally</w:t>
      </w:r>
      <w:r w:rsidR="00C243DB">
        <w:rPr>
          <w:rFonts w:cstheme="minorHAnsi"/>
        </w:rPr>
        <w:t xml:space="preserve"> </w:t>
      </w:r>
      <w:r w:rsidR="00C243DB">
        <w:rPr>
          <w:rFonts w:cstheme="minorHAnsi"/>
        </w:rPr>
        <w:fldChar w:fldCharType="begin" w:fldLock="1"/>
      </w:r>
      <w:r w:rsidR="002C19B3">
        <w:rPr>
          <w:rFonts w:cstheme="minorHAnsi"/>
        </w:rPr>
        <w:instrText>ADDIN CSL_CITATION {"citationItems":[{"id":"ITEM-1","itemData":{"DOI":"10.1002/eap.1756","ISSN":"10510761","author":[{"dropping-particle":"","family":"Shive","given":"Kristen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Applications","id":"ITEM-1","issue":"6","issued":{"date-parts":[["2018"]]},"page":"1626-1639","title":"From the stand scale to the landscape scale: predicting the spatial patterns of forest regeneration after disturbance","type":"article-journal","volume":"28"},"uris":["http://www.mendeley.com/documents/?uuid=088a8267-0133-4892-9fb1-7380b3beadc5"]},{"id":"ITEM-2","itemData":{"DOI":"10.1016/j.foreco.2018.09.007","ISBN":"9781594770913","ISSN":"03781127","abstract":"The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C.","non-dropping-particle":"","parse-names":false,"suffix":""}],"container-title":"BioScience","id":"ITEM-3","issue":"8","issued":{"date-parts":[["2020"]]},"page":"659-673","title":"Wildfire-Driven Forest Conversion in Western North American Landscapes","type":"article-journal","volume":"70"},"uris":["http://www.mendeley.com/documents/?uuid=4c19d33d-7ce8-44c4-b892-af9da5f5c49d"]}],"mendeley":{"formattedCitation":"(Shive &lt;i&gt;et al.&lt;/i&gt;, 2018; North &lt;i&gt;et al.&lt;/i&gt;, 2019; Coop &lt;i&gt;et al.&lt;/i&gt;, 2020)","plainTextFormattedCitation":"(Shive et al., 2018; North et al., 2019; Coop et al., 2020)","previouslyFormattedCitation":"(Shive &lt;i&gt;et al.&lt;/i&gt;, 2018; North &lt;i&gt;et al.&lt;/i&gt;, 2019; Coop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(Shive </w:t>
      </w:r>
      <w:r w:rsidR="00EB4A84" w:rsidRPr="00EB4A84">
        <w:rPr>
          <w:rFonts w:cstheme="minorHAnsi"/>
          <w:i/>
          <w:noProof/>
        </w:rPr>
        <w:t>et al.</w:t>
      </w:r>
      <w:r w:rsidR="00EB4A84" w:rsidRPr="00EB4A84">
        <w:rPr>
          <w:rFonts w:cstheme="minorHAnsi"/>
          <w:noProof/>
        </w:rPr>
        <w:t xml:space="preserve">, 2018; North </w:t>
      </w:r>
      <w:r w:rsidR="00EB4A84" w:rsidRPr="00EB4A84">
        <w:rPr>
          <w:rFonts w:cstheme="minorHAnsi"/>
          <w:i/>
          <w:noProof/>
        </w:rPr>
        <w:t>et al.</w:t>
      </w:r>
      <w:r w:rsidR="00EB4A84" w:rsidRPr="00EB4A84">
        <w:rPr>
          <w:rFonts w:cstheme="minorHAnsi"/>
          <w:noProof/>
        </w:rPr>
        <w:t xml:space="preserve">, 2019; Coop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C63FF8" w:rsidRPr="00F30BF0">
        <w:rPr>
          <w:rFonts w:cstheme="minorHAnsi"/>
        </w:rPr>
        <w:t>.</w:t>
      </w:r>
      <w:r w:rsidR="00F50DFD" w:rsidRPr="00F30BF0">
        <w:rPr>
          <w:rFonts w:cstheme="minorHAnsi"/>
        </w:rPr>
        <w:t xml:space="preserve"> </w:t>
      </w:r>
    </w:p>
    <w:p w14:paraId="1F87554F" w14:textId="7D66EE64" w:rsidR="0038352F" w:rsidRPr="00F30BF0" w:rsidRDefault="00F50DFD" w:rsidP="003D3B95">
      <w:pPr>
        <w:spacing w:line="360" w:lineRule="auto"/>
        <w:ind w:firstLine="720"/>
        <w:rPr>
          <w:rFonts w:cstheme="minorHAnsi"/>
        </w:rPr>
      </w:pPr>
      <w:r w:rsidRPr="00F30BF0">
        <w:rPr>
          <w:rFonts w:cstheme="minorHAnsi"/>
        </w:rPr>
        <w:t xml:space="preserve">In this study, fire’s effects on survival, growth, and fecundity combine to result in posterior </w:t>
      </w:r>
      <m:oMath>
        <m:r>
          <w:rPr>
            <w:rFonts w:ascii="Cambria Math" w:hAnsi="Cambria Math" w:cstheme="minorHAnsi"/>
          </w:rPr>
          <m:t>λ</m:t>
        </m:r>
      </m:oMath>
      <w:r w:rsidRPr="00F30BF0">
        <w:rPr>
          <w:rFonts w:cstheme="minorHAnsi"/>
        </w:rPr>
        <w:t xml:space="preserve"> values below one for burned plots (</w:t>
      </w:r>
      <w:r w:rsidRPr="00F30BF0">
        <w:rPr>
          <w:rFonts w:cstheme="minorHAnsi"/>
        </w:rPr>
        <w:fldChar w:fldCharType="begin"/>
      </w:r>
      <w:r w:rsidRPr="00F30BF0">
        <w:rPr>
          <w:rFonts w:cstheme="minorHAnsi"/>
        </w:rPr>
        <w:instrText xml:space="preserve"> REF _Ref94616225 \h </w:instrText>
      </w:r>
      <w:r w:rsidR="00F30BF0">
        <w:rPr>
          <w:rFonts w:cstheme="minorHAnsi"/>
        </w:rPr>
        <w:instrText xml:space="preserve"> \* MERGEFORMAT </w:instrText>
      </w:r>
      <w:r w:rsidRPr="00F30BF0">
        <w:rPr>
          <w:rFonts w:cstheme="minorHAnsi"/>
        </w:rPr>
      </w:r>
      <w:r w:rsidRPr="00F30BF0">
        <w:rPr>
          <w:rFonts w:cstheme="minorHAnsi"/>
        </w:rPr>
        <w:fldChar w:fldCharType="separate"/>
      </w:r>
      <w:r w:rsidR="0002014E">
        <w:t xml:space="preserve">Figure </w:t>
      </w:r>
      <w:r w:rsidR="0002014E">
        <w:rPr>
          <w:noProof/>
        </w:rPr>
        <w:t>6</w:t>
      </w:r>
      <w:r w:rsidRPr="00F30BF0">
        <w:rPr>
          <w:rFonts w:cstheme="minorHAnsi"/>
        </w:rPr>
        <w:fldChar w:fldCharType="end"/>
      </w:r>
      <w:r w:rsidRPr="00F30BF0">
        <w:rPr>
          <w:rFonts w:cstheme="minorHAnsi"/>
        </w:rPr>
        <w:t xml:space="preserve">). Fire was the only stressor which </w:t>
      </w:r>
      <w:r w:rsidR="009A1DFC" w:rsidRPr="00F30BF0">
        <w:rPr>
          <w:rFonts w:cstheme="minorHAnsi"/>
        </w:rPr>
        <w:t>reduced the 9</w:t>
      </w:r>
      <w:r w:rsidR="00C243DB">
        <w:rPr>
          <w:rFonts w:cstheme="minorHAnsi"/>
        </w:rPr>
        <w:t>0</w:t>
      </w:r>
      <w:r w:rsidR="009A1DFC" w:rsidRPr="00F30BF0">
        <w:rPr>
          <w:rFonts w:cstheme="minorHAnsi"/>
        </w:rPr>
        <w:t xml:space="preserve">% credible interval of the posterior distribution of </w:t>
      </w:r>
      <m:oMath>
        <m:r>
          <w:rPr>
            <w:rFonts w:ascii="Cambria Math" w:hAnsi="Cambria Math" w:cstheme="minorHAnsi"/>
          </w:rPr>
          <m:t>λ</m:t>
        </m:r>
      </m:oMath>
      <w:r w:rsidR="009A1DFC" w:rsidRPr="00F30BF0">
        <w:rPr>
          <w:rFonts w:cstheme="minorHAnsi"/>
        </w:rPr>
        <w:t xml:space="preserve"> to below one (</w:t>
      </w:r>
      <w:r w:rsidR="009A1DFC" w:rsidRPr="00F30BF0">
        <w:rPr>
          <w:rFonts w:cstheme="minorHAnsi"/>
        </w:rPr>
        <w:fldChar w:fldCharType="begin"/>
      </w:r>
      <w:r w:rsidR="009A1DFC" w:rsidRPr="00F30BF0">
        <w:rPr>
          <w:rFonts w:cstheme="minorHAnsi"/>
        </w:rPr>
        <w:instrText xml:space="preserve"> REF _Ref94619410 \h </w:instrText>
      </w:r>
      <w:r w:rsidR="00F30BF0">
        <w:rPr>
          <w:rFonts w:cstheme="minorHAnsi"/>
        </w:rPr>
        <w:instrText xml:space="preserve"> \* MERGEFORMAT </w:instrText>
      </w:r>
      <w:r w:rsidR="009A1DFC" w:rsidRPr="00F30BF0">
        <w:rPr>
          <w:rFonts w:cstheme="minorHAnsi"/>
        </w:rPr>
      </w:r>
      <w:r w:rsidR="009A1DFC" w:rsidRPr="00F30BF0">
        <w:rPr>
          <w:rFonts w:cstheme="minorHAnsi"/>
        </w:rPr>
        <w:fldChar w:fldCharType="separate"/>
      </w:r>
      <w:r w:rsidR="00353F3B">
        <w:t xml:space="preserve">Supplementary Table </w:t>
      </w:r>
      <w:r w:rsidR="009A1DFC" w:rsidRPr="00F30BF0">
        <w:rPr>
          <w:rFonts w:cstheme="minorHAnsi"/>
        </w:rPr>
        <w:fldChar w:fldCharType="end"/>
      </w:r>
      <w:r w:rsidR="00353F3B">
        <w:rPr>
          <w:rFonts w:cstheme="minorHAnsi"/>
        </w:rPr>
        <w:t>1</w:t>
      </w:r>
      <w:r w:rsidR="009A1DFC" w:rsidRPr="00F30BF0">
        <w:rPr>
          <w:rFonts w:cstheme="minorHAnsi"/>
        </w:rPr>
        <w:t xml:space="preserve">), indicating </w:t>
      </w:r>
      <w:r w:rsidR="003E6FCE">
        <w:rPr>
          <w:rFonts w:cstheme="minorHAnsi"/>
        </w:rPr>
        <w:t>a strong influence of fire on population dynamics</w:t>
      </w:r>
      <w:r w:rsidR="009A1DFC" w:rsidRPr="00F30BF0">
        <w:rPr>
          <w:rFonts w:cstheme="minorHAnsi"/>
        </w:rPr>
        <w:t xml:space="preserve">. </w:t>
      </w:r>
      <w:r w:rsidR="003E6FCE">
        <w:rPr>
          <w:rFonts w:cstheme="minorHAnsi"/>
        </w:rPr>
        <w:t xml:space="preserve">However, we caution that the asymptotic population growth rates presented in this study should not be interpreted as predictions, because in reality fire is unlikely to repeatedly occur on the same site during every census interval. Instead, the asymptotic population growth rates give some insight into the overall influence of each stressor on population dynamics. </w:t>
      </w:r>
      <w:r w:rsidR="001545DE" w:rsidRPr="00F30BF0">
        <w:rPr>
          <w:rFonts w:cstheme="minorHAnsi"/>
        </w:rPr>
        <w:t xml:space="preserve">Existing literature has shown that </w:t>
      </w:r>
      <w:r w:rsidR="008A7245" w:rsidRPr="00F30BF0">
        <w:rPr>
          <w:rFonts w:cstheme="minorHAnsi"/>
        </w:rPr>
        <w:t xml:space="preserve">most trees killed by fire die within 1 year of the fire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models","type":"article-journal"},"uris":["http://www.mendeley.com/documents/?uuid=5dce8c9b-16a7-4930-9de8-231f1ca41bb7"]}],"mendeley":{"formattedCitation":"(Furniss &lt;i&gt;et al.&lt;/i&gt;, 2018)","plainTextFormattedCitation":"(Furniss et al., 2018)","previouslyFormattedCitation":"(Furniss &lt;i&gt;et al.&lt;/i&gt;, 2018)"},"properties":{"noteIndex":0},"schema":"https://github.com/citation-style-language/schema/raw/master/csl-citation.json"}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(Furniss </w:t>
      </w:r>
      <w:r w:rsidR="00EB4A84" w:rsidRPr="00EB4A84">
        <w:rPr>
          <w:rFonts w:cstheme="minorHAnsi"/>
          <w:i/>
          <w:noProof/>
        </w:rPr>
        <w:t>et al.</w:t>
      </w:r>
      <w:r w:rsidR="00EB4A84" w:rsidRPr="00EB4A84">
        <w:rPr>
          <w:rFonts w:cstheme="minorHAnsi"/>
          <w:noProof/>
        </w:rPr>
        <w:t>, 2018)</w:t>
      </w:r>
      <w:r w:rsidR="00C243DB">
        <w:rPr>
          <w:rFonts w:cstheme="minorHAnsi"/>
        </w:rPr>
        <w:fldChar w:fldCharType="end"/>
      </w:r>
      <w:r w:rsidR="008A7245" w:rsidRPr="00F30BF0">
        <w:rPr>
          <w:rFonts w:cstheme="minorHAnsi"/>
        </w:rPr>
        <w:t xml:space="preserve"> and mortality rates in stands affected by prescribed fire returned to background levels approximately six years postfire </w:t>
      </w:r>
      <w:r w:rsidR="00C243DB">
        <w:rPr>
          <w:rFonts w:cstheme="minorHAnsi"/>
        </w:rPr>
        <w:fldChar w:fldCharType="begin" w:fldLock="1"/>
      </w:r>
      <w:r w:rsidR="002C19B3">
        <w:rPr>
          <w:rFonts w:cstheme="minorHAnsi"/>
        </w:rPr>
        <w:instrText>ADDIN CSL_CITATION {"citationItems":[{"id":"ITEM-1","itemData":{"DOI":"10.1016/j.foreco.2010.12.013","ISBN":"0378-1127","ISSN":"03781127","abstract":"The capacity of prescribed fire to restore forest conditions is often judged by changes in forest structure within a few years following burning. However, prescribed fire might have longer-term effects on forest structure, potentially changing treatment assessments. We examined annual changes in forest structure in five 1. ha old-growth plots immediately before prescribed fire and up to eight years after fire at Sequoia National Park, California. Fire-induced declines in stem density (67% average decrease at eight years post-fire) were nonlinear, taking up to eight years to reach a presumed asymptote. Declines in live stem biomass were also nonlinear, but smaller in magnitude (32% average decrease at eight years post-fire) as most large trees survived the fires. The preferential survival of large trees following fire resulted in significant shifts in stem diameter distributions. Mortality rates remained significantly above background rates up to six years after the fires. Prescribed fire did not have a large influence on the representation of dominant species. Fire-caused mortality appeared to be spatially random, and therefore did not generally alter heterogeneous tree spatial patterns. Our results suggest that prescribed fire can bring about substantial changes to forest structure in old-growth mixed conifer forests in the Sierra Nevada, but that long-term observations are needed to fully describe some measures of fire effects. ?? 2010.","author":[{"dropping-particle":"","family":"Mantgem","given":"Phillip J.","non-dropping-particle":"van","parse-names":false,"suffix":""},{"dropping-particle":"","family":"Stephenson","given":"Nathan L.","non-dropping-particle":"","parse-names":false,"suffix":""},{"dropping-particle":"","family":"Knapp","given":"Eric","non-dropping-particle":"","parse-names":false,"suffix":""},{"dropping-particle":"","family":"Battles","given":"John","non-dropping-particle":"","parse-names":false,"suffix":""},{"dropping-particle":"","family":"Keeley","given":"Jon E.","non-dropping-particle":"","parse-names":false,"suffix":""}],"container-title":"Forest Ecology and Management","id":"ITEM-1","issue":"6","issued":{"date-parts":[["2011"]]},"page":"989-994","publisher":"Elsevier B.V.","title":"Long-term effects of prescribed fire on mixed conifer forest structure in the Sierra Nevada, California","type":"article-journal","volume":"261"},"uris":["http://www.mendeley.com/documents/?uuid=03f4dd2e-8bc0-4812-b5d6-08d3ff7271a4"]}],"mendeley":{"formattedCitation":"(van Mantgem &lt;i&gt;et al.&lt;/i&gt;, 2011)","plainTextFormattedCitation":"(van Mantgem et al., 2011)","previouslyFormattedCitation":"(van Mantgem &lt;i&gt;et al.&lt;/i&gt;, 2011)"},"properties":{"noteIndex":0},"schema":"https://github.com/citation-style-language/schema/raw/master/csl-citation.json"}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2011)</w:t>
      </w:r>
      <w:r w:rsidR="00C243DB">
        <w:rPr>
          <w:rFonts w:cstheme="minorHAnsi"/>
        </w:rPr>
        <w:fldChar w:fldCharType="end"/>
      </w:r>
      <w:r w:rsidR="007B6647" w:rsidRPr="00F30BF0">
        <w:rPr>
          <w:rFonts w:cstheme="minorHAnsi"/>
        </w:rPr>
        <w:t xml:space="preserve">, suggesting that the negative </w:t>
      </w:r>
      <w:commentRangeStart w:id="65"/>
      <w:r w:rsidR="007B6647" w:rsidRPr="00F30BF0">
        <w:rPr>
          <w:rFonts w:cstheme="minorHAnsi"/>
        </w:rPr>
        <w:t xml:space="preserve">effects of fire on survival are </w:t>
      </w:r>
      <w:r w:rsidR="00353F3B">
        <w:rPr>
          <w:rFonts w:cstheme="minorHAnsi"/>
        </w:rPr>
        <w:t>transient</w:t>
      </w:r>
      <w:r w:rsidR="007B6647" w:rsidRPr="00F30BF0">
        <w:rPr>
          <w:rFonts w:cstheme="minorHAnsi"/>
        </w:rPr>
        <w:t xml:space="preserve">. </w:t>
      </w:r>
      <w:commentRangeEnd w:id="65"/>
      <w:r w:rsidR="00A47588">
        <w:rPr>
          <w:rStyle w:val="CommentReference"/>
        </w:rPr>
        <w:commentReference w:id="65"/>
      </w:r>
      <w:r w:rsidR="007B6647" w:rsidRPr="00F30BF0">
        <w:rPr>
          <w:rFonts w:cstheme="minorHAnsi"/>
        </w:rPr>
        <w:t xml:space="preserve">However, there is abundant evidence that the ecological footprint of fire, in particular high severity wildfire, is increasing throughout the range of sugar pine </w:t>
      </w:r>
      <w:r w:rsidR="0038352F" w:rsidRPr="00F30BF0">
        <w:rPr>
          <w:rFonts w:cstheme="minorHAnsi"/>
        </w:rPr>
        <w:t>because of</w:t>
      </w:r>
      <w:r w:rsidR="007B6647" w:rsidRPr="00F30BF0">
        <w:rPr>
          <w:rFonts w:cstheme="minorHAnsi"/>
        </w:rPr>
        <w:t xml:space="preserve"> climate changes and </w:t>
      </w:r>
      <w:r w:rsidR="0038352F" w:rsidRPr="00F30BF0">
        <w:rPr>
          <w:rFonts w:cstheme="minorHAnsi"/>
        </w:rPr>
        <w:t>biomass accumulation resulting from fire suppression</w:t>
      </w:r>
      <w:r w:rsidR="007B664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2017","type":"article-journal","volume":"47"},"uris":["http://www.mendeley.com/documents/?uuid=c62781ce-2164-4b01-b721-ce147287a476"]},{"id":"ITEM-2","itemData":{"DOI":"10.1073/pnas.2009717118","ISSN":"10916490","PMID":"34031237","abstract":"Increases in burned area and large fire occurrence are widely documented over the western United States over the past half century. Here, we focus on the elevational distribution of forest fires in mountainous ecoregions of the western United States and show the largest increase rates in burned area above 2,500 m during 1984 to 2017. Furthermore, we show that high-elevation fires advanced upslope with a median cumulative change of 252 m (-107 to 656 m; 95% CI) in 34 y across studied ecoregions. We also document a strong interannual relationship between high-elevation fires and warm season vapor pressure deficit (VPD). The upslope advance of fires is consistent with observed warming reflected by a median upslope drift of VPD isolines of 295 m (59 to 704 m; 95% CI) during 1984 to 2017. These findings allow us to estimate that recent climate trends reduced the high-elevation flammability barrier and enabled fires in an additional 11% of western forests. Limited influences of fire management practices and longer fire-return intervals in these montane mesic systems suggest these changes are largely a byproduct of climate warming. Further weakening in the high-elevation flammability barrier with continued warming has the potential to transform montane fire regimes with numerous implications for ecosystems and watersheds.","author":[{"dropping-particle":"","family":"Alizadeh","given":"Mohammad Reza","non-dropping-particle":"","parse-names":false,"suffix":""},{"dropping-particle":"","family":"Abatzoglou","given":"John T.","non-dropping-particle":"","parse-names":false,"suffix":""},{"dropping-particle":"","family":"Luce","given":"Charles H.","non-dropping-particle":"","parse-names":false,"suffix":""},{"dropping-particle":"","family":"Adamowski","given":"Jan F.","non-dropping-particle":"","parse-names":false,"suffix":""},{"dropping-particle":"","family":"Farid","given":"Arvin","non-dropping-particle":"","parse-names":false,"suffix":""},{"dropping-particle":"","family":"Sadegh","given":"Mojtaba","non-dropping-particle":"","parse-names":false,"suffix":""}],"container-title":"Proceedings of the National Academy of Sciences of the United States of America","id":"ITEM-2","issue":"22","issued":{"date-parts":[["2021"]]},"page":"1-14","title":"Warming enabled upslope advance in western US forest fires","type":"article-journal","volume":"118"},"uris":["http://www.mendeley.com/documents/?uuid=0a42f222-1b3f-4d26-928d-21cc879a1e57"]}],"mendeley":{"formattedCitation":"(Parks and Abatzoglou, 2020; Alizadeh &lt;i&gt;et al.&lt;/i&gt;, 2021)","plainTextFormattedCitation":"(Parks and Abatzoglou, 2020; Alizadeh et al., 2021)","previouslyFormattedCitation":"(Parks and Abatzoglou, 2020; Alizadeh &lt;i&gt;et al.&lt;/i&gt;, 2021)"},"properties":{"noteIndex":0},"schema":"https://github.com/citation-style-language/schema/raw/master/csl-citation.json"}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(Parks and Abatzoglou, 2020; Alizadeh </w:t>
      </w:r>
      <w:r w:rsidR="00EB4A84" w:rsidRPr="00EB4A84">
        <w:rPr>
          <w:rFonts w:cstheme="minorHAnsi"/>
          <w:i/>
          <w:noProof/>
        </w:rPr>
        <w:t>et al.</w:t>
      </w:r>
      <w:r w:rsidR="00EB4A84" w:rsidRPr="00EB4A84">
        <w:rPr>
          <w:rFonts w:cstheme="minorHAnsi"/>
          <w:noProof/>
        </w:rPr>
        <w:t>, 2021)</w:t>
      </w:r>
      <w:r w:rsidR="00C243DB">
        <w:rPr>
          <w:rFonts w:cstheme="minorHAnsi"/>
        </w:rPr>
        <w:fldChar w:fldCharType="end"/>
      </w:r>
      <w:r w:rsidR="00C243DB">
        <w:rPr>
          <w:rFonts w:cstheme="minorHAnsi"/>
        </w:rPr>
        <w:t xml:space="preserve">. </w:t>
      </w:r>
      <w:r w:rsidR="007B6647" w:rsidRPr="00F30BF0">
        <w:rPr>
          <w:rFonts w:cstheme="minorHAnsi"/>
        </w:rPr>
        <w:t>Given this context and the results of this study</w:t>
      </w:r>
      <w:r w:rsidR="0038352F" w:rsidRPr="00F30BF0">
        <w:rPr>
          <w:rFonts w:cstheme="minorHAnsi"/>
        </w:rPr>
        <w:t xml:space="preserve">, it is clear that the disrupted fire regime is </w:t>
      </w:r>
      <w:r w:rsidR="00DD37D1">
        <w:rPr>
          <w:rFonts w:cstheme="minorHAnsi"/>
        </w:rPr>
        <w:t>a core threat</w:t>
      </w:r>
      <w:r w:rsidR="0038352F" w:rsidRPr="00F30BF0">
        <w:rPr>
          <w:rFonts w:cstheme="minorHAnsi"/>
        </w:rPr>
        <w:t xml:space="preserve"> facing sugar pine.</w:t>
      </w:r>
    </w:p>
    <w:p w14:paraId="08143CA3" w14:textId="76F1AF18" w:rsidR="00093A54" w:rsidRDefault="0038352F" w:rsidP="003D3B95">
      <w:pPr>
        <w:spacing w:line="360" w:lineRule="auto"/>
        <w:ind w:firstLine="720"/>
        <w:rPr>
          <w:rFonts w:cstheme="minorHAnsi"/>
        </w:rPr>
      </w:pPr>
      <w:r w:rsidRPr="00F30BF0">
        <w:rPr>
          <w:rFonts w:cstheme="minorHAnsi"/>
        </w:rPr>
        <w:t>Though their effects were less severe than those of fire, both WPBR and densification negatively impacted sugar pine’s population dynamics in this study.</w:t>
      </w:r>
      <w:r w:rsidR="009B0C1C" w:rsidRPr="00F30BF0">
        <w:rPr>
          <w:rFonts w:cstheme="minorHAnsi"/>
        </w:rPr>
        <w:t xml:space="preserve"> </w:t>
      </w:r>
      <w:r w:rsidR="00407119" w:rsidRPr="00F30BF0">
        <w:rPr>
          <w:rFonts w:cstheme="minorHAnsi"/>
        </w:rPr>
        <w:t>The data here show that WPBR negatively impacted survival, potentially with a greater effect on small trees</w:t>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_Ref93744929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6A10AA">
        <w:t xml:space="preserve">Figure </w:t>
      </w:r>
      <w:r w:rsidR="006A10AA">
        <w:rPr>
          <w:noProof/>
        </w:rPr>
        <w:t>3</w:t>
      </w:r>
      <w:r w:rsidR="00DC36D7" w:rsidRPr="00F30BF0">
        <w:rPr>
          <w:rFonts w:cstheme="minorHAnsi"/>
        </w:rPr>
        <w:fldChar w:fldCharType="end"/>
      </w:r>
      <w:r w:rsidR="00DC36D7" w:rsidRPr="00F30BF0">
        <w:rPr>
          <w:rFonts w:cstheme="minorHAnsi"/>
        </w:rPr>
        <w:t>)</w:t>
      </w:r>
      <w:r w:rsidR="00407119" w:rsidRPr="00F30BF0">
        <w:rPr>
          <w:rFonts w:cstheme="minorHAnsi"/>
        </w:rPr>
        <w:t xml:space="preserve">. Numerous other studies have shown </w:t>
      </w:r>
      <w:r w:rsidR="00C52916" w:rsidRPr="00F30BF0">
        <w:rPr>
          <w:rFonts w:cstheme="minorHAnsi"/>
        </w:rPr>
        <w:t xml:space="preserve">that blister rust tends to kill smaller trees </w:t>
      </w:r>
      <w:r w:rsidR="00566DC3">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566DC3">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566DC3">
        <w:rPr>
          <w:rFonts w:cstheme="minorHAnsi"/>
        </w:rPr>
        <w:fldChar w:fldCharType="end"/>
      </w:r>
      <w:r w:rsidR="00B76637" w:rsidRPr="00F30BF0">
        <w:rPr>
          <w:rFonts w:cstheme="minorHAnsi"/>
        </w:rPr>
        <w:t xml:space="preserve"> and negatively affects survival rates of sugar pine and other vulnerable species </w:t>
      </w:r>
      <w:r w:rsidR="0080786A">
        <w:rPr>
          <w:rFonts w:cstheme="minorHAnsi"/>
        </w:rPr>
        <w:fldChar w:fldCharType="begin" w:fldLock="1"/>
      </w:r>
      <w:r w:rsidR="002C19B3">
        <w:rPr>
          <w:rFonts w:cstheme="minorHAnsi"/>
        </w:rPr>
        <w:instrText>ADDIN CSL_CITATION {"citationItems":[{"id":"ITEM-1","itemData":{"DOI":"10.1016/j.foreco.2011.05.011","ISSN":"03781127","abstract":"Historical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Management","id":"ITEM-1","issue":"5","issued":{"date-parts":[["2011"]]},"page":"770-779","publisher":"Elsevier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species","type":"article-journal","volume":"11"},"uris":["http://www.mendeley.com/documents/?uuid=54eba3d7-5ed4-4e44-a51e-b1150e7c2215"]}],"mendeley":{"formattedCitation":"(Maloney &lt;i&gt;et al.&lt;/i&gt;, 2011; Dudney &lt;i&gt;et al.&lt;/i&gt;, 2020)","plainTextFormattedCitation":"(Maloney et al., 2011; Dudney et al., 2020)","previouslyFormattedCitation":"(Maloney &lt;i&gt;et al.&lt;/i&gt;, 2011; Dudney &lt;i&gt;et al.&lt;/i&gt;, 2020)"},"properties":{"noteIndex":0},"schema":"https://github.com/citation-style-language/schema/raw/master/csl-citation.json"}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xml:space="preserve">, 2011; Dudney </w:t>
      </w:r>
      <w:r w:rsidR="00EB4A84" w:rsidRPr="00EB4A84">
        <w:rPr>
          <w:rFonts w:cstheme="minorHAnsi"/>
          <w:i/>
          <w:noProof/>
        </w:rPr>
        <w:t>et al.</w:t>
      </w:r>
      <w:r w:rsidR="00EB4A84" w:rsidRPr="00EB4A84">
        <w:rPr>
          <w:rFonts w:cstheme="minorHAnsi"/>
          <w:noProof/>
        </w:rPr>
        <w:t>, 2020)</w:t>
      </w:r>
      <w:r w:rsidR="0080786A">
        <w:rPr>
          <w:rFonts w:cstheme="minorHAnsi"/>
        </w:rPr>
        <w:fldChar w:fldCharType="end"/>
      </w:r>
      <w:commentRangeStart w:id="66"/>
      <w:r w:rsidR="00B76637" w:rsidRPr="00F30BF0">
        <w:rPr>
          <w:rFonts w:cstheme="minorHAnsi"/>
        </w:rPr>
        <w:t>.</w:t>
      </w:r>
      <w:r w:rsidR="00093A54">
        <w:rPr>
          <w:rFonts w:cstheme="minorHAnsi"/>
        </w:rPr>
        <w:t xml:space="preserve"> T</w:t>
      </w:r>
      <w:r w:rsidR="00093A54" w:rsidRPr="00F30BF0">
        <w:rPr>
          <w:rFonts w:cstheme="minorHAnsi"/>
        </w:rPr>
        <w:t>he presence of WPBR on individual trees (and thus on their plots) may be difficult to detect</w:t>
      </w:r>
      <w:r w:rsidR="00093A54">
        <w:rPr>
          <w:rFonts w:cstheme="minorHAnsi"/>
        </w:rPr>
        <w:t xml:space="preserve"> </w:t>
      </w:r>
      <w:r w:rsidR="00093A54">
        <w:rPr>
          <w:rFonts w:cstheme="minorHAnsi"/>
        </w:rPr>
        <w:fldChar w:fldCharType="begin" w:fldLock="1"/>
      </w:r>
      <w:r w:rsidR="00093A54">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093A54">
        <w:rPr>
          <w:rFonts w:cstheme="minorHAnsi"/>
        </w:rPr>
        <w:fldChar w:fldCharType="separate"/>
      </w:r>
      <w:r w:rsidR="00093A54" w:rsidRPr="00EB4A84">
        <w:rPr>
          <w:rFonts w:cstheme="minorHAnsi"/>
          <w:noProof/>
        </w:rPr>
        <w:t xml:space="preserve">(Dudney </w:t>
      </w:r>
      <w:r w:rsidR="00093A54" w:rsidRPr="00EB4A84">
        <w:rPr>
          <w:rFonts w:cstheme="minorHAnsi"/>
          <w:i/>
          <w:noProof/>
        </w:rPr>
        <w:t>et al.</w:t>
      </w:r>
      <w:r w:rsidR="00093A54" w:rsidRPr="00EB4A84">
        <w:rPr>
          <w:rFonts w:cstheme="minorHAnsi"/>
          <w:noProof/>
        </w:rPr>
        <w:t>, 2020)</w:t>
      </w:r>
      <w:r w:rsidR="00093A54">
        <w:rPr>
          <w:rFonts w:cstheme="minorHAnsi"/>
        </w:rPr>
        <w:fldChar w:fldCharType="end"/>
      </w:r>
      <w:r w:rsidR="00093A54" w:rsidRPr="00F30BF0">
        <w:rPr>
          <w:rFonts w:cstheme="minorHAnsi"/>
        </w:rPr>
        <w:t xml:space="preserve">, and is likely that WPBR was only detected in this study where it has caused a particularly severe infection in a sampled tree. There are two likely effects of this sampling bias towards under detection: </w:t>
      </w:r>
      <w:r w:rsidR="00093A54" w:rsidRPr="00F30BF0">
        <w:rPr>
          <w:rFonts w:cstheme="minorHAnsi"/>
        </w:rPr>
        <w:lastRenderedPageBreak/>
        <w:t xml:space="preserve">Our data may underreport the true prevalence of WPBR and overestimate the true impact of its presence on a subplot. </w:t>
      </w:r>
    </w:p>
    <w:commentRangeEnd w:id="66"/>
    <w:p w14:paraId="450DDF39" w14:textId="0D211D1D" w:rsidR="009B0C1C" w:rsidRPr="00F30BF0" w:rsidRDefault="00A47588" w:rsidP="003D3B95">
      <w:pPr>
        <w:spacing w:line="360" w:lineRule="auto"/>
        <w:ind w:firstLine="720"/>
        <w:rPr>
          <w:rFonts w:cstheme="minorHAnsi"/>
        </w:rPr>
      </w:pPr>
      <w:r>
        <w:rPr>
          <w:rStyle w:val="CommentReference"/>
        </w:rPr>
        <w:commentReference w:id="66"/>
      </w:r>
      <w:r w:rsidR="001957F1" w:rsidRPr="00F30BF0">
        <w:rPr>
          <w:rFonts w:cstheme="minorHAnsi"/>
        </w:rPr>
        <w:t xml:space="preserve">This study also found that relatively high neighborhood density </w:t>
      </w:r>
      <w:r w:rsidR="00DC36D7" w:rsidRPr="00F30BF0">
        <w:rPr>
          <w:rFonts w:cstheme="minorHAnsi"/>
        </w:rPr>
        <w:t>(basal area) resulted in lower rates of growth (</w:t>
      </w:r>
      <w:r w:rsidR="00DC36D7" w:rsidRPr="00F30BF0">
        <w:rPr>
          <w:rFonts w:cstheme="minorHAnsi"/>
        </w:rPr>
        <w:fldChar w:fldCharType="begin"/>
      </w:r>
      <w:r w:rsidR="00DC36D7" w:rsidRPr="00F30BF0">
        <w:rPr>
          <w:rFonts w:cstheme="minorHAnsi"/>
        </w:rPr>
        <w:instrText xml:space="preserve"> REF _Ref94611931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02014E">
        <w:t xml:space="preserve">Figure </w:t>
      </w:r>
      <w:r w:rsidR="0002014E">
        <w:rPr>
          <w:noProof/>
        </w:rPr>
        <w:t>4</w:t>
      </w:r>
      <w:r w:rsidR="00DC36D7" w:rsidRPr="00F30BF0">
        <w:rPr>
          <w:rFonts w:cstheme="minorHAnsi"/>
        </w:rPr>
        <w:fldChar w:fldCharType="end"/>
      </w:r>
      <w:r w:rsidR="00DC36D7" w:rsidRPr="00F30BF0">
        <w:rPr>
          <w:rFonts w:cstheme="minorHAnsi"/>
        </w:rPr>
        <w:t>)</w:t>
      </w:r>
      <w:r w:rsidR="001E52DB">
        <w:rPr>
          <w:rFonts w:cstheme="minorHAnsi"/>
        </w:rPr>
        <w:t xml:space="preserve"> and survival of small individuals (</w:t>
      </w:r>
      <w:r w:rsidR="0002014E">
        <w:rPr>
          <w:rFonts w:cstheme="minorHAnsi"/>
        </w:rPr>
        <w:fldChar w:fldCharType="begin"/>
      </w:r>
      <w:r w:rsidR="0002014E">
        <w:rPr>
          <w:rFonts w:cstheme="minorHAnsi"/>
        </w:rPr>
        <w:instrText xml:space="preserve"> REF _Ref93744929 \h </w:instrText>
      </w:r>
      <w:r w:rsidR="0002014E">
        <w:rPr>
          <w:rFonts w:cstheme="minorHAnsi"/>
        </w:rPr>
      </w:r>
      <w:r w:rsidR="0002014E">
        <w:rPr>
          <w:rFonts w:cstheme="minorHAnsi"/>
        </w:rPr>
        <w:fldChar w:fldCharType="separate"/>
      </w:r>
      <w:r w:rsidR="0002014E">
        <w:t xml:space="preserve">Figure </w:t>
      </w:r>
      <w:r w:rsidR="0002014E">
        <w:rPr>
          <w:noProof/>
        </w:rPr>
        <w:t>3</w:t>
      </w:r>
      <w:r w:rsidR="0002014E">
        <w:rPr>
          <w:rFonts w:cstheme="minorHAnsi"/>
        </w:rPr>
        <w:fldChar w:fldCharType="end"/>
      </w:r>
      <w:r w:rsidR="001E52DB">
        <w:rPr>
          <w:rFonts w:cstheme="minorHAnsi"/>
        </w:rPr>
        <w:t>)</w:t>
      </w:r>
      <w:r w:rsidR="00DC36D7" w:rsidRPr="00F30BF0">
        <w:rPr>
          <w:rFonts w:cstheme="minorHAnsi"/>
        </w:rPr>
        <w:t xml:space="preserve">. </w:t>
      </w:r>
      <w:r w:rsidR="00403C76" w:rsidRPr="00F30BF0">
        <w:rPr>
          <w:rFonts w:cstheme="minorHAnsi"/>
        </w:rPr>
        <w:t>There is extensive evidence in the literature that high neighborhood density</w:t>
      </w:r>
      <w:r w:rsidR="0084135D" w:rsidRPr="00F30BF0">
        <w:rPr>
          <w:rFonts w:cstheme="minorHAnsi"/>
        </w:rPr>
        <w:t xml:space="preserve"> and other proxies for competition</w:t>
      </w:r>
      <w:r w:rsidR="00403C76" w:rsidRPr="00F30BF0">
        <w:rPr>
          <w:rFonts w:cstheme="minorHAnsi"/>
        </w:rPr>
        <w:t xml:space="preserve"> negatively impact sugar pine</w:t>
      </w:r>
      <w:r w:rsidR="00573E2C" w:rsidRPr="00F30BF0">
        <w:rPr>
          <w:rFonts w:cstheme="minorHAnsi"/>
        </w:rPr>
        <w:t xml:space="preserve"> survival</w:t>
      </w:r>
      <w:r w:rsidR="0080786A">
        <w:rPr>
          <w:rFonts w:cstheme="minorHAnsi"/>
        </w:rPr>
        <w:t xml:space="preserve"> </w:t>
      </w:r>
      <w:r w:rsidR="0080786A">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Management","id":"ITEM-2","issue":"5","issued":{"date-parts":[["2011"]]},"page":"770-779","publisher":"Elsevier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restoration","type":"article-journal","volume":"262"},"uris":["http://www.mendeley.com/documents/?uuid=9a0c821b-c50c-45fc-9062-b98c1d978b4e"]},{"id":"ITEM-3","itemData":{"DOI":"10.1139/cjfr-2015-0406","ISBN":"0045-5067","ISSN":"0045-5067","abstract":"In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Research","id":"ITEM-3","issue":"5","issued":{"date-parts":[["2016"]]},"page":"745-752","title":"Long-term demographic trends in a fire-suppressed mixed-conifer forest","type":"article-journal","volume":"46"},"uris":["http://www.mendeley.com/documents/?uuid=d23a6c87-7bd8-4d6f-9854-d1b054b6fd88"]}],"mendeley":{"formattedCitation":"(Van Mantgem &lt;i&gt;et al.&lt;/i&gt;, 2004; Maloney &lt;i&gt;et al.&lt;/i&gt;, 2011; Levine &lt;i&gt;et al.&lt;/i&gt;, 2016)","plainTextFormattedCitation":"(Van Mantgem et al., 2004; Maloney et al., 2011; Levine et al., 2016)","previouslyFormattedCitation":"(Van Mantgem &lt;i&gt;et al.&lt;/i&gt;, 2004; Maloney &lt;i&gt;et al.&lt;/i&gt;, 2011; Levine &lt;i&gt;et al.&lt;/i&gt;, 2016)"},"properties":{"noteIndex":0},"schema":"https://github.com/citation-style-language/schema/raw/master/csl-citation.json"}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Maloney </w:t>
      </w:r>
      <w:r w:rsidR="00EB4A84" w:rsidRPr="00EB4A84">
        <w:rPr>
          <w:rFonts w:cstheme="minorHAnsi"/>
          <w:i/>
          <w:noProof/>
        </w:rPr>
        <w:t>et al.</w:t>
      </w:r>
      <w:r w:rsidR="00EB4A84" w:rsidRPr="00EB4A84">
        <w:rPr>
          <w:rFonts w:cstheme="minorHAnsi"/>
          <w:noProof/>
        </w:rPr>
        <w:t xml:space="preserve">, 2011; Levine </w:t>
      </w:r>
      <w:r w:rsidR="00EB4A84" w:rsidRPr="00EB4A84">
        <w:rPr>
          <w:rFonts w:cstheme="minorHAnsi"/>
          <w:i/>
          <w:noProof/>
        </w:rPr>
        <w:t>et al.</w:t>
      </w:r>
      <w:r w:rsidR="00EB4A84" w:rsidRPr="00EB4A84">
        <w:rPr>
          <w:rFonts w:cstheme="minorHAnsi"/>
          <w:noProof/>
        </w:rPr>
        <w:t>, 2016)</w:t>
      </w:r>
      <w:r w:rsidR="0080786A">
        <w:rPr>
          <w:rFonts w:cstheme="minorHAnsi"/>
        </w:rPr>
        <w:fldChar w:fldCharType="end"/>
      </w:r>
      <w:r w:rsidR="00403C76" w:rsidRPr="00F30BF0">
        <w:rPr>
          <w:rFonts w:cstheme="minorHAnsi"/>
        </w:rPr>
        <w:t xml:space="preserve"> </w:t>
      </w:r>
      <w:r w:rsidR="00573E2C" w:rsidRPr="00F30BF0">
        <w:rPr>
          <w:rFonts w:cstheme="minorHAnsi"/>
        </w:rPr>
        <w:t xml:space="preserve">and growth </w:t>
      </w:r>
      <w:r w:rsidR="0080786A">
        <w:rPr>
          <w:rFonts w:cstheme="minorHAnsi"/>
        </w:rPr>
        <w:fldChar w:fldCharType="begin" w:fldLock="1"/>
      </w:r>
      <w:r w:rsidR="00021D10">
        <w:rPr>
          <w:rFonts w:cstheme="minorHAnsi"/>
        </w:rPr>
        <w:instrText>ADDIN CSL_CITATION {"citationItems":[{"id":"ITEM-1","itemData":{"DOI":"10.1139/x2012-142","ISSN":"00455067","abstract":"Tree growth and competition play central roles in forest dynamics. Yet models of competition often neglect important variation in species-specific responses. Furthermore, functions used to model changes in growth rate with size do not always allow for potential complexity. Using a large data set from old-growth forests in California, models were parameterized relating growth rate to tree size and competition for four common species. Several functions relating growth rate to size were tested. Competition models included parameters for tree size, competitor size, and competitor distance. Competitive strength was allowed to vary by species. The best ranked models (using Akaike's information criterion) explained between 18% and 40% of the variance in growth rate, with each species showing a strong response to competition. Models indicated that relationships between competition and growth varied substantially among species. The results also suggested that the relationship between growth rate and tree size can be complex and that how we model it can affect not only our ability to detect that complexity but also whether we obtain misleading results. In this case, for three of four species, the best model captured an apparent and unexpected decline in potential growth rate for the smallest trees in the data set.","author":[{"dropping-particle":"","family":"Das","given":"Adrian","non-dropping-particle":"","parse-names":false,"suffix":""}],"container-title":"Canadian Journal of Forest Research","id":"ITEM-1","issue":"11","issued":{"date-parts":[["2012"]]},"page":"1983-1995","title":"The effect of size and competition on tree growth rate in old-growth coniferous forests","type":"article-journal","volume":"42"},"uris":["http://www.mendeley.com/documents/?uuid=7e8e9215-396a-48aa-84a2-aa6d28e0d176"]},{"id":"ITEM-2","itemData":{"DOI":"10.1890/12-0504.1","ISSN":"10510761","PMID":"24147402","abstract":"Understanding tree growth as a function of tree size is important for a multitude of ecological and management applications. Determining what limits growth is of central interest, and forest inventory permanent plots are an abundant source of long-term information but are highly complex. Observation error and multiple sources of shared variation (spatial plot effects, temporal repeated measures, and a mosaic of sampling intervals) make these data challenging to use for growth estimation. We account for these complexities and incorporate potential limiting factors (tree size, competition, and resource supply) into a hierarchical state-space model. We estimate the diameter growth of white fir (Abies concolor) in the Sierra Nevada of California from forest inventory data, showing that estimating such a model is feasible in a Bayesian framework using readily available modeling tools. In this forest, white fir growth depends strongly on tree size, total plot basal area, and unexplained variation between individual trees. Plot-level resource supply variables (representing light, water, and nutrient availability) do not have a strong impact on inventory-size trees. This approach can be applied to other networks of permanent forest plots, leading to greater ecological insights on tree growth. © 2013 by the Ecological Society of America.","author":[{"dropping-particle":"","family":"Eitzel","given":"Melissa","non-dropping-particle":"","parse-names":false,"suffix":""},{"dropping-particle":"","family":"Battles","given":"John","non-dropping-particle":"","parse-names":false,"suffix":""},{"dropping-particle":"","family":"York","given":"Robert","non-dropping-particle":"","parse-names":false,"suffix":""},{"dropping-particle":"","family":"Knape","given":"Jonas","non-dropping-particle":"","parse-names":false,"suffix":""},{"dropping-particle":"","family":"Valpine","given":"Perry","non-dropping-particle":"De","parse-names":false,"suffix":""}],"container-title":"Ecological Applications","id":"ITEM-2","issue":"6","issued":{"date-parts":[["2013"]]},"page":"1288-1296","title":"Estimating tree growth from complex forest monitoring data","type":"article-journal","volume":"23"},"uris":["http://www.mendeley.com/documents/?uuid=58bd7dbf-601b-40cd-934b-4222b6088af9"]},{"id":"ITEM-3","itemData":{"DOI":"10.1093/treephys/22.2-3.137","ISSN":"0829318X","PMID":"11830410","abstract":"The positive growth response of healthy young trees to density reduction is well known. In contrast, large old trees are usually thought to be intrinsically limited in their ability to respond to increased growing space; therefore, density reduction is seldom used in stands of old-growth trees. We tested the null hypothesis that old-growth trees are incapable of responding with increased growth following density reduction. The diameter growth response of 271 Douglas-fir (Pseudotsuga menziesii (Mirb.) Franco), ponderosa pine (Pinus ponderosa Dougl. ex Laws) and sugar pine (Pinus lambertiana Dougl.) trees ranging in age from 158 to 650 years was examined 20 to 50 years after density reduction. Density reduction involved either light thinning with removal of less vigorous trees, or shelterwood treatments in which overstory trees were not removed. Ratios of basal area growth after treatment to basal area growth before treatment, and several other measures of growth, all indicated that the old trees sometimes benefited and were not harmed by density reduction. Growth increased by 10% or more for 68% of the trees in treated stands, and nearly 30% of trees increased growth by over 50%. This growth response persisted for at least 20 years. During this 20-year period, only three trees in treated stands (1.5%) exhibited a rapid decrease in growth, whereas growth decreased in 64% of trees in untreated stands. The length of time before a growth response to density reduction occurred varied from 5 to 25 years, with the greatest growth response often occurring 20 to 25 years after treatment. These results have important implications both for the basic biology of aging in woody plants as well as for silvicultural practices in forests with old-growth trees.","author":[{"dropping-particle":"","family":"Latham","given":"P.","non-dropping-particle":"","parse-names":false,"suffix":""},{"dropping-particle":"","family":"Tappeiner","given":"J.","non-dropping-particle":"","parse-names":false,"suffix":""}],"container-title":"Tree Physiology","id":"ITEM-3","issue":"2-3","issued":{"date-parts":[["2002"]]},"page":"137-146","title":"Response of old-growth conifers to reduction in stand density in western Oregon forests","type":"article-journal","volume":"22"},"uris":["http://www.mendeley.com/documents/?uuid=2afe436f-2493-4235-bdb9-3c2d9688c1f1"]},{"id":"ITEM-4","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D.","non-dropping-particle":"","parse-names":false,"suffix":""}],"container-title":"Ecosphere","id":"ITEM-4","issue":"January","issued":{"date-parts":[["2021"]]},"title":"Do Forest Fuel Reduction Treatments Confer Resistance to Beetle Infestation and Drought Mortality?","type":"article-journal","volume":"12"},"uris":["http://www.mendeley.com/documents/?uuid=27f300f3-6aa3-4e67-9ff2-302a5568e9e8"]}],"mendeley":{"formattedCitation":"(Latham and Tappeiner, 2002; Das, 2012; Eitzel &lt;i&gt;et al.&lt;/i&gt;, 2013; Steel &lt;i&gt;et al.&lt;/i&gt;, 2021)","plainTextFormattedCitation":"(Latham and Tappeiner, 2002; Das, 2012; Eitzel et al., 2013; Steel et al., 2021)","previouslyFormattedCitation":"(Latham and Tappeiner, 2002; Das, 2012; Eitzel &lt;i&gt;et al.&lt;/i&gt;, 2013; Steel &lt;i&gt;et al.&lt;/i&gt;, 2021)"},"properties":{"noteIndex":0},"schema":"https://github.com/citation-style-language/schema/raw/master/csl-citation.json"}</w:instrText>
      </w:r>
      <w:r w:rsidR="0080786A">
        <w:rPr>
          <w:rFonts w:cstheme="minorHAnsi"/>
        </w:rPr>
        <w:fldChar w:fldCharType="separate"/>
      </w:r>
      <w:r w:rsidR="00021D10" w:rsidRPr="00021D10">
        <w:rPr>
          <w:rFonts w:cstheme="minorHAnsi"/>
          <w:noProof/>
        </w:rPr>
        <w:t xml:space="preserve">(Latham and Tappeiner, 2002; Das, 2012; Eitzel </w:t>
      </w:r>
      <w:r w:rsidR="00021D10" w:rsidRPr="00021D10">
        <w:rPr>
          <w:rFonts w:cstheme="minorHAnsi"/>
          <w:i/>
          <w:noProof/>
        </w:rPr>
        <w:t>et al.</w:t>
      </w:r>
      <w:r w:rsidR="00021D10" w:rsidRPr="00021D10">
        <w:rPr>
          <w:rFonts w:cstheme="minorHAnsi"/>
          <w:noProof/>
        </w:rPr>
        <w:t xml:space="preserve">, 2013; Steel </w:t>
      </w:r>
      <w:r w:rsidR="00021D10" w:rsidRPr="00021D10">
        <w:rPr>
          <w:rFonts w:cstheme="minorHAnsi"/>
          <w:i/>
          <w:noProof/>
        </w:rPr>
        <w:t>et al.</w:t>
      </w:r>
      <w:r w:rsidR="00021D10" w:rsidRPr="00021D10">
        <w:rPr>
          <w:rFonts w:cstheme="minorHAnsi"/>
          <w:noProof/>
        </w:rPr>
        <w:t>, 2021)</w:t>
      </w:r>
      <w:r w:rsidR="0080786A">
        <w:rPr>
          <w:rFonts w:cstheme="minorHAnsi"/>
        </w:rPr>
        <w:fldChar w:fldCharType="end"/>
      </w:r>
      <w:r w:rsidR="0080786A">
        <w:rPr>
          <w:rFonts w:cstheme="minorHAnsi"/>
        </w:rPr>
        <w:t>.</w:t>
      </w:r>
      <w:r w:rsidR="00573E2C" w:rsidRPr="00F30BF0">
        <w:rPr>
          <w:rFonts w:cstheme="minorHAnsi"/>
        </w:rPr>
        <w:t xml:space="preserve"> It is unclear from our data whether the negative impact of density on fecundity</w:t>
      </w:r>
      <w:r w:rsidR="006C7CA9">
        <w:rPr>
          <w:rFonts w:cstheme="minorHAnsi"/>
        </w:rPr>
        <w:t xml:space="preserve"> of trees between 0.50 and 2.00 m DBH</w:t>
      </w:r>
      <w:r w:rsidR="00573E2C" w:rsidRPr="00F30BF0">
        <w:rPr>
          <w:rFonts w:cstheme="minorHAnsi"/>
        </w:rPr>
        <w:t xml:space="preserve"> is a result of decreased reproduction due to stress of parent trees, or decreased survival </w:t>
      </w:r>
      <w:r w:rsidR="0084135D" w:rsidRPr="00F30BF0">
        <w:rPr>
          <w:rFonts w:cstheme="minorHAnsi"/>
        </w:rPr>
        <w:t xml:space="preserve">and/or growth </w:t>
      </w:r>
      <w:r w:rsidR="00573E2C" w:rsidRPr="00F30BF0">
        <w:rPr>
          <w:rFonts w:cstheme="minorHAnsi"/>
        </w:rPr>
        <w:t>of new recruits due to competition, but both dynamics are plausible</w:t>
      </w:r>
      <w:r w:rsidR="00785480" w:rsidRPr="00F30BF0">
        <w:rPr>
          <w:rFonts w:cstheme="minorHAnsi"/>
        </w:rPr>
        <w:t xml:space="preserve"> </w:t>
      </w:r>
      <w:r w:rsidR="0080786A">
        <w:rPr>
          <w:rFonts w:cstheme="minorHAnsi"/>
        </w:rPr>
        <w:fldChar w:fldCharType="begin" w:fldLock="1"/>
      </w:r>
      <w:r w:rsidR="002C19B3">
        <w:rPr>
          <w:rFonts w:cstheme="minorHAnsi"/>
        </w:rPr>
        <w:instrText>ADDIN CSL_CITATION {"citationItems":[{"id":"ITEM-1","itemData":{"author":[{"dropping-particle":"","family":"Schubert","given":"Gilbert H","non-dropping-particle":"","parse-names":false,"suffix":""}],"id":"ITEM-1","issue":"116","issued":{"date-parts":[["1956"]]},"title":"Effect of fertilizer on cone production of sugar pine","type":"report"},"uris":["http://www.mendeley.com/documents/?uuid=dc286847-3f55-4907-848f-85797a8f5b84"]},{"id":"ITEM-2","itemData":{"DOI":"10.1093/forestry/cpt028","ISSN":"0015752X","abstract":"Concern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characteristics","type":"article-journal","volume":"87"},"uris":["http://www.mendeley.com/documents/?uuid=538bae05-6bfb-44e5-8085-6e0cd26cbad0"]},{"id":"ITEM-3","itemData":{"DOI":"10.1016/j.foreco.2006.01.015","ISSN":"03781127","abstract":"To elucidate broad-scale environmental controls of coniferous forest reproduction in the Sierra Nevada, California, we monitored reproduction for 5 years in 47 plots arrayed across a steep elevational (climatic) gradient. We found that both absolute seedling densities (stems &lt; 1.37 m) and seedling densities relative to overstory parent tree basal area declined sharply with elevation. Rates of seedling turnover (the average of birth and death rates) also declined with elevation. In contrast, seed production was not predicted by elevation and was highly variable from year to year. During a mast year of seed production, the intensity of masting was uneven among plots. Seedling densities were elevated only during the single year immediately following the mast year, suggesting reproduction in our forests may be primarily limited by abiotic factors such as the availability of suitable sites and weather. Disturbance also clearly affected reproduction; plots that had recently burned had significantly higher seedling to parent tree ratios for Abies species, suggesting that even though established Abies concolor may be relatively susceptible to fire, the species can recover rapidly through prolific reproduction. Since reproductive failures may be our earliest signal of changing forest conditions, seedling dynamics could provide a sensitive, if variable, indicator of environmental changes. © 2006 Elsevier B.V. All rights reserved.","author":[{"dropping-particle":"","family":"Mantgem","given":"Phillip J.","non-dropping-particle":"Van","parse-names":false,"suffix":""},{"dropping-particle":"","family":"Stephenson","given":"Nathan L.","non-dropping-particle":"","parse-names":false,"suffix":""},{"dropping-particle":"","family":"Keeley","given":"Jon E.","non-dropping-particle":"","parse-names":false,"suffix":""}],"container-title":"Forest Ecology and Management","id":"ITEM-3","issue":"1-3","issued":{"date-parts":[["2006"]]},"page":"391-399","title":"Forest reproduction along a climatic gradient in the Sierra Nevada, California","type":"article-journal","volume":"225"},"uris":["http://www.mendeley.com/documents/?uuid=85d94f89-1b3b-4db9-b1cc-2639d2407c1d"]},{"id":"ITEM-4","itemData":{"DOI":"10.1139/cjfr-2015-0406","ISBN":"0045-5067","ISSN":"0045-5067","abstract":"In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Research","id":"ITEM-4","issue":"5","issued":{"date-parts":[["2016"]]},"page":"745-752","title":"Long-term demographic trends in a fire-suppressed mixed-conifer forest","type":"article-journal","volume":"46"},"uris":["http://www.mendeley.com/documents/?uuid=d23a6c87-7bd8-4d6f-9854-d1b054b6fd88"]},{"id":"ITEM-5","itemData":{"DOI":"10.1002/ecs2.2776","ISSN":"21508925","abstract":"Understanding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L.","non-dropping-particle":"","parse-names":false,"suffix":""}],"container-title":"Ecosphere","id":"ITEM-5","issue":"6","issued":{"date-parts":[["2019"]]},"title":"Negative impacts of summer heat on Sierra Nevada tree seedlings","type":"article-journal","volume":"10"},"uris":["http://www.mendeley.com/documents/?uuid=52ae7f69-ba42-496d-827f-0c3f1dd1fb27"]},{"id":"ITEM-6","itemData":{"DOI":"10.1093/forestry/cpr058","ISBN":"0015-752X","ISSN":"0015752X","abstract":"Multi-aged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-6","issue":"2","issued":{"date-parts":[["2012"]]},"page":"203-213","title":"A gap-based approach for regenerating pine species and reducing surface fuels in multi-aged mixed conifer stands in the Sierra Nevada, California","type":"article-journal","volume":"85"},"uris":["http://www.mendeley.com/documents/?uuid=3b6aecd3-0825-4c84-b4ec-d17056626afa"]},{"id":"ITEM-7","itemData":{"DOI":"10.1139/x03-222","ISSN":"00455067","abstract":"Replicated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Research","id":"ITEM-7","issue":"3","issued":{"date-parts":[["2004"]]},"page":"630-641","title":"Group selection management in conifer forests: Relationships between opening size and tree growth","type":"article-journal","volume":"34"},"uris":["http://www.mendeley.com/documents/?uuid=99b0ba98-9512-424f-b8f9-5e4fd59cda36"]}],"mendeley":{"formattedCitation":"(Schubert, 1956; York &lt;i&gt;et al.&lt;/i&gt;, 2004, 2012; Van Mantgem, Stephenson and Keeley, 2006; Angell, Waring and Graves, 2014; Levine &lt;i&gt;et al.&lt;/i&gt;, 2016; Moran &lt;i&gt;et al.&lt;/i&gt;, 2019)","plainTextFormattedCitation":"(Schubert, 1956; York et al., 2004, 2012; Van Mantgem, Stephenson and Keeley, 2006; Angell, Waring and Graves, 2014; Levine et al., 2016; Moran et al., 2019)","previouslyFormattedCitation":"(Schubert, 1956; York &lt;i&gt;et al.&lt;/i&gt;, 2004, 2012; Van Mantgem, Stephenson and Keeley, 2006; Angell, Waring and Graves, 2014; Levine &lt;i&gt;et al.&lt;/i&gt;, 2016; Moran &lt;i&gt;et al.&lt;/i&gt;, 2019)"},"properties":{"noteIndex":0},"schema":"https://github.com/citation-style-language/schema/raw/master/csl-citation.json"}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(Schubert, 1956; York </w:t>
      </w:r>
      <w:r w:rsidR="00EB4A84" w:rsidRPr="00EB4A84">
        <w:rPr>
          <w:rFonts w:cstheme="minorHAnsi"/>
          <w:i/>
          <w:noProof/>
        </w:rPr>
        <w:t>et al.</w:t>
      </w:r>
      <w:r w:rsidR="00EB4A84" w:rsidRPr="00EB4A84">
        <w:rPr>
          <w:rFonts w:cstheme="minorHAnsi"/>
          <w:noProof/>
        </w:rPr>
        <w:t xml:space="preserve">, 2004, 2012; Van Mantgem, Stephenson and Keeley, 2006; Angell, Waring and Graves, 2014; Levine </w:t>
      </w:r>
      <w:r w:rsidR="00EB4A84" w:rsidRPr="00EB4A84">
        <w:rPr>
          <w:rFonts w:cstheme="minorHAnsi"/>
          <w:i/>
          <w:noProof/>
        </w:rPr>
        <w:t>et al.</w:t>
      </w:r>
      <w:r w:rsidR="00EB4A84" w:rsidRPr="00EB4A84">
        <w:rPr>
          <w:rFonts w:cstheme="minorHAnsi"/>
          <w:noProof/>
        </w:rPr>
        <w:t xml:space="preserve">, 2016; Moran </w:t>
      </w:r>
      <w:r w:rsidR="00EB4A84" w:rsidRPr="00EB4A84">
        <w:rPr>
          <w:rFonts w:cstheme="minorHAnsi"/>
          <w:i/>
          <w:noProof/>
        </w:rPr>
        <w:t>et al.</w:t>
      </w:r>
      <w:r w:rsidR="00EB4A84" w:rsidRPr="00EB4A84">
        <w:rPr>
          <w:rFonts w:cstheme="minorHAnsi"/>
          <w:noProof/>
        </w:rPr>
        <w:t>, 2019)</w:t>
      </w:r>
      <w:r w:rsidR="0080786A">
        <w:rPr>
          <w:rFonts w:cstheme="minorHAnsi"/>
        </w:rPr>
        <w:fldChar w:fldCharType="end"/>
      </w:r>
      <w:r w:rsidR="008569B1">
        <w:rPr>
          <w:rFonts w:cstheme="minorHAnsi"/>
        </w:rPr>
        <w:t>.</w:t>
      </w:r>
      <w:r w:rsidR="00857722" w:rsidRPr="00F30BF0">
        <w:rPr>
          <w:rFonts w:cstheme="minorHAnsi"/>
        </w:rPr>
        <w:t xml:space="preserve"> In this study, high neighborhood basal area and presence of WPBR both reduced the expected asymptotic growth rate relative to an unstressed site</w:t>
      </w:r>
      <w:r w:rsidR="003C2EB4" w:rsidRPr="00F30BF0">
        <w:rPr>
          <w:rFonts w:cstheme="minorHAnsi"/>
        </w:rPr>
        <w:t>,</w:t>
      </w:r>
      <w:r w:rsidR="00857722" w:rsidRPr="00F30BF0">
        <w:rPr>
          <w:rFonts w:cstheme="minorHAnsi"/>
        </w:rPr>
        <w:t xml:space="preserve"> </w:t>
      </w:r>
      <w:r w:rsidR="003C2EB4" w:rsidRPr="00F30BF0">
        <w:rPr>
          <w:rFonts w:cstheme="minorHAnsi"/>
        </w:rPr>
        <w:t xml:space="preserve">though negative impacts were weaker than that of fire </w:t>
      </w:r>
      <w:r w:rsidR="00857722" w:rsidRPr="00F30BF0">
        <w:rPr>
          <w:rFonts w:cstheme="minorHAnsi"/>
        </w:rPr>
        <w:t>(</w:t>
      </w:r>
      <w:r w:rsidR="00857722" w:rsidRPr="00F30BF0">
        <w:rPr>
          <w:rFonts w:cstheme="minorHAnsi"/>
        </w:rPr>
        <w:fldChar w:fldCharType="begin"/>
      </w:r>
      <w:r w:rsidR="00857722" w:rsidRPr="00F30BF0">
        <w:rPr>
          <w:rFonts w:cstheme="minorHAnsi"/>
        </w:rPr>
        <w:instrText xml:space="preserve"> REF _Ref94616225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02014E">
        <w:t xml:space="preserve">Figure </w:t>
      </w:r>
      <w:r w:rsidR="0002014E">
        <w:rPr>
          <w:noProof/>
        </w:rPr>
        <w:t>6</w:t>
      </w:r>
      <w:r w:rsidR="00857722" w:rsidRPr="00F30BF0">
        <w:rPr>
          <w:rFonts w:cstheme="minorHAnsi"/>
        </w:rPr>
        <w:fldChar w:fldCharType="end"/>
      </w:r>
      <w:r w:rsidR="00857722" w:rsidRPr="00F30BF0">
        <w:rPr>
          <w:rFonts w:cstheme="minorHAnsi"/>
        </w:rPr>
        <w:t>)</w:t>
      </w:r>
      <w:r w:rsidR="003C2EB4" w:rsidRPr="00F30BF0">
        <w:rPr>
          <w:rFonts w:cstheme="minorHAnsi"/>
        </w:rPr>
        <w:t xml:space="preserve">, and </w:t>
      </w:r>
      <w:r w:rsidR="00857722" w:rsidRPr="00F30BF0">
        <w:rPr>
          <w:rFonts w:cstheme="minorHAnsi"/>
        </w:rPr>
        <w:t xml:space="preserve">the credible intervals for </w:t>
      </w:r>
      <m:oMath>
        <m:r>
          <w:rPr>
            <w:rFonts w:ascii="Cambria Math" w:hAnsi="Cambria Math" w:cstheme="minorHAnsi"/>
          </w:rPr>
          <m:t>λ</m:t>
        </m:r>
      </m:oMath>
      <w:r w:rsidR="003C2EB4" w:rsidRPr="00F30BF0">
        <w:rPr>
          <w:rFonts w:cstheme="minorHAnsi"/>
        </w:rPr>
        <w:t xml:space="preserve"> in </w:t>
      </w:r>
      <w:r w:rsidR="00857722" w:rsidRPr="00F30BF0">
        <w:rPr>
          <w:rFonts w:cstheme="minorHAnsi"/>
        </w:rPr>
        <w:t>both the high basal area and WPBR scenarios included 1 (</w:t>
      </w:r>
      <w:r w:rsidR="00857722" w:rsidRPr="00F30BF0">
        <w:rPr>
          <w:rFonts w:cstheme="minorHAnsi"/>
        </w:rPr>
        <w:fldChar w:fldCharType="begin"/>
      </w:r>
      <w:r w:rsidR="00857722" w:rsidRPr="00F30BF0">
        <w:rPr>
          <w:rFonts w:cstheme="minorHAnsi"/>
        </w:rPr>
        <w:instrText xml:space="preserve"> REF _Ref94619410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02014E">
        <w:t xml:space="preserve">Supplementary Table </w:t>
      </w:r>
      <w:r w:rsidR="00857722" w:rsidRPr="00F30BF0">
        <w:rPr>
          <w:rFonts w:cstheme="minorHAnsi"/>
        </w:rPr>
        <w:fldChar w:fldCharType="end"/>
      </w:r>
      <w:r w:rsidR="006C7CA9">
        <w:rPr>
          <w:rFonts w:cstheme="minorHAnsi"/>
        </w:rPr>
        <w:t>1</w:t>
      </w:r>
      <w:r w:rsidR="00857722" w:rsidRPr="00F30BF0">
        <w:rPr>
          <w:rFonts w:cstheme="minorHAnsi"/>
        </w:rPr>
        <w:t>).</w:t>
      </w:r>
      <w:r w:rsidR="003C2EB4" w:rsidRPr="00F30BF0">
        <w:rPr>
          <w:rFonts w:cstheme="minorHAnsi"/>
        </w:rPr>
        <w:t xml:space="preserve"> </w:t>
      </w:r>
      <w:r w:rsidR="008569B1">
        <w:rPr>
          <w:rFonts w:cstheme="minorHAnsi"/>
        </w:rPr>
        <w:t xml:space="preserve">However, reducing </w:t>
      </w:r>
      <w:r w:rsidR="00972A59">
        <w:rPr>
          <w:rFonts w:cstheme="minorHAnsi"/>
        </w:rPr>
        <w:t xml:space="preserve">neighborhood </w:t>
      </w:r>
      <w:r w:rsidR="008569B1">
        <w:rPr>
          <w:rFonts w:cstheme="minorHAnsi"/>
        </w:rPr>
        <w:t>basal area to one standard deviation below the mean had positive effects</w:t>
      </w:r>
      <w:r w:rsidR="006C7CA9">
        <w:rPr>
          <w:rFonts w:cstheme="minorHAnsi"/>
        </w:rPr>
        <w:t xml:space="preserve"> on </w:t>
      </w:r>
      <m:oMath>
        <m:r>
          <w:rPr>
            <w:rFonts w:ascii="Cambria Math" w:hAnsi="Cambria Math" w:cstheme="minorHAnsi"/>
          </w:rPr>
          <m:t>λ</m:t>
        </m:r>
      </m:oMath>
      <w:r w:rsidR="008569B1">
        <w:rPr>
          <w:rFonts w:cstheme="minorHAnsi"/>
        </w:rPr>
        <w:t xml:space="preserve"> (</w:t>
      </w:r>
      <w:r w:rsidR="008569B1">
        <w:rPr>
          <w:rFonts w:cstheme="minorHAnsi"/>
        </w:rPr>
        <w:fldChar w:fldCharType="begin"/>
      </w:r>
      <w:r w:rsidR="008569B1">
        <w:rPr>
          <w:rFonts w:cstheme="minorHAnsi"/>
        </w:rPr>
        <w:instrText xml:space="preserve"> REF _Ref94616225 \h </w:instrText>
      </w:r>
      <w:r w:rsidR="008569B1">
        <w:rPr>
          <w:rFonts w:cstheme="minorHAnsi"/>
        </w:rPr>
      </w:r>
      <w:r w:rsidR="008569B1">
        <w:rPr>
          <w:rFonts w:cstheme="minorHAnsi"/>
        </w:rPr>
        <w:fldChar w:fldCharType="separate"/>
      </w:r>
      <w:r w:rsidR="0002014E">
        <w:t xml:space="preserve">Figure </w:t>
      </w:r>
      <w:r w:rsidR="0002014E">
        <w:rPr>
          <w:noProof/>
        </w:rPr>
        <w:t>6</w:t>
      </w:r>
      <w:r w:rsidR="008569B1">
        <w:rPr>
          <w:rFonts w:cstheme="minorHAnsi"/>
        </w:rPr>
        <w:fldChar w:fldCharType="end"/>
      </w:r>
      <w:r w:rsidR="008569B1">
        <w:rPr>
          <w:rFonts w:cstheme="minorHAnsi"/>
        </w:rPr>
        <w:t>).</w:t>
      </w:r>
    </w:p>
    <w:p w14:paraId="14C4DDB5" w14:textId="1DC94238" w:rsidR="0078488A" w:rsidRDefault="00F72294" w:rsidP="003D3B95">
      <w:pPr>
        <w:spacing w:line="360" w:lineRule="auto"/>
        <w:ind w:firstLine="720"/>
        <w:rPr>
          <w:rFonts w:cstheme="minorHAnsi"/>
        </w:rPr>
      </w:pPr>
      <w:r>
        <w:rPr>
          <w:rFonts w:cstheme="minorHAnsi"/>
        </w:rPr>
        <w:t>A surprising result of this study is t</w:t>
      </w:r>
      <w:r w:rsidR="0038352F" w:rsidRPr="00F30BF0">
        <w:rPr>
          <w:rFonts w:cstheme="minorHAnsi"/>
        </w:rPr>
        <w:t xml:space="preserve">hat drought and climate related variables had </w:t>
      </w:r>
      <w:r w:rsidR="00DD37D1">
        <w:rPr>
          <w:rFonts w:cstheme="minorHAnsi"/>
        </w:rPr>
        <w:t>relatively weak</w:t>
      </w:r>
      <w:r w:rsidR="0038352F" w:rsidRPr="00F30BF0">
        <w:rPr>
          <w:rFonts w:cstheme="minorHAnsi"/>
        </w:rPr>
        <w:t xml:space="preserve"> impact</w:t>
      </w:r>
      <w:r w:rsidR="00DD37D1">
        <w:rPr>
          <w:rFonts w:cstheme="minorHAnsi"/>
        </w:rPr>
        <w:t>s</w:t>
      </w:r>
      <w:r w:rsidR="0038352F" w:rsidRPr="00F30BF0">
        <w:rPr>
          <w:rFonts w:cstheme="minorHAnsi"/>
        </w:rPr>
        <w:t xml:space="preserve"> on sugar pine’s vital rates and asymptotic population growth </w:t>
      </w:r>
      <w:commentRangeStart w:id="67"/>
      <w:r w:rsidR="0038352F" w:rsidRPr="00F30BF0">
        <w:rPr>
          <w:rFonts w:cstheme="minorHAnsi"/>
        </w:rPr>
        <w:t>rat</w:t>
      </w:r>
      <w:r>
        <w:rPr>
          <w:rFonts w:cstheme="minorHAnsi"/>
        </w:rPr>
        <w:t>e</w:t>
      </w:r>
      <w:commentRangeEnd w:id="67"/>
      <w:r w:rsidR="00A47588">
        <w:rPr>
          <w:rStyle w:val="CommentReference"/>
        </w:rPr>
        <w:commentReference w:id="67"/>
      </w:r>
      <w:r w:rsidR="0038352F" w:rsidRPr="00F30BF0">
        <w:rPr>
          <w:rFonts w:cstheme="minorHAnsi"/>
        </w:rPr>
        <w:t xml:space="preserve">. </w:t>
      </w:r>
      <w:r w:rsidR="009B0C1C" w:rsidRPr="00F30BF0">
        <w:rPr>
          <w:rFonts w:cstheme="minorHAnsi"/>
        </w:rPr>
        <w:t>Other literature</w:t>
      </w:r>
      <w:r w:rsidR="003C2EB4" w:rsidRPr="00F30BF0">
        <w:rPr>
          <w:rFonts w:cstheme="minorHAnsi"/>
        </w:rPr>
        <w:t xml:space="preserve"> has emphasized the role of moisture stress in </w:t>
      </w:r>
      <w:r w:rsidR="00B50353" w:rsidRPr="00F30BF0">
        <w:rPr>
          <w:rFonts w:cstheme="minorHAnsi"/>
        </w:rPr>
        <w:t>increased mortality rates</w:t>
      </w:r>
      <w:r w:rsidR="00101105" w:rsidRPr="00F30BF0">
        <w:rPr>
          <w:rFonts w:cstheme="minorHAnsi"/>
        </w:rPr>
        <w:t xml:space="preserve"> and reduced growth</w:t>
      </w:r>
      <w:r w:rsidR="00B50353" w:rsidRPr="00F30BF0">
        <w:rPr>
          <w:rFonts w:cstheme="minorHAnsi"/>
        </w:rPr>
        <w:t xml:space="preserve"> among sugar pine </w:t>
      </w:r>
      <w:r w:rsidR="008569B1">
        <w:rPr>
          <w:rFonts w:cstheme="minorHAnsi"/>
        </w:rPr>
        <w:t xml:space="preserve">directly and indirectly via decreased ability of trees to resist mountain pine beetle </w:t>
      </w:r>
      <w:r w:rsidR="008569B1">
        <w:rPr>
          <w:rFonts w:cstheme="minorHAnsi"/>
        </w:rPr>
        <w:fldChar w:fldCharType="begin" w:fldLock="1"/>
      </w:r>
      <w:r w:rsidR="002C19B3">
        <w:rPr>
          <w:rFonts w:cstheme="minorHAnsi"/>
        </w:rPr>
        <w:instrText>ADDIN CSL_CITATION {"citationItems":[{"id":"ITEM-1","itemData":{"DOI":"10.1002/eap.1902","author":[{"dropping-particle":"","family":"Restaino","given":"Christina","non-dropping-particle":"","parse-names":false,"suffix":""},{"dropping-particle":"","family":"Young","given":"Derek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Applications","id":"ITEM-1","issue":"December 2017","issued":{"date-parts":[["2019"]]},"page":"1-14","title":"Forest structure and climate mediate drought-induced tree mortality in forests of the Sierra Nevada , USA","type":"article-journal","volume":"29"},"uris":["http://www.mendeley.com/documents/?uuid=fab20f86-8948-4d2c-85ba-9a0ff200ff1e"]},{"id":"ITEM-2","itemData":{"DOI":"10.1371/journal.pone.0069917","ISSN":"19326203","PMID":"23936118","abstract":"Recent increases in tree mortality rates across the western USA are correlated with increasing temperatures, but mechanisms remain unresolved. Specifically, increasing mortality could predominantly be a consequence of temperature-induced increases in either (1) drought stress, or (2) the effectiveness of tree-killing insects and pathogens. Using long-term data from California's Sierra Nevada mountain range, we found that in water-limited (low-elevation) forests mortality was unambiguously best modeled by climatic water deficit, consistent with the first mechanism. In energy-limited (high-elevation) forests deficit models were only equivocally better than temperature models, suggesting that the second mechanism is increasingly important in these forests. We could not distinguish between models predicting mortality using absolute versus relative changes in water deficit, and these two model types led to different forecasts of mortality vulnerability under future climate scenarios. Our results provide evidence for differing climatic controls of tree mortality in water- and energy-limited forests, while highlighting the need for an improved understanding of tree mortality processes.","author":[{"dropping-particle":"","family":"Das","given":"Adrian J.","non-dropping-particle":"","parse-names":false,"suffix":""},{"dropping-particle":"","family":"Stephenson","given":"Nathan L.","non-dropping-particle":"","parse-names":false,"suffix":""},{"dropping-particle":"","family":"Flint","given":"Alan","non-dropping-particle":"","parse-names":false,"suffix":""},{"dropping-particle":"","family":"Das","given":"Tapash","non-dropping-particle":"","parse-names":false,"suffix":""},{"dropping-particle":"","family":"Mantgem","given":"Phillip J.","non-dropping-particle":"van","parse-names":false,"suffix":""}],"container-title":"PLoS ONE","id":"ITEM-2","issue":"7","issued":{"date-parts":[["2013"]]},"title":"Climatic Correlates of Tree Mortality in Water- and Energy-Limited Forests","type":"article-journal","volume":"8"},"uris":["http://www.mendeley.com/documents/?uuid=ae6df946-dfb3-4ab5-8ba3-0a59be138901"]},{"id":"ITEM-3","itemData":{"DOI":"10.1111/j.1461-0248.2007.01080.x","ISSN":"1461023X","PMID":"17845291","abstract":"We provide a first detailed analysis of long-term, annual-resolution demographic trends in a temperate forest. After tracking the fates of 21 338 trees in a network of old-growth forest plots in the Sierra Nevada of California, we found that mortality rate, but not the recruitment rate, increased significantly over the 22 years of measurement (1983-2004). Mortality rates increased in both of two dominant taxonomic groups (Abies and Pinus) and in different forest types (different elevational zones). The increase in overall mortality rate resulted from an increase in tree deaths attributed to stress and biotic causes, and coincided with a temperature-driven increase in an index of drought. Our findings suggest that these forests (and by implication, other water-limited forests) may be sensitive to temperature-driven drought stress, and may be poised for die-back if future climates continue to feature rising temperatures without compensating increases in precipitation. © 2007 Blackwell Publishing Ltd/CNRS.","author":[{"dropping-particle":"","family":"Mantgem","given":"Phillip J.","non-dropping-particle":"Van","parse-names":false,"suffix":""},{"dropping-particle":"","family":"Stephenson","given":"Nathan L.","non-dropping-particle":"","parse-names":false,"suffix":""}],"container-title":"Ecology Letters","id":"ITEM-3","issue":"10","issued":{"date-parts":[["2007"]]},"page":"909-916","title":"Apparent climatically induced increase of tree mortality rates in a temperate forest","type":"article-journal","volume":"10"},"uris":["http://www.mendeley.com/documents/?uuid=79dcd8ef-4ad9-462a-be9f-5a6460dbdf52"]},{"id":"ITEM-4","itemData":{"DOI":"10.1002/eap.1620","ISSN":"19395582","PMID":"28871610","abstract":"Severe drought has the potential to cause selective mortality within a forest, thereby inducing shifts in forest species composition. The southern Sierra Nevada foothills and mountains of California have experienced extensive forest dieback due to drought stress and insect outbreak. We used high-fidelity imaging spectroscopy (HiFIS) and light detection and ranging (LiDAR) from the Carnegie Airborne Observatory (CAO) to estimate the effect of forest dieback on species composition in response to drought stress in Sequoia National Park. Our aims were (1) to quantify site-specific conditions that mediate tree mortality along an elevation gradient in the southern Sierra Nevada Mountains, (2) to assess where mortality events have a greater probability of occurring, and (3) to estimate which tree species have a greater likelihood of mortality along the elevation gradient. A series of statistical models were generated to classify species composition and identify tree mortality, and the influences of different environmental factors were spatially quantified and analyzed to assess where mortality events have a greater likelihood of occurring. A higher probability of mortality was observed in the lower portion of the elevation gradient, on southwest- and west-facing slopes, in areas with shallow soils, on shallower slopes, and at greater distances from water. All of these factors are related to site water balance throughout the landscape. Our results also suggest that mortality is species-specific along the elevation gradient, mainly affecting Pinus ponderosa and Pinus lambertiana at lower elevations. Selective mortality within the forest may drive long-term shifts in community composition along the elevation gradient.","author":[{"dropping-particle":"","family":"Paz-Kagan","given":"Tarin","non-dropping-particle":"","parse-names":false,"suffix":""},{"dropping-particle":"","family":"Brodrick","given":"Philip G.","non-dropping-particle":"","parse-names":false,"suffix":""},{"dropping-particle":"","family":"Vaughn","given":"Nicholas R.","non-dropping-particle":"","parse-names":false,"suffix":""},{"dropping-particle":"","family":"Das","given":"Adrian J.","non-dropping-particle":"","parse-names":false,"suffix":""},{"dropping-particle":"","family":"Stephenson","given":"Nathan L.","non-dropping-particle":"","parse-names":false,"suffix":""},{"dropping-particle":"","family":"Nydick","given":"Koren R.","non-dropping-particle":"","parse-names":false,"suffix":""},{"dropping-particle":"","family":"Asner","given":"Gregory P.","non-dropping-particle":"","parse-names":false,"suffix":""}],"container-title":"Ecological Applications","id":"ITEM-4","issue":"8","issued":{"date-parts":[["2017"]]},"page":"2443-2457","title":"What mediates tree mortality during drought in the southern Sierra Nevada","type":"article-journal","volume":"27"},"uris":["http://www.mendeley.com/documents/?uuid=dc39be1d-6fbe-470d-bc94-505e92d410bc"]},{"id":"ITEM-5","itemData":{"DOI":"10.1139/X06-262","ISSN":"00455067","abstract":"We examined mortality of Abies concolor (Gord. &amp; Glend.) Lindl. (white fir) and Pinus lambertiana Dougl. (sugar pine) by developing logistic models using three growth indices obtained from tree rings: average growth, growth trend, and count of abrupt growth declines. For P. lambertiana, models with average growth, growth trend, and count of abrupt declines improved overall prediction (78.6% dead trees correctly classified, 83.7% live trees correctly classified) compared with a model with average recent growth alone (69.6% dead trees correctly classified, 67.3% live trees correctly classified). For A. concolor, counts of abrupt declines and longer time intervals improved overall classification (trees with DBH ≥20 cm: 78.9% dead trees correctly classified and 76.7% live trees correctly classified vs. 64.9% dead trees correctly classified and 77.9% live trees correctly classified; trees with DBH &lt;20 cm: 71.6% dead trees correctly classified and 71.0% live trees correctly classified vs. 67.2% dead trees correctly classified and 66.7% live trees correctly classified). In general, count of abrupt declines improved live-tree classification. External validation of A. concolor models showed that they functioned well at stands not used in model development, and the development of size-specific models demonstrated important differences in mortality risk between understory and canopy trees. Population-level mortality-risk models were developed for A. concolor and generated realistic mortality rates at two sites. Our results support the contention that a more comprehensive use of the growth record yields a more robust assessment of mortality risk. © 2007 NRC.","author":[{"dropping-particle":"","family":"Das","given":"Adrian J.","non-dropping-particle":"","parse-names":false,"suffix":""},{"dropping-particle":"","family":"Battles","given":"John J.","non-dropping-particle":"","parse-names":false,"suffix":""},{"dropping-particle":"","family":"Stephenson","given":"Nathan L.","non-dropping-particle":"","parse-names":false,"suffix":""},{"dropping-particle":"","family":"Mantgem","given":"Phillip J.","non-dropping-particle":"Van","parse-names":false,"suffix":""}],"container-title":"Canadian Journal of Forest Research","id":"ITEM-5","issue":"3","issued":{"date-parts":[["2007"]]},"page":"580-597","title":"The relationship between tree growth patterns and likelihood of mortality: A study of two tree species in the Sierra Nevada","type":"article-journal","volume":"37"},"uris":["http://www.mendeley.com/documents/?uuid=cae3d06a-bb2c-4a92-9822-25e3e253038a"]},{"id":"ITEM-6","itemData":{"DOI":"10.1016/j.scitotenv.2021.147744","ISSN":"00489697","abstract":"Worldwide, increasing severity of droughts threatens to change forest ecosystem functioning and community structure. Understanding how forest resilience is determined by its two underlying components, resistance and recovery, will help elucidate the mechanisms of drought responses and help inform management strategies. However, drought responses are shaped by complex processes across different scales, including species-specific drought strategies, tree size, competition, local environmental conditions, and the intensity of the drought event. Here, we quantified the reduction in tree growth during drought (an inverse measure of drought resistance) and post-drought recovery for three montane conifers (Abies concolor, Pinus jeffreyi, and Pinus lambertiana) in California. We used tree ring analysis to quantify responses to drought events of varying intensity between 1895 and 2018 across a geographic climatic gradient, to examine the roles of tree size (DBH) and competition (tree density) in mediating drought responses. We found that years of more intense drought corresponded with larger growth reductions and recovery rates were lower following drought years where trees suffered larger reductions. We found little variation among species in their growth reductions during drought events, but significant differences among species in their recovery post-drought. Across the geographic gradient, trees in the driest locations were susceptible to large growth reductions, signaling either strong sensitivity to drought intensity or exposure to the most extreme drought conditions. These growth reductions were not always compensated for by higher recovery rates. We also found that larger trees were more susceptible to drought due to a steeper negative relationship between recovery rates and the intensity of growth reduction during the drought. Contrary to expectations, recovery rates following the most detrimental drought years were higher in denser forests. Our results demonstrate the importance of considering how factors at various spatial and temporal scales affect the different components of drought responses.","author":[{"dropping-particle":"","family":"Bohner","given":"Teresa","non-dropping-particle":"","parse-names":false,"suffix":""},{"dropping-particle":"","family":"Diez","given":"Jeffrey","non-dropping-particle":"","parse-names":false,"suffix":""}],"container-title":"Science of The Total Environment","id":"ITEM-6","issued":{"date-parts":[["2021"]]},"page":"147744","publisher":"Elsevier B.V.","title":"Tree resistance and recovery from drought mediated by multiple abiotic and biotic processes across a large geographic gradient","type":"article-journal","volume":"789"},"uris":["http://www.mendeley.com/documents/?uuid=3793b222-188a-4ef5-9faa-857daeae6c29"]}],"mendeley":{"formattedCitation":"(Das &lt;i&gt;et al.&lt;/i&gt;, 2007, 2013; Van Mantgem and Stephenson, 2007; Paz-Kagan &lt;i&gt;et al.&lt;/i&gt;, 2017; Restaino &lt;i&gt;et al.&lt;/i&gt;, 2019; Bohner and Diez, 2021)","plainTextFormattedCitation":"(Das et al., 2007, 2013; Van Mantgem and Stephenson, 2007; Paz-Kagan et al., 2017; Restaino et al., 2019; Bohner and Diez, 2021)","previouslyFormattedCitation":"(Das &lt;i&gt;et al.&lt;/i&gt;, 2007, 2013; Van Mantgem and Stephenson, 2007; Paz-Kagan &lt;i&gt;et al.&lt;/i&gt;, 2017; Restaino &lt;i&gt;et al.&lt;/i&gt;, 2019; Bohner and Diez,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xml:space="preserve">, 2007, 2013; Van Mantgem and Stephenson, 2007; Paz-Kagan </w:t>
      </w:r>
      <w:r w:rsidR="00EB4A84" w:rsidRPr="00EB4A84">
        <w:rPr>
          <w:rFonts w:cstheme="minorHAnsi"/>
          <w:i/>
          <w:noProof/>
        </w:rPr>
        <w:t>et al.</w:t>
      </w:r>
      <w:r w:rsidR="00EB4A84" w:rsidRPr="00EB4A84">
        <w:rPr>
          <w:rFonts w:cstheme="minorHAnsi"/>
          <w:noProof/>
        </w:rPr>
        <w:t xml:space="preserve">, 2017; Restaino </w:t>
      </w:r>
      <w:r w:rsidR="00EB4A84" w:rsidRPr="00EB4A84">
        <w:rPr>
          <w:rFonts w:cstheme="minorHAnsi"/>
          <w:i/>
          <w:noProof/>
        </w:rPr>
        <w:t>et al.</w:t>
      </w:r>
      <w:r w:rsidR="00EB4A84" w:rsidRPr="00EB4A84">
        <w:rPr>
          <w:rFonts w:cstheme="minorHAnsi"/>
          <w:noProof/>
        </w:rPr>
        <w:t>, 2019; Bohner and Diez, 2021)</w:t>
      </w:r>
      <w:r w:rsidR="008569B1">
        <w:rPr>
          <w:rFonts w:cstheme="minorHAnsi"/>
        </w:rPr>
        <w:fldChar w:fldCharType="end"/>
      </w:r>
      <w:r w:rsidR="005E7ECB">
        <w:rPr>
          <w:rFonts w:cstheme="minorHAnsi"/>
        </w:rPr>
        <w:t xml:space="preserve">, though see </w:t>
      </w:r>
      <w:r w:rsidR="00093A54">
        <w:rPr>
          <w:rFonts w:cstheme="minorHAnsi"/>
        </w:rPr>
        <w:t xml:space="preserve">Furniss et al. (2021) </w:t>
      </w:r>
      <w:r w:rsidR="005E7ECB">
        <w:rPr>
          <w:rFonts w:cstheme="minorHAnsi"/>
        </w:rPr>
        <w:t>which found that stand density played a more important role than climate variables in shaping mortality dynamics after fire and/or drought</w:t>
      </w:r>
      <w:r w:rsidR="008569B1">
        <w:rPr>
          <w:rFonts w:cstheme="minorHAnsi"/>
        </w:rPr>
        <w:t>.</w:t>
      </w:r>
      <w:r w:rsidR="0078488A">
        <w:rPr>
          <w:rFonts w:cstheme="minorHAnsi"/>
        </w:rPr>
        <w:t xml:space="preserve"> Stephenson et al. (2019) </w:t>
      </w:r>
      <w:r w:rsidR="00B50353" w:rsidRPr="00F30BF0">
        <w:rPr>
          <w:rFonts w:cstheme="minorHAnsi"/>
        </w:rPr>
        <w:t xml:space="preserve">examined the role of mountain pine beetle as the primary mortality agent taking advantage of widespread stress among sugar pine populations affected by drought, a finding supported by other assessments </w:t>
      </w:r>
      <w:r w:rsidR="00101105" w:rsidRPr="00F30BF0">
        <w:rPr>
          <w:rFonts w:cstheme="minorHAnsi"/>
        </w:rPr>
        <w:t>of the relationship between drought and bark beetles</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10.1007/s00468-021-02098-8","ISBN":"0123456789","ISSN":"1432-2285","author":[{"dropping-particle":"","family":"Slack","given":"Andrew W","non-dropping-particle":"","parse-names":false,"suffix":""},{"dropping-particle":"","family":"Kane","given":"Jeffrey M","non-dropping-particle":"","parse-names":false,"suffix":""},{"dropping-particle":"","family":"Knapp","given":"Eric E","non-dropping-particle":"","parse-names":false,"suffix":""}],"container-title":"Trees","id":"ITEM-2","issue":"0123456789","issued":{"date-parts":[["2021"]]},"publisher":"Springer Berlin Heidelberg","title":"Growth and defense inform large sugar pine ( Pinus lambertiana ) mortality in a fire ‐ excluded forest of the central Sierra Nevada","type":"article-journal"},"uris":["http://www.mendeley.com/documents/?uuid=bd0e16be-b004-446b-96c7-c370b5251e9a"]}],"mendeley":{"formattedCitation":"(Fettig &lt;i&gt;et al.&lt;/i&gt;, 2019; Slack, Kane and Knapp, 2021)","plainTextFormattedCitation":"(Fettig et al., 2019; Slack, Kane and Knapp, 2021)","previouslyFormattedCitation":"(Fettig &lt;i&gt;et al.&lt;/i&gt;, 2019; Slack, Kane and Knapp,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(Fettig </w:t>
      </w:r>
      <w:r w:rsidR="00EB4A84" w:rsidRPr="00EB4A84">
        <w:rPr>
          <w:rFonts w:cstheme="minorHAnsi"/>
          <w:i/>
          <w:noProof/>
        </w:rPr>
        <w:t>et al.</w:t>
      </w:r>
      <w:r w:rsidR="00EB4A84" w:rsidRPr="00EB4A84">
        <w:rPr>
          <w:rFonts w:cstheme="minorHAnsi"/>
          <w:noProof/>
        </w:rPr>
        <w:t>, 2019; Slack, Kane and Knapp, 2021)</w:t>
      </w:r>
      <w:r w:rsidR="008569B1">
        <w:rPr>
          <w:rFonts w:cstheme="minorHAnsi"/>
        </w:rPr>
        <w:fldChar w:fldCharType="end"/>
      </w:r>
      <w:r w:rsidR="00B50353" w:rsidRPr="00F30BF0">
        <w:rPr>
          <w:rFonts w:cstheme="minorHAnsi"/>
        </w:rPr>
        <w:t xml:space="preserve">. </w:t>
      </w:r>
      <w:r w:rsidR="00101105" w:rsidRPr="00F30BF0">
        <w:rPr>
          <w:rFonts w:cstheme="minorHAnsi"/>
        </w:rPr>
        <w:t xml:space="preserve">Intermittent droughts and/or long-term mean climatic conditions may particularly challenge small trees, causing recruitment failures even on sites where adult trees are able to persist </w:t>
      </w:r>
      <w:r w:rsidR="0071532B">
        <w:rPr>
          <w:rFonts w:cstheme="minorHAnsi"/>
        </w:rPr>
        <w:fldChar w:fldCharType="begin" w:fldLock="1"/>
      </w:r>
      <w:r w:rsidR="002C19B3">
        <w:rPr>
          <w:rFonts w:cstheme="minorHAnsi"/>
        </w:rPr>
        <w:instrText>ADDIN CSL_CITATION {"citationItems":[{"id":"ITEM-1","itemData":{"DOI":"10.1007/s11258-013-0295-6","ISSN":"13850237","abstract":"Recruitment success can have significant consequences on forest community dynamics. Seedlings and saplings were studied for 3 five-needled white pine species: sugar pine (Pinus lambertiana), western white pine (P. monticola), and whitebark pine (P. albicaulis) across an elevational gradient, representing three distinct forest types, in the Sierra Nevada. This study was designed to determine the importance of local environmental and biological conditions versus broad regional climate patterns influencing conifer recruitment. No relationships were found between recruitment and precipitation, but increasing nighttime temperature was positively correlated with sugar pine and western white pine recruitment and negatively correlated with whitebark pine recruitment. Recruitment pulses were found for sugar pine and western white pine from 1995 to 2006. Whitebark pine recruitment is low and relatively steady from 1970 to 2000 with no observed new recruits after 2001. Source strength was the most consistent predictor of white pine recruitment along with soil properties, climate, light, and the presence of non-conspecifics. Source, light, and soil explained 71 % of the variation in sugar pine recruitment. The presence of non-conspecifics, source, and climate explained 71 % of the variation in western white pine recruitment, and the presence of non-conspecifics and source explained 36 % of the variation for whitebark pine. Recruitment present in forest communities of the Sierra Nevada have successfully transitioned through critical stages (i.e., seed and germinant) and appear to be influenced by multiple factors at both local and regional scales. © 2014 Springer Science+Business Media Dordrecht.","author":[{"dropping-particle":"","family":"Maloney","given":"Patricia E.","non-dropping-particle":"","parse-names":false,"suffix":""}],"container-title":"Plant Ecology","id":"ITEM-1","issue":"2","issued":{"date-parts":[["2014"]]},"page":"261-274","title":"The multivariate underpinnings of recruitment for three Pinus species in montane forests of the Sierra Nevada, USA","type":"article-journal","volume":"215"},"uris":["http://www.mendeley.com/documents/?uuid=24bb7379-bab4-43fd-a774-2bb01abe3f3f"]},{"id":"ITEM-2","itemData":{"DOI":"10.1111/geb.12109","ISSN":"1466822X","abstract":"Aim: To determine if differences in climate envelopes for six coniferous tree species and two life stages (trees and seedlings) suggest a potential for species range contractions, expansions or shifts in response to climate change and if these patterns differ between subalpine (i.e. cool-climate) and montane (i.e. warm-climate) species. Location: The dry domain of the western United States. Methods: Using data from the Forest Inventory and Analysis National Program, we quantified the relationship between probability of occurrence and climate for adults and seedlings of each species with a Bayesian logistic regression. Assuming that distributional differences between life stages highlight shifting regeneration patterns relative to adult trees, we assessed differences between seedlings and adult trees based on predicted probabilities of occurrence and climate envelope boundaries. Results: Differences between occurrence probabilities for seedlings and adults were greatest for montane, as opposed to subalpine, species and along range margins, especially in the southern and western portions of the study area. Climate envelope boundaries of seedlings differed from adult trees most frequently in montane species and often suggested range contractions or range shifts, as opposed to range expansion. Main conclusions: Our results indicated that climate-induced contractions and shifts in seedling distribution in response to recent change are already under way and are particularly severe in montane tree species. While adult trees may persist for hundreds of years without significant regeneration, tree species ranges will eventually contract where tree regeneration fails. © 2013 John Wiley &amp; Sons Ltd.","author":[{"dropping-particle":"","family":"Bell","given":"David M.","non-dropping-particle":"","parse-names":false,"suffix":""},{"dropping-particle":"","family":"Bradford","given":"John B.","non-dropping-particle":"","parse-names":false,"suffix":""},{"dropping-particle":"","family":"Lauenroth","given":"William K.","non-dropping-particle":"","parse-names":false,"suffix":""}],"container-title":"Global Ecology and Biogeography","id":"ITEM-2","issue":"2","issued":{"date-parts":[["2014"]]},"page":"168-180","title":"Early indicators of change: Divergent climate envelopes between tree life stages imply range shifts in the western United States","type":"article-journal","volume":"23"},"uris":["http://www.mendeley.com/documents/?uuid=5141f6fa-6947-4346-8469-aaf7bc0f8fc5"]},{"id":"ITEM-3","itemData":{"DOI":"10.1002/ecs2.2776","ISSN":"21508925","abstract":"Understanding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L.","non-dropping-particle":"","parse-names":false,"suffix":""}],"container-title":"Ecosphere","id":"ITEM-3","issue":"6","issued":{"date-parts":[["2019"]]},"title":"Negative impacts of summer heat on Sierra Nevada tree seedlings","type":"article-journal","volume":"10"},"uris":["http://www.mendeley.com/documents/?uuid=52ae7f69-ba42-496d-827f-0c3f1dd1fb27"]},{"id":"ITEM-4","itemData":{"DOI":"10.1073/pnas.1815107116","ISSN":"10916490","PMID":"30858310","abstract":"Climate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America","id":"ITEM-4","issue":"13","issued":{"date-parts":[["2019"]]},"page":"6193-6198","title":"Wildfires and climate change push low-elevation forests across a critical climate threshold for tree regeneration","type":"article-journal","volume":"116"},"uris":["http://www.mendeley.com/documents/?uuid=371a7944-1853-43c0-bbe0-6cfe794db39c"]},{"id":"ITEM-5","itemData":{"DOI":"10.1002/eap.2280","ISSN":"19395582","PMID":"33331069","abstract":"Large,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Applications","id":"ITEM-5","issue":"3","issued":{"date-parts":[["2021"]]},"page":"1-14","title":"Effects of postfire climate and seed availability on postfire conifer regeneration","type":"article-journal","volume":"31"},"uris":["http://www.mendeley.com/documents/?uuid=76e0b1c0-bae5-446e-90ce-1c9503882636"]}],"mendeley":{"formattedCitation":"(Bell, Bradford and Lauenroth, 2014; Maloney, 2014; Davis &lt;i&gt;et al.&lt;/i&gt;, 2019; Moran &lt;i&gt;et al.&lt;/i&gt;, 2019; Stewart &lt;i&gt;et al.&lt;/i&gt;, 2021)","plainTextFormattedCitation":"(Bell, Bradford and Lauenroth, 2014; Maloney, 2014; Davis et al., 2019; Moran et al., 2019; Stewart et al., 2021)","previouslyFormattedCitation":"(Bell, Bradford and Lauenroth, 2014; Maloney, 2014; Davis &lt;i&gt;et al.&lt;/i&gt;, 2019; Moran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(Bell, Bradford and Lauenroth, 2014; Maloney, 2014; Davis </w:t>
      </w:r>
      <w:r w:rsidR="00EB4A84" w:rsidRPr="00EB4A84">
        <w:rPr>
          <w:rFonts w:cstheme="minorHAnsi"/>
          <w:i/>
          <w:noProof/>
        </w:rPr>
        <w:t>et al.</w:t>
      </w:r>
      <w:r w:rsidR="00EB4A84" w:rsidRPr="00EB4A84">
        <w:rPr>
          <w:rFonts w:cstheme="minorHAnsi"/>
          <w:noProof/>
        </w:rPr>
        <w:t xml:space="preserve">, 2019; Moran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101105" w:rsidRPr="00F30BF0">
        <w:rPr>
          <w:rFonts w:cstheme="minorHAnsi"/>
        </w:rPr>
        <w:t xml:space="preserve">. </w:t>
      </w:r>
      <w:r w:rsidR="006F5E9A" w:rsidRPr="00F30BF0">
        <w:rPr>
          <w:rFonts w:cstheme="minorHAnsi"/>
        </w:rPr>
        <w:t>This study found a weak negative effect of drought on survival (</w:t>
      </w:r>
      <w:r w:rsidR="004639A9" w:rsidRPr="00F30BF0">
        <w:rPr>
          <w:rFonts w:cstheme="minorHAnsi"/>
        </w:rPr>
        <w:fldChar w:fldCharType="begin"/>
      </w:r>
      <w:r w:rsidR="004639A9" w:rsidRPr="00F30BF0">
        <w:rPr>
          <w:rFonts w:cstheme="minorHAnsi"/>
        </w:rPr>
        <w:instrText xml:space="preserve"> REF _Ref93744929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6A10AA">
        <w:t xml:space="preserve">Figure </w:t>
      </w:r>
      <w:r w:rsidR="006A10AA">
        <w:rPr>
          <w:noProof/>
        </w:rPr>
        <w:t>3</w:t>
      </w:r>
      <w:r w:rsidR="004639A9" w:rsidRPr="00F30BF0">
        <w:rPr>
          <w:rFonts w:cstheme="minorHAnsi"/>
        </w:rPr>
        <w:fldChar w:fldCharType="end"/>
      </w:r>
      <w:r w:rsidR="004639A9" w:rsidRPr="00F30BF0">
        <w:rPr>
          <w:rFonts w:cstheme="minorHAnsi"/>
        </w:rPr>
        <w:t>,</w:t>
      </w:r>
      <w:r w:rsidR="00364352">
        <w:rPr>
          <w:rFonts w:cstheme="minorHAnsi"/>
        </w:rPr>
        <w:t xml:space="preserve"> </w:t>
      </w:r>
      <w:r w:rsidR="00364352">
        <w:rPr>
          <w:rFonts w:cstheme="minorHAnsi"/>
        </w:rPr>
        <w:fldChar w:fldCharType="begin"/>
      </w:r>
      <w:r w:rsidR="00364352">
        <w:rPr>
          <w:rFonts w:cstheme="minorHAnsi"/>
        </w:rPr>
        <w:instrText xml:space="preserve"> REF _Ref104545123 \h </w:instrText>
      </w:r>
      <w:r w:rsidR="00364352">
        <w:rPr>
          <w:rFonts w:cstheme="minorHAnsi"/>
        </w:rPr>
      </w:r>
      <w:r w:rsidR="00364352">
        <w:rPr>
          <w:rFonts w:cstheme="minorHAnsi"/>
        </w:rPr>
        <w:fldChar w:fldCharType="separate"/>
      </w:r>
      <w:r w:rsidR="006A10AA">
        <w:t xml:space="preserve">Table </w:t>
      </w:r>
      <w:r w:rsidR="006A10AA">
        <w:rPr>
          <w:noProof/>
        </w:rPr>
        <w:t>1</w:t>
      </w:r>
      <w:r w:rsidR="00364352">
        <w:rPr>
          <w:rFonts w:cstheme="minorHAnsi"/>
        </w:rPr>
        <w:fldChar w:fldCharType="end"/>
      </w:r>
      <w:r w:rsidR="006F5E9A" w:rsidRPr="00F30BF0">
        <w:rPr>
          <w:rFonts w:cstheme="minorHAnsi"/>
        </w:rPr>
        <w:t xml:space="preserve">) and a </w:t>
      </w:r>
      <w:r w:rsidR="004639A9" w:rsidRPr="00F30BF0">
        <w:rPr>
          <w:rFonts w:cstheme="minorHAnsi"/>
        </w:rPr>
        <w:t>size-dependent</w:t>
      </w:r>
      <w:r w:rsidR="006F5E9A" w:rsidRPr="00F30BF0">
        <w:rPr>
          <w:rFonts w:cstheme="minorHAnsi"/>
        </w:rPr>
        <w:t xml:space="preserve"> effect of site dryness on growth</w:t>
      </w:r>
      <w:r w:rsidR="004639A9" w:rsidRPr="00F30BF0">
        <w:rPr>
          <w:rFonts w:cstheme="minorHAnsi"/>
        </w:rPr>
        <w:t xml:space="preserve">, where smaller stems grew </w:t>
      </w:r>
      <w:r w:rsidR="006271C9" w:rsidRPr="00F30BF0">
        <w:rPr>
          <w:rFonts w:cstheme="minorHAnsi"/>
        </w:rPr>
        <w:t>slow</w:t>
      </w:r>
      <w:r w:rsidR="0071532B">
        <w:rPr>
          <w:rFonts w:cstheme="minorHAnsi"/>
        </w:rPr>
        <w:t>er</w:t>
      </w:r>
      <w:r w:rsidR="004639A9" w:rsidRPr="00F30BF0">
        <w:rPr>
          <w:rFonts w:cstheme="minorHAnsi"/>
        </w:rPr>
        <w:t xml:space="preserve"> on dry sites and larger </w:t>
      </w:r>
      <w:r w:rsidR="004639A9" w:rsidRPr="00F30BF0">
        <w:rPr>
          <w:rFonts w:cstheme="minorHAnsi"/>
        </w:rPr>
        <w:lastRenderedPageBreak/>
        <w:t xml:space="preserve">stems grew </w:t>
      </w:r>
      <w:r w:rsidR="006271C9" w:rsidRPr="00F30BF0">
        <w:rPr>
          <w:rFonts w:cstheme="minorHAnsi"/>
        </w:rPr>
        <w:t>faster</w:t>
      </w:r>
      <w:r w:rsidR="004639A9" w:rsidRPr="00F30BF0">
        <w:rPr>
          <w:rFonts w:cstheme="minorHAnsi"/>
        </w:rPr>
        <w:t xml:space="preserve"> on dry sites</w:t>
      </w:r>
      <w:r w:rsidR="006F5E9A"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_Ref94611931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02014E">
        <w:t xml:space="preserve">Figure </w:t>
      </w:r>
      <w:r w:rsidR="0002014E">
        <w:rPr>
          <w:noProof/>
        </w:rPr>
        <w:t>4</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_Ref94609644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02014E">
        <w:t>Table 2</w:t>
      </w:r>
      <w:r w:rsidR="004639A9" w:rsidRPr="00F30BF0">
        <w:rPr>
          <w:rFonts w:cstheme="minorHAnsi"/>
        </w:rPr>
        <w:fldChar w:fldCharType="end"/>
      </w:r>
      <w:r w:rsidR="006F5E9A" w:rsidRPr="00F30BF0">
        <w:rPr>
          <w:rFonts w:cstheme="minorHAnsi"/>
        </w:rPr>
        <w:t>)</w:t>
      </w:r>
      <w:r w:rsidR="004639A9" w:rsidRPr="00F30BF0">
        <w:rPr>
          <w:rFonts w:cstheme="minorHAnsi"/>
        </w:rPr>
        <w:t>. However, n</w:t>
      </w:r>
      <w:r w:rsidR="006F5E9A" w:rsidRPr="00F30BF0">
        <w:rPr>
          <w:rFonts w:cstheme="minorHAnsi"/>
        </w:rPr>
        <w:t xml:space="preserve">either effect was strong enough to </w:t>
      </w:r>
      <w:r w:rsidR="004639A9" w:rsidRPr="00F30BF0">
        <w:rPr>
          <w:rFonts w:cstheme="minorHAnsi"/>
        </w:rPr>
        <w:t>substantially reduce the asymptotic population growth rate relative to the unstressed scenario (</w:t>
      </w:r>
      <w:r w:rsidR="004639A9" w:rsidRPr="00F30BF0">
        <w:rPr>
          <w:rFonts w:cstheme="minorHAnsi"/>
        </w:rPr>
        <w:fldChar w:fldCharType="begin"/>
      </w:r>
      <w:r w:rsidR="004639A9" w:rsidRPr="00F30BF0">
        <w:rPr>
          <w:rFonts w:cstheme="minorHAnsi"/>
        </w:rPr>
        <w:instrText xml:space="preserve"> REF _Ref94616225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02014E">
        <w:t xml:space="preserve">Figure </w:t>
      </w:r>
      <w:r w:rsidR="0002014E">
        <w:rPr>
          <w:noProof/>
        </w:rPr>
        <w:t>6</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_Ref94619410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02014E">
        <w:t xml:space="preserve">Supplementary Table </w:t>
      </w:r>
      <w:r w:rsidR="004639A9" w:rsidRPr="00F30BF0">
        <w:rPr>
          <w:rFonts w:cstheme="minorHAnsi"/>
        </w:rPr>
        <w:fldChar w:fldCharType="end"/>
      </w:r>
      <w:r w:rsidR="00364352">
        <w:rPr>
          <w:rFonts w:cstheme="minorHAnsi"/>
        </w:rPr>
        <w:t>1</w:t>
      </w:r>
      <w:r w:rsidR="004639A9" w:rsidRPr="00F30BF0">
        <w:rPr>
          <w:rFonts w:cstheme="minorHAnsi"/>
        </w:rPr>
        <w:t xml:space="preserve">). </w:t>
      </w:r>
      <w:r w:rsidR="00A37AF9">
        <w:rPr>
          <w:rFonts w:cstheme="minorHAnsi"/>
        </w:rPr>
        <w:t xml:space="preserve">Though the extreme drought from 2012-2016 resulted in beetle epidemics that caused massive mortality among sugar pine </w:t>
      </w:r>
      <w:r w:rsidR="00A37AF9">
        <w:rPr>
          <w:rFonts w:cstheme="minorHAnsi"/>
        </w:rPr>
        <w:fldChar w:fldCharType="begin" w:fldLock="1"/>
      </w:r>
      <w:r w:rsidR="000144C2">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A37AF9">
        <w:rPr>
          <w:rFonts w:cstheme="minorHAnsi"/>
        </w:rPr>
        <w:fldChar w:fldCharType="separate"/>
      </w:r>
      <w:r w:rsidR="00A37AF9" w:rsidRPr="00A37AF9">
        <w:rPr>
          <w:rFonts w:cstheme="minorHAnsi"/>
          <w:noProof/>
        </w:rPr>
        <w:t xml:space="preserve">(Stephenson </w:t>
      </w:r>
      <w:r w:rsidR="00A37AF9" w:rsidRPr="00A37AF9">
        <w:rPr>
          <w:rFonts w:cstheme="minorHAnsi"/>
          <w:i/>
          <w:noProof/>
        </w:rPr>
        <w:t>et al.</w:t>
      </w:r>
      <w:r w:rsidR="00A37AF9" w:rsidRPr="00A37AF9">
        <w:rPr>
          <w:rFonts w:cstheme="minorHAnsi"/>
          <w:noProof/>
        </w:rPr>
        <w:t>, 2019)</w:t>
      </w:r>
      <w:r w:rsidR="00A37AF9">
        <w:rPr>
          <w:rFonts w:cstheme="minorHAnsi"/>
        </w:rPr>
        <w:fldChar w:fldCharType="end"/>
      </w:r>
      <w:r w:rsidR="00A37AF9">
        <w:rPr>
          <w:rFonts w:cstheme="minorHAnsi"/>
        </w:rPr>
        <w:t xml:space="preserve">, drought may be a necessary but not sufficient condition for causing such epidemics, with some droughts not resulting in widespread mortality. </w:t>
      </w:r>
      <w:r w:rsidR="00093A54">
        <w:rPr>
          <w:rFonts w:cstheme="minorHAnsi"/>
        </w:rPr>
        <w:t>In addition, t</w:t>
      </w:r>
      <w:r w:rsidR="00093A54" w:rsidRPr="00F30BF0">
        <w:rPr>
          <w:rFonts w:cstheme="minorHAnsi"/>
        </w:rPr>
        <w:t xml:space="preserve">hough the resolution of the terraClimate data is similar to the scale at which plot coordinates are fuzzed, the </w:t>
      </w:r>
      <w:r w:rsidR="00093A54">
        <w:rPr>
          <w:rFonts w:cstheme="minorHAnsi"/>
        </w:rPr>
        <w:t xml:space="preserve">fuzzing and </w:t>
      </w:r>
      <w:r w:rsidR="00093A54" w:rsidRPr="00F30BF0">
        <w:rPr>
          <w:rFonts w:cstheme="minorHAnsi"/>
        </w:rPr>
        <w:t xml:space="preserve">swapping of plot coordinates likely introduced error between the true drought and site dryness experienced on a plot and the measured drought and site dryness appearing in our data. This </w:t>
      </w:r>
      <w:r w:rsidR="00093A54">
        <w:rPr>
          <w:rFonts w:cstheme="minorHAnsi"/>
        </w:rPr>
        <w:t xml:space="preserve">noisy measurement of climate conditions </w:t>
      </w:r>
      <w:r w:rsidR="00093A54" w:rsidRPr="00F30BF0">
        <w:rPr>
          <w:rFonts w:cstheme="minorHAnsi"/>
        </w:rPr>
        <w:t xml:space="preserve">could result in an underestimation of the </w:t>
      </w:r>
      <w:r w:rsidR="00093A54">
        <w:rPr>
          <w:rFonts w:cstheme="minorHAnsi"/>
        </w:rPr>
        <w:t xml:space="preserve">true </w:t>
      </w:r>
      <w:r w:rsidR="00093A54" w:rsidRPr="00F30BF0">
        <w:rPr>
          <w:rFonts w:cstheme="minorHAnsi"/>
        </w:rPr>
        <w:t>effects of drought and site dryness.</w:t>
      </w:r>
    </w:p>
    <w:p w14:paraId="2FEC3842" w14:textId="6D2CA438" w:rsidR="009B0C1C" w:rsidRPr="00F30BF0" w:rsidRDefault="0078488A" w:rsidP="003D3B95">
      <w:pPr>
        <w:spacing w:line="360" w:lineRule="auto"/>
        <w:ind w:firstLine="720"/>
        <w:rPr>
          <w:rFonts w:cstheme="minorHAnsi"/>
        </w:rPr>
      </w:pPr>
      <w:r>
        <w:rPr>
          <w:rFonts w:cstheme="minorHAnsi"/>
        </w:rPr>
        <w:t xml:space="preserve">One unexplained but troubling finding of this study was the low survival rates observed for the largest sugar pines </w:t>
      </w:r>
      <w:r w:rsidR="00BA5424">
        <w:rPr>
          <w:rFonts w:cstheme="minorHAnsi"/>
        </w:rPr>
        <w:t>(</w:t>
      </w:r>
      <w:r w:rsidR="00BA5424">
        <w:rPr>
          <w:rFonts w:cstheme="minorHAnsi"/>
        </w:rPr>
        <w:fldChar w:fldCharType="begin"/>
      </w:r>
      <w:r w:rsidR="00BA5424">
        <w:rPr>
          <w:rFonts w:cstheme="minorHAnsi"/>
        </w:rPr>
        <w:instrText xml:space="preserve"> REF _Ref93744929 \h </w:instrText>
      </w:r>
      <w:r w:rsidR="00BA5424">
        <w:rPr>
          <w:rFonts w:cstheme="minorHAnsi"/>
        </w:rPr>
      </w:r>
      <w:r w:rsidR="00BA5424">
        <w:rPr>
          <w:rFonts w:cstheme="minorHAnsi"/>
        </w:rPr>
        <w:fldChar w:fldCharType="separate"/>
      </w:r>
      <w:r w:rsidR="006A10AA">
        <w:t xml:space="preserve">Figure </w:t>
      </w:r>
      <w:r w:rsidR="006A10AA">
        <w:rPr>
          <w:noProof/>
        </w:rPr>
        <w:t>3</w:t>
      </w:r>
      <w:r w:rsidR="00BA5424">
        <w:rPr>
          <w:rFonts w:cstheme="minorHAnsi"/>
        </w:rPr>
        <w:fldChar w:fldCharType="end"/>
      </w:r>
      <w:r w:rsidR="00BA5424">
        <w:rPr>
          <w:rFonts w:cstheme="minorHAnsi"/>
        </w:rPr>
        <w:t>)</w:t>
      </w:r>
      <w:r>
        <w:rPr>
          <w:rFonts w:cstheme="minorHAnsi"/>
        </w:rPr>
        <w:t xml:space="preserve">. </w:t>
      </w:r>
      <w:r w:rsidR="00BA5424">
        <w:rPr>
          <w:rFonts w:cstheme="minorHAnsi"/>
        </w:rPr>
        <w:t xml:space="preserve">Bark beetles are a driver of mortality for these trees: </w:t>
      </w:r>
      <w:r w:rsidR="000144C2">
        <w:rPr>
          <w:rFonts w:cstheme="minorHAnsi"/>
        </w:rPr>
        <w:t xml:space="preserve">Once an outbreak is underway, beetles often preferentially kill large individuals </w:t>
      </w:r>
      <w:r w:rsidR="000144C2">
        <w:rPr>
          <w:rFonts w:cstheme="minorHAnsi"/>
        </w:rPr>
        <w:fldChar w:fldCharType="begin" w:fldLock="1"/>
      </w:r>
      <w:r w:rsidR="00047C53">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0144C2">
        <w:rPr>
          <w:rFonts w:cstheme="minorHAnsi"/>
        </w:rPr>
        <w:fldChar w:fldCharType="separate"/>
      </w:r>
      <w:r w:rsidR="000144C2" w:rsidRPr="000144C2">
        <w:rPr>
          <w:rFonts w:cstheme="minorHAnsi"/>
          <w:noProof/>
        </w:rPr>
        <w:t xml:space="preserve">(Stephenson </w:t>
      </w:r>
      <w:r w:rsidR="000144C2" w:rsidRPr="000144C2">
        <w:rPr>
          <w:rFonts w:cstheme="minorHAnsi"/>
          <w:i/>
          <w:noProof/>
        </w:rPr>
        <w:t>et al.</w:t>
      </w:r>
      <w:r w:rsidR="000144C2" w:rsidRPr="000144C2">
        <w:rPr>
          <w:rFonts w:cstheme="minorHAnsi"/>
          <w:noProof/>
        </w:rPr>
        <w:t>, 2019)</w:t>
      </w:r>
      <w:r w:rsidR="000144C2">
        <w:rPr>
          <w:rFonts w:cstheme="minorHAnsi"/>
        </w:rPr>
        <w:fldChar w:fldCharType="end"/>
      </w:r>
      <w:r w:rsidR="003E41BD">
        <w:rPr>
          <w:rFonts w:cstheme="minorHAnsi"/>
        </w:rPr>
        <w:t>, and localized beetle outbreaks could explain the low survival of the largest trees in our data. However, this finding is based on relatively few data points and should be interpreted with caution.</w:t>
      </w:r>
      <w:r w:rsidR="000144C2">
        <w:rPr>
          <w:rFonts w:cstheme="minorHAnsi"/>
        </w:rPr>
        <w:t xml:space="preserve"> </w:t>
      </w:r>
      <w:r w:rsidR="002C7D13" w:rsidRPr="00F30BF0">
        <w:rPr>
          <w:rFonts w:cstheme="minorHAnsi"/>
        </w:rPr>
        <w:t xml:space="preserve">This uncertainty regarding the </w:t>
      </w:r>
      <w:r w:rsidR="00047C53">
        <w:rPr>
          <w:rFonts w:cstheme="minorHAnsi"/>
        </w:rPr>
        <w:t xml:space="preserve">outlook for the largest individuals, which are an important ecological resource </w:t>
      </w:r>
      <w:r w:rsidR="00047C53">
        <w:rPr>
          <w:rFonts w:cstheme="minorHAnsi"/>
        </w:rPr>
        <w:fldChar w:fldCharType="begin" w:fldLock="1"/>
      </w:r>
      <w:r w:rsidR="00047C53">
        <w:rPr>
          <w:rFonts w:cstheme="minorHAnsi"/>
        </w:rPr>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(Lutz </w:t>
      </w:r>
      <w:r w:rsidR="00047C53" w:rsidRPr="00047C53">
        <w:rPr>
          <w:rFonts w:cstheme="minorHAnsi"/>
          <w:i/>
          <w:noProof/>
        </w:rPr>
        <w:t>et al.</w:t>
      </w:r>
      <w:r w:rsidR="00047C53" w:rsidRPr="00047C53">
        <w:rPr>
          <w:rFonts w:cstheme="minorHAnsi"/>
          <w:noProof/>
        </w:rPr>
        <w:t>, 2018)</w:t>
      </w:r>
      <w:r w:rsidR="00047C53">
        <w:rPr>
          <w:rFonts w:cstheme="minorHAnsi"/>
        </w:rPr>
        <w:fldChar w:fldCharType="end"/>
      </w:r>
      <w:r w:rsidR="00047C53">
        <w:rPr>
          <w:rFonts w:cstheme="minorHAnsi"/>
        </w:rPr>
        <w:t>, highlights a need</w:t>
      </w:r>
      <w:r w:rsidR="002C7D13" w:rsidRPr="00F30BF0">
        <w:rPr>
          <w:rFonts w:cstheme="minorHAnsi"/>
        </w:rPr>
        <w:t xml:space="preserve"> for fu</w:t>
      </w:r>
      <w:r w:rsidR="00047C53">
        <w:rPr>
          <w:rFonts w:cstheme="minorHAnsi"/>
        </w:rPr>
        <w:t>rther</w:t>
      </w:r>
      <w:r w:rsidR="002C7D13" w:rsidRPr="00F30BF0">
        <w:rPr>
          <w:rFonts w:cstheme="minorHAnsi"/>
        </w:rPr>
        <w:t xml:space="preserve"> research. </w:t>
      </w:r>
    </w:p>
    <w:p w14:paraId="124BCF37" w14:textId="34E563E6" w:rsidR="009B0C1C" w:rsidRPr="00F30BF0" w:rsidRDefault="009B0C1C" w:rsidP="003D3B95">
      <w:pPr>
        <w:spacing w:line="360" w:lineRule="auto"/>
        <w:ind w:firstLine="720"/>
        <w:rPr>
          <w:rFonts w:cstheme="minorHAnsi"/>
        </w:rPr>
      </w:pPr>
      <w:r w:rsidRPr="00F30BF0">
        <w:rPr>
          <w:rFonts w:cstheme="minorHAnsi"/>
        </w:rPr>
        <w:t>An important limitation of this study is that we did not test for interaction between stressors in shaping vital rates of sugar pine. The literature suggests that</w:t>
      </w:r>
      <w:r w:rsidR="00BF1ABD" w:rsidRPr="00F30BF0">
        <w:rPr>
          <w:rFonts w:cstheme="minorHAnsi"/>
        </w:rPr>
        <w:t xml:space="preserve"> a variety</w:t>
      </w:r>
      <w:r w:rsidRPr="00F30BF0">
        <w:rPr>
          <w:rFonts w:cstheme="minorHAnsi"/>
        </w:rPr>
        <w:t xml:space="preserve"> such interactions may be important</w:t>
      </w:r>
      <w:r w:rsidR="00BF1ABD" w:rsidRPr="00F30BF0">
        <w:rPr>
          <w:rFonts w:cstheme="minorHAnsi"/>
        </w:rPr>
        <w:t xml:space="preserve">. For example, moisture stress increases the likelihood of regeneration failure, which may be a particularly acute problem in postfire landscapes where seed sources and shade trees may be limited </w:t>
      </w:r>
      <w:r w:rsidR="0071532B">
        <w:rPr>
          <w:rFonts w:cstheme="minorHAnsi"/>
        </w:rPr>
        <w:fldChar w:fldCharType="begin" w:fldLock="1"/>
      </w:r>
      <w:r w:rsidR="002C19B3">
        <w:rPr>
          <w:rFonts w:cstheme="minorHAnsi"/>
        </w:rPr>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Applications","id":"ITEM-2","issue":"3","issued":{"date-parts":[["2021"]]},"page":"1-14","title":"Effects of postfire climate and seed availability on postfire conifer regeneration","type":"article-journal","volume":"31"},"uris":["http://www.mendeley.com/documents/?uuid=76e0b1c0-bae5-446e-90ce-1c9503882636"]}],"mendeley":{"formattedCitation":"(Davis &lt;i&gt;et al.&lt;/i&gt;, 2019; Stewart &lt;i&gt;et al.&lt;/i&gt;, 2021)","plainTextFormattedCitation":"(Davis et al., 2019; Stewart et al., 2021)","previouslyFormattedCitation":"(Davis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(Davis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A warmer and dryer climate may provide some relief from WPBR for sugar pine, as the disease’s climatic envelope shifts upslope away from existing populations of sugar pine </w:t>
      </w:r>
      <w:r w:rsidR="0071532B">
        <w:rPr>
          <w:rFonts w:cstheme="minorHAnsi"/>
        </w:rPr>
        <w:fldChar w:fldCharType="begin" w:fldLock="1"/>
      </w:r>
      <w:r w:rsidR="002C19B3">
        <w:rPr>
          <w:rFonts w:cstheme="minorHAnsi"/>
        </w:rPr>
        <w:instrText>ADDIN CSL_CITATION {"citationItems":[{"id":"ITEM-1","itemData":{"DOI":"10.1111/j.1439-0329.2011.00732.x","ISSN":"14374781","abstract":"In 2004-2006, a California-wide survey was conducted to evaluate the incidence and distribution of Cronartium ribicola, cause of white pine blister rust (WPBR), in the high-elevation white pine forests. WPBR occurrence varied considerably within and between regions, and little to no disease was found in the Basin and Range, eastern Sierra Nevada and Transverse and Peninsular mountain ranges. Field surveys revealed no evidence of rust on Great Basin bristlecone, limber or the southern subspecies of foxtail pine. Rust incidence for western white pine was highest in the North Coast region (42% of trees surveyed), followed by the Klamath (18%) and northern Sierra Nevada (14%). For whitebark pine, WPBR incidence averaged 24% in the northern Sierra Nevada; this was considerably greater than other regions where whitebark pine was found infected. Latitudinal trends in WPBR incidence (i.e. greater in the north) may correspond with earlier introductions of C. ribicola into these regions, reflecting the southward spread of the pathogen since its introduction from the north in the early 1900s and environmental conditions favourable for infection. Distance from inoculum sources and potentially host phenology may also be important factors influencing the distribution of C. ribicola. © 2011 Blackwell Verlag GmbH.","author":[{"dropping-particle":"","family":"Maloney","given":"P. E.","non-dropping-particle":"","parse-names":false,"suffix":""}],"container-title":"Forest Pathology","id":"ITEM-1","issue":"4","issued":{"date-parts":[["2011"]]},"page":"308-316","title":"Incidence and distribution of white pine blister rust in the high-elevation forests of California","type":"article-journal","volume":"41"},"uris":["http://www.mendeley.com/documents/?uuid=4592bd57-75a0-43be-a1f5-6088cf4dc878"]},{"id":"ITEM-2","itemData":{"DOI":"10.1038/s41467-021-25182-6","ISSN":"20411723","abstract":"Range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change.","author":[{"dropping-particle":"","family":"Dudney","given":"Joan","non-dropping-particle":"","parse-names":false,"suffix":""},{"dropping-particle":"","family":"Willing","given":"Claire E.","non-dropping-particle":"","parse-names":false,"suffix":""},{"dropping-particle":"","family":"Das","given":"Adrian J.","non-dropping-particle":"","parse-names":false,"suffix":""},{"dropping-particle":"","family":"Latimer","given":"Andrew M.","non-dropping-particle":"","parse-names":false,"suffix":""},{"dropping-particle":"","family":"Nesmith","given":"Jonathan C. B.","non-dropping-particle":"","parse-names":false,"suffix":""},{"dropping-particle":"","family":"Battles","given":"John J.","non-dropping-particle":"","parse-names":false,"suffix":""}],"container-title":"Nature Communications","id":"ITEM-2","issue":"1","issued":{"date-parts":[["2021"]]},"publisher":"Springer US","title":"Nonlinear shifts in infectious rust disease due to climate change","type":"article-journal","volume":"12"},"uris":["http://www.mendeley.com/documents/?uuid=10496e7a-ba49-4a8b-bdc2-011e99900f4a"]}],"mendeley":{"formattedCitation":"(Maloney, 2011; Dudney &lt;i&gt;et al.&lt;/i&gt;, 2021)","plainTextFormattedCitation":"(Maloney, 2011; Dudney et al., 2021)","previouslyFormattedCitation":"(Maloney, 2011; Dudney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(Maloney, 2011; Dudney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w:t>
      </w:r>
      <w:commentRangeStart w:id="68"/>
      <w:r w:rsidR="00BF1ABD" w:rsidRPr="00F30BF0">
        <w:rPr>
          <w:rFonts w:cstheme="minorHAnsi"/>
        </w:rPr>
        <w:t>A relationship between fire exclusion, stand density, and WPBR infection has been suggested</w:t>
      </w:r>
      <w:r w:rsidR="00832E90">
        <w:rPr>
          <w:rFonts w:cstheme="minorHAnsi"/>
        </w:rPr>
        <w:t xml:space="preserve"> </w:t>
      </w:r>
      <w:r w:rsidR="00047C53">
        <w:rPr>
          <w:rFonts w:cstheme="minorHAnsi"/>
        </w:rPr>
        <w:fldChar w:fldCharType="begin" w:fldLock="1"/>
      </w:r>
      <w:r w:rsidR="002F38CC">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(Dudney </w:t>
      </w:r>
      <w:r w:rsidR="00047C53" w:rsidRPr="00047C53">
        <w:rPr>
          <w:rFonts w:cstheme="minorHAnsi"/>
          <w:i/>
          <w:noProof/>
        </w:rPr>
        <w:t>et al.</w:t>
      </w:r>
      <w:r w:rsidR="00047C53" w:rsidRPr="00047C53">
        <w:rPr>
          <w:rFonts w:cstheme="minorHAnsi"/>
          <w:noProof/>
        </w:rPr>
        <w:t>, 2020)</w:t>
      </w:r>
      <w:r w:rsidR="00047C53">
        <w:rPr>
          <w:rFonts w:cstheme="minorHAnsi"/>
        </w:rPr>
        <w:fldChar w:fldCharType="end"/>
      </w:r>
      <w:r w:rsidR="00BF1ABD" w:rsidRPr="00F30BF0">
        <w:rPr>
          <w:rFonts w:cstheme="minorHAnsi"/>
        </w:rPr>
        <w:t xml:space="preserve">, but evidence is mixed with some studies finding that conspecific basal area was an important driver of sugar pine mortality </w:t>
      </w:r>
      <w:r w:rsidR="0071532B">
        <w:rPr>
          <w:rFonts w:cstheme="minorHAnsi"/>
        </w:rPr>
        <w:fldChar w:fldCharType="begin" w:fldLock="1"/>
      </w:r>
      <w:r w:rsidR="002C19B3">
        <w:rPr>
          <w:rFonts w:cstheme="minorHAnsi"/>
        </w:rPr>
        <w:instrText>ADDIN CSL_CITATION {"citationItems":[{"id":"ITEM-1","itemData":{"DOI":"10.1890/07-0524.1","ISSN":"00129658","PMID":"18589538","abstract":"For many species of long-lived organisms, such as trees, survival appears to be the most critical vital rate affecting population persistence. However, methods commonly used to quantify tree death, such as relating tree mortality risk solely to diameter growth, almost certainly do not account for important spatial processes. Our goal in this study was to detect and, if present, to quantify the relevance of such processes. For this purpose, we examined purely spatial aspects of mortality for four species, Abies concolor, Abies magnifica, Calocedrus decurrens, and Pinus lambertiana, in an old-growth conifer forest in the Sierra Nevada of California, USA. The analysis was performed using data from nine fully mapped long-term monitoring plots. In three cases, the results unequivocally supported the inclusion of spatial information in models used to predict mortality. For Abies concolor, our results suggested that growth rate may not always adequately capture increased mortality risk due to competition. We also found evidence of a facilitative effect for this species, with mortality risk decreasing with proximity to conspecific neighbors. For Pinus lambertiana, mortality risk increased with density of conspecific neighbors, in keeping with a mechanism of increased pathogen or insect pressure (i.e., a Janzen-Connell type effect). Finally, we found that models estimating risk of being crushed were strongly improved by the inclusion of a simple index of spatial proximity. Not only did spatial indices improve models, those improvements were relevant for mortality prediction. For P. lambertiana, spatial factors were important for estimation of mortality risk regardless of growth rate. For A. concolor, although most of the population fell within spatial conditions in which mortality risk was well described by growth, trees that died occurred outside those conditions in a disproportionate fashion. Furthermore, as stands of A. concolor become increasingly dense, such spatial factors are likely to become increasingly important. In general, models that fail to account for spatial pattern are at risk of failure as conditions change. © 2008 by the Ecological Society of America.","author":[{"dropping-particle":"","family":"Das","given":"Adrian","non-dropping-particle":"","parse-names":false,"suffix":""},{"dropping-particle":"","family":"Battles","given":"John","non-dropping-particle":"","parse-names":false,"suffix":""},{"dropping-particle":"","family":"Mantgem","given":"Phillip J.","non-dropping-particle":"Van","parse-names":false,"suffix":""},{"dropping-particle":"","family":"Stephenson","given":"Nathan L.","non-dropping-particle":"","parse-names":false,"suffix":""}],"container-title":"Ecology","id":"ITEM-1","issue":"6","issued":{"date-parts":[["2008"]]},"page":"1744-1756","title":"Spatial elements of mortality risk in old-growth forests","type":"article-journal","volume":"89"},"uris":["http://www.mendeley.com/documents/?uuid=883aefb5-9323-4312-8f8f-ea507ebf99cb"]}],"mendeley":{"formattedCitation":"(Das &lt;i&gt;et al.&lt;/i&gt;, 2008)","plainTextFormattedCitation":"(Das et al., 2008)","previouslyFormattedCitation":"(Das &lt;i&gt;et al.&lt;/i&gt;, 2008)"},"properties":{"noteIndex":0},"schema":"https://github.com/citation-style-language/schema/raw/master/csl-citation.json"}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2008)</w:t>
      </w:r>
      <w:r w:rsidR="0071532B">
        <w:rPr>
          <w:rFonts w:cstheme="minorHAnsi"/>
        </w:rPr>
        <w:fldChar w:fldCharType="end"/>
      </w:r>
      <w:r w:rsidR="00BF1ABD" w:rsidRPr="00F30BF0">
        <w:rPr>
          <w:rFonts w:cstheme="minorHAnsi"/>
        </w:rPr>
        <w:t xml:space="preserve"> but others </w:t>
      </w:r>
      <w:r w:rsidR="006838F2" w:rsidRPr="00F30BF0">
        <w:rPr>
          <w:rFonts w:cstheme="minorHAnsi"/>
        </w:rPr>
        <w:t xml:space="preserve">failing to find evidence linking fire exclusion to elevated rates of WPBR infection </w:t>
      </w:r>
      <w:r w:rsidR="00E813D6">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species","type":"article-journal","volume":"11"},"uris":["http://www.mendeley.com/documents/?uuid=54eba3d7-5ed4-4e44-a51e-b1150e7c2215"]}],"mendeley":{"formattedCitation":"(Van Mantgem &lt;i&gt;et al.&lt;/i&gt;, 2004; Dudney &lt;i&gt;et al.&lt;/i&gt;, 2020)","plainTextFormattedCitation":"(Van Mantgem et al., 2004; Dudney et al., 2020)","previouslyFormattedCitation":"(Van Mantgem &lt;i&gt;et al.&lt;/i&gt;, 2004; Dudney &lt;i&gt;et al.&lt;/i&gt;, 2020)"},"properties":{"noteIndex":0},"schema":"https://github.com/citation-style-language/schema/raw/master/csl-citation.json"}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Dudney </w:t>
      </w:r>
      <w:r w:rsidR="00EB4A84" w:rsidRPr="00EB4A84">
        <w:rPr>
          <w:rFonts w:cstheme="minorHAnsi"/>
          <w:i/>
          <w:noProof/>
        </w:rPr>
        <w:t>et al.</w:t>
      </w:r>
      <w:r w:rsidR="00EB4A84" w:rsidRPr="00EB4A84">
        <w:rPr>
          <w:rFonts w:cstheme="minorHAnsi"/>
          <w:noProof/>
        </w:rPr>
        <w:t>, 2020)</w:t>
      </w:r>
      <w:r w:rsidR="00E813D6">
        <w:rPr>
          <w:rFonts w:cstheme="minorHAnsi"/>
        </w:rPr>
        <w:fldChar w:fldCharType="end"/>
      </w:r>
      <w:r w:rsidR="006838F2" w:rsidRPr="00F30BF0">
        <w:rPr>
          <w:rFonts w:cstheme="minorHAnsi"/>
        </w:rPr>
        <w:t xml:space="preserve">. </w:t>
      </w:r>
      <w:r w:rsidR="00D70E5C" w:rsidRPr="00F30BF0">
        <w:rPr>
          <w:rFonts w:cstheme="minorHAnsi"/>
        </w:rPr>
        <w:t xml:space="preserve">Stress caused by drought and/or competition may decrease trees’ ability to resist wildfire </w:t>
      </w:r>
      <w:r w:rsidR="00E813D6">
        <w:rPr>
          <w:rFonts w:cstheme="minorHAnsi"/>
        </w:rPr>
        <w:fldChar w:fldCharType="begin" w:fldLock="1"/>
      </w:r>
      <w:r w:rsidR="00AE693D">
        <w:rPr>
          <w:rFonts w:cstheme="minorHAnsi"/>
        </w:rPr>
        <w:instrText>ADDIN CSL_CITATION {"citationItems":[{"id":"ITEM-1","itemData":{"DOI":"10.1139/cjfr-2014-0449","ISSN":"12086037","abstract":"Tree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Research","id":"ITEM-1","issue":"7","issued":{"date-parts":[["2015"]]},"page":"910-919","title":"The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Park","type":"article-journal","volume":"45"},"uris":["http://www.mendeley.com/documents/?uuid=cd8ba33c-48ac-44de-90c9-962cbecf6d95"]},{"id":"ITEM-2","itemData":{"DOI":"10.1002/eap.1778","ISSN":"19395582","PMID":"30151923","abstract":"Tree mortality is an important outcome of many forest fires. Extensive tree injuries from fire may lead directly to mortality, but environmental and biological stressors may also contribute to tree death. However, there is little evidence showing how the combined effects of two common stressors, drought and competition, influence post-fire mortality. Geographically broad observations of three common western coniferous trees subjected to prescribed fire showed the likelihood of post-fire mortality was related to intermediate-term (10 yr) pre-fire average radial growth, an important component of tree vigor. Path analysis showed that indices of competition and drought stress prior to fire can be described in terms of joint effects on growth, indirectly affecting post-fire mortality. Our results suggest that the conditions that govern the relationship between growth and mortality in unburned stands may also apply to post-fire environments. Thus, biotic and abiotic changes that affect growth negatively (e.g., drought stress) or positively (e.g., growth releases following thinning treatments) prior to fire may influence expressed fire severity, independent of fire intensity (e.g., heat flux, residence time). These relationships suggest that tree mortality may increase under stressful climatic or stand conditions even if fire behavior remains constant.","author":[{"dropping-particle":"","family":"Mantgem","given":"Phillip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L.","non-dropping-particle":"","parse-names":false,"suffix":""}],"container-title":"Ecological Applications","id":"ITEM-2","issue":"7","issued":{"date-parts":[["2018"]]},"page":"1730-1739","title":"Pre-fire drought and competition mediate post-fire conifer mortality in western U.S. National Parks","type":"article-journal","volume":"28"},"uris":["http://www.mendeley.com/documents/?uuid=58cc14e0-6ea7-4354-b0b5-262696f8bc85"]},{"id":"ITEM-3","itemData":{"DOI":"10.1071/WF19020","ISSN":"10498001","abstract":"Fire severity in forests is often defined in terms of post-fire tree mortality, yet the influences on tree mortality following fire are not fully understood. Pre-fire growth may serve as an index of vigour, indicating resource availability and the capacity to recover from injury and defend against pests. For trees that are not killed immediately by severe fire injury, tree growth patterns could therefore partially predict post-fire mortality probabilities. Here, we consider the influence of multiple growth patterns on post-fire tree mortality for three common conifer species in the western USA. Using observations from 1 to 9 years following prescribed fires in USA national parks across five western states, we show that post-fire conifer mortality was related not only to fire-caused injuries (crown scorch and bole char), but also to average growth rate and long-term (25 years) growth patterns (counts of abrupt growth declines and possibly growth trends). Our results suggest that pre-fire conditions affecting tree vigour may influence post-fire tree mortality probabilities. Environmental conditions (such as rising temperatures and moisture stress), independent of fire intensity, may thus cause expressed fire severity to increase in western forests.","author":[{"dropping-particle":"","family":"Mantgem","given":"Phillip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L.","non-dropping-particle":"","parse-names":false,"suffix":""}],"container-title":"International Journal of Wildland Fire","id":"ITEM-3","issue":"6","issued":{"date-parts":[["2020"]]},"page":"513-518","title":"The influence of pre-fire growth patterns on post-fire tree mortality for common conifers in western US parks","type":"article-journal","volume":"29"},"uris":["http://www.mendeley.com/documents/?uuid=b3d0e54b-2bb5-4c84-8aca-648ac7a9fb32"]},{"id":"ITEM-4","itemData":{"DOI":"10.1071/WF18031","ISSN":"1049-8001","author":[{"dropping-particle":"","family":"Furniss","given":"T.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Fire","id":"ITEM-4","issued":{"date-parts":[["2018"]]},"page":"in press","title":"Multi-scale assessment of post-fire tree mortality models","type":"article-journal"},"uris":["http://www.mendeley.com/documents/?uuid=5dce8c9b-16a7-4930-9de8-231f1ca41bb7"]},{"id":"ITEM-5","itemData":{"DOI":"10.1002/eap.2507","ISSN":"1051-0761","abstract":"In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Applications","id":"ITEM-5","issue":"June 2021","issued":{"date-parts":[["2021"]]},"page":"1-14","title":"Crowding, climate, and the case for social distancing among trees","type":"article-journal"},"uris":["http://www.mendeley.com/documents/?uuid=923f9f80-0634-4566-ac74-bb9eb698fef4"]}],"mendeley":{"formattedCitation":"(Nesmith &lt;i&gt;et al.&lt;/i&gt;, 2015; Furniss &lt;i&gt;et al.&lt;/i&gt;, 2018, 2021; van Mantgem &lt;i&gt;et al.&lt;/i&gt;, 2018; Van Mantgem &lt;i&gt;et al.&lt;/i&gt;, 2020)","plainTextFormattedCitation":"(Nesmith et al., 2015; Furniss et al., 2018, 2021; van Mantgem et al., 2018; Van Mantgem et al., 2020)","previouslyFormattedCitation":"(Nesmith &lt;i&gt;et al.&lt;/i&gt;, 2015; Furniss &lt;i&gt;et al.&lt;/i&gt;, 2018, 2021; van Mantgem &lt;i&gt;et al.&lt;/i&gt;, 2018; Van Mantgem &lt;i&gt;et al.&lt;/i&gt;, 2020)"},"properties":{"noteIndex":0},"schema":"https://github.com/citation-style-language/schema/raw/master/csl-citation.json"}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(Nesmith </w:t>
      </w:r>
      <w:r w:rsidR="00AE693D" w:rsidRPr="00AE693D">
        <w:rPr>
          <w:rFonts w:cstheme="minorHAnsi"/>
          <w:i/>
          <w:noProof/>
        </w:rPr>
        <w:t>et al.</w:t>
      </w:r>
      <w:r w:rsidR="00AE693D" w:rsidRPr="00AE693D">
        <w:rPr>
          <w:rFonts w:cstheme="minorHAnsi"/>
          <w:noProof/>
        </w:rPr>
        <w:t xml:space="preserve">, 2015; Furniss </w:t>
      </w:r>
      <w:r w:rsidR="00AE693D" w:rsidRPr="00AE693D">
        <w:rPr>
          <w:rFonts w:cstheme="minorHAnsi"/>
          <w:i/>
          <w:noProof/>
        </w:rPr>
        <w:t>et al.</w:t>
      </w:r>
      <w:r w:rsidR="00AE693D" w:rsidRPr="00AE693D">
        <w:rPr>
          <w:rFonts w:cstheme="minorHAnsi"/>
          <w:noProof/>
        </w:rPr>
        <w:t xml:space="preserve">, 2018, 2021; van Mantgem </w:t>
      </w:r>
      <w:r w:rsidR="00AE693D" w:rsidRPr="00AE693D">
        <w:rPr>
          <w:rFonts w:cstheme="minorHAnsi"/>
          <w:i/>
          <w:noProof/>
        </w:rPr>
        <w:t>et al.</w:t>
      </w:r>
      <w:r w:rsidR="00AE693D" w:rsidRPr="00AE693D">
        <w:rPr>
          <w:rFonts w:cstheme="minorHAnsi"/>
          <w:noProof/>
        </w:rPr>
        <w:t xml:space="preserve">, 2018; Van Mantgem </w:t>
      </w:r>
      <w:r w:rsidR="00AE693D" w:rsidRPr="00AE693D">
        <w:rPr>
          <w:rFonts w:cstheme="minorHAnsi"/>
          <w:i/>
          <w:noProof/>
        </w:rPr>
        <w:t>et al.</w:t>
      </w:r>
      <w:r w:rsidR="00AE693D" w:rsidRPr="00AE693D">
        <w:rPr>
          <w:rFonts w:cstheme="minorHAnsi"/>
          <w:noProof/>
        </w:rPr>
        <w:t>, 2020)</w:t>
      </w:r>
      <w:r w:rsidR="00E813D6">
        <w:rPr>
          <w:rFonts w:cstheme="minorHAnsi"/>
        </w:rPr>
        <w:fldChar w:fldCharType="end"/>
      </w:r>
      <w:r w:rsidR="00D70E5C" w:rsidRPr="00F30BF0">
        <w:rPr>
          <w:rFonts w:cstheme="minorHAnsi"/>
        </w:rPr>
        <w:t xml:space="preserve">, and beetle epidemics may kill off the largest and most fire-resistant individuals </w:t>
      </w:r>
      <w:r w:rsidR="00E813D6">
        <w:rPr>
          <w:rFonts w:cstheme="minorHAnsi"/>
        </w:rPr>
        <w:fldChar w:fldCharType="begin" w:fldLock="1"/>
      </w:r>
      <w:r w:rsidR="00021D10">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Mortality?","type":"article-journal","volume":"12"},"uris":["http://www.mendeley.com/documents/?uuid=27f300f3-6aa3-4e67-9ff2-302a5568e9e8"]}],"mendeley":{"formattedCitation":"(Stephenson &lt;i&gt;et al.&lt;/i&gt;, 2019; Steel &lt;i&gt;et al.&lt;/i&gt;, 2021)","plainTextFormattedCitation":"(Stephenson et al., 2019; Steel et al., 2021)","previouslyFormattedCitation":"(Stephenson &lt;i&gt;et al.&lt;/i&gt;, 2019; Steel &lt;i&gt;et al.&lt;/i&gt;, 2021)"},"properties":{"noteIndex":0},"schema":"https://github.com/citation-style-language/schema/raw/master/csl-citation.json"}</w:instrText>
      </w:r>
      <w:r w:rsidR="00E813D6">
        <w:rPr>
          <w:rFonts w:cstheme="minorHAnsi"/>
        </w:rPr>
        <w:fldChar w:fldCharType="separate"/>
      </w:r>
      <w:r w:rsidR="00021D10" w:rsidRPr="00021D10">
        <w:rPr>
          <w:rFonts w:cstheme="minorHAnsi"/>
          <w:noProof/>
        </w:rPr>
        <w:t xml:space="preserve">(Stephenson </w:t>
      </w:r>
      <w:r w:rsidR="00021D10" w:rsidRPr="00021D10">
        <w:rPr>
          <w:rFonts w:cstheme="minorHAnsi"/>
          <w:i/>
          <w:noProof/>
        </w:rPr>
        <w:t>et al.</w:t>
      </w:r>
      <w:r w:rsidR="00021D10" w:rsidRPr="00021D10">
        <w:rPr>
          <w:rFonts w:cstheme="minorHAnsi"/>
          <w:noProof/>
        </w:rPr>
        <w:t xml:space="preserve">, 2019; Steel </w:t>
      </w:r>
      <w:r w:rsidR="00021D10" w:rsidRPr="00021D10">
        <w:rPr>
          <w:rFonts w:cstheme="minorHAnsi"/>
          <w:i/>
          <w:noProof/>
        </w:rPr>
        <w:t>et al.</w:t>
      </w:r>
      <w:r w:rsidR="00021D10" w:rsidRPr="00021D10">
        <w:rPr>
          <w:rFonts w:cstheme="minorHAnsi"/>
          <w:noProof/>
        </w:rPr>
        <w:t>, 2021)</w:t>
      </w:r>
      <w:r w:rsidR="00E813D6">
        <w:rPr>
          <w:rFonts w:cstheme="minorHAnsi"/>
        </w:rPr>
        <w:fldChar w:fldCharType="end"/>
      </w:r>
      <w:r w:rsidR="00D70E5C" w:rsidRPr="00F30BF0">
        <w:rPr>
          <w:rFonts w:cstheme="minorHAnsi"/>
        </w:rPr>
        <w:t xml:space="preserve">. Drought and density both alter the fuelbed in ways that may </w:t>
      </w:r>
      <w:r w:rsidR="00D70E5C" w:rsidRPr="00F30BF0">
        <w:rPr>
          <w:rFonts w:cstheme="minorHAnsi"/>
        </w:rPr>
        <w:lastRenderedPageBreak/>
        <w:t>increase the intensity of wildfires</w:t>
      </w:r>
      <w:r w:rsidR="00D45C6F" w:rsidRPr="00F30BF0">
        <w:rPr>
          <w:rFonts w:cstheme="minorHAnsi"/>
        </w:rPr>
        <w:t xml:space="preserve"> </w:t>
      </w:r>
      <w:r w:rsidR="00E813D6">
        <w:rPr>
          <w:rFonts w:cstheme="minorHAnsi"/>
        </w:rPr>
        <w:fldChar w:fldCharType="begin" w:fldLock="1"/>
      </w:r>
      <w:r w:rsidR="002C19B3">
        <w:rPr>
          <w:rFonts w:cstheme="minorHAnsi"/>
        </w:rPr>
        <w:instrText>ADDIN CSL_CITATION {"citationItems":[{"id":"ITEM-1","itemData":{"DOI":"10.1093/biosci/bix146","ISBN":"0006-3568","ISSN":"0006-3568","abstract":"Massive tree mortality has occurred rapidly in frequent-fire-adapted forests of the Sierra Nevada, California. This mortality is a product of acute drought compounded by the long-established removal of a key ecosystem process: frequent, low- to moderate-intensity fire. The recent tree mortality has many implications for the future of these forests and the ecological goods and services they provide to society. Future wildfire hazard following this mortality can be generally characterized by decreased crown fire potential and increased surface fire intensity in the short to intermediate term. The scale of present tree mortality is so large that greater potential for “mass fire” exists in the coming decades, driven by the amount and continuity of dry, combustible, large woody material that could produce large, severe fires. For long-term adaptation to climate change, we highlight the importance of moving beyond triage of dead and dying trees to making “green” (live) forests more resilient.","author":[{"dropping-particle":"","family":"Stephens","given":"Scott L.","non-dropping-particle":"","parse-names":false,"suffix":""},{"dropping-particle":"","family":"Collins","given":"Brandon M.","non-dropping-particle":"","parse-names":false,"suffix":""},{"dropping-particle":"","family":"Fettig","given":"Christopher J.","non-dropping-particle":"","parse-names":false,"suffix":""},{"dropping-particle":"","family":"Finney","given":"Mark A.","non-dropping-particle":"","parse-names":false,"suffix":""},{"dropping-particle":"","family":"Hoffman","given":"Chad M.","non-dropping-particle":"","parse-names":false,"suffix":""},{"dropping-particle":"","family":"Knapp","given":"Eric E.","non-dropping-particle":"","parse-names":false,"suffix":""},{"dropping-particle":"","family":"North","given":"Malcolm P.","non-dropping-particle":"","parse-names":false,"suffix":""},{"dropping-particle":"","family":"Safford","given":"Hugh","non-dropping-particle":"","parse-names":false,"suffix":""},{"dropping-particle":"","family":"Wayman","given":"Rebecca B.","non-dropping-particle":"","parse-names":false,"suffix":""}],"container-title":"BioScience","id":"ITEM-1","issue":"X","issued":{"date-parts":[["2018"]]},"page":"1-12","title":"Drought, Tree Mortality, and Wildfire in Forests Adapted to Frequent Fire","type":"article-journal","volume":"XX"},"uris":["http://www.mendeley.com/documents/?uuid=83a571e8-0d79-4b5a-8bd3-aaef26a39cd2"]},{"id":"ITEM-2","itemData":{"DOI":"10.1016/j.foreco.2012.02.005","ISSN":"03781127","abstract":"Millions of trees killed by bark beetles in western North America have raised concerns about subsequent wildfire, but studies have reported a range of conclusions, often seemingly contradictory, about effects on fuels and wildfire. In this study, we reviewed and synthesized the published literature on modifications to fuels and fire characteristics following beetle-caused tree mortality. We found 39 studies addressing this topic with a variety of methods including fuels measurements, fire behavior simulations, an experiment, and observations of fire occurrence, severity, or frequency. From these publications, we developed a conceptual framework describing expected changes of fuels and fire behavior. Some characteristics of fuels and fire are enhanced following outbreaks and others are unchanged or diminished, with time since outbreak a key factor influencing changes. We also quantified areas of higher and lower confidence in our framework based on the number of studies addressing a particular area as well as agreement among studies. The published literature agrees about responses in many conditions, including fuels measurements and changes in stands with longer times since outbreak, and so we assigned higher confidence to our conceptual framework for these conditions. Disagreement or gaps in knowledge exist in several conditions, particularly in early postoutbreak phases and crown fire behavior responses, leading to low confidence in our framework in these areas and highlighting the need for future research. Our findings resolved some of the controversy about effects of bark beetles on fire through more specificity about time since outbreak and fuels or fire characteristic. Recognition of the type of study question was also important in resolving controversy: some publications assessed whether beetle-caused tree mortality caused differences relative to unattacked locations, whereas other publications assessed differences relative to other drivers of wildfire such as climate. However, some disagreement among studies remained. Given the large areas of recent bark beetle and wildfire disturbances and expected effects of climate change, land and fire managers need more confidence in key areas when making decisions about treatments to reduce future fire hazard and when fighting fires. © 2012 Elsevier B.V.","author":[{"dropping-particle":"","family":"Hicke","given":"Jeffrey A.","non-dropping-particle":"","parse-names":false,"suffix":""},{"dropping-particle":"","family":"Johnson","given":"Morris C.","non-dropping-particle":"","parse-names":false,"suffix":""},{"dropping-particle":"","family":"Hayes","given":"Jane L.","non-dropping-particle":"","parse-names":false,"suffix":""},{"dropping-particle":"","family":"Preisler","given":"Haiganoush K.","non-dropping-particle":"","parse-names":false,"suffix":""}],"container-title":"Forest Ecology and Management","id":"ITEM-2","issued":{"date-parts":[["2012"]]},"page":"81-90","publisher":"Elsevier B.V.","title":"Effects of bark beetle-caused tree mortality on wildfire","type":"article-journal","volume":"271"},"uris":["http://www.mendeley.com/documents/?uuid=bdfd1573-8416-4817-b574-9059b40c9bdf"]},{"id":"ITEM-3","itemData":{"DOI":"10.1002/eap.2287","ISSN":"19395582","PMID":"33426715","abstract":"In temperate forests, elevated frequency of drought related disturbances will likely increase the incidence of interactions between disturbances such as bark beetle epidemics and wildfires. Our understanding of the influence of recent drought and insect-induced tree mortality on wildfire severity has largely lacked information from forests adapted to frequent fire. A recent unprecedented tree mortality event in California’s Sierra Nevada provides an opportunity to examine this disturbance interaction in historically frequent-fire forests. Using field data collected within areas of recent tree mortality that subsequently burned in wildfire, we examined whether and under what conditions wildfire severity relates to severity of prefire tree mortality in Sierra Nevada mixed-conifer forests. We collected data on 180 plots within the 2015 Rough Fire and 2016 Cedar Fire footprints (California, USA). Our analyses identified prefire tree mortality as influential on all measures of wildfire severity (basal area killed by fire, RdNBR, and canopy torch) on the Cedar Fire, although it was less influential than fire weather (relative humidity). Prefire tree mortality was influential on two of three fire-severity measures on the Rough Fire, and was the most important predictor of basal area killed by fire; topographic position was influential on two metrics. On the Cedar Fire, the influence of prefire mortality on basal area killed by fire was greater under milder weather conditions. All measures of fire severity increased as prefire mortality increased up to prefire mortality levels of approximately 30–40%; further increases did not result in greater fire severity. The interacting disturbances shifted a pine-dominated system (Rough Fire) to a cedar–pine–fir system, while the pre-disturbance fir–cedar system (Cedar Fire) saw its dominant species unchanged. Managers of historically frequent-fire forests will benefit from utilizing this information when prioritizing fuels reduction treatments in areas of recent tree mortality, as it is the first empirical study to document a relationship between prefire mortality and subsequent wildfire severity in these systems. This study contributes to a growing body of evidence that the influence of prefire tree mortality on wildfire severity in temperate coniferous forests may depend on other conditions capable of driving extreme wildfire behavior, such as weather.","author":[{"dropping-particle":"","family":"Wayman","given":"Rebecca B.","non-dropping-particle":"","parse-names":false,"suffix":""},{"dropping-particle":"","family":"Safford","given":"Hugh D.","non-dropping-particle":"","parse-names":false,"suffix":""}],"container-title":"Ecological Applications","id":"ITEM-3","issue":"3","issued":{"date-parts":[["2021"]]},"note":"severe weather can swamp fuel and topographic conditions\n\nimplication is causal (red phase -&amp;gt; changes in fuel structure), but equally plausible is a correlation (drought stress / epidemic BB pop -&amp;gt; red phase mortality AND reduced individual-level file resistance)\n\npositive effect of drought mortality on fire severity caps out at ~40% drought mortality, but well below 100% severity; this is super interesting","page":"1-19","title":"Recent bark beetle outbreaks influence wildfire severity in mixed-conifer forests of the Sierra Nevada, California, USA","type":"article-journal","volume":"31"},"uris":["http://www.mendeley.com/documents/?uuid=6b2a85d6-0253-4578-b2ab-f78ffe9b857e"]}],"mendeley":{"formattedCitation":"(Hicke &lt;i&gt;et al.&lt;/i&gt;, 2012; Stephens &lt;i&gt;et al.&lt;/i&gt;, 2018; Wayman and Safford, 2021)","plainTextFormattedCitation":"(Hicke et al., 2012; Stephens et al., 2018; Wayman and Safford, 2021)","previouslyFormattedCitation":"(Hicke &lt;i&gt;et al.&lt;/i&gt;, 2012; Stephens &lt;i&gt;et al.&lt;/i&gt;, 2018; Wayman and Safford, 2021)"},"properties":{"noteIndex":0},"schema":"https://github.com/citation-style-language/schema/raw/master/csl-citation.json"}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(Hicke </w:t>
      </w:r>
      <w:r w:rsidR="00EB4A84" w:rsidRPr="00EB4A84">
        <w:rPr>
          <w:rFonts w:cstheme="minorHAnsi"/>
          <w:i/>
          <w:noProof/>
        </w:rPr>
        <w:t>et al.</w:t>
      </w:r>
      <w:r w:rsidR="00EB4A84" w:rsidRPr="00EB4A84">
        <w:rPr>
          <w:rFonts w:cstheme="minorHAnsi"/>
          <w:noProof/>
        </w:rPr>
        <w:t xml:space="preserve">, 2012; Stephens </w:t>
      </w:r>
      <w:r w:rsidR="00EB4A84" w:rsidRPr="00EB4A84">
        <w:rPr>
          <w:rFonts w:cstheme="minorHAnsi"/>
          <w:i/>
          <w:noProof/>
        </w:rPr>
        <w:t>et al.</w:t>
      </w:r>
      <w:r w:rsidR="00EB4A84" w:rsidRPr="00EB4A84">
        <w:rPr>
          <w:rFonts w:cstheme="minorHAnsi"/>
          <w:noProof/>
        </w:rPr>
        <w:t>, 2018; Wayman and Safford, 2021)</w:t>
      </w:r>
      <w:r w:rsidR="00E813D6">
        <w:rPr>
          <w:rFonts w:cstheme="minorHAnsi"/>
        </w:rPr>
        <w:fldChar w:fldCharType="end"/>
      </w:r>
      <w:r w:rsidR="00D45C6F" w:rsidRPr="00F30BF0">
        <w:rPr>
          <w:rFonts w:cstheme="minorHAnsi"/>
        </w:rPr>
        <w:t xml:space="preserve">. </w:t>
      </w:r>
      <w:r w:rsidR="009F381B" w:rsidRPr="00F30BF0">
        <w:rPr>
          <w:rFonts w:cstheme="minorHAnsi"/>
        </w:rPr>
        <w:t xml:space="preserve">Likewise, wildfires may decrease trees’ ability to resist bark beetles, facilitating epidemic outbreaks in the event of a post-fire drought </w:t>
      </w:r>
      <w:r w:rsidR="00E813D6">
        <w:rPr>
          <w:rFonts w:cstheme="minorHAnsi"/>
        </w:rPr>
        <w:fldChar w:fldCharType="begin" w:fldLock="1"/>
      </w:r>
      <w:r w:rsidR="00307D27">
        <w:rPr>
          <w:rFonts w:cstheme="minorHAnsi"/>
        </w:rPr>
        <w:instrText>ADDIN CSL_CITATION {"citationItems":[{"id":"ITEM-1","itemData":{"DOI":"10.1139/x2012-147","ISBN":"0045-5067","ISSN":"0045-5067","abstract":"Bark beetles can cause substantial mortality of trees that would otherwise survive fire injuries. Resin response of fire-injured northern Rocky Mountain ponderosa pine (Pinus ponderosa Douglas ex P. Lawson &amp; C. Lawson) and specific injuries that contribute to increased bark beetle attack susceptibility and brood production are unknown. We monitored ponderosa pine mortality and resin flow and bark beetle colonization and reproduction following a prescribed fire in Idaho and a wildfire in Montana. The level of fire-caused tree injury differed between the two sites, and the level of tree injury most susceptible to bark beetle attack and colonization also differed. Strip-attacked trees alive 3 years post-fire had lower levels of bole and crown injury than trees mass attacked and killed by bark beetles, suggesting that fire-injured trees were less well defended. Brood production of western pine beetle (Dendroctonus brevicomis LeConte) did not differ between fire-injured and uninjured trees, although mountain pine beetle (Dendroctonus ponderosae Hopkins) brood production was low in both tree types, potentially due to competition with faster developing bark beetle species that also colonized trees. Despite a large number of live trees remaining at both sites, bark beetle response to fire-injured trees pulsed and receded within 2 years post-fire, potentially due to a limited number of trees that could be easily colonized.","author":[{"dropping-particle":"","family":"Davis","given":"Ryan S","non-dropping-particle":"","parse-names":false,"suffix":""},{"dropping-particle":"","family":"Hood","given":"Sharon","non-dropping-particle":"","parse-names":false,"suffix":""},{"dropping-particle":"","family":"Bentz","given":"Barbara J","non-dropping-particle":"","parse-names":false,"suffix":""}],"container-title":"Canadian Journal of Forest Research-Revue Canadienne De Recherche Forestiere","id":"ITEM-1","issue":"12","issued":{"date-parts":[["2012"]]},"page":"2022-2036","title":"Fire-injured ponderosa pine provide a pulsed resource for bark beetles","type":"article-journal","volume":"42"},"uris":["http://www.mendeley.com/documents/?uuid=b48fe7a1-921e-4743-b78b-7bb3d931a4bf"]},{"id":"ITEM-2","itemData":{"DOI":"10.1002/eap.2507","ISSN":"1051-0761","abstract":"In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trees","type":"article-journal"},"uris":["http://www.mendeley.com/documents/?uuid=923f9f80-0634-4566-ac74-bb9eb698fef4"]}],"mendeley":{"formattedCitation":"(Davis, Hood and Bentz, 2012; Furniss &lt;i&gt;et al.&lt;/i&gt;, 2021)","plainTextFormattedCitation":"(Davis, Hood and Bentz, 2012; Furniss et al., 2021)","previouslyFormattedCitation":"(Davis, Hood and Bentz, 2012; Furniss &lt;i&gt;et al.&lt;/i&gt;, 2021)"},"properties":{"noteIndex":0},"schema":"https://github.com/citation-style-language/schema/raw/master/csl-citation.json"}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(Davis, Hood and Bentz, 2012; Furniss </w:t>
      </w:r>
      <w:r w:rsidR="00AE693D" w:rsidRPr="00AE693D">
        <w:rPr>
          <w:rFonts w:cstheme="minorHAnsi"/>
          <w:i/>
          <w:noProof/>
        </w:rPr>
        <w:t>et al.</w:t>
      </w:r>
      <w:r w:rsidR="00AE693D" w:rsidRPr="00AE693D">
        <w:rPr>
          <w:rFonts w:cstheme="minorHAnsi"/>
          <w:noProof/>
        </w:rPr>
        <w:t>, 2021)</w:t>
      </w:r>
      <w:r w:rsidR="00E813D6">
        <w:rPr>
          <w:rFonts w:cstheme="minorHAnsi"/>
        </w:rPr>
        <w:fldChar w:fldCharType="end"/>
      </w:r>
      <w:r w:rsidR="009F381B" w:rsidRPr="00F30BF0">
        <w:rPr>
          <w:rFonts w:cstheme="minorHAnsi"/>
        </w:rPr>
        <w:t>.</w:t>
      </w:r>
      <w:r w:rsidR="00D45C6F" w:rsidRPr="00F30BF0">
        <w:rPr>
          <w:rFonts w:cstheme="minorHAnsi"/>
        </w:rPr>
        <w:t xml:space="preserve"> </w:t>
      </w:r>
      <w:r w:rsidR="00307D27">
        <w:rPr>
          <w:rFonts w:cstheme="minorHAnsi"/>
        </w:rPr>
        <w:t xml:space="preserve">Competition tends to reduce trees’ ability to resist drought and beetle epidemics </w:t>
      </w:r>
      <w:r w:rsidR="00307D27">
        <w:rPr>
          <w:rFonts w:cstheme="minorHAnsi"/>
        </w:rPr>
        <w:fldChar w:fldCharType="begin" w:fldLock="1"/>
      </w:r>
      <w:r w:rsidR="005E7ECB">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Letters","id":"ITEM-2","issue":"1","issued":{"date-parts":[["2017"]]},"page":"78-86","title":"Long-term climate and competition explain forest mortality patterns under extreme drought","type":"article-journal","volume":"20"},"uris":["http://www.mendeley.com/documents/?uuid=11db3a96-5a65-4eb7-b92a-5cde2681bbb2"]}],"mendeley":{"formattedCitation":"(Young &lt;i&gt;et al.&lt;/i&gt;, 2017; Furniss &lt;i&gt;et al.&lt;/i&gt;, 2021)","plainTextFormattedCitation":"(Young et al., 2017; Furniss et al., 2021)","previouslyFormattedCitation":"(Young &lt;i&gt;et al.&lt;/i&gt;, 2017; Furniss &lt;i&gt;et al.&lt;/i&gt;, 2021)"},"properties":{"noteIndex":0},"schema":"https://github.com/citation-style-language/schema/raw/master/csl-citation.json"}</w:instrText>
      </w:r>
      <w:r w:rsidR="00307D27">
        <w:rPr>
          <w:rFonts w:cstheme="minorHAnsi"/>
        </w:rPr>
        <w:fldChar w:fldCharType="separate"/>
      </w:r>
      <w:r w:rsidR="00307D27" w:rsidRPr="00307D27">
        <w:rPr>
          <w:rFonts w:cstheme="minorHAnsi"/>
          <w:noProof/>
        </w:rPr>
        <w:t xml:space="preserve">(Young </w:t>
      </w:r>
      <w:r w:rsidR="00307D27" w:rsidRPr="00307D27">
        <w:rPr>
          <w:rFonts w:cstheme="minorHAnsi"/>
          <w:i/>
          <w:noProof/>
        </w:rPr>
        <w:t>et al.</w:t>
      </w:r>
      <w:r w:rsidR="00307D27" w:rsidRPr="00307D27">
        <w:rPr>
          <w:rFonts w:cstheme="minorHAnsi"/>
          <w:noProof/>
        </w:rPr>
        <w:t xml:space="preserve">, 2017; Furniss </w:t>
      </w:r>
      <w:r w:rsidR="00307D27" w:rsidRPr="00307D27">
        <w:rPr>
          <w:rFonts w:cstheme="minorHAnsi"/>
          <w:i/>
          <w:noProof/>
        </w:rPr>
        <w:t>et al.</w:t>
      </w:r>
      <w:r w:rsidR="00307D27" w:rsidRPr="00307D27">
        <w:rPr>
          <w:rFonts w:cstheme="minorHAnsi"/>
          <w:noProof/>
        </w:rPr>
        <w:t>, 2021)</w:t>
      </w:r>
      <w:r w:rsidR="00307D27">
        <w:rPr>
          <w:rFonts w:cstheme="minorHAnsi"/>
        </w:rPr>
        <w:fldChar w:fldCharType="end"/>
      </w:r>
      <w:r w:rsidR="00307D27">
        <w:rPr>
          <w:rFonts w:cstheme="minorHAnsi"/>
        </w:rPr>
        <w:t xml:space="preserve">. </w:t>
      </w:r>
      <w:commentRangeStart w:id="69"/>
      <w:r w:rsidR="00D45C6F" w:rsidRPr="00F30BF0">
        <w:rPr>
          <w:rFonts w:cstheme="minorHAnsi"/>
        </w:rPr>
        <w:t xml:space="preserve">Finally, there is potential for stressors to mitigate one another, primarily by a mechanism where mortality caused by one stressor results in less competitive stress and increased resilience to other stressors </w:t>
      </w:r>
      <w:r w:rsidR="006E2D9F">
        <w:rPr>
          <w:rFonts w:cstheme="minorHAnsi"/>
        </w:rPr>
        <w:fldChar w:fldCharType="begin" w:fldLock="1"/>
      </w:r>
      <w:r w:rsidR="002C19B3">
        <w:rPr>
          <w:rFonts w:cstheme="minorHAnsi"/>
        </w:rPr>
        <w:instrText>ADDIN CSL_CITATION {"citationItems":[{"id":"ITEM-1","itemData":{"DOI":"10.1016/j.foreco.2021.120004","ISSN":"03781127","author":[{"dropping-particle":"","family":"North","given":"Malcolm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Management","id":"ITEM-1","issue":"November 2021","issued":{"date-parts":[["2022"]]},"page":"120004","publisher":"Elsevier B.V.","title":"Operational resilience in western US frequent-fire forests","type":"article-journal","volume":"507"},"uris":["http://www.mendeley.com/documents/?uuid=465230a6-1d96-4a43-8dec-1e3c5870286d"]},{"id":"ITEM-2","itemData":{"DOI":"10.4996/fireecology.1201013","author":[{"dropping-particle":"","family":"Mantgem","given":"Philip J.","non-dropping-particle":"van","parse-names":false,"suffix":""},{"dropping-particle":"","family":"Caprio","given":"Anthony C.","non-dropping-particle":"","parse-names":false,"suffix":""},{"dropping-particle":"","family":"Stephenson","given":"Nathan L.","non-dropping-particle":"","parse-names":false,"suffix":""},{"dropping-particle":"","family":"Das","given":"Adrian J.","non-dropping-particle":"","parse-names":false,"suffix":""}],"container-title":"Fire Ecology","id":"ITEM-2","issue":"1","issued":{"date-parts":[["2016"]]},"page":"5-15","title":"Does Prescribed Fire Promote Resistance To Drought in Low Elevation Forests of the Sierra Nevada, California, Usa?","type":"article-journal","volume":"12"},"uris":["http://www.mendeley.com/documents/?uuid=a2a16642-586b-4123-bc0c-4ec90fc1da8b"]},{"id":"ITEM-3","itemData":{"DOI":"10.1111/gcb.14543","ISSN":"13652486","abstract":"A century of fire suppression across the Western United States has led to more crowded forests and increased competition for resources. Studies of forest thinning or stand conditions after mortality events have provided indirect evidence for how competition can promote drought stress and predispose forests to severe fire and/or bark beetle outbreaks. Here, we demonstrate linkages between fire deficits and increasing drought stress through analyses of annually resolved tree-ring growth, fire scars, and carbon isotope discrimination (Δ 13 C) across a dry mixed-conifer forest landscape. Fire deficits across the study area have increased the sensitivity of leaf gas exchange to drought stress over the past &gt;100 years. Since 1910, stand basal area in these forests has more than doubled and fire-return intervals have increased from 25 to 140 years. Meanwhile, the portion of interannual variation in tree-ring Δ 13 C explained by the Palmer Drought Severity Index has more than doubled in ca. 300–500-year-old Pinus ponderosa as well as in fire-intolerant, ca. 90–190-year-old Abies grandis. Drought stress has increased in stands with a basal area of ≥25 m 2 /ha in 1910, as indicated by negative temporal Δ 13 C trends, whereas stands with basal area ≤25 m 2 /ha in 1910, due to frequent or intense wildfire activity in decades beforehand, were initially buffered from increased drought stress and have benefited more from rising ambient carbon dioxide concentrations, [CO 2 ], as demonstrated by positive temporal Δ 13 C trends. Furthermore, the average Δ 13 C response across all P. ponderosa since 1830 indicates that photosynthetic assimilation rates and stomatal conductance have been reduced by ~10% and ~20%, respectively, compared to expected trends due to increasing [CO 2 ]. Although disturbance legacies contribute to local-scale intensity of drought stress, fire deficits have reduced drought resistance of mixed-conifer forests and made them more susceptible to challenges by pests and pathogens and other disturbances.","author":[{"dropping-particle":"","family":"Voelker","given":"Steven L.","non-dropping-particle":"","parse-names":false,"suffix":""},{"dropping-particle":"","family":"Merschel","given":"Andrew G.","non-dropping-particle":"","parse-names":false,"suffix":""},{"dropping-particle":"","family":"Meinzer","given":"Frederick C.","non-dropping-particle":"","parse-names":false,"suffix":""},{"dropping-particle":"","family":"Ulrich","given":"Danielle E.M.","non-dropping-particle":"","parse-names":false,"suffix":""},{"dropping-particle":"","family":"Spies","given":"Thomas A.","non-dropping-particle":"","parse-names":false,"suffix":""},{"dropping-particle":"","family":"Still","given":"Christopher J.","non-dropping-particle":"","parse-names":false,"suffix":""}],"container-title":"Global Change Biology","id":"ITEM-3","issue":"4","issued":{"date-parts":[["2019"]]},"page":"1247-1262","title":"Fire deficits have increased drought sensitivity in dry conifer forests: Fire frequency and tree-ring carbon isotope evidence from Central Oregon","type":"article-journal","volume":"25"},"uris":["http://www.mendeley.com/documents/?uuid=9142c91d-cd4f-4631-ad88-9407d08c0bc5"]}],"mendeley":{"formattedCitation":"(van Mantgem &lt;i&gt;et al.&lt;/i&gt;, 2016; Voelker &lt;i&gt;et al.&lt;/i&gt;, 2019; North &lt;i&gt;et al.&lt;/i&gt;, 2022)","plainTextFormattedCitation":"(van Mantgem et al., 2016; Voelker et al., 2019; North et al., 2022)","previouslyFormattedCitation":"(van Mantgem &lt;i&gt;et al.&lt;/i&gt;, 2016; Voelker &lt;i&gt;et al.&lt;/i&gt;, 2019; North &lt;i&gt;et al.&lt;/i&gt;, 2022)"},"properties":{"noteIndex":0},"schema":"https://github.com/citation-style-language/schema/raw/master/csl-citation.json"}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2016; Voelker </w:t>
      </w:r>
      <w:r w:rsidR="00EB4A84" w:rsidRPr="00EB4A84">
        <w:rPr>
          <w:rFonts w:cstheme="minorHAnsi"/>
          <w:i/>
          <w:noProof/>
        </w:rPr>
        <w:t>et al.</w:t>
      </w:r>
      <w:r w:rsidR="00EB4A84" w:rsidRPr="00EB4A84">
        <w:rPr>
          <w:rFonts w:cstheme="minorHAnsi"/>
          <w:noProof/>
        </w:rPr>
        <w:t xml:space="preserve">, 2019; North </w:t>
      </w:r>
      <w:r w:rsidR="00EB4A84" w:rsidRPr="00EB4A84">
        <w:rPr>
          <w:rFonts w:cstheme="minorHAnsi"/>
          <w:i/>
          <w:noProof/>
        </w:rPr>
        <w:t>et al.</w:t>
      </w:r>
      <w:r w:rsidR="00EB4A84" w:rsidRPr="00EB4A84">
        <w:rPr>
          <w:rFonts w:cstheme="minorHAnsi"/>
          <w:noProof/>
        </w:rPr>
        <w:t>, 2022)</w:t>
      </w:r>
      <w:r w:rsidR="006E2D9F">
        <w:rPr>
          <w:rFonts w:cstheme="minorHAnsi"/>
        </w:rPr>
        <w:fldChar w:fldCharType="end"/>
      </w:r>
      <w:r w:rsidR="00D45C6F" w:rsidRPr="00F30BF0">
        <w:rPr>
          <w:rFonts w:cstheme="minorHAnsi"/>
        </w:rPr>
        <w:t xml:space="preserve">. </w:t>
      </w:r>
      <w:r w:rsidR="00EA5263">
        <w:rPr>
          <w:rFonts w:cstheme="minorHAnsi"/>
        </w:rPr>
        <w:t>For example, wildfire could reduce basal area, leaving the surviving trees better able to resist drought over the long term.</w:t>
      </w:r>
      <w:r w:rsidR="009F381B" w:rsidRPr="00F30BF0">
        <w:rPr>
          <w:rFonts w:cstheme="minorHAnsi"/>
        </w:rPr>
        <w:t xml:space="preserve"> </w:t>
      </w:r>
      <w:commentRangeEnd w:id="69"/>
      <w:r w:rsidR="002626E1">
        <w:rPr>
          <w:rStyle w:val="CommentReference"/>
        </w:rPr>
        <w:commentReference w:id="69"/>
      </w:r>
      <w:r w:rsidR="006838F2" w:rsidRPr="00F30BF0">
        <w:rPr>
          <w:rFonts w:cstheme="minorHAnsi"/>
        </w:rPr>
        <w:t xml:space="preserve">Exploring how stressors are likely to interact and shape population dynamics is another goal for future research. </w:t>
      </w:r>
      <w:commentRangeEnd w:id="68"/>
      <w:r w:rsidR="00832E90">
        <w:rPr>
          <w:rStyle w:val="CommentReference"/>
        </w:rPr>
        <w:commentReference w:id="68"/>
      </w:r>
    </w:p>
    <w:p w14:paraId="1734FEBC" w14:textId="0A1C62DC" w:rsidR="009B0C1C" w:rsidRDefault="00581B9B" w:rsidP="003D3B95">
      <w:pPr>
        <w:spacing w:line="360" w:lineRule="auto"/>
        <w:ind w:firstLine="720"/>
        <w:rPr>
          <w:rFonts w:cstheme="minorHAnsi"/>
          <w:sz w:val="20"/>
          <w:szCs w:val="20"/>
        </w:rPr>
      </w:pPr>
      <w:r>
        <w:rPr>
          <w:rFonts w:cstheme="minorHAnsi"/>
        </w:rPr>
        <w:t xml:space="preserve">The results of this study provide clear guidance for managers interested in conserving sugar pine. </w:t>
      </w:r>
      <w:r w:rsidR="00277ED1" w:rsidRPr="00F30BF0">
        <w:rPr>
          <w:rFonts w:cstheme="minorHAnsi"/>
        </w:rPr>
        <w:t xml:space="preserve">This study’s findings, which point at fire and neighborhood basal area as major stressors of sugar pine, suggest that fuel treatments with a density reduction component could substantially benefit sugar pine populations. </w:t>
      </w:r>
      <w:r w:rsidR="006E2387" w:rsidRPr="00F30BF0">
        <w:rPr>
          <w:rFonts w:cstheme="minorHAnsi"/>
        </w:rPr>
        <w:t xml:space="preserve">Fuel treatments to reduce or rearrange the dead biomass which fuels wildfires have been proven to reduce the hazard of severe wildfire </w:t>
      </w:r>
      <w:commentRangeStart w:id="70"/>
      <w:r w:rsidR="00EB4A84">
        <w:rPr>
          <w:rFonts w:cstheme="minorHAnsi"/>
        </w:rPr>
        <w:fldChar w:fldCharType="begin" w:fldLock="1"/>
      </w:r>
      <w:r w:rsidR="00545F95">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study","type":"article-journal","volume":"11"},"uris":["http://www.mendeley.com/documents/?uuid=eb2bae80-149d-4e46-be37-b171fce5c7f0"]},{"id":"ITEM-2","itemData":{"DOI":"10.1016/j.foreco.2005.03.070","ISBN":"0378-1127","ISSN":"03781127","abstract":"Fuel treatments have been suggested as a means to limit the size and intensity of wildfires but few experiments are available to analyze the effectiveness of different treatments. This paper presents information from a replicated, stand level experiment from mixed conifer forests in the north-central Sierra Nevada that investigated how control, mechanical (crown thinning, thinning from below followed, rotary mastication), prescribed fire, and mechanical followed by prescribed fire treatments affected fuels, forest structure, potential fire behavior, and modeled tree mortality at 80th, 90th, and 97.5th percentile fire weather conditions. Fuels Management Analyst was used to model fire behavior and tree mortality. Thinning and mastication each reduced crown bulk density by approximately 19% in mechanical only and mechanical plus fire treatments. Prescribed burning significantly reduced the total combined fuel load of litter, duff, 1, 10, 100, and 1000 h fuels by as much as 90%. This reduction significantly altered modeled fire behavior in both mechanical plus fire and fire only treatments in terms of fireline intensity and predicted mortality. The prescribed fire only and mechanical followed by prescribed fire treatments resulted in the lowest average fireline intensities, rate of spread, and predicted mortality. The control treatment resulted in the most severe modeled fire behavior and tree mortality. Mechanical only treatments were an improvement over controls but still resulted in tree mortality at severe fire weather when compared with the treatments that included prescribed fire. Restoration of mixed conifer ecosystems must include an examination of how proposed treatments affect fire behavior and effects. Variation in existing stand structures will require solutions that are site specific but the principals outlined in this work should help managers make better decisions. ?? 2005 Elsevier B.V. All rights reserved.","author":[{"dropping-particle":"","family":"Stephens","given":"Scott L.","non-dropping-particle":"","parse-names":false,"suffix":""},{"dropping-particle":"","family":"Moghaddas","given":"Jason J.","non-dropping-particle":"","parse-names":false,"suffix":""}],"container-title":"Forest Ecology and Management","id":"ITEM-2","issue":"1-3","issued":{"date-parts":[["2005"]]},"page":"21-36","title":"Experimental fuel treatment impacts on forest structure, potential fire behavior, and predicted tree mortality in a California mixed conifer forest","type":"article-journal","volume":"215"},"uris":["http://www.mendeley.com/documents/?uuid=220a22bb-3b31-484c-9a62-065eed2a07c1"]}],"mendeley":{"formattedCitation":"(Stephens and Moghaddas, 2005; Foster &lt;i&gt;et al.&lt;/i&gt;, 2020)","plainTextFormattedCitation":"(Stephens and Moghaddas, 2005; Foster et al., 2020)","previouslyFormattedCitation":"(Stephens and Moghaddas, 2005; Foster &lt;i&gt;et al.&lt;/i&gt;, 2020)"},"properties":{"noteIndex":0},"schema":"https://github.com/citation-style-language/schema/raw/master/csl-citation.json"}</w:instrText>
      </w:r>
      <w:r w:rsidR="00EB4A84">
        <w:rPr>
          <w:rFonts w:cstheme="minorHAnsi"/>
        </w:rPr>
        <w:fldChar w:fldCharType="separate"/>
      </w:r>
      <w:r w:rsidR="002F38CC" w:rsidRPr="002F38CC">
        <w:rPr>
          <w:rFonts w:cstheme="minorHAnsi"/>
          <w:noProof/>
        </w:rPr>
        <w:t xml:space="preserve">(Stephens and Moghaddas, 2005; Foster </w:t>
      </w:r>
      <w:r w:rsidR="002F38CC" w:rsidRPr="002F38CC">
        <w:rPr>
          <w:rFonts w:cstheme="minorHAnsi"/>
          <w:i/>
          <w:noProof/>
        </w:rPr>
        <w:t>et al.</w:t>
      </w:r>
      <w:r w:rsidR="002F38CC" w:rsidRPr="002F38CC">
        <w:rPr>
          <w:rFonts w:cstheme="minorHAnsi"/>
          <w:noProof/>
        </w:rPr>
        <w:t>, 2020)</w:t>
      </w:r>
      <w:r w:rsidR="00EB4A84">
        <w:rPr>
          <w:rFonts w:cstheme="minorHAnsi"/>
        </w:rPr>
        <w:fldChar w:fldCharType="end"/>
      </w:r>
      <w:commentRangeEnd w:id="70"/>
      <w:r w:rsidR="00B13331">
        <w:rPr>
          <w:rStyle w:val="CommentReference"/>
        </w:rPr>
        <w:commentReference w:id="70"/>
      </w:r>
      <w:r w:rsidR="006E2387" w:rsidRPr="00F30BF0">
        <w:rPr>
          <w:rFonts w:cstheme="minorHAnsi"/>
        </w:rPr>
        <w:t xml:space="preserve">, and in many cases have the co-benefit of reducing basal area </w:t>
      </w:r>
      <w:r w:rsidR="00CB550D">
        <w:rPr>
          <w:rFonts w:cstheme="minorHAnsi"/>
        </w:rPr>
        <w:fldChar w:fldCharType="begin" w:fldLock="1"/>
      </w:r>
      <w:r w:rsidR="002C19B3">
        <w:rPr>
          <w:rFonts w:cstheme="minorHAnsi"/>
        </w:rPr>
        <w:instrText>ADDIN CSL_CITATION {"citationItems":[{"id":"ITEM-1","itemData":{"DOI":"10.1093/jofore/fvab026","abstract":"A significant increase in treatment pace and scale is needed to restore dry western US forest resilience owing to increasingly frequent and severe wildfire and drought. We propose a pyrosilviculture approach to directly increase large-scale fire use and modify current thinning treatments to optimize future fire incorporation. Recommendations include leveraging wildfire’s “treatment” in areas burned at low and moderate severity with subsequent pyrosilviculture management, identifying managed wildfire zones, and facilitating and financing prescribed fire with “anchor,” “ecosystem asset,” and “revenue” focused thinning treatments. Pyrosilviculture would also expand prescribed-burn and managed-wildfire objectives to include reducing stand density, increasing forest heterogeneity, and selecting for tree species and phenotypes better adapted to changing climate and disturbance regimes. The potential benefits and limitations of this approach are discussed. Fire is inevitable in dry western US forests and pyrosilviculture focuses on proactively shifting more of that fire into managed large-scale burns needed to restore ecosystem resilience.A management paradigm shift in fire use is needed to restore western forest landscape resilience. We propose a “pyrosilviculture” approach with the goals of directly increasing prescribed fire and managed wildfire and modifying thinning treatments to optimize more managed fire. Changes include leveraging low- and moderate-wildfire burn areas as treatments, identifying managed wildfire zones, and three thinning treatments designed to expand and finance prescribed fire to connect dispersed treatments. We also suggest that large-scale fire be used to reduce forest density, increase structural heterogeneity, and select for tree species and phenotypes adapted to changing climate and fire conditions.","author":[{"dropping-particle":"","family":"North","given":"Malcolm P.","non-dropping-particle":"","parse-names":false,"suffix":""},{"dropping-particle":"","family":"York","given":"R A","non-dropping-particle":"","parse-names":false,"suffix":""},{"dropping-particle":"","family":"Collins","given":"B M","non-dropping-particle":"","parse-names":false,"suffix":""},{"dropping-particle":"","family":"Hurteau","given":"M D","non-dropping-particle":"","parse-names":false,"suffix":""},{"dropping-particle":"","family":"Jones","given":"G M","non-dropping-particle":"","parse-names":false,"suffix":""},{"dropping-particle":"","family":"Knapp","given":"E E","non-dropping-particle":"","parse-names":false,"suffix":""},{"dropping-particle":"","family":"Kobziar","given":"L","non-dropping-particle":"","parse-names":false,"suffix":""},{"dropping-particle":"","family":"Mccann","given":"H","non-dropping-particle":"","parse-names":false,"suffix":""},{"dropping-particle":"","family":"Meyer","given":"M D","non-dropping-particle":"","parse-names":false,"suffix":""},{"dropping-particle":"","family":"Stephens","given":"S L","non-dropping-particle":"","parse-names":false,"suffix":""},{"dropping-particle":"","family":"Tompkins","given":"R E","non-dropping-particle":"","parse-names":false,"suffix":""},{"dropping-particle":"","family":"Tubbesing","given":"C L","non-dropping-particle":"","parse-names":false,"suffix":""}],"container-title":"Journal of Forestry","id":"ITEM-1","issued":{"date-parts":[["2021"]]},"page":"1-25","title":"Pyrosilviculture needed for landscape resilience of dry western United States forests","type":"article-journal"},"uris":["http://www.mendeley.com/documents/?uuid=b3619aba-ae0c-4035-a4b8-a3472681f9cd"]},{"id":"ITEM-2","itemData":{"DOI":"10.1016/j.foreco.2016.01.034","ISSN":"03781127","abstract":"Increasingly, objectives for forests with moderate- or mixed-severity fire regimes are to restore successionally diverse landscapes that are resistant and resilient to current and future stressors. Maintaining native species and characteristic processes requires this successional diversity, but methods to achieve it are poorly explained in the literature. In the Inland Pacific US, large, old, early seral trees were a key historical feature of many young and old forest successional patches, especially where fires frequently occurred. Large, old trees are naturally fire-tolerant, but today are often threatened by dense understory cohorts that create fuel ladders that alter likely post-fire successional pathways. Reducing these understories can contribute to resistance by creating conditions where canopy trees will survive disturbances and climatic stressors; these survivors are important seed sources, soil protectors, and critical habitat elements. Historical timber harvesting has skewed tree size and age class distributions, created hard edges, and altered native patch sizes. Manipulating these altered forests to promote development of larger patches of older, larger, and more widely-spaced trees with diverse understories will increase landscape resistance to severe fires, and enhance wildlife habitat for underrepresented conditions.Closed-canopy, multi-layered patches that develop in hot, dry summer environments are vulnerable to droughts, and they increase landscape vulnerability to insect outbreaks and severe wildfires. These same patches provide habitat for species such as the northern spotted owl, which has benefited from increased habitat area. Regional and local planning will be critical for gauging risks, evaluating trade-offs, and restoring dynamics that can support these and other species. The goal will be to manage for heterogeneous landscapes that include variably-sized patches of (1) young, middle-aged, and old, closed-canopy forests growing in upper montane, northerly aspect, and valley bottom settings, (2) a similar diversity of open-canopy, fire-tolerant patches growing on ridgetops, southerly aspects, and lower montane settings, and (3) significant montane chaparral and grassland areas. Tools to achieve this goal include managed wildfire, prescribed burning, and variable density thinning at small to large scales. Specifics on \"how much and where?\" will vary according to physiographic, topographic and historical templates, and regulatory …","author":[{"dropping-particle":"","family":"Hessburg","given":"Paul F.","non-dropping-particle":"","parse-names":false,"suffix":""},{"dropping-particle":"","family":"Spies","given":"Thomas A.","non-dropping-particle":"","parse-names":false,"suffix":""},{"dropping-particle":"","family":"Perry","given":"David A.","non-dropping-particle":"","parse-names":false,"suffix":""},{"dropping-particle":"","family":"Skinner","given":"Carl N.","non-dropping-particle":"","parse-names":false,"suffix":""},{"dropping-particle":"","family":"Taylor","given":"Alan H.","non-dropping-particle":"","parse-names":false,"suffix":""},{"dropping-particle":"","family":"Brown","given":"Peter M.","non-dropping-particle":"","parse-names":false,"suffix":""},{"dropping-particle":"","family":"Stephens","given":"Scott L.","non-dropping-particle":"","parse-names":false,"suffix":""},{"dropping-particle":"","family":"Larson","given":"Andrew J.","non-dropping-particle":"","parse-names":false,"suffix":""},{"dropping-particle":"","family":"Churchill","given":"Derek J.","non-dropping-particle":"","parse-names":false,"suffix":""},{"dropping-particle":"","family":"Povak","given":"Nicholas A.","non-dropping-particle":"","parse-names":false,"suffix":""},{"dropping-particle":"","family":"Singleton","given":"Peter H.","non-dropping-particle":"","parse-names":false,"suffix":""},{"dropping-particle":"","family":"McComb","given":"Brenda","non-dropping-particle":"","parse-names":false,"suffix":""},{"dropping-particle":"","family":"Zielinski","given":"William J.","non-dropping-particle":"","parse-names":false,"suffix":""},{"dropping-particle":"","family":"Collins","given":"Brandon M.","non-dropping-particle":"","parse-names":false,"suffix":""},{"dropping-particle":"","family":"Salter","given":"R. Brion","non-dropping-particle":"","parse-names":false,"suffix":""},{"dropping-particle":"","family":"Keane","given":"John J.","non-dropping-particle":"","parse-names":false,"suffix":""},{"dropping-particle":"","family":"Franklin","given":"Jerry F.","non-dropping-particle":"","parse-names":false,"suffix":""},{"dropping-particle":"","family":"Riegel","given":"Greg","non-dropping-particle":"","parse-names":false,"suffix":""}],"container-title":"Forest Ecology and Management","id":"ITEM-2","issued":{"date-parts":[["2016"]]},"page":"221-250","publisher":"Elsevier B.V.","title":"Tamm Review: Management of mixed-severity fire regime forests in Oregon, Washington, and Northern California","type":"article-journal","volume":"366"},"uris":["http://www.mendeley.com/documents/?uuid=dcb615f9-320f-4ed4-9c01-338995dd9133"]}],"mendeley":{"formattedCitation":"(Hessburg &lt;i&gt;et al.&lt;/i&gt;, 2016; North &lt;i&gt;et al.&lt;/i&gt;, 2021)","plainTextFormattedCitation":"(Hessburg et al., 2016; North et al., 2021)","previouslyFormattedCitation":"(Hessburg &lt;i&gt;et al.&lt;/i&gt;, 2016; North &lt;i&gt;et al.&lt;/i&gt;, 2021)"},"properties":{"noteIndex":0},"schema":"https://github.com/citation-style-language/schema/raw/master/csl-citation.json"}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(Hessburg </w:t>
      </w:r>
      <w:r w:rsidR="00EB4A84" w:rsidRPr="00EB4A84">
        <w:rPr>
          <w:rFonts w:cstheme="minorHAnsi"/>
          <w:i/>
          <w:noProof/>
        </w:rPr>
        <w:t>et al.</w:t>
      </w:r>
      <w:r w:rsidR="00EB4A84" w:rsidRPr="00EB4A84">
        <w:rPr>
          <w:rFonts w:cstheme="minorHAnsi"/>
          <w:noProof/>
        </w:rPr>
        <w:t xml:space="preserve">, 2016; North </w:t>
      </w:r>
      <w:r w:rsidR="00EB4A84" w:rsidRPr="00EB4A84">
        <w:rPr>
          <w:rFonts w:cstheme="minorHAnsi"/>
          <w:i/>
          <w:noProof/>
        </w:rPr>
        <w:t>et al.</w:t>
      </w:r>
      <w:r w:rsidR="00EB4A84" w:rsidRPr="00EB4A84">
        <w:rPr>
          <w:rFonts w:cstheme="minorHAnsi"/>
          <w:noProof/>
        </w:rPr>
        <w:t>, 2021)</w:t>
      </w:r>
      <w:r w:rsidR="00CB550D">
        <w:rPr>
          <w:rFonts w:cstheme="minorHAnsi"/>
        </w:rPr>
        <w:fldChar w:fldCharType="end"/>
      </w:r>
      <w:r w:rsidR="006E2387" w:rsidRPr="00F30BF0">
        <w:rPr>
          <w:rFonts w:cstheme="minorHAnsi"/>
        </w:rPr>
        <w:t>. Our findings, and other studies examining the effects of prescribed fire on sugar pine mortality</w:t>
      </w:r>
      <w:r w:rsidR="00213912" w:rsidRPr="00F30BF0">
        <w:rPr>
          <w:rFonts w:cstheme="minorHAnsi"/>
        </w:rPr>
        <w:t xml:space="preserve"> </w:t>
      </w:r>
      <w:r w:rsidR="00CB550D">
        <w:rPr>
          <w:rFonts w:cstheme="minorHAnsi"/>
        </w:rPr>
        <w:fldChar w:fldCharType="begin" w:fldLock="1"/>
      </w:r>
      <w:r w:rsidR="00021D10">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Mortality?","type":"article-journal","volume":"12"},"uris":["http://www.mendeley.com/documents/?uuid=27f300f3-6aa3-4e67-9ff2-302a5568e9e8"]}],"mendeley":{"formattedCitation":"(Van Mantgem &lt;i&gt;et al.&lt;/i&gt;, 2004; Steel &lt;i&gt;et al.&lt;/i&gt;, 2021)","plainTextFormattedCitation":"(Van Mantgem et al., 2004; Steel et al., 2021)","previouslyFormattedCitation":"(Van Mantgem &lt;i&gt;et al.&lt;/i&gt;, 2004; Steel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(Van Mantgem </w:t>
      </w:r>
      <w:r w:rsidR="00021D10" w:rsidRPr="00021D10">
        <w:rPr>
          <w:rFonts w:cstheme="minorHAnsi"/>
          <w:i/>
          <w:noProof/>
        </w:rPr>
        <w:t>et al.</w:t>
      </w:r>
      <w:r w:rsidR="00021D10" w:rsidRPr="00021D10">
        <w:rPr>
          <w:rFonts w:cstheme="minorHAnsi"/>
          <w:noProof/>
        </w:rPr>
        <w:t xml:space="preserve">, 2004; Steel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6E2387" w:rsidRPr="00F30BF0">
        <w:rPr>
          <w:rFonts w:cstheme="minorHAnsi"/>
        </w:rPr>
        <w:t xml:space="preserve">, suggest that </w:t>
      </w:r>
      <w:r w:rsidR="00213912" w:rsidRPr="00F30BF0">
        <w:rPr>
          <w:rFonts w:cstheme="minorHAnsi"/>
        </w:rPr>
        <w:t>managers should be deliberate in their application of prescribed fire to reduce wildfire hazard</w:t>
      </w:r>
      <w:r w:rsidR="0046219E" w:rsidRPr="00F30BF0">
        <w:rPr>
          <w:rFonts w:cstheme="minorHAnsi"/>
        </w:rPr>
        <w:t xml:space="preserve"> and consider</w:t>
      </w:r>
      <w:r w:rsidR="00504371" w:rsidRPr="00F30BF0">
        <w:rPr>
          <w:rFonts w:cstheme="minorHAnsi"/>
        </w:rPr>
        <w:t xml:space="preserve"> </w:t>
      </w:r>
      <w:r w:rsidR="00021D10">
        <w:rPr>
          <w:rFonts w:cstheme="minorHAnsi"/>
        </w:rPr>
        <w:t xml:space="preserve">measures such as raking or local density reduction </w:t>
      </w:r>
      <w:r w:rsidR="00504371" w:rsidRPr="00F30BF0">
        <w:rPr>
          <w:rFonts w:cstheme="minorHAnsi"/>
        </w:rPr>
        <w:t xml:space="preserve">to protect individual trees where pre-fire fuels are abundant </w:t>
      </w:r>
      <w:r w:rsidR="00CB550D">
        <w:rPr>
          <w:rFonts w:cstheme="minorHAnsi"/>
        </w:rPr>
        <w:fldChar w:fldCharType="begin" w:fldLock="1"/>
      </w:r>
      <w:r w:rsidR="00B23450">
        <w:rPr>
          <w:rFonts w:cstheme="minorHAnsi"/>
        </w:rPr>
        <w:instrText>ADDIN CSL_CITATION {"citationItems":[{"id":"ITEM-1","itemData":{"DOI":"10.4996/fireecology.0603097","ISSN":"19339747","abstract":"Prescribed fire is an important tool for fuel reduction, the control of competing vegetation, and forest restoration. The accumulated fuels associated with historical fire exclusion can cause undesirably high tree mortality rates following prescribed fires and wildfires. This is especially true for sugar pine (Pinus lambertiana Douglas), which is already negatively affected by the introduced pathogen white pine blister rust (Cronartium ribicola J.C. Fisch. ex Rabenh). We tested the efficacy of raking away fuels around the base of sugar pine to reduce mortality following prescribed fire in Sequoia and Kings Canyon national parks, California, USA. This study was conducted in three prescribed fires and included 457 trees, half of which had the fuels around their bases raked away to mineral soil to 0.5 m away from the stem. Fire effects were assessed and tree mortality was recorded for three years after prescribed fires. Overall, raking had no detectable effect on mortality: raked trees averaged 30 % mortality compared to 36 % for unraked trees. There was a significant effect, however, between the interaction of raking and average pre-treatment forest floor fuel depth: the predicted probability of survival of a 50 cm dbh tree was 0.94 vs. 0.96 when average pre-treatment fuel depth was 0 cm for a raked and unraked tree, respectively. When average pre-treatment forest floor fuel depth was 30 cm, the predicted probability of survival for a raked 50 cm dbh tree was 0.60 compared to only 0.07 for an unraked tree. Raking did not affect mortality when fire intensity, measured as percent crown volume scorched, was very low (0 % scorch) or very high (&gt;80 % scorch), but the raking treatment significantly increased the proportion of trees that survived by 9.6 % for trees that burned under moderate fire intensity (1 % to 80 % scorch). Raking significantly reduced the likelihood of bole charring and bark beetle activity three years post fire. Fuel depth and anticipated fire intensity need to be accounted for to maximize the effectiveness of the treatments. Raking is an important management option to reduce tree mortality from prescribed fire, but is most effective under specific fuel and burning conditions.","author":[{"dropping-particle":"","family":"Nesmith","given":"Jonathan C.B.","non-dropping-particle":"","parse-names":false,"suffix":""},{"dropping-particle":"","family":"O'Hara","given":"Kevin L.","non-dropping-particle":"","parse-names":false,"suffix":""},{"dropping-particle":"","family":"Mantgem","given":"Phillip J.","non-dropping-particle":"van","parse-names":false,"suffix":""},{"dropping-particle":"","family":"Valpine","given":"Perry","non-dropping-particle":"de","parse-names":false,"suffix":""}],"container-title":"Fire Ecology","id":"ITEM-1","issue":"3","issued":{"date-parts":[["2010"]]},"page":"97-116","title":"The effects of raking on sugar pine mortality following prescribed fire in sequoia and kings canyon national parks, California, USA","type":"article-journal","volume":"6"},"uris":["http://www.mendeley.com/documents/?uuid=91857416-acb2-4d75-832b-dd4e289658a4"]},{"id":"ITEM-2","itemData":{"DOI":"10.1002/eap.2507","ISSN":"1051-0761","abstract":"In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trees","type":"article-journal"},"uris":["http://www.mendeley.com/documents/?uuid=923f9f80-0634-4566-ac74-bb9eb698fef4"]}],"mendeley":{"formattedCitation":"(Nesmith &lt;i&gt;et al.&lt;/i&gt;, 2010; Furniss &lt;i&gt;et al.&lt;/i&gt;, 2021)","plainTextFormattedCitation":"(Nesmith et al., 2010; Furniss et al., 2021)","previouslyFormattedCitation":"(Nesmith &lt;i&gt;et al.&lt;/i&gt;, 2010; Furniss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(Nesmith </w:t>
      </w:r>
      <w:r w:rsidR="00021D10" w:rsidRPr="00021D10">
        <w:rPr>
          <w:rFonts w:cstheme="minorHAnsi"/>
          <w:i/>
          <w:noProof/>
        </w:rPr>
        <w:t>et al.</w:t>
      </w:r>
      <w:r w:rsidR="00021D10" w:rsidRPr="00021D10">
        <w:rPr>
          <w:rFonts w:cstheme="minorHAnsi"/>
          <w:noProof/>
        </w:rPr>
        <w:t xml:space="preserve">, 2010; Furniss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504371" w:rsidRPr="00F30BF0">
        <w:rPr>
          <w:rFonts w:cstheme="minorHAnsi"/>
        </w:rPr>
        <w:t xml:space="preserve">. </w:t>
      </w:r>
      <w:r w:rsidR="0046219E" w:rsidRPr="00F30BF0">
        <w:rPr>
          <w:rFonts w:cstheme="minorHAnsi"/>
        </w:rPr>
        <w:t xml:space="preserve">Mechanical fuel treatments will provide some protection from wildfire and </w:t>
      </w:r>
      <w:r w:rsidR="002F38CC">
        <w:rPr>
          <w:rFonts w:cstheme="minorHAnsi"/>
        </w:rPr>
        <w:t>can be</w:t>
      </w:r>
      <w:r w:rsidR="0046219E" w:rsidRPr="00F30BF0">
        <w:rPr>
          <w:rFonts w:cstheme="minorHAnsi"/>
        </w:rPr>
        <w:t xml:space="preserve"> </w:t>
      </w:r>
      <w:commentRangeStart w:id="71"/>
      <w:r w:rsidR="0046219E" w:rsidRPr="00F30BF0">
        <w:rPr>
          <w:rFonts w:cstheme="minorHAnsi"/>
        </w:rPr>
        <w:t xml:space="preserve">applied </w:t>
      </w:r>
      <w:r w:rsidR="002F38CC">
        <w:rPr>
          <w:rFonts w:cstheme="minorHAnsi"/>
        </w:rPr>
        <w:t>in combination with</w:t>
      </w:r>
      <w:r w:rsidR="0046219E" w:rsidRPr="00F30BF0">
        <w:rPr>
          <w:rFonts w:cstheme="minorHAnsi"/>
        </w:rPr>
        <w:t xml:space="preserve"> timber harvests</w:t>
      </w:r>
      <w:commentRangeEnd w:id="71"/>
      <w:r w:rsidR="00832E90">
        <w:rPr>
          <w:rStyle w:val="CommentReference"/>
        </w:rPr>
        <w:commentReference w:id="71"/>
      </w:r>
      <w:r w:rsidR="0046219E" w:rsidRPr="00F30BF0">
        <w:rPr>
          <w:rFonts w:cstheme="minorHAnsi"/>
        </w:rPr>
        <w:t xml:space="preserve">, for a dual benefit of reducing wildfire hazard and competition </w:t>
      </w:r>
      <w:r w:rsidR="00CB550D">
        <w:rPr>
          <w:rFonts w:cstheme="minorHAnsi"/>
        </w:rPr>
        <w:fldChar w:fldCharType="begin" w:fldLock="1"/>
      </w:r>
      <w:r w:rsidR="002C19B3">
        <w:rPr>
          <w:rFonts w:cstheme="minorHAnsi"/>
        </w:rPr>
        <w:instrText>ADDIN CSL_CITATION {"citationItems":[{"id":"ITEM-1","itemData":{"DOI":"10.1890/14-0971.1","abstract":"Fuel treatment implementation in dry forest types throughout the western United States is likely to increase in pace and scale in response to increasing incidence of large wildfires. While it is clear that properly implemented fuel treatments are effective at reducing hazardous fire potential, there are ancillary ecological effects that can impact forest resilience either positively or negatively depending on the specific elements examined, as well as treatment type, timing, and intensity. In this study, we use overstory tree growth responses, measured seven years after the most common fuel treatments, to estimate forest health. Across the five species analyzed, observed mortality and future vulnerability were consistently low in the mechanical- only treatment. Fire-only was similar to the control for all species except Douglas-fir, while mechanical-plus-fire had high observed mortality and future vulnerability for white fir and sugar pine. Given that overstory trees largely dictate the function of forests and services they provide (e.g., wildlife habitat, carbon sequestration, soil stability) these results have implications for understanding longer-term impacts of common fuel treatments on forest resilience.","author":[{"dropping-particle":"","family":"Collins","given":"B. M.","non-dropping-particle":"","parse-names":false,"suffix":""},{"dropping-particle":"","family":"Das","given":"Adrian J.","non-dropping-particle":"","parse-names":false,"suffix":""},{"dropping-particle":"","family":"Battles","given":"John J","non-dropping-particle":"","parse-names":false,"suffix":""},{"dropping-particle":"","family":"Fry","given":"Danny L.","non-dropping-particle":"","parse-names":false,"suffix":""},{"dropping-particle":"","family":"Krasnow","given":"Kevin D.","non-dropping-particle":"","parse-names":false,"suffix":""},{"dropping-particle":"","family":"Stephens","given":"Scott L.","non-dropping-particle":"","parse-names":false,"suffix":""}],"container-title":"Ecological Applications","id":"ITEM-1","issue":"8","issued":{"date-parts":[["2014"]]},"page":"1879-1886","title":"Beyond Reducing Fire Hazard","type":"article-journal","volume":"24"},"uris":["http://www.mendeley.com/documents/?uuid=5d441a06-fa7d-41bd-a013-5a6bab0ce109"]},{"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USA","type":"article-journal","volume":"29"},"uris":["http://www.mendeley.com/documents/?uuid=fab20f86-8948-4d2c-85ba-9a0ff200ff1e"]}],"mendeley":{"formattedCitation":"(Collins &lt;i&gt;et al.&lt;/i&gt;, 2014; Restaino &lt;i&gt;et al.&lt;/i&gt;, 2019)","plainTextFormattedCitation":"(Collins et al., 2014; Restaino et al., 2019)","previouslyFormattedCitation":"(Collins &lt;i&gt;et al.&lt;/i&gt;, 2014; Restaino &lt;i&gt;et al.&lt;/i&gt;, 2019)"},"properties":{"noteIndex":0},"schema":"https://github.com/citation-style-language/schema/raw/master/csl-citation.json"}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(Collins </w:t>
      </w:r>
      <w:r w:rsidR="00EB4A84" w:rsidRPr="00EB4A84">
        <w:rPr>
          <w:rFonts w:cstheme="minorHAnsi"/>
          <w:i/>
          <w:noProof/>
        </w:rPr>
        <w:t>et al.</w:t>
      </w:r>
      <w:r w:rsidR="00EB4A84" w:rsidRPr="00EB4A84">
        <w:rPr>
          <w:rFonts w:cstheme="minorHAnsi"/>
          <w:noProof/>
        </w:rPr>
        <w:t xml:space="preserve">, 2014; Restaino </w:t>
      </w:r>
      <w:r w:rsidR="00EB4A84" w:rsidRPr="00EB4A84">
        <w:rPr>
          <w:rFonts w:cstheme="minorHAnsi"/>
          <w:i/>
          <w:noProof/>
        </w:rPr>
        <w:t>et al.</w:t>
      </w:r>
      <w:r w:rsidR="00EB4A84" w:rsidRPr="00EB4A84">
        <w:rPr>
          <w:rFonts w:cstheme="minorHAnsi"/>
          <w:noProof/>
        </w:rPr>
        <w:t>, 2019)</w:t>
      </w:r>
      <w:r w:rsidR="00CB550D">
        <w:rPr>
          <w:rFonts w:cstheme="minorHAnsi"/>
        </w:rPr>
        <w:fldChar w:fldCharType="end"/>
      </w:r>
      <w:r w:rsidR="0046219E" w:rsidRPr="00F30BF0">
        <w:rPr>
          <w:rFonts w:cstheme="minorHAnsi"/>
        </w:rPr>
        <w:t xml:space="preserve">. On burned landscapes, managers can take advantage of established programs producing WPBR-resistant seedlings </w:t>
      </w:r>
      <w:r w:rsidR="00277ED1" w:rsidRPr="00F30BF0">
        <w:rPr>
          <w:rFonts w:cstheme="minorHAnsi"/>
        </w:rPr>
        <w:t xml:space="preserve">in reforestation efforts aimed at restoring sugar pine on landscapes impacted by high severity fire </w:t>
      </w:r>
      <w:r w:rsidR="00EB4A84">
        <w:rPr>
          <w:rFonts w:cstheme="minorHAnsi"/>
        </w:rPr>
        <w:fldChar w:fldCharType="begin" w:fldLock="1"/>
      </w:r>
      <w:r w:rsidR="002C19B3">
        <w:rPr>
          <w:rFonts w:cstheme="minorHAnsi"/>
        </w:rPr>
        <w:instrText>ADDIN CSL_CITATION {"citationItems":[{"id":"ITEM-1","itemData":{"author":[{"dropping-particle":"","family":"Kinloch","given":"B B","non-dropping-particle":"","parse-names":false,"suffix":""},{"dropping-particle":"","family":"Sniezko","given":"R A","non-dropping-particle":"","parse-names":false,"suffix":""},{"dropping-particle":"","family":"Savin","given":"D P","non-dropping-particle":"","parse-names":false,"suffix":""},{"dropping-particle":"","family":"Danchok","given":"R","non-dropping-particle":"","parse-names":false,"suffix":""},{"dropping-particle":"","family":"Kegley","given":"A","non-dropping-particle":"","parse-names":false,"suffix":""}],"container-title":"Schoettle, Anna W.; Sniezko, Richard A.; Kliejunas, John T., eds. 2018. Proceedings of the IUFRO joint conference: Genetics of five-needle pines, rusts of forest trees, and Strobusphere; 2014 June 15–20; Fort Collins, CO. Proc. RMRS-P-76. Fort Collins, CO","id":"ITEM-1","issued":{"date-parts":[["2018"]]},"page":"124-128","title":"Patterns of Variation in Blister Rust Resistance in Sugar Pine ( Pinus lambertiana )","type":"paper-conference"},"uris":["http://www.mendeley.com/documents/?uuid=bc10b7dc-0889-45c9-96ba-82c65d7a265d"]}],"mendeley":{"formattedCitation":"(Kinloch &lt;i&gt;et al.&lt;/i&gt;, 2018)","plainTextFormattedCitation":"(Kinloch et al., 2018)","previouslyFormattedCitation":"(Kinloch &lt;i&gt;et al.&lt;/i&gt;,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(Kinloch </w:t>
      </w:r>
      <w:r w:rsidR="00EB4A84" w:rsidRPr="00EB4A84">
        <w:rPr>
          <w:rFonts w:cstheme="minorHAnsi"/>
          <w:i/>
          <w:noProof/>
        </w:rPr>
        <w:t>et al.</w:t>
      </w:r>
      <w:r w:rsidR="00EB4A84" w:rsidRPr="00EB4A84">
        <w:rPr>
          <w:rFonts w:cstheme="minorHAnsi"/>
          <w:noProof/>
        </w:rPr>
        <w:t>, 2018)</w:t>
      </w:r>
      <w:r w:rsidR="00EB4A84">
        <w:rPr>
          <w:rFonts w:cstheme="minorHAnsi"/>
        </w:rPr>
        <w:fldChar w:fldCharType="end"/>
      </w:r>
      <w:r w:rsidR="00277ED1" w:rsidRPr="00F30BF0">
        <w:rPr>
          <w:rFonts w:cstheme="minorHAnsi"/>
        </w:rPr>
        <w:t xml:space="preserve">. Investments in artificial regeneration should likewise be made deliberately and secured with follow up treatments for wildfire hazard </w:t>
      </w:r>
      <w:r w:rsidR="00EB4A84">
        <w:rPr>
          <w:rFonts w:cstheme="minorHAnsi"/>
        </w:rPr>
        <w:fldChar w:fldCharType="begin" w:fldLock="1"/>
      </w:r>
      <w:r w:rsidR="002C19B3">
        <w:rPr>
          <w:rFonts w:cstheme="minorHAnsi"/>
        </w:rPr>
        <w:instrText>ADDIN CSL_CITATION {"citationItems":[{"id":"ITEM-1","itemData":{"DOI":"10.1016/j.foreco.2018.09.007","ISBN":"9781594770913","ISSN":"03781127","abstract":"The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Management","id":"ITEM-1","issue":"July 2018","issued":{"date-parts":[["2019"]]},"page":"209-224","title":"Tamm Review: Reforestation for resilience in dry western U.S. forests","type":"article-journal","volume":"432"},"uris":["http://www.mendeley.com/documents/?uuid=4ca71152-bbb4-4682-9438-f468bbf36faf"]}],"mendeley":{"formattedCitation":"(North &lt;i&gt;et al.&lt;/i&gt;, 2019)","plainTextFormattedCitation":"(North et al., 2019)","previouslyFormattedCitation":"(North &lt;i&gt;et al.&lt;/i&gt;, 2019)"},"properties":{"noteIndex":0},"schema":"https://github.com/citation-style-language/schema/raw/master/csl-citation.json"}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(North </w:t>
      </w:r>
      <w:r w:rsidR="00EB4A84" w:rsidRPr="00EB4A84">
        <w:rPr>
          <w:rFonts w:cstheme="minorHAnsi"/>
          <w:i/>
          <w:noProof/>
        </w:rPr>
        <w:t>et al.</w:t>
      </w:r>
      <w:r w:rsidR="00EB4A84" w:rsidRPr="00EB4A84">
        <w:rPr>
          <w:rFonts w:cstheme="minorHAnsi"/>
          <w:noProof/>
        </w:rPr>
        <w:t>, 2019)</w:t>
      </w:r>
      <w:r w:rsidR="00EB4A84">
        <w:rPr>
          <w:rFonts w:cstheme="minorHAnsi"/>
        </w:rPr>
        <w:fldChar w:fldCharType="end"/>
      </w:r>
      <w:r w:rsidR="00277ED1" w:rsidRPr="00F30BF0">
        <w:rPr>
          <w:rFonts w:cstheme="minorHAnsi"/>
        </w:rPr>
        <w:t xml:space="preserve"> and pruning to limit the effects of WPBR </w:t>
      </w:r>
      <w:r w:rsidR="00EB4A84">
        <w:rPr>
          <w:rFonts w:cstheme="minorHAnsi"/>
        </w:rPr>
        <w:fldChar w:fldCharType="begin" w:fldLock="1"/>
      </w:r>
      <w:r w:rsidR="002C19B3">
        <w:rPr>
          <w:rFonts w:cstheme="minorHAnsi"/>
        </w:rPr>
        <w:instrText>ADDIN CSL_CITATION {"citationItems":[{"id":"ITEM-1","itemData":{"author":[{"dropping-particle":"","family":"Bronson","given":"J","non-dropping-particle":"","parse-names":false,"suffix":""},{"dropping-particle":"","family":"Petrick","given":"J","non-dropping-particle":"","parse-names":false,"suffix":""},{"dropping-particle":"","family":"Danchok","given":"R","non-dropping-particle":"","parse-names":false,"suffix":""}],"id":"ITEM-1","issued":{"date-parts":[["2018"]]},"page":"205-208","title":"Efficacy of Early Pruning to Reduce the Incidence of White Pine Blister Rust on Sugar Pine ( Pinus lambertiana )","type":"article-journal"},"uris":["http://www.mendeley.com/documents/?uuid=33d2d0eb-5d50-4613-bfc1-c02e7d341a31"]}],"mendeley":{"formattedCitation":"(Bronson, Petrick and Danchok, 2018)","plainTextFormattedCitation":"(Bronson, Petrick and Danchok, 2018)","previouslyFormattedCitation":"(Bronson, Petrick and Danchok,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(Bronson, Petrick and Danchok, 2018)</w:t>
      </w:r>
      <w:r w:rsidR="00EB4A84">
        <w:rPr>
          <w:rFonts w:cstheme="minorHAnsi"/>
        </w:rPr>
        <w:fldChar w:fldCharType="end"/>
      </w:r>
      <w:r w:rsidR="00277ED1" w:rsidRPr="00F30BF0">
        <w:rPr>
          <w:rFonts w:cstheme="minorHAnsi"/>
        </w:rPr>
        <w:t xml:space="preserve">. </w:t>
      </w:r>
      <w:commentRangeStart w:id="72"/>
      <w:r w:rsidR="0021575D" w:rsidRPr="00F30BF0">
        <w:rPr>
          <w:rFonts w:cstheme="minorHAnsi"/>
        </w:rPr>
        <w:t xml:space="preserve">The findings of this study indicate that managers can substantially benefit sugar pine populations by investing resources in addressing the tractable challenges posed by fire, densification, and white pine blister </w:t>
      </w:r>
      <w:commentRangeStart w:id="73"/>
      <w:r w:rsidR="0021575D" w:rsidRPr="00F30BF0">
        <w:rPr>
          <w:rFonts w:cstheme="minorHAnsi"/>
        </w:rPr>
        <w:t>rust</w:t>
      </w:r>
      <w:commentRangeEnd w:id="73"/>
      <w:r w:rsidR="00832E90">
        <w:rPr>
          <w:rStyle w:val="CommentReference"/>
        </w:rPr>
        <w:commentReference w:id="73"/>
      </w:r>
      <w:r w:rsidR="0021575D" w:rsidRPr="00F30BF0">
        <w:rPr>
          <w:rFonts w:cstheme="minorHAnsi"/>
        </w:rPr>
        <w:t>.</w:t>
      </w:r>
      <w:commentRangeEnd w:id="72"/>
      <w:r w:rsidR="002626E1">
        <w:rPr>
          <w:rStyle w:val="CommentReference"/>
        </w:rPr>
        <w:commentReference w:id="72"/>
      </w:r>
    </w:p>
    <w:p w14:paraId="36A15EFE" w14:textId="393E695D" w:rsidR="00EB4A84" w:rsidRDefault="0038352F" w:rsidP="00277ED1">
      <w:pPr>
        <w:spacing w:line="360" w:lineRule="auto"/>
        <w:rPr>
          <w:rFonts w:cstheme="minorHAnsi"/>
          <w:sz w:val="20"/>
          <w:szCs w:val="20"/>
        </w:rPr>
      </w:pPr>
      <w:r>
        <w:rPr>
          <w:rFonts w:cstheme="minorHAnsi"/>
          <w:sz w:val="20"/>
          <w:szCs w:val="20"/>
        </w:rPr>
        <w:t xml:space="preserve"> </w:t>
      </w:r>
    </w:p>
    <w:p w14:paraId="2A5CD66D" w14:textId="77777777" w:rsidR="00EB4A84" w:rsidRDefault="00EB4A84">
      <w:pPr>
        <w:rPr>
          <w:rFonts w:cstheme="minorHAnsi"/>
          <w:sz w:val="20"/>
          <w:szCs w:val="20"/>
        </w:rPr>
      </w:pPr>
      <w:r>
        <w:rPr>
          <w:rFonts w:cstheme="minorHAnsi"/>
          <w:sz w:val="20"/>
          <w:szCs w:val="20"/>
        </w:rPr>
        <w:br w:type="page"/>
      </w:r>
    </w:p>
    <w:p w14:paraId="600BA178" w14:textId="7C3B7446" w:rsidR="00277ED1" w:rsidRDefault="00EB4A84" w:rsidP="00EB4A84">
      <w:pPr>
        <w:pStyle w:val="Heading1"/>
        <w:rPr>
          <w:rFonts w:eastAsia="AR PL SungtiL GB"/>
          <w:lang w:eastAsia="zh-CN" w:bidi="hi-IN"/>
        </w:rPr>
      </w:pPr>
      <w:r>
        <w:rPr>
          <w:rFonts w:eastAsia="AR PL SungtiL GB"/>
          <w:lang w:eastAsia="zh-CN" w:bidi="hi-IN"/>
        </w:rPr>
        <w:lastRenderedPageBreak/>
        <w:t>References</w:t>
      </w:r>
    </w:p>
    <w:p w14:paraId="561804D6" w14:textId="54584F98" w:rsidR="00213CB6" w:rsidRPr="00213CB6" w:rsidRDefault="00EB4A84" w:rsidP="00213CB6">
      <w:pPr>
        <w:widowControl w:val="0"/>
        <w:autoSpaceDE w:val="0"/>
        <w:autoSpaceDN w:val="0"/>
        <w:adjustRightInd w:val="0"/>
        <w:spacing w:line="240" w:lineRule="auto"/>
        <w:rPr>
          <w:rFonts w:ascii="Calibri" w:hAnsi="Calibri" w:cs="Calibri"/>
          <w:noProof/>
          <w:szCs w:val="24"/>
        </w:rPr>
      </w:pPr>
      <w:r>
        <w:rPr>
          <w:lang w:eastAsia="zh-CN" w:bidi="hi-IN"/>
        </w:rPr>
        <w:fldChar w:fldCharType="begin" w:fldLock="1"/>
      </w:r>
      <w:r>
        <w:rPr>
          <w:lang w:eastAsia="zh-CN" w:bidi="hi-IN"/>
        </w:rPr>
        <w:instrText xml:space="preserve">ADDIN Mendeley Bibliography CSL_BIBLIOGRAPHY </w:instrText>
      </w:r>
      <w:r>
        <w:rPr>
          <w:lang w:eastAsia="zh-CN" w:bidi="hi-IN"/>
        </w:rPr>
        <w:fldChar w:fldCharType="separate"/>
      </w:r>
      <w:r w:rsidR="00213CB6" w:rsidRPr="00213CB6">
        <w:rPr>
          <w:rFonts w:ascii="Calibri" w:hAnsi="Calibri" w:cs="Calibri"/>
          <w:noProof/>
          <w:szCs w:val="24"/>
        </w:rPr>
        <w:t xml:space="preserve">Abatzoglou, J. T. </w:t>
      </w:r>
      <w:r w:rsidR="00213CB6" w:rsidRPr="00213CB6">
        <w:rPr>
          <w:rFonts w:ascii="Calibri" w:hAnsi="Calibri" w:cs="Calibri"/>
          <w:i/>
          <w:iCs/>
          <w:noProof/>
          <w:szCs w:val="24"/>
        </w:rPr>
        <w:t>et al.</w:t>
      </w:r>
      <w:r w:rsidR="00213CB6" w:rsidRPr="00213CB6">
        <w:rPr>
          <w:rFonts w:ascii="Calibri" w:hAnsi="Calibri" w:cs="Calibri"/>
          <w:noProof/>
          <w:szCs w:val="24"/>
        </w:rPr>
        <w:t xml:space="preserve"> (2018) ‘TerraClimate, a high-resolution global dataset of monthly climate and climatic water balance from 1958-2015’, </w:t>
      </w:r>
      <w:r w:rsidR="00213CB6" w:rsidRPr="00213CB6">
        <w:rPr>
          <w:rFonts w:ascii="Calibri" w:hAnsi="Calibri" w:cs="Calibri"/>
          <w:i/>
          <w:iCs/>
          <w:noProof/>
          <w:szCs w:val="24"/>
        </w:rPr>
        <w:t>Scientific Data</w:t>
      </w:r>
      <w:r w:rsidR="00213CB6" w:rsidRPr="00213CB6">
        <w:rPr>
          <w:rFonts w:ascii="Calibri" w:hAnsi="Calibri" w:cs="Calibri"/>
          <w:noProof/>
          <w:szCs w:val="24"/>
        </w:rPr>
        <w:t>, 5, pp. 1–12. doi: 10.1038/sdata.2017.191.</w:t>
      </w:r>
    </w:p>
    <w:p w14:paraId="727E7382"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Aitken, S. N. and Whitlock, M. C. (2013) ‘Assisted Gene Flow to Facilitate Local Adaptation to Climate Change’, </w:t>
      </w:r>
      <w:r w:rsidRPr="00213CB6">
        <w:rPr>
          <w:rFonts w:ascii="Calibri" w:hAnsi="Calibri" w:cs="Calibri"/>
          <w:i/>
          <w:iCs/>
          <w:noProof/>
          <w:szCs w:val="24"/>
        </w:rPr>
        <w:t>Annual Review of Ecology, evolution, and Systematics</w:t>
      </w:r>
      <w:r w:rsidRPr="00213CB6">
        <w:rPr>
          <w:rFonts w:ascii="Calibri" w:hAnsi="Calibri" w:cs="Calibri"/>
          <w:noProof/>
          <w:szCs w:val="24"/>
        </w:rPr>
        <w:t>, 44, pp. 367–88. doi: 10.1146/annurev-ecolsys-110512-135747.</w:t>
      </w:r>
    </w:p>
    <w:p w14:paraId="78224666"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Alizadeh, M. R. </w:t>
      </w:r>
      <w:r w:rsidRPr="00213CB6">
        <w:rPr>
          <w:rFonts w:ascii="Calibri" w:hAnsi="Calibri" w:cs="Calibri"/>
          <w:i/>
          <w:iCs/>
          <w:noProof/>
          <w:szCs w:val="24"/>
        </w:rPr>
        <w:t>et al.</w:t>
      </w:r>
      <w:r w:rsidRPr="00213CB6">
        <w:rPr>
          <w:rFonts w:ascii="Calibri" w:hAnsi="Calibri" w:cs="Calibri"/>
          <w:noProof/>
          <w:szCs w:val="24"/>
        </w:rPr>
        <w:t xml:space="preserve"> (2021) ‘Warming enabled upslope advance in western US forest fires’, </w:t>
      </w:r>
      <w:r w:rsidRPr="00213CB6">
        <w:rPr>
          <w:rFonts w:ascii="Calibri" w:hAnsi="Calibri" w:cs="Calibri"/>
          <w:i/>
          <w:iCs/>
          <w:noProof/>
          <w:szCs w:val="24"/>
        </w:rPr>
        <w:t>Proceedings of the National Academy of Sciences of the United States of America</w:t>
      </w:r>
      <w:r w:rsidRPr="00213CB6">
        <w:rPr>
          <w:rFonts w:ascii="Calibri" w:hAnsi="Calibri" w:cs="Calibri"/>
          <w:noProof/>
          <w:szCs w:val="24"/>
        </w:rPr>
        <w:t>, 118(22), pp. 1–14. doi: 10.1073/pnas.2009717118.</w:t>
      </w:r>
    </w:p>
    <w:p w14:paraId="55F3A0C7"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Angell, N., Waring, K. M. and Graves, T. A. (2014) ‘Predicting height growth of sugar pine regeneration using stand and individual tree characteristics’, </w:t>
      </w:r>
      <w:r w:rsidRPr="00213CB6">
        <w:rPr>
          <w:rFonts w:ascii="Calibri" w:hAnsi="Calibri" w:cs="Calibri"/>
          <w:i/>
          <w:iCs/>
          <w:noProof/>
          <w:szCs w:val="24"/>
        </w:rPr>
        <w:t>Forestry</w:t>
      </w:r>
      <w:r w:rsidRPr="00213CB6">
        <w:rPr>
          <w:rFonts w:ascii="Calibri" w:hAnsi="Calibri" w:cs="Calibri"/>
          <w:noProof/>
          <w:szCs w:val="24"/>
        </w:rPr>
        <w:t>, 87(1), pp. 85–97. doi: 10.1093/forestry/cpt028.</w:t>
      </w:r>
    </w:p>
    <w:p w14:paraId="7E6BD785"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Ansley, J.-A. S. and Battles, J. J. (1998) ‘Forest Composition , Structure , and Change in an Old-Growth Mixed Conifer Forest in the Northern Sierra Nevada Author ( s ): Jolie-Anne S . Ansley and John J . Battles Published by : Torrey Botanical Society Stable URL : http://www.jstor.org/stable/29972’, </w:t>
      </w:r>
      <w:r w:rsidRPr="00213CB6">
        <w:rPr>
          <w:rFonts w:ascii="Calibri" w:hAnsi="Calibri" w:cs="Calibri"/>
          <w:i/>
          <w:iCs/>
          <w:noProof/>
          <w:szCs w:val="24"/>
        </w:rPr>
        <w:t>The Journal of the Torrey Botanical Society</w:t>
      </w:r>
      <w:r w:rsidRPr="00213CB6">
        <w:rPr>
          <w:rFonts w:ascii="Calibri" w:hAnsi="Calibri" w:cs="Calibri"/>
          <w:noProof/>
          <w:szCs w:val="24"/>
        </w:rPr>
        <w:t>, 125(4), pp. 297–308.</w:t>
      </w:r>
    </w:p>
    <w:p w14:paraId="0A37F25F"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Bechtold, W. A. and Patterson, P. L. (2005) ‘The Enhanced Forest Inventory and Analysis Program — National Sampling Design and Estimation Procedures’, </w:t>
      </w:r>
      <w:r w:rsidRPr="00213CB6">
        <w:rPr>
          <w:rFonts w:ascii="Calibri" w:hAnsi="Calibri" w:cs="Calibri"/>
          <w:i/>
          <w:iCs/>
          <w:noProof/>
          <w:szCs w:val="24"/>
        </w:rPr>
        <w:t>USDA General Technical Report</w:t>
      </w:r>
      <w:r w:rsidRPr="00213CB6">
        <w:rPr>
          <w:rFonts w:ascii="Calibri" w:hAnsi="Calibri" w:cs="Calibri"/>
          <w:noProof/>
          <w:szCs w:val="24"/>
        </w:rPr>
        <w:t>, SRS-80, p. 85.</w:t>
      </w:r>
    </w:p>
    <w:p w14:paraId="1F59CD1A"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Bell, D. M., Bradford, J. B. and Lauenroth, W. K. (2014) ‘Early indicators of change: Divergent climate envelopes between tree life stages imply range shifts in the western United States’, </w:t>
      </w:r>
      <w:r w:rsidRPr="00213CB6">
        <w:rPr>
          <w:rFonts w:ascii="Calibri" w:hAnsi="Calibri" w:cs="Calibri"/>
          <w:i/>
          <w:iCs/>
          <w:noProof/>
          <w:szCs w:val="24"/>
        </w:rPr>
        <w:t>Global Ecology and Biogeography</w:t>
      </w:r>
      <w:r w:rsidRPr="00213CB6">
        <w:rPr>
          <w:rFonts w:ascii="Calibri" w:hAnsi="Calibri" w:cs="Calibri"/>
          <w:noProof/>
          <w:szCs w:val="24"/>
        </w:rPr>
        <w:t>, 23(2), pp. 168–180. doi: 10.1111/geb.12109.</w:t>
      </w:r>
    </w:p>
    <w:p w14:paraId="531E26D3"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Bohlman, G. N., Safford, H. D. and Skinner, C. N. (2021) ‘Natural range of variation for yellow pine and mixed-conifer forests in northwestern California and southwestern Oregon’, </w:t>
      </w:r>
      <w:r w:rsidRPr="00213CB6">
        <w:rPr>
          <w:rFonts w:ascii="Calibri" w:hAnsi="Calibri" w:cs="Calibri"/>
          <w:i/>
          <w:iCs/>
          <w:noProof/>
          <w:szCs w:val="24"/>
        </w:rPr>
        <w:t>Gen. Tech. Rep. PSW-GTR-273. Albany, CA: US Department of Agriculture, Forest Service, Pacific Southwest Research Station. 146 p.</w:t>
      </w:r>
      <w:r w:rsidRPr="00213CB6">
        <w:rPr>
          <w:rFonts w:ascii="Calibri" w:hAnsi="Calibri" w:cs="Calibri"/>
          <w:noProof/>
          <w:szCs w:val="24"/>
        </w:rPr>
        <w:t>, 273(November).</w:t>
      </w:r>
    </w:p>
    <w:p w14:paraId="46C45853"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Bohner, T. and Diez, J. (2021) ‘Tree resistance and recovery from drought mediated by multiple abiotic and biotic processes across a large geographic gradient’, </w:t>
      </w:r>
      <w:r w:rsidRPr="00213CB6">
        <w:rPr>
          <w:rFonts w:ascii="Calibri" w:hAnsi="Calibri" w:cs="Calibri"/>
          <w:i/>
          <w:iCs/>
          <w:noProof/>
          <w:szCs w:val="24"/>
        </w:rPr>
        <w:t>Science of The Total Environment</w:t>
      </w:r>
      <w:r w:rsidRPr="00213CB6">
        <w:rPr>
          <w:rFonts w:ascii="Calibri" w:hAnsi="Calibri" w:cs="Calibri"/>
          <w:noProof/>
          <w:szCs w:val="24"/>
        </w:rPr>
        <w:t>, 789, p. 147744. doi: 10.1016/j.scitotenv.2021.147744.</w:t>
      </w:r>
    </w:p>
    <w:p w14:paraId="757D42AA"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Bradford, J. B. </w:t>
      </w:r>
      <w:r w:rsidRPr="00213CB6">
        <w:rPr>
          <w:rFonts w:ascii="Calibri" w:hAnsi="Calibri" w:cs="Calibri"/>
          <w:i/>
          <w:iCs/>
          <w:noProof/>
          <w:szCs w:val="24"/>
        </w:rPr>
        <w:t>et al.</w:t>
      </w:r>
      <w:r w:rsidRPr="00213CB6">
        <w:rPr>
          <w:rFonts w:ascii="Calibri" w:hAnsi="Calibri" w:cs="Calibri"/>
          <w:noProof/>
          <w:szCs w:val="24"/>
        </w:rPr>
        <w:t xml:space="preserve"> (2022) ‘Tree mortality response to drought-density interactions suggests opportunities to enhance drought resistance’, </w:t>
      </w:r>
      <w:r w:rsidRPr="00213CB6">
        <w:rPr>
          <w:rFonts w:ascii="Calibri" w:hAnsi="Calibri" w:cs="Calibri"/>
          <w:i/>
          <w:iCs/>
          <w:noProof/>
          <w:szCs w:val="24"/>
        </w:rPr>
        <w:t>Journal of Applied Ecology</w:t>
      </w:r>
      <w:r w:rsidRPr="00213CB6">
        <w:rPr>
          <w:rFonts w:ascii="Calibri" w:hAnsi="Calibri" w:cs="Calibri"/>
          <w:noProof/>
          <w:szCs w:val="24"/>
        </w:rPr>
        <w:t>, 59(2), pp. 549–559. doi: 10.1111/1365-2664.14073.</w:t>
      </w:r>
    </w:p>
    <w:p w14:paraId="61735DC8"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Bronson, J., Petrick, J. and Danchok, R. (2018) ‘Efficacy of Early Pruning to Reduce the Incidence of White Pine Blister Rust on Sugar Pine ( Pinus lambertiana )’, pp. 205–208.</w:t>
      </w:r>
    </w:p>
    <w:p w14:paraId="21E19C66"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Collins, B. M. </w:t>
      </w:r>
      <w:r w:rsidRPr="00213CB6">
        <w:rPr>
          <w:rFonts w:ascii="Calibri" w:hAnsi="Calibri" w:cs="Calibri"/>
          <w:i/>
          <w:iCs/>
          <w:noProof/>
          <w:szCs w:val="24"/>
        </w:rPr>
        <w:t>et al.</w:t>
      </w:r>
      <w:r w:rsidRPr="00213CB6">
        <w:rPr>
          <w:rFonts w:ascii="Calibri" w:hAnsi="Calibri" w:cs="Calibri"/>
          <w:noProof/>
          <w:szCs w:val="24"/>
        </w:rPr>
        <w:t xml:space="preserve"> (2014) ‘Beyond Reducing Fire Hazard’, </w:t>
      </w:r>
      <w:r w:rsidRPr="00213CB6">
        <w:rPr>
          <w:rFonts w:ascii="Calibri" w:hAnsi="Calibri" w:cs="Calibri"/>
          <w:i/>
          <w:iCs/>
          <w:noProof/>
          <w:szCs w:val="24"/>
        </w:rPr>
        <w:t>Ecological Applications</w:t>
      </w:r>
      <w:r w:rsidRPr="00213CB6">
        <w:rPr>
          <w:rFonts w:ascii="Calibri" w:hAnsi="Calibri" w:cs="Calibri"/>
          <w:noProof/>
          <w:szCs w:val="24"/>
        </w:rPr>
        <w:t>, 24(8), pp. 1879–1886. doi: 10.1890/14-0971.1.</w:t>
      </w:r>
    </w:p>
    <w:p w14:paraId="6739A741"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Coop, J. D. </w:t>
      </w:r>
      <w:r w:rsidRPr="00213CB6">
        <w:rPr>
          <w:rFonts w:ascii="Calibri" w:hAnsi="Calibri" w:cs="Calibri"/>
          <w:i/>
          <w:iCs/>
          <w:noProof/>
          <w:szCs w:val="24"/>
        </w:rPr>
        <w:t>et al.</w:t>
      </w:r>
      <w:r w:rsidRPr="00213CB6">
        <w:rPr>
          <w:rFonts w:ascii="Calibri" w:hAnsi="Calibri" w:cs="Calibri"/>
          <w:noProof/>
          <w:szCs w:val="24"/>
        </w:rPr>
        <w:t xml:space="preserve"> (2020) ‘Wildfire-Driven Forest Conversion in Western North American Landscapes’, </w:t>
      </w:r>
      <w:r w:rsidRPr="00213CB6">
        <w:rPr>
          <w:rFonts w:ascii="Calibri" w:hAnsi="Calibri" w:cs="Calibri"/>
          <w:i/>
          <w:iCs/>
          <w:noProof/>
          <w:szCs w:val="24"/>
        </w:rPr>
        <w:t>BioScience</w:t>
      </w:r>
      <w:r w:rsidRPr="00213CB6">
        <w:rPr>
          <w:rFonts w:ascii="Calibri" w:hAnsi="Calibri" w:cs="Calibri"/>
          <w:noProof/>
          <w:szCs w:val="24"/>
        </w:rPr>
        <w:t>, 70(8), pp. 659–673. doi: 10.1093/biosci/biaa061.</w:t>
      </w:r>
    </w:p>
    <w:p w14:paraId="29D25D47"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Das, A. </w:t>
      </w:r>
      <w:r w:rsidRPr="00213CB6">
        <w:rPr>
          <w:rFonts w:ascii="Calibri" w:hAnsi="Calibri" w:cs="Calibri"/>
          <w:i/>
          <w:iCs/>
          <w:noProof/>
          <w:szCs w:val="24"/>
        </w:rPr>
        <w:t>et al.</w:t>
      </w:r>
      <w:r w:rsidRPr="00213CB6">
        <w:rPr>
          <w:rFonts w:ascii="Calibri" w:hAnsi="Calibri" w:cs="Calibri"/>
          <w:noProof/>
          <w:szCs w:val="24"/>
        </w:rPr>
        <w:t xml:space="preserve"> (2008) ‘Spatial elements of mortality risk in old-growth forests’, </w:t>
      </w:r>
      <w:r w:rsidRPr="00213CB6">
        <w:rPr>
          <w:rFonts w:ascii="Calibri" w:hAnsi="Calibri" w:cs="Calibri"/>
          <w:i/>
          <w:iCs/>
          <w:noProof/>
          <w:szCs w:val="24"/>
        </w:rPr>
        <w:t>Ecology</w:t>
      </w:r>
      <w:r w:rsidRPr="00213CB6">
        <w:rPr>
          <w:rFonts w:ascii="Calibri" w:hAnsi="Calibri" w:cs="Calibri"/>
          <w:noProof/>
          <w:szCs w:val="24"/>
        </w:rPr>
        <w:t>, 89(6), pp. 1744–1756. doi: 10.1890/07-0524.1.</w:t>
      </w:r>
    </w:p>
    <w:p w14:paraId="06513F85"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Das, A. (2012) ‘The effect of size and competition on tree growth rate in old-growth coniferous forests’, </w:t>
      </w:r>
      <w:r w:rsidRPr="00213CB6">
        <w:rPr>
          <w:rFonts w:ascii="Calibri" w:hAnsi="Calibri" w:cs="Calibri"/>
          <w:i/>
          <w:iCs/>
          <w:noProof/>
          <w:szCs w:val="24"/>
        </w:rPr>
        <w:lastRenderedPageBreak/>
        <w:t>Canadian Journal of Forest Research</w:t>
      </w:r>
      <w:r w:rsidRPr="00213CB6">
        <w:rPr>
          <w:rFonts w:ascii="Calibri" w:hAnsi="Calibri" w:cs="Calibri"/>
          <w:noProof/>
          <w:szCs w:val="24"/>
        </w:rPr>
        <w:t>, 42(11), pp. 1983–1995. doi: 10.1139/x2012-142.</w:t>
      </w:r>
    </w:p>
    <w:p w14:paraId="75FE72CE"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Das, A. J. </w:t>
      </w:r>
      <w:r w:rsidRPr="00213CB6">
        <w:rPr>
          <w:rFonts w:ascii="Calibri" w:hAnsi="Calibri" w:cs="Calibri"/>
          <w:i/>
          <w:iCs/>
          <w:noProof/>
          <w:szCs w:val="24"/>
        </w:rPr>
        <w:t>et al.</w:t>
      </w:r>
      <w:r w:rsidRPr="00213CB6">
        <w:rPr>
          <w:rFonts w:ascii="Calibri" w:hAnsi="Calibri" w:cs="Calibri"/>
          <w:noProof/>
          <w:szCs w:val="24"/>
        </w:rPr>
        <w:t xml:space="preserve"> (2007) ‘The relationship between tree growth patterns and likelihood of mortality: A study of two tree species in the Sierra Nevada’, </w:t>
      </w:r>
      <w:r w:rsidRPr="00213CB6">
        <w:rPr>
          <w:rFonts w:ascii="Calibri" w:hAnsi="Calibri" w:cs="Calibri"/>
          <w:i/>
          <w:iCs/>
          <w:noProof/>
          <w:szCs w:val="24"/>
        </w:rPr>
        <w:t>Canadian Journal of Forest Research</w:t>
      </w:r>
      <w:r w:rsidRPr="00213CB6">
        <w:rPr>
          <w:rFonts w:ascii="Calibri" w:hAnsi="Calibri" w:cs="Calibri"/>
          <w:noProof/>
          <w:szCs w:val="24"/>
        </w:rPr>
        <w:t>, 37(3), pp. 580–597. doi: 10.1139/X06-262.</w:t>
      </w:r>
    </w:p>
    <w:p w14:paraId="3D875075"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Das, A. J. </w:t>
      </w:r>
      <w:r w:rsidRPr="00213CB6">
        <w:rPr>
          <w:rFonts w:ascii="Calibri" w:hAnsi="Calibri" w:cs="Calibri"/>
          <w:i/>
          <w:iCs/>
          <w:noProof/>
          <w:szCs w:val="24"/>
        </w:rPr>
        <w:t>et al.</w:t>
      </w:r>
      <w:r w:rsidRPr="00213CB6">
        <w:rPr>
          <w:rFonts w:ascii="Calibri" w:hAnsi="Calibri" w:cs="Calibri"/>
          <w:noProof/>
          <w:szCs w:val="24"/>
        </w:rPr>
        <w:t xml:space="preserve"> (2013) ‘Climatic Correlates of Tree Mortality in Water- and Energy-Limited Forests’, </w:t>
      </w:r>
      <w:r w:rsidRPr="00213CB6">
        <w:rPr>
          <w:rFonts w:ascii="Calibri" w:hAnsi="Calibri" w:cs="Calibri"/>
          <w:i/>
          <w:iCs/>
          <w:noProof/>
          <w:szCs w:val="24"/>
        </w:rPr>
        <w:t>PLoS ONE</w:t>
      </w:r>
      <w:r w:rsidRPr="00213CB6">
        <w:rPr>
          <w:rFonts w:ascii="Calibri" w:hAnsi="Calibri" w:cs="Calibri"/>
          <w:noProof/>
          <w:szCs w:val="24"/>
        </w:rPr>
        <w:t>, 8(7). doi: 10.1371/journal.pone.0069917.</w:t>
      </w:r>
    </w:p>
    <w:p w14:paraId="0B2669A8"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Davis, K. T. </w:t>
      </w:r>
      <w:r w:rsidRPr="00213CB6">
        <w:rPr>
          <w:rFonts w:ascii="Calibri" w:hAnsi="Calibri" w:cs="Calibri"/>
          <w:i/>
          <w:iCs/>
          <w:noProof/>
          <w:szCs w:val="24"/>
        </w:rPr>
        <w:t>et al.</w:t>
      </w:r>
      <w:r w:rsidRPr="00213CB6">
        <w:rPr>
          <w:rFonts w:ascii="Calibri" w:hAnsi="Calibri" w:cs="Calibri"/>
          <w:noProof/>
          <w:szCs w:val="24"/>
        </w:rPr>
        <w:t xml:space="preserve"> (2019) ‘Wildfires and climate change push low-elevation forests across a critical climate threshold for tree regeneration’, </w:t>
      </w:r>
      <w:r w:rsidRPr="00213CB6">
        <w:rPr>
          <w:rFonts w:ascii="Calibri" w:hAnsi="Calibri" w:cs="Calibri"/>
          <w:i/>
          <w:iCs/>
          <w:noProof/>
          <w:szCs w:val="24"/>
        </w:rPr>
        <w:t>Proceedings of the National Academy of Sciences of the United States of America</w:t>
      </w:r>
      <w:r w:rsidRPr="00213CB6">
        <w:rPr>
          <w:rFonts w:ascii="Calibri" w:hAnsi="Calibri" w:cs="Calibri"/>
          <w:noProof/>
          <w:szCs w:val="24"/>
        </w:rPr>
        <w:t>, 116(13), pp. 6193–6198. doi: 10.1073/pnas.1815107116.</w:t>
      </w:r>
    </w:p>
    <w:p w14:paraId="5BAFFAA4"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Davis, R. S., Hood, S. and Bentz, B. J. (2012) ‘Fire-injured ponderosa pine provide a pulsed resource for bark beetles’, </w:t>
      </w:r>
      <w:r w:rsidRPr="00213CB6">
        <w:rPr>
          <w:rFonts w:ascii="Calibri" w:hAnsi="Calibri" w:cs="Calibri"/>
          <w:i/>
          <w:iCs/>
          <w:noProof/>
          <w:szCs w:val="24"/>
        </w:rPr>
        <w:t>Canadian Journal of Forest Research-Revue Canadienne De Recherche Forestiere</w:t>
      </w:r>
      <w:r w:rsidRPr="00213CB6">
        <w:rPr>
          <w:rFonts w:ascii="Calibri" w:hAnsi="Calibri" w:cs="Calibri"/>
          <w:noProof/>
          <w:szCs w:val="24"/>
        </w:rPr>
        <w:t>, 42(12), pp. 2022–2036. doi: 10.1139/x2012-147.</w:t>
      </w:r>
    </w:p>
    <w:p w14:paraId="092F50A8"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Dudney, J. </w:t>
      </w:r>
      <w:r w:rsidRPr="00213CB6">
        <w:rPr>
          <w:rFonts w:ascii="Calibri" w:hAnsi="Calibri" w:cs="Calibri"/>
          <w:i/>
          <w:iCs/>
          <w:noProof/>
          <w:szCs w:val="24"/>
        </w:rPr>
        <w:t>et al.</w:t>
      </w:r>
      <w:r w:rsidRPr="00213CB6">
        <w:rPr>
          <w:rFonts w:ascii="Calibri" w:hAnsi="Calibri" w:cs="Calibri"/>
          <w:noProof/>
          <w:szCs w:val="24"/>
        </w:rPr>
        <w:t xml:space="preserve"> (2021) ‘Nonlinear shifts in infectious rust disease due to climate change’, </w:t>
      </w:r>
      <w:r w:rsidRPr="00213CB6">
        <w:rPr>
          <w:rFonts w:ascii="Calibri" w:hAnsi="Calibri" w:cs="Calibri"/>
          <w:i/>
          <w:iCs/>
          <w:noProof/>
          <w:szCs w:val="24"/>
        </w:rPr>
        <w:t>Nature Communications</w:t>
      </w:r>
      <w:r w:rsidRPr="00213CB6">
        <w:rPr>
          <w:rFonts w:ascii="Calibri" w:hAnsi="Calibri" w:cs="Calibri"/>
          <w:noProof/>
          <w:szCs w:val="24"/>
        </w:rPr>
        <w:t>, 12(1). doi: 10.1038/s41467-021-25182-6.</w:t>
      </w:r>
    </w:p>
    <w:p w14:paraId="7735DFCC"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Dudney, J. C. </w:t>
      </w:r>
      <w:r w:rsidRPr="00213CB6">
        <w:rPr>
          <w:rFonts w:ascii="Calibri" w:hAnsi="Calibri" w:cs="Calibri"/>
          <w:i/>
          <w:iCs/>
          <w:noProof/>
          <w:szCs w:val="24"/>
        </w:rPr>
        <w:t>et al.</w:t>
      </w:r>
      <w:r w:rsidRPr="00213CB6">
        <w:rPr>
          <w:rFonts w:ascii="Calibri" w:hAnsi="Calibri" w:cs="Calibri"/>
          <w:noProof/>
          <w:szCs w:val="24"/>
        </w:rPr>
        <w:t xml:space="preserve"> (2020) ‘Compounding effects of white pine blister rust, mountain pine beetle, and fire threaten four white pine species’, </w:t>
      </w:r>
      <w:r w:rsidRPr="00213CB6">
        <w:rPr>
          <w:rFonts w:ascii="Calibri" w:hAnsi="Calibri" w:cs="Calibri"/>
          <w:i/>
          <w:iCs/>
          <w:noProof/>
          <w:szCs w:val="24"/>
        </w:rPr>
        <w:t>Ecosphere</w:t>
      </w:r>
      <w:r w:rsidRPr="00213CB6">
        <w:rPr>
          <w:rFonts w:ascii="Calibri" w:hAnsi="Calibri" w:cs="Calibri"/>
          <w:noProof/>
          <w:szCs w:val="24"/>
        </w:rPr>
        <w:t>, 11(October), p. e03263. doi: 10.1002/ecs2.3263.</w:t>
      </w:r>
    </w:p>
    <w:p w14:paraId="68D779BC"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Eitzel, M. </w:t>
      </w:r>
      <w:r w:rsidRPr="00213CB6">
        <w:rPr>
          <w:rFonts w:ascii="Calibri" w:hAnsi="Calibri" w:cs="Calibri"/>
          <w:i/>
          <w:iCs/>
          <w:noProof/>
          <w:szCs w:val="24"/>
        </w:rPr>
        <w:t>et al.</w:t>
      </w:r>
      <w:r w:rsidRPr="00213CB6">
        <w:rPr>
          <w:rFonts w:ascii="Calibri" w:hAnsi="Calibri" w:cs="Calibri"/>
          <w:noProof/>
          <w:szCs w:val="24"/>
        </w:rPr>
        <w:t xml:space="preserve"> (2013) ‘Estimating tree growth from complex forest monitoring data’, </w:t>
      </w:r>
      <w:r w:rsidRPr="00213CB6">
        <w:rPr>
          <w:rFonts w:ascii="Calibri" w:hAnsi="Calibri" w:cs="Calibri"/>
          <w:i/>
          <w:iCs/>
          <w:noProof/>
          <w:szCs w:val="24"/>
        </w:rPr>
        <w:t>Ecological Applications</w:t>
      </w:r>
      <w:r w:rsidRPr="00213CB6">
        <w:rPr>
          <w:rFonts w:ascii="Calibri" w:hAnsi="Calibri" w:cs="Calibri"/>
          <w:noProof/>
          <w:szCs w:val="24"/>
        </w:rPr>
        <w:t>, 23(6), pp. 1288–1296. doi: 10.1890/12-0504.1.</w:t>
      </w:r>
    </w:p>
    <w:p w14:paraId="2D661F67"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Fettig, C. J. </w:t>
      </w:r>
      <w:r w:rsidRPr="00213CB6">
        <w:rPr>
          <w:rFonts w:ascii="Calibri" w:hAnsi="Calibri" w:cs="Calibri"/>
          <w:i/>
          <w:iCs/>
          <w:noProof/>
          <w:szCs w:val="24"/>
        </w:rPr>
        <w:t>et al.</w:t>
      </w:r>
      <w:r w:rsidRPr="00213CB6">
        <w:rPr>
          <w:rFonts w:ascii="Calibri" w:hAnsi="Calibri" w:cs="Calibri"/>
          <w:noProof/>
          <w:szCs w:val="24"/>
        </w:rPr>
        <w:t xml:space="preserve"> (2019) ‘Tree mortality following drought in the central and southern Sierra Nevada, California, U.S.’, </w:t>
      </w:r>
      <w:r w:rsidRPr="00213CB6">
        <w:rPr>
          <w:rFonts w:ascii="Calibri" w:hAnsi="Calibri" w:cs="Calibri"/>
          <w:i/>
          <w:iCs/>
          <w:noProof/>
          <w:szCs w:val="24"/>
        </w:rPr>
        <w:t>Forest Ecology and Management</w:t>
      </w:r>
      <w:r w:rsidRPr="00213CB6">
        <w:rPr>
          <w:rFonts w:ascii="Calibri" w:hAnsi="Calibri" w:cs="Calibri"/>
          <w:noProof/>
          <w:szCs w:val="24"/>
        </w:rPr>
        <w:t>, 432(August 2018), pp. 164–178. doi: 10.1016/j.foreco.2018.09.006.</w:t>
      </w:r>
    </w:p>
    <w:p w14:paraId="41CF80CB"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Foster, D. E. </w:t>
      </w:r>
      <w:r w:rsidRPr="00213CB6">
        <w:rPr>
          <w:rFonts w:ascii="Calibri" w:hAnsi="Calibri" w:cs="Calibri"/>
          <w:i/>
          <w:iCs/>
          <w:noProof/>
          <w:szCs w:val="24"/>
        </w:rPr>
        <w:t>et al.</w:t>
      </w:r>
      <w:r w:rsidRPr="00213CB6">
        <w:rPr>
          <w:rFonts w:ascii="Calibri" w:hAnsi="Calibri" w:cs="Calibri"/>
          <w:noProof/>
          <w:szCs w:val="24"/>
        </w:rPr>
        <w:t xml:space="preserve"> (2020) ‘Potential wildfire and carbon stability in frequent-fire forests in the Sierra Nevada: trade-offs from a long-term study’, </w:t>
      </w:r>
      <w:r w:rsidRPr="00213CB6">
        <w:rPr>
          <w:rFonts w:ascii="Calibri" w:hAnsi="Calibri" w:cs="Calibri"/>
          <w:i/>
          <w:iCs/>
          <w:noProof/>
          <w:szCs w:val="24"/>
        </w:rPr>
        <w:t>Ecosphere</w:t>
      </w:r>
      <w:r w:rsidRPr="00213CB6">
        <w:rPr>
          <w:rFonts w:ascii="Calibri" w:hAnsi="Calibri" w:cs="Calibri"/>
          <w:noProof/>
          <w:szCs w:val="24"/>
        </w:rPr>
        <w:t>, 11(8). doi: 10.1002/ecs2.3198.</w:t>
      </w:r>
    </w:p>
    <w:p w14:paraId="508CC56F"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Fowells, H. A. and Schubert, G. H. (1956) ‘Seed crops of forest trees in the pine region of California’, </w:t>
      </w:r>
      <w:r w:rsidRPr="00213CB6">
        <w:rPr>
          <w:rFonts w:ascii="Calibri" w:hAnsi="Calibri" w:cs="Calibri"/>
          <w:i/>
          <w:iCs/>
          <w:noProof/>
          <w:szCs w:val="24"/>
        </w:rPr>
        <w:t>USDA Technical Bulletin</w:t>
      </w:r>
      <w:r w:rsidRPr="00213CB6">
        <w:rPr>
          <w:rFonts w:ascii="Calibri" w:hAnsi="Calibri" w:cs="Calibri"/>
          <w:noProof/>
          <w:szCs w:val="24"/>
        </w:rPr>
        <w:t>, 1150(1150), pp. 1–48.</w:t>
      </w:r>
    </w:p>
    <w:p w14:paraId="437F1D6C"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Furniss, T. J. </w:t>
      </w:r>
      <w:r w:rsidRPr="00213CB6">
        <w:rPr>
          <w:rFonts w:ascii="Calibri" w:hAnsi="Calibri" w:cs="Calibri"/>
          <w:i/>
          <w:iCs/>
          <w:noProof/>
          <w:szCs w:val="24"/>
        </w:rPr>
        <w:t>et al.</w:t>
      </w:r>
      <w:r w:rsidRPr="00213CB6">
        <w:rPr>
          <w:rFonts w:ascii="Calibri" w:hAnsi="Calibri" w:cs="Calibri"/>
          <w:noProof/>
          <w:szCs w:val="24"/>
        </w:rPr>
        <w:t xml:space="preserve"> (2018) ‘Multi-scale assessment of post-fire tree mortality models’, </w:t>
      </w:r>
      <w:r w:rsidRPr="00213CB6">
        <w:rPr>
          <w:rFonts w:ascii="Calibri" w:hAnsi="Calibri" w:cs="Calibri"/>
          <w:i/>
          <w:iCs/>
          <w:noProof/>
          <w:szCs w:val="24"/>
        </w:rPr>
        <w:t>International Journal of Wildland Fire</w:t>
      </w:r>
      <w:r w:rsidRPr="00213CB6">
        <w:rPr>
          <w:rFonts w:ascii="Calibri" w:hAnsi="Calibri" w:cs="Calibri"/>
          <w:noProof/>
          <w:szCs w:val="24"/>
        </w:rPr>
        <w:t>, p. in press. doi: 10.1071/WF18031.</w:t>
      </w:r>
    </w:p>
    <w:p w14:paraId="7E9899DD"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Furniss, T. J. </w:t>
      </w:r>
      <w:r w:rsidRPr="00213CB6">
        <w:rPr>
          <w:rFonts w:ascii="Calibri" w:hAnsi="Calibri" w:cs="Calibri"/>
          <w:i/>
          <w:iCs/>
          <w:noProof/>
          <w:szCs w:val="24"/>
        </w:rPr>
        <w:t>et al.</w:t>
      </w:r>
      <w:r w:rsidRPr="00213CB6">
        <w:rPr>
          <w:rFonts w:ascii="Calibri" w:hAnsi="Calibri" w:cs="Calibri"/>
          <w:noProof/>
          <w:szCs w:val="24"/>
        </w:rPr>
        <w:t xml:space="preserve"> (2021) ‘Crowding, climate, and the case for social distancing among trees’, </w:t>
      </w:r>
      <w:r w:rsidRPr="00213CB6">
        <w:rPr>
          <w:rFonts w:ascii="Calibri" w:hAnsi="Calibri" w:cs="Calibri"/>
          <w:i/>
          <w:iCs/>
          <w:noProof/>
          <w:szCs w:val="24"/>
        </w:rPr>
        <w:t>Ecological Applications</w:t>
      </w:r>
      <w:r w:rsidRPr="00213CB6">
        <w:rPr>
          <w:rFonts w:ascii="Calibri" w:hAnsi="Calibri" w:cs="Calibri"/>
          <w:noProof/>
          <w:szCs w:val="24"/>
        </w:rPr>
        <w:t>, (June 2021), pp. 1–14. doi: 10.1002/eap.2507.</w:t>
      </w:r>
    </w:p>
    <w:p w14:paraId="3F53A720"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Geils, B. W., Hummer, K. E. and Hunt, R. S. (2010) ‘White pines, Ribes, and blister rust: A review and synthesis’, </w:t>
      </w:r>
      <w:r w:rsidRPr="00213CB6">
        <w:rPr>
          <w:rFonts w:ascii="Calibri" w:hAnsi="Calibri" w:cs="Calibri"/>
          <w:i/>
          <w:iCs/>
          <w:noProof/>
          <w:szCs w:val="24"/>
        </w:rPr>
        <w:t>Forest Pathology</w:t>
      </w:r>
      <w:r w:rsidRPr="00213CB6">
        <w:rPr>
          <w:rFonts w:ascii="Calibri" w:hAnsi="Calibri" w:cs="Calibri"/>
          <w:noProof/>
          <w:szCs w:val="24"/>
        </w:rPr>
        <w:t>, 40(3–4), pp. 147–185. doi: 10.1111/j.1439-0329.2010.00654.x.</w:t>
      </w:r>
    </w:p>
    <w:p w14:paraId="073F4993"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Harry, D. E., Jenkinson, J. L. and Kinloch, B. B. (1983) ‘Early Growth of Sugar Pine from an Elevational Transect’, </w:t>
      </w:r>
      <w:r w:rsidRPr="00213CB6">
        <w:rPr>
          <w:rFonts w:ascii="Calibri" w:hAnsi="Calibri" w:cs="Calibri"/>
          <w:i/>
          <w:iCs/>
          <w:noProof/>
          <w:szCs w:val="24"/>
        </w:rPr>
        <w:t>Forest Science</w:t>
      </w:r>
      <w:r w:rsidRPr="00213CB6">
        <w:rPr>
          <w:rFonts w:ascii="Calibri" w:hAnsi="Calibri" w:cs="Calibri"/>
          <w:noProof/>
          <w:szCs w:val="24"/>
        </w:rPr>
        <w:t>, 29(3), pp. 660–669. Available at: http://www.ingentaconnect.com/content/saf/fs/1983/00000029/00000003/art00027.</w:t>
      </w:r>
    </w:p>
    <w:p w14:paraId="21F642CD"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Hessburg, P. F. </w:t>
      </w:r>
      <w:r w:rsidRPr="00213CB6">
        <w:rPr>
          <w:rFonts w:ascii="Calibri" w:hAnsi="Calibri" w:cs="Calibri"/>
          <w:i/>
          <w:iCs/>
          <w:noProof/>
          <w:szCs w:val="24"/>
        </w:rPr>
        <w:t>et al.</w:t>
      </w:r>
      <w:r w:rsidRPr="00213CB6">
        <w:rPr>
          <w:rFonts w:ascii="Calibri" w:hAnsi="Calibri" w:cs="Calibri"/>
          <w:noProof/>
          <w:szCs w:val="24"/>
        </w:rPr>
        <w:t xml:space="preserve"> (2016) ‘Tamm Review: Management of mixed-severity fire regime forests in Oregon, Washington, and Northern California’, </w:t>
      </w:r>
      <w:r w:rsidRPr="00213CB6">
        <w:rPr>
          <w:rFonts w:ascii="Calibri" w:hAnsi="Calibri" w:cs="Calibri"/>
          <w:i/>
          <w:iCs/>
          <w:noProof/>
          <w:szCs w:val="24"/>
        </w:rPr>
        <w:t>Forest Ecology and Management</w:t>
      </w:r>
      <w:r w:rsidRPr="00213CB6">
        <w:rPr>
          <w:rFonts w:ascii="Calibri" w:hAnsi="Calibri" w:cs="Calibri"/>
          <w:noProof/>
          <w:szCs w:val="24"/>
        </w:rPr>
        <w:t>, 366, pp. 221–250. doi: 10.1016/j.foreco.2016.01.034.</w:t>
      </w:r>
    </w:p>
    <w:p w14:paraId="7F6D875D"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Hessburg, P. F. </w:t>
      </w:r>
      <w:r w:rsidRPr="00213CB6">
        <w:rPr>
          <w:rFonts w:ascii="Calibri" w:hAnsi="Calibri" w:cs="Calibri"/>
          <w:i/>
          <w:iCs/>
          <w:noProof/>
          <w:szCs w:val="24"/>
        </w:rPr>
        <w:t>et al.</w:t>
      </w:r>
      <w:r w:rsidRPr="00213CB6">
        <w:rPr>
          <w:rFonts w:ascii="Calibri" w:hAnsi="Calibri" w:cs="Calibri"/>
          <w:noProof/>
          <w:szCs w:val="24"/>
        </w:rPr>
        <w:t xml:space="preserve"> (2021) ‘Wildfire and climate change adaptation of western North American forests: </w:t>
      </w:r>
      <w:r w:rsidRPr="00213CB6">
        <w:rPr>
          <w:rFonts w:ascii="Calibri" w:hAnsi="Calibri" w:cs="Calibri"/>
          <w:noProof/>
          <w:szCs w:val="24"/>
        </w:rPr>
        <w:lastRenderedPageBreak/>
        <w:t xml:space="preserve">a case for intentional management’, </w:t>
      </w:r>
      <w:r w:rsidRPr="00213CB6">
        <w:rPr>
          <w:rFonts w:ascii="Calibri" w:hAnsi="Calibri" w:cs="Calibri"/>
          <w:i/>
          <w:iCs/>
          <w:noProof/>
          <w:szCs w:val="24"/>
        </w:rPr>
        <w:t>Ecological Applications</w:t>
      </w:r>
      <w:r w:rsidRPr="00213CB6">
        <w:rPr>
          <w:rFonts w:ascii="Calibri" w:hAnsi="Calibri" w:cs="Calibri"/>
          <w:noProof/>
          <w:szCs w:val="24"/>
        </w:rPr>
        <w:t>, 0(0). doi: 10.1002/eap.2432.</w:t>
      </w:r>
    </w:p>
    <w:p w14:paraId="27EEF346"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Hicke, J. A. </w:t>
      </w:r>
      <w:r w:rsidRPr="00213CB6">
        <w:rPr>
          <w:rFonts w:ascii="Calibri" w:hAnsi="Calibri" w:cs="Calibri"/>
          <w:i/>
          <w:iCs/>
          <w:noProof/>
          <w:szCs w:val="24"/>
        </w:rPr>
        <w:t>et al.</w:t>
      </w:r>
      <w:r w:rsidRPr="00213CB6">
        <w:rPr>
          <w:rFonts w:ascii="Calibri" w:hAnsi="Calibri" w:cs="Calibri"/>
          <w:noProof/>
          <w:szCs w:val="24"/>
        </w:rPr>
        <w:t xml:space="preserve"> (2012) ‘Effects of bark beetle-caused tree mortality on wildfire’, </w:t>
      </w:r>
      <w:r w:rsidRPr="00213CB6">
        <w:rPr>
          <w:rFonts w:ascii="Calibri" w:hAnsi="Calibri" w:cs="Calibri"/>
          <w:i/>
          <w:iCs/>
          <w:noProof/>
          <w:szCs w:val="24"/>
        </w:rPr>
        <w:t>Forest Ecology and Management</w:t>
      </w:r>
      <w:r w:rsidRPr="00213CB6">
        <w:rPr>
          <w:rFonts w:ascii="Calibri" w:hAnsi="Calibri" w:cs="Calibri"/>
          <w:noProof/>
          <w:szCs w:val="24"/>
        </w:rPr>
        <w:t>, 271, pp. 81–90. doi: 10.1016/j.foreco.2012.02.005.</w:t>
      </w:r>
    </w:p>
    <w:p w14:paraId="14F77AE8"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Hood, S. M., Smith, S. L. and Cluck, D. R. (2010) ‘Predicting mortality for five California conifers following wildfire’, </w:t>
      </w:r>
      <w:r w:rsidRPr="00213CB6">
        <w:rPr>
          <w:rFonts w:ascii="Calibri" w:hAnsi="Calibri" w:cs="Calibri"/>
          <w:i/>
          <w:iCs/>
          <w:noProof/>
          <w:szCs w:val="24"/>
        </w:rPr>
        <w:t>Forest Ecology and Management</w:t>
      </w:r>
      <w:r w:rsidRPr="00213CB6">
        <w:rPr>
          <w:rFonts w:ascii="Calibri" w:hAnsi="Calibri" w:cs="Calibri"/>
          <w:noProof/>
          <w:szCs w:val="24"/>
        </w:rPr>
        <w:t>, 260(5), pp. 750–762. doi: 10.1016/j.foreco.2010.05.033.</w:t>
      </w:r>
    </w:p>
    <w:p w14:paraId="7532CBC7"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Kinloch, B. B. </w:t>
      </w:r>
      <w:r w:rsidRPr="00213CB6">
        <w:rPr>
          <w:rFonts w:ascii="Calibri" w:hAnsi="Calibri" w:cs="Calibri"/>
          <w:i/>
          <w:iCs/>
          <w:noProof/>
          <w:szCs w:val="24"/>
        </w:rPr>
        <w:t>et al.</w:t>
      </w:r>
      <w:r w:rsidRPr="00213CB6">
        <w:rPr>
          <w:rFonts w:ascii="Calibri" w:hAnsi="Calibri" w:cs="Calibri"/>
          <w:noProof/>
          <w:szCs w:val="24"/>
        </w:rPr>
        <w:t xml:space="preserve"> (2018) ‘Patterns of Variation in Blister Rust Resistance in Sugar Pine ( Pinus lambertiana )’, in </w:t>
      </w:r>
      <w:r w:rsidRPr="00213CB6">
        <w:rPr>
          <w:rFonts w:ascii="Calibri" w:hAnsi="Calibri" w:cs="Calibri"/>
          <w:i/>
          <w:iCs/>
          <w:noProof/>
          <w:szCs w:val="24"/>
        </w:rPr>
        <w:t>Schoettle, Anna W.; Sniezko, Richard A.; Kliejunas, John T., eds. 2018. Proceedings of the IUFRO joint conference: Genetics of five-needle pines, rusts of forest trees, and Strobusphere; 2014 June 15–20; Fort Collins, CO. Proc. RMRS-P-76. Fort Collins, CO</w:t>
      </w:r>
      <w:r w:rsidRPr="00213CB6">
        <w:rPr>
          <w:rFonts w:ascii="Calibri" w:hAnsi="Calibri" w:cs="Calibri"/>
          <w:noProof/>
          <w:szCs w:val="24"/>
        </w:rPr>
        <w:t>, pp. 124–128.</w:t>
      </w:r>
    </w:p>
    <w:p w14:paraId="38C085A8"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Kinloch, B. B. and Scheuner, W. H. (1990) ‘Pinus lambertiana Dougl.’, in </w:t>
      </w:r>
      <w:r w:rsidRPr="00213CB6">
        <w:rPr>
          <w:rFonts w:ascii="Calibri" w:hAnsi="Calibri" w:cs="Calibri"/>
          <w:i/>
          <w:iCs/>
          <w:noProof/>
          <w:szCs w:val="24"/>
        </w:rPr>
        <w:t>Silvics of North America 1</w:t>
      </w:r>
      <w:r w:rsidRPr="00213CB6">
        <w:rPr>
          <w:rFonts w:ascii="Calibri" w:hAnsi="Calibri" w:cs="Calibri"/>
          <w:noProof/>
          <w:szCs w:val="24"/>
        </w:rPr>
        <w:t>, pp. 370–380.</w:t>
      </w:r>
    </w:p>
    <w:p w14:paraId="4CD45B51"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Kinloch Jr., B. B., Marosy, M. and Huddleston, M. E. (1996) ‘Sugar pine: status, values, and roles in ecosystems: Proceedings of a symposium presented by the California Sugar Pine Management Committee’, p. 225.</w:t>
      </w:r>
    </w:p>
    <w:p w14:paraId="09C011BD"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Latham, P. and Tappeiner, J. (2002) ‘Response of old-growth conifers to reduction in stand density in western Oregon forests’, </w:t>
      </w:r>
      <w:r w:rsidRPr="00213CB6">
        <w:rPr>
          <w:rFonts w:ascii="Calibri" w:hAnsi="Calibri" w:cs="Calibri"/>
          <w:i/>
          <w:iCs/>
          <w:noProof/>
          <w:szCs w:val="24"/>
        </w:rPr>
        <w:t>Tree Physiology</w:t>
      </w:r>
      <w:r w:rsidRPr="00213CB6">
        <w:rPr>
          <w:rFonts w:ascii="Calibri" w:hAnsi="Calibri" w:cs="Calibri"/>
          <w:noProof/>
          <w:szCs w:val="24"/>
        </w:rPr>
        <w:t>, 22(2–3), pp. 137–146. doi: 10.1093/treephys/22.2-3.137.</w:t>
      </w:r>
    </w:p>
    <w:p w14:paraId="287534F0"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Levine, C. R. </w:t>
      </w:r>
      <w:r w:rsidRPr="00213CB6">
        <w:rPr>
          <w:rFonts w:ascii="Calibri" w:hAnsi="Calibri" w:cs="Calibri"/>
          <w:i/>
          <w:iCs/>
          <w:noProof/>
          <w:szCs w:val="24"/>
        </w:rPr>
        <w:t>et al.</w:t>
      </w:r>
      <w:r w:rsidRPr="00213CB6">
        <w:rPr>
          <w:rFonts w:ascii="Calibri" w:hAnsi="Calibri" w:cs="Calibri"/>
          <w:noProof/>
          <w:szCs w:val="24"/>
        </w:rPr>
        <w:t xml:space="preserve"> (2016) ‘Long-term demographic trends in a fire-suppressed mixed-conifer forest’, </w:t>
      </w:r>
      <w:r w:rsidRPr="00213CB6">
        <w:rPr>
          <w:rFonts w:ascii="Calibri" w:hAnsi="Calibri" w:cs="Calibri"/>
          <w:i/>
          <w:iCs/>
          <w:noProof/>
          <w:szCs w:val="24"/>
        </w:rPr>
        <w:t>Canadian Journal of Forest Research</w:t>
      </w:r>
      <w:r w:rsidRPr="00213CB6">
        <w:rPr>
          <w:rFonts w:ascii="Calibri" w:hAnsi="Calibri" w:cs="Calibri"/>
          <w:noProof/>
          <w:szCs w:val="24"/>
        </w:rPr>
        <w:t>, 46(5), pp. 745–752. doi: 10.1139/cjfr-2015-0406.</w:t>
      </w:r>
    </w:p>
    <w:p w14:paraId="337C9449"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Lutz, J. A. </w:t>
      </w:r>
      <w:r w:rsidRPr="00213CB6">
        <w:rPr>
          <w:rFonts w:ascii="Calibri" w:hAnsi="Calibri" w:cs="Calibri"/>
          <w:i/>
          <w:iCs/>
          <w:noProof/>
          <w:szCs w:val="24"/>
        </w:rPr>
        <w:t>et al.</w:t>
      </w:r>
      <w:r w:rsidRPr="00213CB6">
        <w:rPr>
          <w:rFonts w:ascii="Calibri" w:hAnsi="Calibri" w:cs="Calibri"/>
          <w:noProof/>
          <w:szCs w:val="24"/>
        </w:rPr>
        <w:t xml:space="preserve"> (2013) ‘The importance of large-diameter trees to forest structural heterogeneity’, </w:t>
      </w:r>
      <w:r w:rsidRPr="00213CB6">
        <w:rPr>
          <w:rFonts w:ascii="Calibri" w:hAnsi="Calibri" w:cs="Calibri"/>
          <w:i/>
          <w:iCs/>
          <w:noProof/>
          <w:szCs w:val="24"/>
        </w:rPr>
        <w:t>PLoS ONE</w:t>
      </w:r>
      <w:r w:rsidRPr="00213CB6">
        <w:rPr>
          <w:rFonts w:ascii="Calibri" w:hAnsi="Calibri" w:cs="Calibri"/>
          <w:noProof/>
          <w:szCs w:val="24"/>
        </w:rPr>
        <w:t>, 8(12). doi: 10.1371/journal.pone.0082784.</w:t>
      </w:r>
    </w:p>
    <w:p w14:paraId="4D5177BB"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Lutz, J. A. </w:t>
      </w:r>
      <w:r w:rsidRPr="00213CB6">
        <w:rPr>
          <w:rFonts w:ascii="Calibri" w:hAnsi="Calibri" w:cs="Calibri"/>
          <w:i/>
          <w:iCs/>
          <w:noProof/>
          <w:szCs w:val="24"/>
        </w:rPr>
        <w:t>et al.</w:t>
      </w:r>
      <w:r w:rsidRPr="00213CB6">
        <w:rPr>
          <w:rFonts w:ascii="Calibri" w:hAnsi="Calibri" w:cs="Calibri"/>
          <w:noProof/>
          <w:szCs w:val="24"/>
        </w:rPr>
        <w:t xml:space="preserve"> (2018) ‘Global importance of large-diameter trees’, </w:t>
      </w:r>
      <w:r w:rsidRPr="00213CB6">
        <w:rPr>
          <w:rFonts w:ascii="Calibri" w:hAnsi="Calibri" w:cs="Calibri"/>
          <w:i/>
          <w:iCs/>
          <w:noProof/>
          <w:szCs w:val="24"/>
        </w:rPr>
        <w:t>Global Ecology and Biogeography</w:t>
      </w:r>
      <w:r w:rsidRPr="00213CB6">
        <w:rPr>
          <w:rFonts w:ascii="Calibri" w:hAnsi="Calibri" w:cs="Calibri"/>
          <w:noProof/>
          <w:szCs w:val="24"/>
        </w:rPr>
        <w:t>, 27(7), pp. 849–864. doi: 10.1111/geb.12747.</w:t>
      </w:r>
    </w:p>
    <w:p w14:paraId="496B1826"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Lutz, J. A. </w:t>
      </w:r>
      <w:r w:rsidRPr="00213CB6">
        <w:rPr>
          <w:rFonts w:ascii="Calibri" w:hAnsi="Calibri" w:cs="Calibri"/>
          <w:i/>
          <w:iCs/>
          <w:noProof/>
          <w:szCs w:val="24"/>
        </w:rPr>
        <w:t>et al.</w:t>
      </w:r>
      <w:r w:rsidRPr="00213CB6">
        <w:rPr>
          <w:rFonts w:ascii="Calibri" w:hAnsi="Calibri" w:cs="Calibri"/>
          <w:noProof/>
          <w:szCs w:val="24"/>
        </w:rPr>
        <w:t xml:space="preserve"> (2020) ‘Large-diameter trees dominate snag and surface biomass following reintroduced fire’, </w:t>
      </w:r>
      <w:r w:rsidRPr="00213CB6">
        <w:rPr>
          <w:rFonts w:ascii="Calibri" w:hAnsi="Calibri" w:cs="Calibri"/>
          <w:i/>
          <w:iCs/>
          <w:noProof/>
          <w:szCs w:val="24"/>
        </w:rPr>
        <w:t>Ecological Processes</w:t>
      </w:r>
      <w:r w:rsidRPr="00213CB6">
        <w:rPr>
          <w:rFonts w:ascii="Calibri" w:hAnsi="Calibri" w:cs="Calibri"/>
          <w:noProof/>
          <w:szCs w:val="24"/>
        </w:rPr>
        <w:t>, 9(1). doi: 10.1186/s13717-020-00243-8.</w:t>
      </w:r>
    </w:p>
    <w:p w14:paraId="2C8A5421"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Mahalovich, M. and Stritch, L. (2013) ‘Pinus albicaulis. The IUCN Red List of Threatened Species 2013’. Available at: https://dx.doi.org/10.2305/IUCN.UK.2013-1.RLTS.T39049A2885918.en.</w:t>
      </w:r>
    </w:p>
    <w:p w14:paraId="51CA4629"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Maloney, P. E. (2011) ‘Incidence and distribution of white pine blister rust in the high-elevation forests of California’, </w:t>
      </w:r>
      <w:r w:rsidRPr="00213CB6">
        <w:rPr>
          <w:rFonts w:ascii="Calibri" w:hAnsi="Calibri" w:cs="Calibri"/>
          <w:i/>
          <w:iCs/>
          <w:noProof/>
          <w:szCs w:val="24"/>
        </w:rPr>
        <w:t>Forest Pathology</w:t>
      </w:r>
      <w:r w:rsidRPr="00213CB6">
        <w:rPr>
          <w:rFonts w:ascii="Calibri" w:hAnsi="Calibri" w:cs="Calibri"/>
          <w:noProof/>
          <w:szCs w:val="24"/>
        </w:rPr>
        <w:t>, 41(4), pp. 308–316. doi: 10.1111/j.1439-0329.2011.00732.x.</w:t>
      </w:r>
    </w:p>
    <w:p w14:paraId="57F27A5F"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Maloney, P. E. </w:t>
      </w:r>
      <w:r w:rsidRPr="00213CB6">
        <w:rPr>
          <w:rFonts w:ascii="Calibri" w:hAnsi="Calibri" w:cs="Calibri"/>
          <w:i/>
          <w:iCs/>
          <w:noProof/>
          <w:szCs w:val="24"/>
        </w:rPr>
        <w:t>et al.</w:t>
      </w:r>
      <w:r w:rsidRPr="00213CB6">
        <w:rPr>
          <w:rFonts w:ascii="Calibri" w:hAnsi="Calibri" w:cs="Calibri"/>
          <w:noProof/>
          <w:szCs w:val="24"/>
        </w:rPr>
        <w:t xml:space="preserve"> (2011) ‘Population biology of sugar pine (Pinus lambertiana Dougl.) with reference to historical disturbances in the Lake Tahoe Basin: Implications for restoration’, </w:t>
      </w:r>
      <w:r w:rsidRPr="00213CB6">
        <w:rPr>
          <w:rFonts w:ascii="Calibri" w:hAnsi="Calibri" w:cs="Calibri"/>
          <w:i/>
          <w:iCs/>
          <w:noProof/>
          <w:szCs w:val="24"/>
        </w:rPr>
        <w:t>Forest Ecology and Management</w:t>
      </w:r>
      <w:r w:rsidRPr="00213CB6">
        <w:rPr>
          <w:rFonts w:ascii="Calibri" w:hAnsi="Calibri" w:cs="Calibri"/>
          <w:noProof/>
          <w:szCs w:val="24"/>
        </w:rPr>
        <w:t>, 262(5), pp. 770–779. doi: 10.1016/j.foreco.2011.05.011.</w:t>
      </w:r>
    </w:p>
    <w:p w14:paraId="0C4D626F"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Maloney, P. E. (2014) ‘The multivariate underpinnings of recruitment for three Pinus species in montane forests of the Sierra Nevada, USA’, </w:t>
      </w:r>
      <w:r w:rsidRPr="00213CB6">
        <w:rPr>
          <w:rFonts w:ascii="Calibri" w:hAnsi="Calibri" w:cs="Calibri"/>
          <w:i/>
          <w:iCs/>
          <w:noProof/>
          <w:szCs w:val="24"/>
        </w:rPr>
        <w:t>Plant Ecology</w:t>
      </w:r>
      <w:r w:rsidRPr="00213CB6">
        <w:rPr>
          <w:rFonts w:ascii="Calibri" w:hAnsi="Calibri" w:cs="Calibri"/>
          <w:noProof/>
          <w:szCs w:val="24"/>
        </w:rPr>
        <w:t>, 215(2), pp. 261–274. doi: 10.1007/s11258-013-0295-6.</w:t>
      </w:r>
    </w:p>
    <w:p w14:paraId="0FC60096"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van Mantgem, P. J. </w:t>
      </w:r>
      <w:r w:rsidRPr="00213CB6">
        <w:rPr>
          <w:rFonts w:ascii="Calibri" w:hAnsi="Calibri" w:cs="Calibri"/>
          <w:i/>
          <w:iCs/>
          <w:noProof/>
          <w:szCs w:val="24"/>
        </w:rPr>
        <w:t>et al.</w:t>
      </w:r>
      <w:r w:rsidRPr="00213CB6">
        <w:rPr>
          <w:rFonts w:ascii="Calibri" w:hAnsi="Calibri" w:cs="Calibri"/>
          <w:noProof/>
          <w:szCs w:val="24"/>
        </w:rPr>
        <w:t xml:space="preserve"> (2011) ‘Long-term effects of prescribed fire on mixed conifer forest structure in the Sierra Nevada, California’, </w:t>
      </w:r>
      <w:r w:rsidRPr="00213CB6">
        <w:rPr>
          <w:rFonts w:ascii="Calibri" w:hAnsi="Calibri" w:cs="Calibri"/>
          <w:i/>
          <w:iCs/>
          <w:noProof/>
          <w:szCs w:val="24"/>
        </w:rPr>
        <w:t>Forest Ecology and Management</w:t>
      </w:r>
      <w:r w:rsidRPr="00213CB6">
        <w:rPr>
          <w:rFonts w:ascii="Calibri" w:hAnsi="Calibri" w:cs="Calibri"/>
          <w:noProof/>
          <w:szCs w:val="24"/>
        </w:rPr>
        <w:t>, 261(6), pp. 989–994. doi: 10.1016/j.foreco.2010.12.013.</w:t>
      </w:r>
    </w:p>
    <w:p w14:paraId="3A11402D"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van Mantgem, P. J. </w:t>
      </w:r>
      <w:r w:rsidRPr="00213CB6">
        <w:rPr>
          <w:rFonts w:ascii="Calibri" w:hAnsi="Calibri" w:cs="Calibri"/>
          <w:i/>
          <w:iCs/>
          <w:noProof/>
          <w:szCs w:val="24"/>
        </w:rPr>
        <w:t>et al.</w:t>
      </w:r>
      <w:r w:rsidRPr="00213CB6">
        <w:rPr>
          <w:rFonts w:ascii="Calibri" w:hAnsi="Calibri" w:cs="Calibri"/>
          <w:noProof/>
          <w:szCs w:val="24"/>
        </w:rPr>
        <w:t xml:space="preserve"> (2016) ‘Does Prescribed Fire Promote Resistance To Drought in Low Elevation Forests of the Sierra Nevada, California, Usa?’, </w:t>
      </w:r>
      <w:r w:rsidRPr="00213CB6">
        <w:rPr>
          <w:rFonts w:ascii="Calibri" w:hAnsi="Calibri" w:cs="Calibri"/>
          <w:i/>
          <w:iCs/>
          <w:noProof/>
          <w:szCs w:val="24"/>
        </w:rPr>
        <w:t>Fire Ecology</w:t>
      </w:r>
      <w:r w:rsidRPr="00213CB6">
        <w:rPr>
          <w:rFonts w:ascii="Calibri" w:hAnsi="Calibri" w:cs="Calibri"/>
          <w:noProof/>
          <w:szCs w:val="24"/>
        </w:rPr>
        <w:t xml:space="preserve">, 12(1), pp. 5–15. doi: </w:t>
      </w:r>
      <w:r w:rsidRPr="00213CB6">
        <w:rPr>
          <w:rFonts w:ascii="Calibri" w:hAnsi="Calibri" w:cs="Calibri"/>
          <w:noProof/>
          <w:szCs w:val="24"/>
        </w:rPr>
        <w:lastRenderedPageBreak/>
        <w:t>10.4996/fireecology.1201013.</w:t>
      </w:r>
    </w:p>
    <w:p w14:paraId="42D7D557"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van Mantgem, P. J. </w:t>
      </w:r>
      <w:r w:rsidRPr="00213CB6">
        <w:rPr>
          <w:rFonts w:ascii="Calibri" w:hAnsi="Calibri" w:cs="Calibri"/>
          <w:i/>
          <w:iCs/>
          <w:noProof/>
          <w:szCs w:val="24"/>
        </w:rPr>
        <w:t>et al.</w:t>
      </w:r>
      <w:r w:rsidRPr="00213CB6">
        <w:rPr>
          <w:rFonts w:ascii="Calibri" w:hAnsi="Calibri" w:cs="Calibri"/>
          <w:noProof/>
          <w:szCs w:val="24"/>
        </w:rPr>
        <w:t xml:space="preserve"> (2018) ‘Pre-fire drought and competition mediate post-fire conifer mortality in western U.S. National Parks’, </w:t>
      </w:r>
      <w:r w:rsidRPr="00213CB6">
        <w:rPr>
          <w:rFonts w:ascii="Calibri" w:hAnsi="Calibri" w:cs="Calibri"/>
          <w:i/>
          <w:iCs/>
          <w:noProof/>
          <w:szCs w:val="24"/>
        </w:rPr>
        <w:t>Ecological Applications</w:t>
      </w:r>
      <w:r w:rsidRPr="00213CB6">
        <w:rPr>
          <w:rFonts w:ascii="Calibri" w:hAnsi="Calibri" w:cs="Calibri"/>
          <w:noProof/>
          <w:szCs w:val="24"/>
        </w:rPr>
        <w:t>, 28(7), pp. 1730–1739. doi: 10.1002/eap.1778.</w:t>
      </w:r>
    </w:p>
    <w:p w14:paraId="6D204005"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Van Mantgem, P. J. </w:t>
      </w:r>
      <w:r w:rsidRPr="00213CB6">
        <w:rPr>
          <w:rFonts w:ascii="Calibri" w:hAnsi="Calibri" w:cs="Calibri"/>
          <w:i/>
          <w:iCs/>
          <w:noProof/>
          <w:szCs w:val="24"/>
        </w:rPr>
        <w:t>et al.</w:t>
      </w:r>
      <w:r w:rsidRPr="00213CB6">
        <w:rPr>
          <w:rFonts w:ascii="Calibri" w:hAnsi="Calibri" w:cs="Calibri"/>
          <w:noProof/>
          <w:szCs w:val="24"/>
        </w:rPr>
        <w:t xml:space="preserve"> (2004) ‘Effects of an introduced pathogen and fire exclusion on the demography of sugar pine’, </w:t>
      </w:r>
      <w:r w:rsidRPr="00213CB6">
        <w:rPr>
          <w:rFonts w:ascii="Calibri" w:hAnsi="Calibri" w:cs="Calibri"/>
          <w:i/>
          <w:iCs/>
          <w:noProof/>
          <w:szCs w:val="24"/>
        </w:rPr>
        <w:t>Ecological Applications</w:t>
      </w:r>
      <w:r w:rsidRPr="00213CB6">
        <w:rPr>
          <w:rFonts w:ascii="Calibri" w:hAnsi="Calibri" w:cs="Calibri"/>
          <w:noProof/>
          <w:szCs w:val="24"/>
        </w:rPr>
        <w:t>, 14(5), pp. 1590–1602. doi: 10.1890/03-5109.</w:t>
      </w:r>
    </w:p>
    <w:p w14:paraId="094502B8"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Van Mantgem, P. J. </w:t>
      </w:r>
      <w:r w:rsidRPr="00213CB6">
        <w:rPr>
          <w:rFonts w:ascii="Calibri" w:hAnsi="Calibri" w:cs="Calibri"/>
          <w:i/>
          <w:iCs/>
          <w:noProof/>
          <w:szCs w:val="24"/>
        </w:rPr>
        <w:t>et al.</w:t>
      </w:r>
      <w:r w:rsidRPr="00213CB6">
        <w:rPr>
          <w:rFonts w:ascii="Calibri" w:hAnsi="Calibri" w:cs="Calibri"/>
          <w:noProof/>
          <w:szCs w:val="24"/>
        </w:rPr>
        <w:t xml:space="preserve"> (2020) ‘The influence of pre-fire growth patterns on post-fire tree mortality for common conifers in western US parks’, </w:t>
      </w:r>
      <w:r w:rsidRPr="00213CB6">
        <w:rPr>
          <w:rFonts w:ascii="Calibri" w:hAnsi="Calibri" w:cs="Calibri"/>
          <w:i/>
          <w:iCs/>
          <w:noProof/>
          <w:szCs w:val="24"/>
        </w:rPr>
        <w:t>International Journal of Wildland Fire</w:t>
      </w:r>
      <w:r w:rsidRPr="00213CB6">
        <w:rPr>
          <w:rFonts w:ascii="Calibri" w:hAnsi="Calibri" w:cs="Calibri"/>
          <w:noProof/>
          <w:szCs w:val="24"/>
        </w:rPr>
        <w:t>, 29(6), pp. 513–518. doi: 10.1071/WF19020.</w:t>
      </w:r>
    </w:p>
    <w:p w14:paraId="37860CE9"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Van Mantgem, P. J. and Stephenson, N. L. (2007) ‘Apparent climatically induced increase of tree mortality rates in a temperate forest’, </w:t>
      </w:r>
      <w:r w:rsidRPr="00213CB6">
        <w:rPr>
          <w:rFonts w:ascii="Calibri" w:hAnsi="Calibri" w:cs="Calibri"/>
          <w:i/>
          <w:iCs/>
          <w:noProof/>
          <w:szCs w:val="24"/>
        </w:rPr>
        <w:t>Ecology Letters</w:t>
      </w:r>
      <w:r w:rsidRPr="00213CB6">
        <w:rPr>
          <w:rFonts w:ascii="Calibri" w:hAnsi="Calibri" w:cs="Calibri"/>
          <w:noProof/>
          <w:szCs w:val="24"/>
        </w:rPr>
        <w:t>, 10(10), pp. 909–916. doi: 10.1111/j.1461-0248.2007.01080.x.</w:t>
      </w:r>
    </w:p>
    <w:p w14:paraId="2CAA05BC"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Van Mantgem, P. J., Stephenson, N. L. and Keeley, J. E. (2006) ‘Forest reproduction along a climatic gradient in the Sierra Nevada, California’, </w:t>
      </w:r>
      <w:r w:rsidRPr="00213CB6">
        <w:rPr>
          <w:rFonts w:ascii="Calibri" w:hAnsi="Calibri" w:cs="Calibri"/>
          <w:i/>
          <w:iCs/>
          <w:noProof/>
          <w:szCs w:val="24"/>
        </w:rPr>
        <w:t>Forest Ecology and Management</w:t>
      </w:r>
      <w:r w:rsidRPr="00213CB6">
        <w:rPr>
          <w:rFonts w:ascii="Calibri" w:hAnsi="Calibri" w:cs="Calibri"/>
          <w:noProof/>
          <w:szCs w:val="24"/>
        </w:rPr>
        <w:t>, 225(1–3), pp. 391–399. doi: 10.1016/j.foreco.2006.01.015.</w:t>
      </w:r>
    </w:p>
    <w:p w14:paraId="11AAD4E4"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McCauley, L. A. </w:t>
      </w:r>
      <w:r w:rsidRPr="00213CB6">
        <w:rPr>
          <w:rFonts w:ascii="Calibri" w:hAnsi="Calibri" w:cs="Calibri"/>
          <w:i/>
          <w:iCs/>
          <w:noProof/>
          <w:szCs w:val="24"/>
        </w:rPr>
        <w:t>et al.</w:t>
      </w:r>
      <w:r w:rsidRPr="00213CB6">
        <w:rPr>
          <w:rFonts w:ascii="Calibri" w:hAnsi="Calibri" w:cs="Calibri"/>
          <w:noProof/>
          <w:szCs w:val="24"/>
        </w:rPr>
        <w:t xml:space="preserve"> (2022) ‘Landscape-scale forest restoration decreases vulnerability to drought mortality under climate change in southwest USA ponderosa forest’, </w:t>
      </w:r>
      <w:r w:rsidRPr="00213CB6">
        <w:rPr>
          <w:rFonts w:ascii="Calibri" w:hAnsi="Calibri" w:cs="Calibri"/>
          <w:i/>
          <w:iCs/>
          <w:noProof/>
          <w:szCs w:val="24"/>
        </w:rPr>
        <w:t>Forest Ecology and Management</w:t>
      </w:r>
      <w:r w:rsidRPr="00213CB6">
        <w:rPr>
          <w:rFonts w:ascii="Calibri" w:hAnsi="Calibri" w:cs="Calibri"/>
          <w:noProof/>
          <w:szCs w:val="24"/>
        </w:rPr>
        <w:t>, 509(February), p. 120088. doi: 10.1016/j.foreco.2022.120088.</w:t>
      </w:r>
    </w:p>
    <w:p w14:paraId="61B5EF44"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Millar, C. I. and Stephenson, N. L. (2015) ‘Temperate forest health in an era of emerging megadisturbance’, </w:t>
      </w:r>
      <w:r w:rsidRPr="00213CB6">
        <w:rPr>
          <w:rFonts w:ascii="Calibri" w:hAnsi="Calibri" w:cs="Calibri"/>
          <w:i/>
          <w:iCs/>
          <w:noProof/>
          <w:szCs w:val="24"/>
        </w:rPr>
        <w:t>Science</w:t>
      </w:r>
      <w:r w:rsidRPr="00213CB6">
        <w:rPr>
          <w:rFonts w:ascii="Calibri" w:hAnsi="Calibri" w:cs="Calibri"/>
          <w:noProof/>
          <w:szCs w:val="24"/>
        </w:rPr>
        <w:t>, 349(6250), pp. 823–826. doi: 10.1126/science.aaa9933.</w:t>
      </w:r>
    </w:p>
    <w:p w14:paraId="1BA8E5A3"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Moran, E. V. </w:t>
      </w:r>
      <w:r w:rsidRPr="00213CB6">
        <w:rPr>
          <w:rFonts w:ascii="Calibri" w:hAnsi="Calibri" w:cs="Calibri"/>
          <w:i/>
          <w:iCs/>
          <w:noProof/>
          <w:szCs w:val="24"/>
        </w:rPr>
        <w:t>et al.</w:t>
      </w:r>
      <w:r w:rsidRPr="00213CB6">
        <w:rPr>
          <w:rFonts w:ascii="Calibri" w:hAnsi="Calibri" w:cs="Calibri"/>
          <w:noProof/>
          <w:szCs w:val="24"/>
        </w:rPr>
        <w:t xml:space="preserve"> (2019) ‘Negative impacts of summer heat on Sierra Nevada tree seedlings’, </w:t>
      </w:r>
      <w:r w:rsidRPr="00213CB6">
        <w:rPr>
          <w:rFonts w:ascii="Calibri" w:hAnsi="Calibri" w:cs="Calibri"/>
          <w:i/>
          <w:iCs/>
          <w:noProof/>
          <w:szCs w:val="24"/>
        </w:rPr>
        <w:t>Ecosphere</w:t>
      </w:r>
      <w:r w:rsidRPr="00213CB6">
        <w:rPr>
          <w:rFonts w:ascii="Calibri" w:hAnsi="Calibri" w:cs="Calibri"/>
          <w:noProof/>
          <w:szCs w:val="24"/>
        </w:rPr>
        <w:t>, 10(6). doi: 10.1002/ecs2.2776.</w:t>
      </w:r>
    </w:p>
    <w:p w14:paraId="397E6134"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Murray, M. P. and Tomback, D. F. (2010) ‘Clark’s nutcrackers harvest sugar pine seeds from cones’, </w:t>
      </w:r>
      <w:r w:rsidRPr="00213CB6">
        <w:rPr>
          <w:rFonts w:ascii="Calibri" w:hAnsi="Calibri" w:cs="Calibri"/>
          <w:i/>
          <w:iCs/>
          <w:noProof/>
          <w:szCs w:val="24"/>
        </w:rPr>
        <w:t>Western North American Naturalist</w:t>
      </w:r>
      <w:r w:rsidRPr="00213CB6">
        <w:rPr>
          <w:rFonts w:ascii="Calibri" w:hAnsi="Calibri" w:cs="Calibri"/>
          <w:noProof/>
          <w:szCs w:val="24"/>
        </w:rPr>
        <w:t>, 70(3), pp. 413–414. doi: 10.3398/064.070.0314.</w:t>
      </w:r>
    </w:p>
    <w:p w14:paraId="4063CA34"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Nesmith, J. C. B. </w:t>
      </w:r>
      <w:r w:rsidRPr="00213CB6">
        <w:rPr>
          <w:rFonts w:ascii="Calibri" w:hAnsi="Calibri" w:cs="Calibri"/>
          <w:i/>
          <w:iCs/>
          <w:noProof/>
          <w:szCs w:val="24"/>
        </w:rPr>
        <w:t>et al.</w:t>
      </w:r>
      <w:r w:rsidRPr="00213CB6">
        <w:rPr>
          <w:rFonts w:ascii="Calibri" w:hAnsi="Calibri" w:cs="Calibri"/>
          <w:noProof/>
          <w:szCs w:val="24"/>
        </w:rPr>
        <w:t xml:space="preserve"> (2010) ‘The effects of raking on sugar pine mortality following prescribed fire in sequoia and kings canyon national parks, California, USA’, </w:t>
      </w:r>
      <w:r w:rsidRPr="00213CB6">
        <w:rPr>
          <w:rFonts w:ascii="Calibri" w:hAnsi="Calibri" w:cs="Calibri"/>
          <w:i/>
          <w:iCs/>
          <w:noProof/>
          <w:szCs w:val="24"/>
        </w:rPr>
        <w:t>Fire Ecology</w:t>
      </w:r>
      <w:r w:rsidRPr="00213CB6">
        <w:rPr>
          <w:rFonts w:ascii="Calibri" w:hAnsi="Calibri" w:cs="Calibri"/>
          <w:noProof/>
          <w:szCs w:val="24"/>
        </w:rPr>
        <w:t>, 6(3), pp. 97–116. doi: 10.4996/fireecology.0603097.</w:t>
      </w:r>
    </w:p>
    <w:p w14:paraId="4F50FD37"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Nesmith, J. C. B. </w:t>
      </w:r>
      <w:r w:rsidRPr="00213CB6">
        <w:rPr>
          <w:rFonts w:ascii="Calibri" w:hAnsi="Calibri" w:cs="Calibri"/>
          <w:i/>
          <w:iCs/>
          <w:noProof/>
          <w:szCs w:val="24"/>
        </w:rPr>
        <w:t>et al.</w:t>
      </w:r>
      <w:r w:rsidRPr="00213CB6">
        <w:rPr>
          <w:rFonts w:ascii="Calibri" w:hAnsi="Calibri" w:cs="Calibri"/>
          <w:noProof/>
          <w:szCs w:val="24"/>
        </w:rPr>
        <w:t xml:space="preserve"> (2015) ‘The influence of prefire tree growth and crown condition on postfire mortality of sugar pine following prescribed fire in Sequoia National Park’, </w:t>
      </w:r>
      <w:r w:rsidRPr="00213CB6">
        <w:rPr>
          <w:rFonts w:ascii="Calibri" w:hAnsi="Calibri" w:cs="Calibri"/>
          <w:i/>
          <w:iCs/>
          <w:noProof/>
          <w:szCs w:val="24"/>
        </w:rPr>
        <w:t>Canadian Journal of Forest Research</w:t>
      </w:r>
      <w:r w:rsidRPr="00213CB6">
        <w:rPr>
          <w:rFonts w:ascii="Calibri" w:hAnsi="Calibri" w:cs="Calibri"/>
          <w:noProof/>
          <w:szCs w:val="24"/>
        </w:rPr>
        <w:t>, 45(7), pp. 910–919. doi: 10.1139/cjfr-2014-0449.</w:t>
      </w:r>
    </w:p>
    <w:p w14:paraId="710EF607"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North, M. </w:t>
      </w:r>
      <w:r w:rsidRPr="00213CB6">
        <w:rPr>
          <w:rFonts w:ascii="Calibri" w:hAnsi="Calibri" w:cs="Calibri"/>
          <w:i/>
          <w:iCs/>
          <w:noProof/>
          <w:szCs w:val="24"/>
        </w:rPr>
        <w:t>et al.</w:t>
      </w:r>
      <w:r w:rsidRPr="00213CB6">
        <w:rPr>
          <w:rFonts w:ascii="Calibri" w:hAnsi="Calibri" w:cs="Calibri"/>
          <w:noProof/>
          <w:szCs w:val="24"/>
        </w:rPr>
        <w:t xml:space="preserve"> (2009) ‘An ecosystem management strategy for Sierran mixed- conifer forests’, </w:t>
      </w:r>
      <w:r w:rsidRPr="00213CB6">
        <w:rPr>
          <w:rFonts w:ascii="Calibri" w:hAnsi="Calibri" w:cs="Calibri"/>
          <w:i/>
          <w:iCs/>
          <w:noProof/>
          <w:szCs w:val="24"/>
        </w:rPr>
        <w:t>USDA Forest Service, Pacific Southwest Research Station, General Technical Report</w:t>
      </w:r>
      <w:r w:rsidRPr="00213CB6">
        <w:rPr>
          <w:rFonts w:ascii="Calibri" w:hAnsi="Calibri" w:cs="Calibri"/>
          <w:noProof/>
          <w:szCs w:val="24"/>
        </w:rPr>
        <w:t>, (March), p. PSW-GTR-220.</w:t>
      </w:r>
    </w:p>
    <w:p w14:paraId="66015C95"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North, M. P. </w:t>
      </w:r>
      <w:r w:rsidRPr="00213CB6">
        <w:rPr>
          <w:rFonts w:ascii="Calibri" w:hAnsi="Calibri" w:cs="Calibri"/>
          <w:i/>
          <w:iCs/>
          <w:noProof/>
          <w:szCs w:val="24"/>
        </w:rPr>
        <w:t>et al.</w:t>
      </w:r>
      <w:r w:rsidRPr="00213CB6">
        <w:rPr>
          <w:rFonts w:ascii="Calibri" w:hAnsi="Calibri" w:cs="Calibri"/>
          <w:noProof/>
          <w:szCs w:val="24"/>
        </w:rPr>
        <w:t xml:space="preserve"> (2019) ‘Tamm Review: Reforestation for resilience in dry western U.S. forests’, </w:t>
      </w:r>
      <w:r w:rsidRPr="00213CB6">
        <w:rPr>
          <w:rFonts w:ascii="Calibri" w:hAnsi="Calibri" w:cs="Calibri"/>
          <w:i/>
          <w:iCs/>
          <w:noProof/>
          <w:szCs w:val="24"/>
        </w:rPr>
        <w:t>Forest Ecology and Management</w:t>
      </w:r>
      <w:r w:rsidRPr="00213CB6">
        <w:rPr>
          <w:rFonts w:ascii="Calibri" w:hAnsi="Calibri" w:cs="Calibri"/>
          <w:noProof/>
          <w:szCs w:val="24"/>
        </w:rPr>
        <w:t>, 432(July 2018), pp. 209–224. doi: 10.1016/j.foreco.2018.09.007.</w:t>
      </w:r>
    </w:p>
    <w:p w14:paraId="5D49ABA6"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North, M. P. </w:t>
      </w:r>
      <w:r w:rsidRPr="00213CB6">
        <w:rPr>
          <w:rFonts w:ascii="Calibri" w:hAnsi="Calibri" w:cs="Calibri"/>
          <w:i/>
          <w:iCs/>
          <w:noProof/>
          <w:szCs w:val="24"/>
        </w:rPr>
        <w:t>et al.</w:t>
      </w:r>
      <w:r w:rsidRPr="00213CB6">
        <w:rPr>
          <w:rFonts w:ascii="Calibri" w:hAnsi="Calibri" w:cs="Calibri"/>
          <w:noProof/>
          <w:szCs w:val="24"/>
        </w:rPr>
        <w:t xml:space="preserve"> (2021) ‘Pyrosilviculture needed for landscape resilience of dry western United States forests’, </w:t>
      </w:r>
      <w:r w:rsidRPr="00213CB6">
        <w:rPr>
          <w:rFonts w:ascii="Calibri" w:hAnsi="Calibri" w:cs="Calibri"/>
          <w:i/>
          <w:iCs/>
          <w:noProof/>
          <w:szCs w:val="24"/>
        </w:rPr>
        <w:t>Journal of Forestry</w:t>
      </w:r>
      <w:r w:rsidRPr="00213CB6">
        <w:rPr>
          <w:rFonts w:ascii="Calibri" w:hAnsi="Calibri" w:cs="Calibri"/>
          <w:noProof/>
          <w:szCs w:val="24"/>
        </w:rPr>
        <w:t>, pp. 1–25. doi: 10.1093/jofore/fvab026.</w:t>
      </w:r>
    </w:p>
    <w:p w14:paraId="6E4AF23E"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North, M. P. </w:t>
      </w:r>
      <w:r w:rsidRPr="00213CB6">
        <w:rPr>
          <w:rFonts w:ascii="Calibri" w:hAnsi="Calibri" w:cs="Calibri"/>
          <w:i/>
          <w:iCs/>
          <w:noProof/>
          <w:szCs w:val="24"/>
        </w:rPr>
        <w:t>et al.</w:t>
      </w:r>
      <w:r w:rsidRPr="00213CB6">
        <w:rPr>
          <w:rFonts w:ascii="Calibri" w:hAnsi="Calibri" w:cs="Calibri"/>
          <w:noProof/>
          <w:szCs w:val="24"/>
        </w:rPr>
        <w:t xml:space="preserve"> (2022) ‘Operational resilience in western US frequent-fire forests’, </w:t>
      </w:r>
      <w:r w:rsidRPr="00213CB6">
        <w:rPr>
          <w:rFonts w:ascii="Calibri" w:hAnsi="Calibri" w:cs="Calibri"/>
          <w:i/>
          <w:iCs/>
          <w:noProof/>
          <w:szCs w:val="24"/>
        </w:rPr>
        <w:t>Forest Ecology and Management</w:t>
      </w:r>
      <w:r w:rsidRPr="00213CB6">
        <w:rPr>
          <w:rFonts w:ascii="Calibri" w:hAnsi="Calibri" w:cs="Calibri"/>
          <w:noProof/>
          <w:szCs w:val="24"/>
        </w:rPr>
        <w:t>, 507(November 2021), p. 120004. doi: 10.1016/j.foreco.2021.120004.</w:t>
      </w:r>
    </w:p>
    <w:p w14:paraId="4C3C26CA"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Panek, J. A. </w:t>
      </w:r>
      <w:r w:rsidRPr="00213CB6">
        <w:rPr>
          <w:rFonts w:ascii="Calibri" w:hAnsi="Calibri" w:cs="Calibri"/>
          <w:i/>
          <w:iCs/>
          <w:noProof/>
          <w:szCs w:val="24"/>
        </w:rPr>
        <w:t>et al.</w:t>
      </w:r>
      <w:r w:rsidRPr="00213CB6">
        <w:rPr>
          <w:rFonts w:ascii="Calibri" w:hAnsi="Calibri" w:cs="Calibri"/>
          <w:noProof/>
          <w:szCs w:val="24"/>
        </w:rPr>
        <w:t xml:space="preserve"> (2012) ‘A natural resource condition assessment for Sequoia and Kings Canyon </w:t>
      </w:r>
      <w:r w:rsidRPr="00213CB6">
        <w:rPr>
          <w:rFonts w:ascii="Calibri" w:hAnsi="Calibri" w:cs="Calibri"/>
          <w:noProof/>
          <w:szCs w:val="24"/>
        </w:rPr>
        <w:lastRenderedPageBreak/>
        <w:t xml:space="preserve">National Parks’, </w:t>
      </w:r>
      <w:r w:rsidRPr="00213CB6">
        <w:rPr>
          <w:rFonts w:ascii="Calibri" w:hAnsi="Calibri" w:cs="Calibri"/>
          <w:i/>
          <w:iCs/>
          <w:noProof/>
          <w:szCs w:val="24"/>
        </w:rPr>
        <w:t>Natural Resource Report NPS/SEKI/NRR—2012</w:t>
      </w:r>
      <w:r w:rsidRPr="00213CB6">
        <w:rPr>
          <w:rFonts w:ascii="Calibri" w:hAnsi="Calibri" w:cs="Calibri"/>
          <w:noProof/>
          <w:szCs w:val="24"/>
        </w:rPr>
        <w:t>.</w:t>
      </w:r>
    </w:p>
    <w:p w14:paraId="3AA8ED5F"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Parks, S. A. and Abatzoglou, J. T. (2020) ‘Warmer and Drier Fire Seasons Contribute to Increases in Area Burned at High Severity in Western US Forests From 1985 to 2017’, </w:t>
      </w:r>
      <w:r w:rsidRPr="00213CB6">
        <w:rPr>
          <w:rFonts w:ascii="Calibri" w:hAnsi="Calibri" w:cs="Calibri"/>
          <w:i/>
          <w:iCs/>
          <w:noProof/>
          <w:szCs w:val="24"/>
        </w:rPr>
        <w:t>Geophysical Research Letters</w:t>
      </w:r>
      <w:r w:rsidRPr="00213CB6">
        <w:rPr>
          <w:rFonts w:ascii="Calibri" w:hAnsi="Calibri" w:cs="Calibri"/>
          <w:noProof/>
          <w:szCs w:val="24"/>
        </w:rPr>
        <w:t>, 47(22), pp. 1–10. doi: 10.1029/2020GL089858.</w:t>
      </w:r>
    </w:p>
    <w:p w14:paraId="7DA7351E"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Paz-Kagan, T. </w:t>
      </w:r>
      <w:r w:rsidRPr="00213CB6">
        <w:rPr>
          <w:rFonts w:ascii="Calibri" w:hAnsi="Calibri" w:cs="Calibri"/>
          <w:i/>
          <w:iCs/>
          <w:noProof/>
          <w:szCs w:val="24"/>
        </w:rPr>
        <w:t>et al.</w:t>
      </w:r>
      <w:r w:rsidRPr="00213CB6">
        <w:rPr>
          <w:rFonts w:ascii="Calibri" w:hAnsi="Calibri" w:cs="Calibri"/>
          <w:noProof/>
          <w:szCs w:val="24"/>
        </w:rPr>
        <w:t xml:space="preserve"> (2017) ‘What mediates tree mortality during drought in the southern Sierra Nevada’, </w:t>
      </w:r>
      <w:r w:rsidRPr="00213CB6">
        <w:rPr>
          <w:rFonts w:ascii="Calibri" w:hAnsi="Calibri" w:cs="Calibri"/>
          <w:i/>
          <w:iCs/>
          <w:noProof/>
          <w:szCs w:val="24"/>
        </w:rPr>
        <w:t>Ecological Applications</w:t>
      </w:r>
      <w:r w:rsidRPr="00213CB6">
        <w:rPr>
          <w:rFonts w:ascii="Calibri" w:hAnsi="Calibri" w:cs="Calibri"/>
          <w:noProof/>
          <w:szCs w:val="24"/>
        </w:rPr>
        <w:t>, 27(8), pp. 2443–2457. doi: 10.1002/eap.1620.</w:t>
      </w:r>
    </w:p>
    <w:p w14:paraId="12ADB76A"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Restaino, C. </w:t>
      </w:r>
      <w:r w:rsidRPr="00213CB6">
        <w:rPr>
          <w:rFonts w:ascii="Calibri" w:hAnsi="Calibri" w:cs="Calibri"/>
          <w:i/>
          <w:iCs/>
          <w:noProof/>
          <w:szCs w:val="24"/>
        </w:rPr>
        <w:t>et al.</w:t>
      </w:r>
      <w:r w:rsidRPr="00213CB6">
        <w:rPr>
          <w:rFonts w:ascii="Calibri" w:hAnsi="Calibri" w:cs="Calibri"/>
          <w:noProof/>
          <w:szCs w:val="24"/>
        </w:rPr>
        <w:t xml:space="preserve"> (2019) ‘Forest structure and climate mediate drought-induced tree mortality in forests of the Sierra Nevada , USA’, </w:t>
      </w:r>
      <w:r w:rsidRPr="00213CB6">
        <w:rPr>
          <w:rFonts w:ascii="Calibri" w:hAnsi="Calibri" w:cs="Calibri"/>
          <w:i/>
          <w:iCs/>
          <w:noProof/>
          <w:szCs w:val="24"/>
        </w:rPr>
        <w:t>Ecological Applications</w:t>
      </w:r>
      <w:r w:rsidRPr="00213CB6">
        <w:rPr>
          <w:rFonts w:ascii="Calibri" w:hAnsi="Calibri" w:cs="Calibri"/>
          <w:noProof/>
          <w:szCs w:val="24"/>
        </w:rPr>
        <w:t>, 29(December 2017), pp. 1–14. doi: 10.1002/eap.1902.</w:t>
      </w:r>
    </w:p>
    <w:p w14:paraId="2D620632"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Safford, H. D. and Stevens, J. T. (2017) ‘Natural Range of Variation (NRV) for yellow pine and mixed conifer forests in the bioregional assessment area, including the Sierra Nevada, southern Cascades, and Modoc and Inyo National Forests’, </w:t>
      </w:r>
      <w:r w:rsidRPr="00213CB6">
        <w:rPr>
          <w:rFonts w:ascii="Calibri" w:hAnsi="Calibri" w:cs="Calibri"/>
          <w:i/>
          <w:iCs/>
          <w:noProof/>
          <w:szCs w:val="24"/>
        </w:rPr>
        <w:t>Gen. Tech. Rep. PSW-GTR-2562</w:t>
      </w:r>
      <w:r w:rsidRPr="00213CB6">
        <w:rPr>
          <w:rFonts w:ascii="Calibri" w:hAnsi="Calibri" w:cs="Calibri"/>
          <w:noProof/>
          <w:szCs w:val="24"/>
        </w:rPr>
        <w:t>, (October), pp. 1–151.</w:t>
      </w:r>
    </w:p>
    <w:p w14:paraId="249477D8"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Schubert, G. H. (1956) </w:t>
      </w:r>
      <w:r w:rsidRPr="00213CB6">
        <w:rPr>
          <w:rFonts w:ascii="Calibri" w:hAnsi="Calibri" w:cs="Calibri"/>
          <w:i/>
          <w:iCs/>
          <w:noProof/>
          <w:szCs w:val="24"/>
        </w:rPr>
        <w:t>Effect of fertilizer on cone production of sugar pine</w:t>
      </w:r>
      <w:r w:rsidRPr="00213CB6">
        <w:rPr>
          <w:rFonts w:ascii="Calibri" w:hAnsi="Calibri" w:cs="Calibri"/>
          <w:noProof/>
          <w:szCs w:val="24"/>
        </w:rPr>
        <w:t>.</w:t>
      </w:r>
    </w:p>
    <w:p w14:paraId="6EC65E7A"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Schwilk, D. W. and Ackerly, D. D. (2001) ‘Flammability and Serotiny as Strategies : Correlated Evolution in Pines evolution correlated as strategies : and serotiny Flammability in pines’, </w:t>
      </w:r>
      <w:r w:rsidRPr="00213CB6">
        <w:rPr>
          <w:rFonts w:ascii="Calibri" w:hAnsi="Calibri" w:cs="Calibri"/>
          <w:i/>
          <w:iCs/>
          <w:noProof/>
          <w:szCs w:val="24"/>
        </w:rPr>
        <w:t>Oikos</w:t>
      </w:r>
      <w:r w:rsidRPr="00213CB6">
        <w:rPr>
          <w:rFonts w:ascii="Calibri" w:hAnsi="Calibri" w:cs="Calibri"/>
          <w:noProof/>
          <w:szCs w:val="24"/>
        </w:rPr>
        <w:t>, 94, pp. 326–336.</w:t>
      </w:r>
    </w:p>
    <w:p w14:paraId="4B235353"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Shive, K. L. </w:t>
      </w:r>
      <w:r w:rsidRPr="00213CB6">
        <w:rPr>
          <w:rFonts w:ascii="Calibri" w:hAnsi="Calibri" w:cs="Calibri"/>
          <w:i/>
          <w:iCs/>
          <w:noProof/>
          <w:szCs w:val="24"/>
        </w:rPr>
        <w:t>et al.</w:t>
      </w:r>
      <w:r w:rsidRPr="00213CB6">
        <w:rPr>
          <w:rFonts w:ascii="Calibri" w:hAnsi="Calibri" w:cs="Calibri"/>
          <w:noProof/>
          <w:szCs w:val="24"/>
        </w:rPr>
        <w:t xml:space="preserve"> (2018) ‘From the stand scale to the landscape scale: predicting the spatial patterns of forest regeneration after disturbance’, </w:t>
      </w:r>
      <w:r w:rsidRPr="00213CB6">
        <w:rPr>
          <w:rFonts w:ascii="Calibri" w:hAnsi="Calibri" w:cs="Calibri"/>
          <w:i/>
          <w:iCs/>
          <w:noProof/>
          <w:szCs w:val="24"/>
        </w:rPr>
        <w:t>Ecological Applications</w:t>
      </w:r>
      <w:r w:rsidRPr="00213CB6">
        <w:rPr>
          <w:rFonts w:ascii="Calibri" w:hAnsi="Calibri" w:cs="Calibri"/>
          <w:noProof/>
          <w:szCs w:val="24"/>
        </w:rPr>
        <w:t>, 28(6), pp. 1626–1639. doi: 10.1002/eap.1756.</w:t>
      </w:r>
    </w:p>
    <w:p w14:paraId="25406B4C"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Shriver, R. K. </w:t>
      </w:r>
      <w:r w:rsidRPr="00213CB6">
        <w:rPr>
          <w:rFonts w:ascii="Calibri" w:hAnsi="Calibri" w:cs="Calibri"/>
          <w:i/>
          <w:iCs/>
          <w:noProof/>
          <w:szCs w:val="24"/>
        </w:rPr>
        <w:t>et al.</w:t>
      </w:r>
      <w:r w:rsidRPr="00213CB6">
        <w:rPr>
          <w:rFonts w:ascii="Calibri" w:hAnsi="Calibri" w:cs="Calibri"/>
          <w:noProof/>
          <w:szCs w:val="24"/>
        </w:rPr>
        <w:t xml:space="preserve"> (2019) ‘Transient population dynamics impede restoration and may promote ecosystem transformation after disturbance’, </w:t>
      </w:r>
      <w:r w:rsidRPr="00213CB6">
        <w:rPr>
          <w:rFonts w:ascii="Calibri" w:hAnsi="Calibri" w:cs="Calibri"/>
          <w:i/>
          <w:iCs/>
          <w:noProof/>
          <w:szCs w:val="24"/>
        </w:rPr>
        <w:t>Ecology Letters</w:t>
      </w:r>
      <w:r w:rsidRPr="00213CB6">
        <w:rPr>
          <w:rFonts w:ascii="Calibri" w:hAnsi="Calibri" w:cs="Calibri"/>
          <w:noProof/>
          <w:szCs w:val="24"/>
        </w:rPr>
        <w:t>, 22(9), pp. 1357–1366. doi: 10.1111/ele.13291.</w:t>
      </w:r>
    </w:p>
    <w:p w14:paraId="33611BC6"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Shriver, R. K. </w:t>
      </w:r>
      <w:r w:rsidRPr="00213CB6">
        <w:rPr>
          <w:rFonts w:ascii="Calibri" w:hAnsi="Calibri" w:cs="Calibri"/>
          <w:i/>
          <w:iCs/>
          <w:noProof/>
          <w:szCs w:val="24"/>
        </w:rPr>
        <w:t>et al.</w:t>
      </w:r>
      <w:r w:rsidRPr="00213CB6">
        <w:rPr>
          <w:rFonts w:ascii="Calibri" w:hAnsi="Calibri" w:cs="Calibri"/>
          <w:noProof/>
          <w:szCs w:val="24"/>
        </w:rPr>
        <w:t xml:space="preserve"> (2021) ‘Quantifying the demographic vulnerabilities of dry woodlands to climate and competition using range‐wide monitoring data’, </w:t>
      </w:r>
      <w:r w:rsidRPr="00213CB6">
        <w:rPr>
          <w:rFonts w:ascii="Calibri" w:hAnsi="Calibri" w:cs="Calibri"/>
          <w:i/>
          <w:iCs/>
          <w:noProof/>
          <w:szCs w:val="24"/>
        </w:rPr>
        <w:t>Ecology</w:t>
      </w:r>
      <w:r w:rsidRPr="00213CB6">
        <w:rPr>
          <w:rFonts w:ascii="Calibri" w:hAnsi="Calibri" w:cs="Calibri"/>
          <w:noProof/>
          <w:szCs w:val="24"/>
        </w:rPr>
        <w:t>, 0(0), pp. 1–12. doi: 10.1002/ecy.3425.</w:t>
      </w:r>
    </w:p>
    <w:p w14:paraId="2F735A9D"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Slack, A. W., Kane, J. M. and Knapp, E. E. (2021) ‘Growth and defense inform large sugar pine ( Pinus lambertiana ) mortality in a fire ‐ excluded forest of the central Sierra Nevada’, </w:t>
      </w:r>
      <w:r w:rsidRPr="00213CB6">
        <w:rPr>
          <w:rFonts w:ascii="Calibri" w:hAnsi="Calibri" w:cs="Calibri"/>
          <w:i/>
          <w:iCs/>
          <w:noProof/>
          <w:szCs w:val="24"/>
        </w:rPr>
        <w:t>Trees</w:t>
      </w:r>
      <w:r w:rsidRPr="00213CB6">
        <w:rPr>
          <w:rFonts w:ascii="Calibri" w:hAnsi="Calibri" w:cs="Calibri"/>
          <w:noProof/>
          <w:szCs w:val="24"/>
        </w:rPr>
        <w:t>, (0123456789). doi: 10.1007/s00468-021-02098-8.</w:t>
      </w:r>
    </w:p>
    <w:p w14:paraId="77681126"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Steel, Z. </w:t>
      </w:r>
      <w:r w:rsidRPr="00213CB6">
        <w:rPr>
          <w:rFonts w:ascii="Calibri" w:hAnsi="Calibri" w:cs="Calibri"/>
          <w:i/>
          <w:iCs/>
          <w:noProof/>
          <w:szCs w:val="24"/>
        </w:rPr>
        <w:t>et al.</w:t>
      </w:r>
      <w:r w:rsidRPr="00213CB6">
        <w:rPr>
          <w:rFonts w:ascii="Calibri" w:hAnsi="Calibri" w:cs="Calibri"/>
          <w:noProof/>
          <w:szCs w:val="24"/>
        </w:rPr>
        <w:t xml:space="preserve"> (2021) ‘Do Forest Fuel Reduction Treatments Confer Resistance to Beetle Infestation and Drought Mortality?’, </w:t>
      </w:r>
      <w:r w:rsidRPr="00213CB6">
        <w:rPr>
          <w:rFonts w:ascii="Calibri" w:hAnsi="Calibri" w:cs="Calibri"/>
          <w:i/>
          <w:iCs/>
          <w:noProof/>
          <w:szCs w:val="24"/>
        </w:rPr>
        <w:t>Ecosphere</w:t>
      </w:r>
      <w:r w:rsidRPr="00213CB6">
        <w:rPr>
          <w:rFonts w:ascii="Calibri" w:hAnsi="Calibri" w:cs="Calibri"/>
          <w:noProof/>
          <w:szCs w:val="24"/>
        </w:rPr>
        <w:t>, 12(January). doi: 10.1002/ecs2.3344.</w:t>
      </w:r>
    </w:p>
    <w:p w14:paraId="6E66D005"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Steel, Z. L., Safford, H. D. and Viers, J. H. (2015) ‘The fire frequency-severity relationship and the legacy of fire suppression in California forests http://www.esajournals.org/doi/pdf/10.1890/ES14-00224.1’, </w:t>
      </w:r>
      <w:r w:rsidRPr="00213CB6">
        <w:rPr>
          <w:rFonts w:ascii="Calibri" w:hAnsi="Calibri" w:cs="Calibri"/>
          <w:i/>
          <w:iCs/>
          <w:noProof/>
          <w:szCs w:val="24"/>
        </w:rPr>
        <w:t>Ecosphere</w:t>
      </w:r>
      <w:r w:rsidRPr="00213CB6">
        <w:rPr>
          <w:rFonts w:ascii="Calibri" w:hAnsi="Calibri" w:cs="Calibri"/>
          <w:noProof/>
          <w:szCs w:val="24"/>
        </w:rPr>
        <w:t>, 6(1). doi: 10.1890/ES14-00224.1.</w:t>
      </w:r>
    </w:p>
    <w:p w14:paraId="79473B56"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Stephens, S. C. L. S. </w:t>
      </w:r>
      <w:r w:rsidRPr="00213CB6">
        <w:rPr>
          <w:rFonts w:ascii="Calibri" w:hAnsi="Calibri" w:cs="Calibri"/>
          <w:i/>
          <w:iCs/>
          <w:noProof/>
          <w:szCs w:val="24"/>
        </w:rPr>
        <w:t>et al.</w:t>
      </w:r>
      <w:r w:rsidRPr="00213CB6">
        <w:rPr>
          <w:rFonts w:ascii="Calibri" w:hAnsi="Calibri" w:cs="Calibri"/>
          <w:noProof/>
          <w:szCs w:val="24"/>
        </w:rPr>
        <w:t xml:space="preserve"> (2015) ‘Historical and current landscape-scale ponderosa pine and mixed conifer forest structure in the Southern Sierra Nevada’, </w:t>
      </w:r>
      <w:r w:rsidRPr="00213CB6">
        <w:rPr>
          <w:rFonts w:ascii="Calibri" w:hAnsi="Calibri" w:cs="Calibri"/>
          <w:i/>
          <w:iCs/>
          <w:noProof/>
          <w:szCs w:val="24"/>
        </w:rPr>
        <w:t>Ecosphere</w:t>
      </w:r>
      <w:r w:rsidRPr="00213CB6">
        <w:rPr>
          <w:rFonts w:ascii="Calibri" w:hAnsi="Calibri" w:cs="Calibri"/>
          <w:noProof/>
          <w:szCs w:val="24"/>
        </w:rPr>
        <w:t>, 6(May), pp. 1–63.</w:t>
      </w:r>
    </w:p>
    <w:p w14:paraId="3CBC4542"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Stephens, S. L. </w:t>
      </w:r>
      <w:r w:rsidRPr="00213CB6">
        <w:rPr>
          <w:rFonts w:ascii="Calibri" w:hAnsi="Calibri" w:cs="Calibri"/>
          <w:i/>
          <w:iCs/>
          <w:noProof/>
          <w:szCs w:val="24"/>
        </w:rPr>
        <w:t>et al.</w:t>
      </w:r>
      <w:r w:rsidRPr="00213CB6">
        <w:rPr>
          <w:rFonts w:ascii="Calibri" w:hAnsi="Calibri" w:cs="Calibri"/>
          <w:noProof/>
          <w:szCs w:val="24"/>
        </w:rPr>
        <w:t xml:space="preserve"> (2009) ‘Fire Treatment Effects on Vegetation Structure , Fuels , and Potential Fire Severity in Western U . S . Forests’, </w:t>
      </w:r>
      <w:r w:rsidRPr="00213CB6">
        <w:rPr>
          <w:rFonts w:ascii="Calibri" w:hAnsi="Calibri" w:cs="Calibri"/>
          <w:i/>
          <w:iCs/>
          <w:noProof/>
          <w:szCs w:val="24"/>
        </w:rPr>
        <w:t>Ecological Applications</w:t>
      </w:r>
      <w:r w:rsidRPr="00213CB6">
        <w:rPr>
          <w:rFonts w:ascii="Calibri" w:hAnsi="Calibri" w:cs="Calibri"/>
          <w:noProof/>
          <w:szCs w:val="24"/>
        </w:rPr>
        <w:t>, 19(2), pp. 305–320. doi: 10.1890/07-1755.1.</w:t>
      </w:r>
    </w:p>
    <w:p w14:paraId="1DB9C7ED"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Stephens, S. L. </w:t>
      </w:r>
      <w:r w:rsidRPr="00213CB6">
        <w:rPr>
          <w:rFonts w:ascii="Calibri" w:hAnsi="Calibri" w:cs="Calibri"/>
          <w:i/>
          <w:iCs/>
          <w:noProof/>
          <w:szCs w:val="24"/>
        </w:rPr>
        <w:t>et al.</w:t>
      </w:r>
      <w:r w:rsidRPr="00213CB6">
        <w:rPr>
          <w:rFonts w:ascii="Calibri" w:hAnsi="Calibri" w:cs="Calibri"/>
          <w:noProof/>
          <w:szCs w:val="24"/>
        </w:rPr>
        <w:t xml:space="preserve"> (2018) ‘Drought, Tree Mortality, and Wildfire in Forests Adapted to Frequent Fire’, </w:t>
      </w:r>
      <w:r w:rsidRPr="00213CB6">
        <w:rPr>
          <w:rFonts w:ascii="Calibri" w:hAnsi="Calibri" w:cs="Calibri"/>
          <w:i/>
          <w:iCs/>
          <w:noProof/>
          <w:szCs w:val="24"/>
        </w:rPr>
        <w:t>BioScience</w:t>
      </w:r>
      <w:r w:rsidRPr="00213CB6">
        <w:rPr>
          <w:rFonts w:ascii="Calibri" w:hAnsi="Calibri" w:cs="Calibri"/>
          <w:noProof/>
          <w:szCs w:val="24"/>
        </w:rPr>
        <w:t>, XX(X), pp. 1–12. doi: 10.1093/biosci/bix146.</w:t>
      </w:r>
    </w:p>
    <w:p w14:paraId="7B37857E"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Stephens, S. L. and Moghaddas, J. J. (2005) ‘Experimental fuel treatment impacts on forest structure, </w:t>
      </w:r>
      <w:r w:rsidRPr="00213CB6">
        <w:rPr>
          <w:rFonts w:ascii="Calibri" w:hAnsi="Calibri" w:cs="Calibri"/>
          <w:noProof/>
          <w:szCs w:val="24"/>
        </w:rPr>
        <w:lastRenderedPageBreak/>
        <w:t xml:space="preserve">potential fire behavior, and predicted tree mortality in a California mixed conifer forest’, </w:t>
      </w:r>
      <w:r w:rsidRPr="00213CB6">
        <w:rPr>
          <w:rFonts w:ascii="Calibri" w:hAnsi="Calibri" w:cs="Calibri"/>
          <w:i/>
          <w:iCs/>
          <w:noProof/>
          <w:szCs w:val="24"/>
        </w:rPr>
        <w:t>Forest Ecology and Management</w:t>
      </w:r>
      <w:r w:rsidRPr="00213CB6">
        <w:rPr>
          <w:rFonts w:ascii="Calibri" w:hAnsi="Calibri" w:cs="Calibri"/>
          <w:noProof/>
          <w:szCs w:val="24"/>
        </w:rPr>
        <w:t>, 215(1–3), pp. 21–36. doi: 10.1016/j.foreco.2005.03.070.</w:t>
      </w:r>
    </w:p>
    <w:p w14:paraId="1C092E08"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Stephenson, N. L. (1998) ‘Actual evapotranspiration and deficit: Biologically meaningful correlates of vegetation distribution across spatial scales’, </w:t>
      </w:r>
      <w:r w:rsidRPr="00213CB6">
        <w:rPr>
          <w:rFonts w:ascii="Calibri" w:hAnsi="Calibri" w:cs="Calibri"/>
          <w:i/>
          <w:iCs/>
          <w:noProof/>
          <w:szCs w:val="24"/>
        </w:rPr>
        <w:t>Journal of Biogeography</w:t>
      </w:r>
      <w:r w:rsidRPr="00213CB6">
        <w:rPr>
          <w:rFonts w:ascii="Calibri" w:hAnsi="Calibri" w:cs="Calibri"/>
          <w:noProof/>
          <w:szCs w:val="24"/>
        </w:rPr>
        <w:t>, 25(5), pp. 855–870. doi: 10.1046/j.1365-2699.1998.00233.x.</w:t>
      </w:r>
    </w:p>
    <w:p w14:paraId="2737BB1B"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Stephenson, N. L. </w:t>
      </w:r>
      <w:r w:rsidRPr="00213CB6">
        <w:rPr>
          <w:rFonts w:ascii="Calibri" w:hAnsi="Calibri" w:cs="Calibri"/>
          <w:i/>
          <w:iCs/>
          <w:noProof/>
          <w:szCs w:val="24"/>
        </w:rPr>
        <w:t>et al.</w:t>
      </w:r>
      <w:r w:rsidRPr="00213CB6">
        <w:rPr>
          <w:rFonts w:ascii="Calibri" w:hAnsi="Calibri" w:cs="Calibri"/>
          <w:noProof/>
          <w:szCs w:val="24"/>
        </w:rPr>
        <w:t xml:space="preserve"> (2019) ‘Which trees die during drought? The key role of insect host-tree selection’, </w:t>
      </w:r>
      <w:r w:rsidRPr="00213CB6">
        <w:rPr>
          <w:rFonts w:ascii="Calibri" w:hAnsi="Calibri" w:cs="Calibri"/>
          <w:i/>
          <w:iCs/>
          <w:noProof/>
          <w:szCs w:val="24"/>
        </w:rPr>
        <w:t>Journal of Ecology</w:t>
      </w:r>
      <w:r w:rsidRPr="00213CB6">
        <w:rPr>
          <w:rFonts w:ascii="Calibri" w:hAnsi="Calibri" w:cs="Calibri"/>
          <w:noProof/>
          <w:szCs w:val="24"/>
        </w:rPr>
        <w:t>, 107(5), pp. 2383–2401. doi: 10.1111/1365-2745.13176.</w:t>
      </w:r>
    </w:p>
    <w:p w14:paraId="2011B841"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Stevens, J. T. </w:t>
      </w:r>
      <w:r w:rsidRPr="00213CB6">
        <w:rPr>
          <w:rFonts w:ascii="Calibri" w:hAnsi="Calibri" w:cs="Calibri"/>
          <w:i/>
          <w:iCs/>
          <w:noProof/>
          <w:szCs w:val="24"/>
        </w:rPr>
        <w:t>et al.</w:t>
      </w:r>
      <w:r w:rsidRPr="00213CB6">
        <w:rPr>
          <w:rFonts w:ascii="Calibri" w:hAnsi="Calibri" w:cs="Calibri"/>
          <w:noProof/>
          <w:szCs w:val="24"/>
        </w:rPr>
        <w:t xml:space="preserve"> (2017) ‘Changing spatial patterns of stand-replacing fire in California conifer forests’, </w:t>
      </w:r>
      <w:r w:rsidRPr="00213CB6">
        <w:rPr>
          <w:rFonts w:ascii="Calibri" w:hAnsi="Calibri" w:cs="Calibri"/>
          <w:i/>
          <w:iCs/>
          <w:noProof/>
          <w:szCs w:val="24"/>
        </w:rPr>
        <w:t>Forest Ecology and Management</w:t>
      </w:r>
      <w:r w:rsidRPr="00213CB6">
        <w:rPr>
          <w:rFonts w:ascii="Calibri" w:hAnsi="Calibri" w:cs="Calibri"/>
          <w:noProof/>
          <w:szCs w:val="24"/>
        </w:rPr>
        <w:t>, 406(August), pp. 28–36. doi: 10.1016/j.foreco.2017.08.051.</w:t>
      </w:r>
    </w:p>
    <w:p w14:paraId="62D646FD"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Stewart, J. A. E. </w:t>
      </w:r>
      <w:r w:rsidRPr="00213CB6">
        <w:rPr>
          <w:rFonts w:ascii="Calibri" w:hAnsi="Calibri" w:cs="Calibri"/>
          <w:i/>
          <w:iCs/>
          <w:noProof/>
          <w:szCs w:val="24"/>
        </w:rPr>
        <w:t>et al.</w:t>
      </w:r>
      <w:r w:rsidRPr="00213CB6">
        <w:rPr>
          <w:rFonts w:ascii="Calibri" w:hAnsi="Calibri" w:cs="Calibri"/>
          <w:noProof/>
          <w:szCs w:val="24"/>
        </w:rPr>
        <w:t xml:space="preserve"> (2021) ‘Effects of postfire climate and seed availability on postfire conifer regeneration’, </w:t>
      </w:r>
      <w:r w:rsidRPr="00213CB6">
        <w:rPr>
          <w:rFonts w:ascii="Calibri" w:hAnsi="Calibri" w:cs="Calibri"/>
          <w:i/>
          <w:iCs/>
          <w:noProof/>
          <w:szCs w:val="24"/>
        </w:rPr>
        <w:t>Ecological Applications</w:t>
      </w:r>
      <w:r w:rsidRPr="00213CB6">
        <w:rPr>
          <w:rFonts w:ascii="Calibri" w:hAnsi="Calibri" w:cs="Calibri"/>
          <w:noProof/>
          <w:szCs w:val="24"/>
        </w:rPr>
        <w:t>, 31(3), pp. 1–14. doi: 10.1002/eap.2280.</w:t>
      </w:r>
    </w:p>
    <w:p w14:paraId="516E4CA6"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Voelker, S. L. </w:t>
      </w:r>
      <w:r w:rsidRPr="00213CB6">
        <w:rPr>
          <w:rFonts w:ascii="Calibri" w:hAnsi="Calibri" w:cs="Calibri"/>
          <w:i/>
          <w:iCs/>
          <w:noProof/>
          <w:szCs w:val="24"/>
        </w:rPr>
        <w:t>et al.</w:t>
      </w:r>
      <w:r w:rsidRPr="00213CB6">
        <w:rPr>
          <w:rFonts w:ascii="Calibri" w:hAnsi="Calibri" w:cs="Calibri"/>
          <w:noProof/>
          <w:szCs w:val="24"/>
        </w:rPr>
        <w:t xml:space="preserve"> (2019) ‘Fire deficits have increased drought sensitivity in dry conifer forests: Fire frequency and tree-ring carbon isotope evidence from Central Oregon’, </w:t>
      </w:r>
      <w:r w:rsidRPr="00213CB6">
        <w:rPr>
          <w:rFonts w:ascii="Calibri" w:hAnsi="Calibri" w:cs="Calibri"/>
          <w:i/>
          <w:iCs/>
          <w:noProof/>
          <w:szCs w:val="24"/>
        </w:rPr>
        <w:t>Global Change Biology</w:t>
      </w:r>
      <w:r w:rsidRPr="00213CB6">
        <w:rPr>
          <w:rFonts w:ascii="Calibri" w:hAnsi="Calibri" w:cs="Calibri"/>
          <w:noProof/>
          <w:szCs w:val="24"/>
        </w:rPr>
        <w:t>, 25(4), pp. 1247–1262. doi: 10.1111/gcb.14543.</w:t>
      </w:r>
    </w:p>
    <w:p w14:paraId="0F7F55FF"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Wayman, R. B. and Safford, H. D. (2021) ‘Recent bark beetle outbreaks influence wildfire severity in mixed-conifer forests of the Sierra Nevada, California, USA’, </w:t>
      </w:r>
      <w:r w:rsidRPr="00213CB6">
        <w:rPr>
          <w:rFonts w:ascii="Calibri" w:hAnsi="Calibri" w:cs="Calibri"/>
          <w:i/>
          <w:iCs/>
          <w:noProof/>
          <w:szCs w:val="24"/>
        </w:rPr>
        <w:t>Ecological Applications</w:t>
      </w:r>
      <w:r w:rsidRPr="00213CB6">
        <w:rPr>
          <w:rFonts w:ascii="Calibri" w:hAnsi="Calibri" w:cs="Calibri"/>
          <w:noProof/>
          <w:szCs w:val="24"/>
        </w:rPr>
        <w:t>, 31(3), pp. 1–19. doi: 10.1002/eap.2287.</w:t>
      </w:r>
    </w:p>
    <w:p w14:paraId="2312DB60"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Yeaton, R. I. (1983) ‘The Successional Replacement of Ponderosa Pine by Sugar Pine in the Sierra Nevada Author ( s ): Richard I . Yeaton Source : Bulletin of the Torrey Botanical Club , Jul . - Sep ., 1983 , Vol . 110 , No . 3 ( Jul . - Published by : Torrey Botanical Society ’, 110(3), pp. 292–297.</w:t>
      </w:r>
    </w:p>
    <w:p w14:paraId="2576AD25"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Yeaton, R. I. (1984) ‘Aspects of the Population Biology of Sugar Pine ( Pinus lambertiana Dougl .) on an Elevational Gradient in the Sierra Nevada of Central California’, </w:t>
      </w:r>
      <w:r w:rsidRPr="00213CB6">
        <w:rPr>
          <w:rFonts w:ascii="Calibri" w:hAnsi="Calibri" w:cs="Calibri"/>
          <w:i/>
          <w:iCs/>
          <w:noProof/>
          <w:szCs w:val="24"/>
        </w:rPr>
        <w:t>The American Midland Naturalist</w:t>
      </w:r>
      <w:r w:rsidRPr="00213CB6">
        <w:rPr>
          <w:rFonts w:ascii="Calibri" w:hAnsi="Calibri" w:cs="Calibri"/>
          <w:noProof/>
          <w:szCs w:val="24"/>
        </w:rPr>
        <w:t>, 111(1), pp. 126–137. Available at: https://www.jstor.org/stable/2425550.</w:t>
      </w:r>
    </w:p>
    <w:p w14:paraId="54DD31EB"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York, R. A. </w:t>
      </w:r>
      <w:r w:rsidRPr="00213CB6">
        <w:rPr>
          <w:rFonts w:ascii="Calibri" w:hAnsi="Calibri" w:cs="Calibri"/>
          <w:i/>
          <w:iCs/>
          <w:noProof/>
          <w:szCs w:val="24"/>
        </w:rPr>
        <w:t>et al.</w:t>
      </w:r>
      <w:r w:rsidRPr="00213CB6">
        <w:rPr>
          <w:rFonts w:ascii="Calibri" w:hAnsi="Calibri" w:cs="Calibri"/>
          <w:noProof/>
          <w:szCs w:val="24"/>
        </w:rPr>
        <w:t xml:space="preserve"> (2004) ‘Group selection management in conifer forests: Relationships between opening size and tree growth’, </w:t>
      </w:r>
      <w:r w:rsidRPr="00213CB6">
        <w:rPr>
          <w:rFonts w:ascii="Calibri" w:hAnsi="Calibri" w:cs="Calibri"/>
          <w:i/>
          <w:iCs/>
          <w:noProof/>
          <w:szCs w:val="24"/>
        </w:rPr>
        <w:t>Canadian Journal of Forest Research</w:t>
      </w:r>
      <w:r w:rsidRPr="00213CB6">
        <w:rPr>
          <w:rFonts w:ascii="Calibri" w:hAnsi="Calibri" w:cs="Calibri"/>
          <w:noProof/>
          <w:szCs w:val="24"/>
        </w:rPr>
        <w:t>, 34(3), pp. 630–641. doi: 10.1139/x03-222.</w:t>
      </w:r>
    </w:p>
    <w:p w14:paraId="44D0D72B" w14:textId="77777777" w:rsidR="00213CB6" w:rsidRPr="00213CB6" w:rsidRDefault="00213CB6" w:rsidP="00213CB6">
      <w:pPr>
        <w:widowControl w:val="0"/>
        <w:autoSpaceDE w:val="0"/>
        <w:autoSpaceDN w:val="0"/>
        <w:adjustRightInd w:val="0"/>
        <w:spacing w:line="240" w:lineRule="auto"/>
        <w:rPr>
          <w:rFonts w:ascii="Calibri" w:hAnsi="Calibri" w:cs="Calibri"/>
          <w:noProof/>
          <w:szCs w:val="24"/>
        </w:rPr>
      </w:pPr>
      <w:r w:rsidRPr="00213CB6">
        <w:rPr>
          <w:rFonts w:ascii="Calibri" w:hAnsi="Calibri" w:cs="Calibri"/>
          <w:noProof/>
          <w:szCs w:val="24"/>
        </w:rPr>
        <w:t xml:space="preserve">York, R. A. </w:t>
      </w:r>
      <w:r w:rsidRPr="00213CB6">
        <w:rPr>
          <w:rFonts w:ascii="Calibri" w:hAnsi="Calibri" w:cs="Calibri"/>
          <w:i/>
          <w:iCs/>
          <w:noProof/>
          <w:szCs w:val="24"/>
        </w:rPr>
        <w:t>et al.</w:t>
      </w:r>
      <w:r w:rsidRPr="00213CB6">
        <w:rPr>
          <w:rFonts w:ascii="Calibri" w:hAnsi="Calibri" w:cs="Calibri"/>
          <w:noProof/>
          <w:szCs w:val="24"/>
        </w:rPr>
        <w:t xml:space="preserve"> (2012) ‘A gap-based approach for regenerating pine species and reducing surface fuels in multi-aged mixed conifer stands in the Sierra Nevada, California’, </w:t>
      </w:r>
      <w:r w:rsidRPr="00213CB6">
        <w:rPr>
          <w:rFonts w:ascii="Calibri" w:hAnsi="Calibri" w:cs="Calibri"/>
          <w:i/>
          <w:iCs/>
          <w:noProof/>
          <w:szCs w:val="24"/>
        </w:rPr>
        <w:t>Forestry</w:t>
      </w:r>
      <w:r w:rsidRPr="00213CB6">
        <w:rPr>
          <w:rFonts w:ascii="Calibri" w:hAnsi="Calibri" w:cs="Calibri"/>
          <w:noProof/>
          <w:szCs w:val="24"/>
        </w:rPr>
        <w:t>, 85(2), pp. 203–213. doi: 10.1093/forestry/cpr058.</w:t>
      </w:r>
    </w:p>
    <w:p w14:paraId="1ADB5B73" w14:textId="77777777" w:rsidR="00213CB6" w:rsidRPr="00213CB6" w:rsidRDefault="00213CB6" w:rsidP="00213CB6">
      <w:pPr>
        <w:widowControl w:val="0"/>
        <w:autoSpaceDE w:val="0"/>
        <w:autoSpaceDN w:val="0"/>
        <w:adjustRightInd w:val="0"/>
        <w:spacing w:line="240" w:lineRule="auto"/>
        <w:rPr>
          <w:rFonts w:ascii="Calibri" w:hAnsi="Calibri" w:cs="Calibri"/>
          <w:noProof/>
        </w:rPr>
      </w:pPr>
      <w:r w:rsidRPr="00213CB6">
        <w:rPr>
          <w:rFonts w:ascii="Calibri" w:hAnsi="Calibri" w:cs="Calibri"/>
          <w:noProof/>
          <w:szCs w:val="24"/>
        </w:rPr>
        <w:t xml:space="preserve">Young, D. J. N. </w:t>
      </w:r>
      <w:r w:rsidRPr="00213CB6">
        <w:rPr>
          <w:rFonts w:ascii="Calibri" w:hAnsi="Calibri" w:cs="Calibri"/>
          <w:i/>
          <w:iCs/>
          <w:noProof/>
          <w:szCs w:val="24"/>
        </w:rPr>
        <w:t>et al.</w:t>
      </w:r>
      <w:r w:rsidRPr="00213CB6">
        <w:rPr>
          <w:rFonts w:ascii="Calibri" w:hAnsi="Calibri" w:cs="Calibri"/>
          <w:noProof/>
          <w:szCs w:val="24"/>
        </w:rPr>
        <w:t xml:space="preserve"> (2017) ‘Long-term climate and competition explain forest mortality patterns under extreme drought’, </w:t>
      </w:r>
      <w:r w:rsidRPr="00213CB6">
        <w:rPr>
          <w:rFonts w:ascii="Calibri" w:hAnsi="Calibri" w:cs="Calibri"/>
          <w:i/>
          <w:iCs/>
          <w:noProof/>
          <w:szCs w:val="24"/>
        </w:rPr>
        <w:t>Ecology Letters</w:t>
      </w:r>
      <w:r w:rsidRPr="00213CB6">
        <w:rPr>
          <w:rFonts w:ascii="Calibri" w:hAnsi="Calibri" w:cs="Calibri"/>
          <w:noProof/>
          <w:szCs w:val="24"/>
        </w:rPr>
        <w:t>, 20(1), pp. 78–86. doi: 10.1111/ele.12711.</w:t>
      </w:r>
    </w:p>
    <w:p w14:paraId="0FE8925A" w14:textId="2BE0F2B3" w:rsidR="00EB4A84" w:rsidRPr="00EB4A84" w:rsidRDefault="00EB4A84" w:rsidP="00EB4A84">
      <w:pPr>
        <w:rPr>
          <w:lang w:eastAsia="zh-CN" w:bidi="hi-IN"/>
        </w:rPr>
      </w:pPr>
      <w:r>
        <w:rPr>
          <w:lang w:eastAsia="zh-CN" w:bidi="hi-IN"/>
        </w:rPr>
        <w:fldChar w:fldCharType="end"/>
      </w:r>
    </w:p>
    <w:p w14:paraId="3ACCEC78" w14:textId="77777777" w:rsidR="00E92F0B" w:rsidRDefault="00E92F0B">
      <w:r>
        <w:br w:type="page"/>
      </w:r>
    </w:p>
    <w:p w14:paraId="6CD474EC" w14:textId="77777777" w:rsidR="00E92F0B" w:rsidRDefault="00E92F0B" w:rsidP="00E92F0B">
      <w:pPr>
        <w:pStyle w:val="Heading1"/>
      </w:pPr>
      <w:r>
        <w:lastRenderedPageBreak/>
        <w:t>Tables</w:t>
      </w:r>
    </w:p>
    <w:p w14:paraId="163535B6" w14:textId="77777777" w:rsidR="00E92F0B" w:rsidRPr="00F25243" w:rsidRDefault="00E92F0B" w:rsidP="00E92F0B"/>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E92F0B" w:rsidRPr="000B07C3" w14:paraId="06C410CE" w14:textId="77777777" w:rsidTr="00514011">
        <w:trPr>
          <w:trHeight w:val="288"/>
        </w:trPr>
        <w:tc>
          <w:tcPr>
            <w:tcW w:w="1354" w:type="dxa"/>
            <w:noWrap/>
            <w:vAlign w:val="bottom"/>
            <w:hideMark/>
          </w:tcPr>
          <w:p w14:paraId="125A5173" w14:textId="77777777" w:rsidR="00E92F0B" w:rsidRPr="008727D0" w:rsidRDefault="00E92F0B" w:rsidP="00514011">
            <w:pPr>
              <w:rPr>
                <w:b/>
                <w:bCs/>
              </w:rPr>
            </w:pPr>
            <w:r w:rsidRPr="00514011">
              <w:rPr>
                <w:rFonts w:ascii="Calibri" w:hAnsi="Calibri" w:cs="Calibri"/>
                <w:b/>
                <w:bCs/>
                <w:color w:val="000000"/>
              </w:rPr>
              <w:t>Parameter</w:t>
            </w:r>
          </w:p>
        </w:tc>
        <w:tc>
          <w:tcPr>
            <w:tcW w:w="960" w:type="dxa"/>
            <w:noWrap/>
            <w:vAlign w:val="bottom"/>
            <w:hideMark/>
          </w:tcPr>
          <w:p w14:paraId="2DF36373" w14:textId="77777777" w:rsidR="00E92F0B" w:rsidRPr="008727D0" w:rsidRDefault="00E92F0B" w:rsidP="00514011">
            <w:pPr>
              <w:rPr>
                <w:b/>
                <w:bCs/>
              </w:rPr>
            </w:pPr>
            <w:r w:rsidRPr="00514011">
              <w:rPr>
                <w:rFonts w:ascii="Calibri" w:hAnsi="Calibri" w:cs="Calibri"/>
                <w:b/>
                <w:bCs/>
                <w:color w:val="000000"/>
              </w:rPr>
              <w:t>Mean</w:t>
            </w:r>
          </w:p>
        </w:tc>
        <w:tc>
          <w:tcPr>
            <w:tcW w:w="960" w:type="dxa"/>
            <w:noWrap/>
            <w:vAlign w:val="bottom"/>
            <w:hideMark/>
          </w:tcPr>
          <w:p w14:paraId="6D3AEEDE" w14:textId="77777777" w:rsidR="00E92F0B" w:rsidRPr="008727D0" w:rsidRDefault="00E92F0B" w:rsidP="00514011">
            <w:pPr>
              <w:rPr>
                <w:b/>
                <w:bCs/>
              </w:rPr>
            </w:pPr>
            <w:r w:rsidRPr="00514011">
              <w:rPr>
                <w:rFonts w:ascii="Calibri" w:hAnsi="Calibri" w:cs="Calibri"/>
                <w:b/>
                <w:bCs/>
                <w:color w:val="000000"/>
              </w:rPr>
              <w:t>Median</w:t>
            </w:r>
          </w:p>
        </w:tc>
        <w:tc>
          <w:tcPr>
            <w:tcW w:w="960" w:type="dxa"/>
            <w:noWrap/>
            <w:vAlign w:val="bottom"/>
            <w:hideMark/>
          </w:tcPr>
          <w:p w14:paraId="08EAAE6B" w14:textId="77777777" w:rsidR="00E92F0B" w:rsidRPr="008727D0" w:rsidRDefault="00E92F0B" w:rsidP="00514011">
            <w:pPr>
              <w:rPr>
                <w:b/>
                <w:bCs/>
              </w:rPr>
            </w:pPr>
            <w:r w:rsidRPr="00514011">
              <w:rPr>
                <w:rFonts w:ascii="Calibri" w:hAnsi="Calibri" w:cs="Calibri"/>
                <w:b/>
                <w:bCs/>
                <w:color w:val="000000"/>
              </w:rPr>
              <w:t>StDev</w:t>
            </w:r>
          </w:p>
        </w:tc>
        <w:tc>
          <w:tcPr>
            <w:tcW w:w="960" w:type="dxa"/>
            <w:noWrap/>
            <w:vAlign w:val="bottom"/>
            <w:hideMark/>
          </w:tcPr>
          <w:p w14:paraId="2E31E469" w14:textId="77777777" w:rsidR="00E92F0B" w:rsidRPr="008727D0" w:rsidRDefault="00E92F0B" w:rsidP="00514011">
            <w:pPr>
              <w:rPr>
                <w:b/>
                <w:bCs/>
              </w:rPr>
            </w:pPr>
            <w:r w:rsidRPr="00514011">
              <w:rPr>
                <w:rFonts w:ascii="Calibri" w:hAnsi="Calibri" w:cs="Calibri"/>
                <w:b/>
                <w:bCs/>
                <w:color w:val="000000"/>
              </w:rPr>
              <w:t>q5</w:t>
            </w:r>
          </w:p>
        </w:tc>
        <w:tc>
          <w:tcPr>
            <w:tcW w:w="960" w:type="dxa"/>
            <w:noWrap/>
            <w:vAlign w:val="bottom"/>
            <w:hideMark/>
          </w:tcPr>
          <w:p w14:paraId="4B146A0F" w14:textId="77777777" w:rsidR="00E92F0B" w:rsidRPr="008727D0" w:rsidRDefault="00E92F0B" w:rsidP="00514011">
            <w:pPr>
              <w:rPr>
                <w:b/>
                <w:bCs/>
              </w:rPr>
            </w:pPr>
            <w:r w:rsidRPr="00514011">
              <w:rPr>
                <w:rFonts w:ascii="Calibri" w:hAnsi="Calibri" w:cs="Calibri"/>
                <w:b/>
                <w:bCs/>
                <w:color w:val="000000"/>
              </w:rPr>
              <w:t>q95</w:t>
            </w:r>
          </w:p>
        </w:tc>
        <w:tc>
          <w:tcPr>
            <w:tcW w:w="960" w:type="dxa"/>
            <w:noWrap/>
            <w:vAlign w:val="bottom"/>
            <w:hideMark/>
          </w:tcPr>
          <w:p w14:paraId="69359A16" w14:textId="77777777" w:rsidR="00E92F0B" w:rsidRPr="008727D0" w:rsidRDefault="00E92F0B" w:rsidP="00514011">
            <w:pPr>
              <w:rPr>
                <w:b/>
                <w:bCs/>
              </w:rPr>
            </w:pPr>
            <w:r w:rsidRPr="00514011">
              <w:rPr>
                <w:rFonts w:ascii="Calibri" w:hAnsi="Calibri" w:cs="Calibri"/>
                <w:b/>
                <w:bCs/>
                <w:color w:val="000000"/>
              </w:rPr>
              <w:t>rhat</w:t>
            </w:r>
          </w:p>
        </w:tc>
        <w:tc>
          <w:tcPr>
            <w:tcW w:w="1008" w:type="dxa"/>
            <w:noWrap/>
            <w:vAlign w:val="bottom"/>
            <w:hideMark/>
          </w:tcPr>
          <w:p w14:paraId="486539A0" w14:textId="77777777" w:rsidR="00E92F0B" w:rsidRPr="008727D0" w:rsidRDefault="00E92F0B" w:rsidP="00514011">
            <w:pPr>
              <w:rPr>
                <w:b/>
                <w:bCs/>
              </w:rPr>
            </w:pPr>
            <w:r w:rsidRPr="00514011">
              <w:rPr>
                <w:rFonts w:ascii="Calibri" w:hAnsi="Calibri" w:cs="Calibri"/>
                <w:b/>
                <w:bCs/>
                <w:color w:val="000000"/>
              </w:rPr>
              <w:t>ess_bulk</w:t>
            </w:r>
          </w:p>
        </w:tc>
        <w:tc>
          <w:tcPr>
            <w:tcW w:w="960" w:type="dxa"/>
            <w:noWrap/>
            <w:vAlign w:val="bottom"/>
            <w:hideMark/>
          </w:tcPr>
          <w:p w14:paraId="6E607DB9" w14:textId="77777777" w:rsidR="00E92F0B" w:rsidRPr="008727D0" w:rsidRDefault="00E92F0B" w:rsidP="00514011">
            <w:pPr>
              <w:rPr>
                <w:b/>
                <w:bCs/>
              </w:rPr>
            </w:pPr>
            <w:r w:rsidRPr="00514011">
              <w:rPr>
                <w:rFonts w:ascii="Calibri" w:hAnsi="Calibri" w:cs="Calibri"/>
                <w:b/>
                <w:bCs/>
                <w:color w:val="000000"/>
              </w:rPr>
              <w:t>ess_tail</w:t>
            </w:r>
          </w:p>
        </w:tc>
      </w:tr>
      <w:tr w:rsidR="00E92F0B" w:rsidRPr="000B07C3" w14:paraId="14752144" w14:textId="77777777" w:rsidTr="00514011">
        <w:trPr>
          <w:trHeight w:val="288"/>
        </w:trPr>
        <w:tc>
          <w:tcPr>
            <w:tcW w:w="1354" w:type="dxa"/>
            <w:noWrap/>
            <w:vAlign w:val="bottom"/>
            <w:hideMark/>
          </w:tcPr>
          <w:p w14:paraId="2AC56636" w14:textId="77777777" w:rsidR="00E92F0B" w:rsidRPr="008727D0" w:rsidRDefault="00E92F0B" w:rsidP="00514011">
            <w:pPr>
              <w:rPr>
                <w:b/>
                <w:bCs/>
              </w:rPr>
            </w:pPr>
            <w:r w:rsidRPr="00514011">
              <w:rPr>
                <w:rFonts w:ascii="Calibri" w:hAnsi="Calibri" w:cs="Calibri"/>
                <w:b/>
                <w:bCs/>
                <w:color w:val="000000"/>
              </w:rPr>
              <w:t>Intercept</w:t>
            </w:r>
          </w:p>
        </w:tc>
        <w:tc>
          <w:tcPr>
            <w:tcW w:w="960" w:type="dxa"/>
            <w:noWrap/>
            <w:vAlign w:val="bottom"/>
            <w:hideMark/>
          </w:tcPr>
          <w:p w14:paraId="71EEE202" w14:textId="77777777" w:rsidR="00E92F0B" w:rsidRPr="000B07C3" w:rsidRDefault="00E92F0B" w:rsidP="00514011">
            <w:r>
              <w:rPr>
                <w:rFonts w:ascii="Calibri" w:hAnsi="Calibri" w:cs="Calibri"/>
                <w:color w:val="000000"/>
              </w:rPr>
              <w:t>1.39</w:t>
            </w:r>
          </w:p>
        </w:tc>
        <w:tc>
          <w:tcPr>
            <w:tcW w:w="960" w:type="dxa"/>
            <w:noWrap/>
            <w:vAlign w:val="bottom"/>
            <w:hideMark/>
          </w:tcPr>
          <w:p w14:paraId="74614FFF" w14:textId="77777777" w:rsidR="00E92F0B" w:rsidRPr="000B07C3" w:rsidRDefault="00E92F0B" w:rsidP="00514011">
            <w:r>
              <w:rPr>
                <w:rFonts w:ascii="Calibri" w:hAnsi="Calibri" w:cs="Calibri"/>
                <w:color w:val="000000"/>
              </w:rPr>
              <w:t>1.38</w:t>
            </w:r>
          </w:p>
        </w:tc>
        <w:tc>
          <w:tcPr>
            <w:tcW w:w="960" w:type="dxa"/>
            <w:noWrap/>
            <w:vAlign w:val="bottom"/>
            <w:hideMark/>
          </w:tcPr>
          <w:p w14:paraId="5446F1C8" w14:textId="77777777" w:rsidR="00E92F0B" w:rsidRPr="000B07C3" w:rsidRDefault="00E92F0B" w:rsidP="00514011">
            <w:r>
              <w:rPr>
                <w:rFonts w:ascii="Calibri" w:hAnsi="Calibri" w:cs="Calibri"/>
                <w:color w:val="000000"/>
              </w:rPr>
              <w:t>0.26</w:t>
            </w:r>
          </w:p>
        </w:tc>
        <w:tc>
          <w:tcPr>
            <w:tcW w:w="960" w:type="dxa"/>
            <w:noWrap/>
            <w:vAlign w:val="bottom"/>
            <w:hideMark/>
          </w:tcPr>
          <w:p w14:paraId="40B66125" w14:textId="77777777" w:rsidR="00E92F0B" w:rsidRPr="000B07C3" w:rsidRDefault="00E92F0B" w:rsidP="00514011">
            <w:r>
              <w:rPr>
                <w:rFonts w:ascii="Calibri" w:hAnsi="Calibri" w:cs="Calibri"/>
                <w:color w:val="000000"/>
              </w:rPr>
              <w:t>0.97</w:t>
            </w:r>
          </w:p>
        </w:tc>
        <w:tc>
          <w:tcPr>
            <w:tcW w:w="960" w:type="dxa"/>
            <w:noWrap/>
            <w:vAlign w:val="bottom"/>
            <w:hideMark/>
          </w:tcPr>
          <w:p w14:paraId="2FB999F7" w14:textId="77777777" w:rsidR="00E92F0B" w:rsidRPr="000B07C3" w:rsidRDefault="00E92F0B" w:rsidP="00514011">
            <w:r>
              <w:rPr>
                <w:rFonts w:ascii="Calibri" w:hAnsi="Calibri" w:cs="Calibri"/>
                <w:color w:val="000000"/>
              </w:rPr>
              <w:t>1.82</w:t>
            </w:r>
          </w:p>
        </w:tc>
        <w:tc>
          <w:tcPr>
            <w:tcW w:w="960" w:type="dxa"/>
            <w:noWrap/>
            <w:vAlign w:val="bottom"/>
            <w:hideMark/>
          </w:tcPr>
          <w:p w14:paraId="7E54642E" w14:textId="77777777" w:rsidR="00E92F0B" w:rsidRPr="000B07C3" w:rsidRDefault="00E92F0B" w:rsidP="00514011">
            <w:r>
              <w:rPr>
                <w:rFonts w:ascii="Calibri" w:hAnsi="Calibri" w:cs="Calibri"/>
                <w:color w:val="000000"/>
              </w:rPr>
              <w:t>1.00</w:t>
            </w:r>
          </w:p>
        </w:tc>
        <w:tc>
          <w:tcPr>
            <w:tcW w:w="1008" w:type="dxa"/>
            <w:noWrap/>
            <w:vAlign w:val="bottom"/>
            <w:hideMark/>
          </w:tcPr>
          <w:p w14:paraId="0694358C" w14:textId="77777777" w:rsidR="00E92F0B" w:rsidRPr="000B07C3" w:rsidRDefault="00E92F0B" w:rsidP="00514011">
            <w:r>
              <w:rPr>
                <w:rFonts w:ascii="Calibri" w:hAnsi="Calibri" w:cs="Calibri"/>
                <w:color w:val="000000"/>
              </w:rPr>
              <w:t>1218.79</w:t>
            </w:r>
          </w:p>
        </w:tc>
        <w:tc>
          <w:tcPr>
            <w:tcW w:w="960" w:type="dxa"/>
            <w:noWrap/>
            <w:vAlign w:val="bottom"/>
            <w:hideMark/>
          </w:tcPr>
          <w:p w14:paraId="7ED6E0A5" w14:textId="77777777" w:rsidR="00E92F0B" w:rsidRPr="000B07C3" w:rsidRDefault="00E92F0B" w:rsidP="00514011">
            <w:r>
              <w:rPr>
                <w:rFonts w:ascii="Calibri" w:hAnsi="Calibri" w:cs="Calibri"/>
                <w:color w:val="000000"/>
              </w:rPr>
              <w:t>1859.83</w:t>
            </w:r>
          </w:p>
        </w:tc>
      </w:tr>
      <w:tr w:rsidR="00E92F0B" w:rsidRPr="000B07C3" w14:paraId="37FAA737" w14:textId="77777777" w:rsidTr="00514011">
        <w:trPr>
          <w:trHeight w:val="288"/>
        </w:trPr>
        <w:tc>
          <w:tcPr>
            <w:tcW w:w="1354" w:type="dxa"/>
            <w:noWrap/>
            <w:vAlign w:val="bottom"/>
            <w:hideMark/>
          </w:tcPr>
          <w:p w14:paraId="6C89E2FA" w14:textId="77777777" w:rsidR="00E92F0B" w:rsidRPr="008727D0" w:rsidRDefault="00E92F0B" w:rsidP="00514011">
            <w:pPr>
              <w:rPr>
                <w:b/>
                <w:bCs/>
              </w:rPr>
            </w:pPr>
            <w:r w:rsidRPr="00514011">
              <w:rPr>
                <w:rFonts w:ascii="Calibri" w:hAnsi="Calibri" w:cs="Calibri"/>
                <w:b/>
                <w:bCs/>
                <w:color w:val="000000"/>
              </w:rPr>
              <w:t>DBH (m)</w:t>
            </w:r>
          </w:p>
        </w:tc>
        <w:tc>
          <w:tcPr>
            <w:tcW w:w="960" w:type="dxa"/>
            <w:noWrap/>
            <w:vAlign w:val="bottom"/>
            <w:hideMark/>
          </w:tcPr>
          <w:p w14:paraId="00D57048" w14:textId="77777777" w:rsidR="00E92F0B" w:rsidRPr="000B07C3" w:rsidRDefault="00E92F0B" w:rsidP="00514011">
            <w:r>
              <w:rPr>
                <w:rFonts w:ascii="Calibri" w:hAnsi="Calibri" w:cs="Calibri"/>
                <w:color w:val="000000"/>
              </w:rPr>
              <w:t>4.31</w:t>
            </w:r>
          </w:p>
        </w:tc>
        <w:tc>
          <w:tcPr>
            <w:tcW w:w="960" w:type="dxa"/>
            <w:noWrap/>
            <w:vAlign w:val="bottom"/>
            <w:hideMark/>
          </w:tcPr>
          <w:p w14:paraId="17413D85" w14:textId="77777777" w:rsidR="00E92F0B" w:rsidRPr="000B07C3" w:rsidRDefault="00E92F0B" w:rsidP="00514011">
            <w:r>
              <w:rPr>
                <w:rFonts w:ascii="Calibri" w:hAnsi="Calibri" w:cs="Calibri"/>
                <w:color w:val="000000"/>
              </w:rPr>
              <w:t>4.29</w:t>
            </w:r>
          </w:p>
        </w:tc>
        <w:tc>
          <w:tcPr>
            <w:tcW w:w="960" w:type="dxa"/>
            <w:noWrap/>
            <w:vAlign w:val="bottom"/>
            <w:hideMark/>
          </w:tcPr>
          <w:p w14:paraId="3CE1D61C" w14:textId="77777777" w:rsidR="00E92F0B" w:rsidRPr="000B07C3" w:rsidRDefault="00E92F0B" w:rsidP="00514011">
            <w:r>
              <w:rPr>
                <w:rFonts w:ascii="Calibri" w:hAnsi="Calibri" w:cs="Calibri"/>
                <w:color w:val="000000"/>
              </w:rPr>
              <w:t>0.77</w:t>
            </w:r>
          </w:p>
        </w:tc>
        <w:tc>
          <w:tcPr>
            <w:tcW w:w="960" w:type="dxa"/>
            <w:noWrap/>
            <w:vAlign w:val="bottom"/>
            <w:hideMark/>
          </w:tcPr>
          <w:p w14:paraId="3EDFB764" w14:textId="77777777" w:rsidR="00E92F0B" w:rsidRPr="000B07C3" w:rsidRDefault="00E92F0B" w:rsidP="00514011">
            <w:r>
              <w:rPr>
                <w:rFonts w:ascii="Calibri" w:hAnsi="Calibri" w:cs="Calibri"/>
                <w:color w:val="000000"/>
              </w:rPr>
              <w:t>3.05</w:t>
            </w:r>
          </w:p>
        </w:tc>
        <w:tc>
          <w:tcPr>
            <w:tcW w:w="960" w:type="dxa"/>
            <w:noWrap/>
            <w:vAlign w:val="bottom"/>
            <w:hideMark/>
          </w:tcPr>
          <w:p w14:paraId="278B56F0" w14:textId="77777777" w:rsidR="00E92F0B" w:rsidRPr="000B07C3" w:rsidRDefault="00E92F0B" w:rsidP="00514011">
            <w:r>
              <w:rPr>
                <w:rFonts w:ascii="Calibri" w:hAnsi="Calibri" w:cs="Calibri"/>
                <w:color w:val="000000"/>
              </w:rPr>
              <w:t>5.58</w:t>
            </w:r>
          </w:p>
        </w:tc>
        <w:tc>
          <w:tcPr>
            <w:tcW w:w="960" w:type="dxa"/>
            <w:noWrap/>
            <w:vAlign w:val="bottom"/>
            <w:hideMark/>
          </w:tcPr>
          <w:p w14:paraId="27930656" w14:textId="77777777" w:rsidR="00E92F0B" w:rsidRPr="000B07C3" w:rsidRDefault="00E92F0B" w:rsidP="00514011">
            <w:r>
              <w:rPr>
                <w:rFonts w:ascii="Calibri" w:hAnsi="Calibri" w:cs="Calibri"/>
                <w:color w:val="000000"/>
              </w:rPr>
              <w:t>1.00</w:t>
            </w:r>
          </w:p>
        </w:tc>
        <w:tc>
          <w:tcPr>
            <w:tcW w:w="1008" w:type="dxa"/>
            <w:noWrap/>
            <w:vAlign w:val="bottom"/>
            <w:hideMark/>
          </w:tcPr>
          <w:p w14:paraId="4E66E037" w14:textId="77777777" w:rsidR="00E92F0B" w:rsidRPr="000B07C3" w:rsidRDefault="00E92F0B" w:rsidP="00514011">
            <w:r>
              <w:rPr>
                <w:rFonts w:ascii="Calibri" w:hAnsi="Calibri" w:cs="Calibri"/>
                <w:color w:val="000000"/>
              </w:rPr>
              <w:t>1225.93</w:t>
            </w:r>
          </w:p>
        </w:tc>
        <w:tc>
          <w:tcPr>
            <w:tcW w:w="960" w:type="dxa"/>
            <w:noWrap/>
            <w:vAlign w:val="bottom"/>
            <w:hideMark/>
          </w:tcPr>
          <w:p w14:paraId="5BB4890D" w14:textId="77777777" w:rsidR="00E92F0B" w:rsidRPr="000B07C3" w:rsidRDefault="00E92F0B" w:rsidP="00514011">
            <w:r>
              <w:rPr>
                <w:rFonts w:ascii="Calibri" w:hAnsi="Calibri" w:cs="Calibri"/>
                <w:color w:val="000000"/>
              </w:rPr>
              <w:t>1840.31</w:t>
            </w:r>
          </w:p>
        </w:tc>
      </w:tr>
      <w:tr w:rsidR="00E92F0B" w:rsidRPr="000B07C3" w14:paraId="4FA4CA14" w14:textId="77777777" w:rsidTr="00514011">
        <w:trPr>
          <w:trHeight w:val="288"/>
        </w:trPr>
        <w:tc>
          <w:tcPr>
            <w:tcW w:w="1354" w:type="dxa"/>
            <w:noWrap/>
            <w:vAlign w:val="bottom"/>
            <w:hideMark/>
          </w:tcPr>
          <w:p w14:paraId="25EDCD9C" w14:textId="77777777" w:rsidR="00E92F0B" w:rsidRPr="008727D0" w:rsidRDefault="00E92F0B" w:rsidP="00514011">
            <w:pPr>
              <w:rPr>
                <w:b/>
                <w:bCs/>
              </w:rPr>
            </w:pPr>
            <w:r w:rsidRPr="00514011">
              <w:rPr>
                <w:rFonts w:ascii="Calibri" w:hAnsi="Calibri" w:cs="Calibri"/>
                <w:b/>
                <w:bCs/>
                <w:color w:val="000000"/>
              </w:rPr>
              <w:t>DBH^2 (m)</w:t>
            </w:r>
          </w:p>
        </w:tc>
        <w:tc>
          <w:tcPr>
            <w:tcW w:w="960" w:type="dxa"/>
            <w:noWrap/>
            <w:vAlign w:val="bottom"/>
            <w:hideMark/>
          </w:tcPr>
          <w:p w14:paraId="2EF5B157" w14:textId="77777777" w:rsidR="00E92F0B" w:rsidRPr="000B07C3" w:rsidRDefault="00E92F0B" w:rsidP="00514011">
            <w:r>
              <w:rPr>
                <w:rFonts w:ascii="Calibri" w:hAnsi="Calibri" w:cs="Calibri"/>
                <w:color w:val="000000"/>
              </w:rPr>
              <w:t>-2.40</w:t>
            </w:r>
          </w:p>
        </w:tc>
        <w:tc>
          <w:tcPr>
            <w:tcW w:w="960" w:type="dxa"/>
            <w:noWrap/>
            <w:vAlign w:val="bottom"/>
            <w:hideMark/>
          </w:tcPr>
          <w:p w14:paraId="22A11E04" w14:textId="77777777" w:rsidR="00E92F0B" w:rsidRPr="000B07C3" w:rsidRDefault="00E92F0B" w:rsidP="00514011">
            <w:r>
              <w:rPr>
                <w:rFonts w:ascii="Calibri" w:hAnsi="Calibri" w:cs="Calibri"/>
                <w:color w:val="000000"/>
              </w:rPr>
              <w:t>-2.39</w:t>
            </w:r>
          </w:p>
        </w:tc>
        <w:tc>
          <w:tcPr>
            <w:tcW w:w="960" w:type="dxa"/>
            <w:noWrap/>
            <w:vAlign w:val="bottom"/>
            <w:hideMark/>
          </w:tcPr>
          <w:p w14:paraId="1A0936E7" w14:textId="77777777" w:rsidR="00E92F0B" w:rsidRPr="000B07C3" w:rsidRDefault="00E92F0B" w:rsidP="00514011">
            <w:r>
              <w:rPr>
                <w:rFonts w:ascii="Calibri" w:hAnsi="Calibri" w:cs="Calibri"/>
                <w:color w:val="000000"/>
              </w:rPr>
              <w:t>0.55</w:t>
            </w:r>
          </w:p>
        </w:tc>
        <w:tc>
          <w:tcPr>
            <w:tcW w:w="960" w:type="dxa"/>
            <w:noWrap/>
            <w:vAlign w:val="bottom"/>
            <w:hideMark/>
          </w:tcPr>
          <w:p w14:paraId="6E8BFF47" w14:textId="77777777" w:rsidR="00E92F0B" w:rsidRPr="000B07C3" w:rsidRDefault="00E92F0B" w:rsidP="00514011">
            <w:r>
              <w:rPr>
                <w:rFonts w:ascii="Calibri" w:hAnsi="Calibri" w:cs="Calibri"/>
                <w:color w:val="000000"/>
              </w:rPr>
              <w:t>-3.29</w:t>
            </w:r>
          </w:p>
        </w:tc>
        <w:tc>
          <w:tcPr>
            <w:tcW w:w="960" w:type="dxa"/>
            <w:noWrap/>
            <w:vAlign w:val="bottom"/>
            <w:hideMark/>
          </w:tcPr>
          <w:p w14:paraId="0BCD2BF3" w14:textId="77777777" w:rsidR="00E92F0B" w:rsidRPr="000B07C3" w:rsidRDefault="00E92F0B" w:rsidP="00514011">
            <w:r>
              <w:rPr>
                <w:rFonts w:ascii="Calibri" w:hAnsi="Calibri" w:cs="Calibri"/>
                <w:color w:val="000000"/>
              </w:rPr>
              <w:t>-1.50</w:t>
            </w:r>
          </w:p>
        </w:tc>
        <w:tc>
          <w:tcPr>
            <w:tcW w:w="960" w:type="dxa"/>
            <w:noWrap/>
            <w:vAlign w:val="bottom"/>
            <w:hideMark/>
          </w:tcPr>
          <w:p w14:paraId="591BC525" w14:textId="77777777" w:rsidR="00E92F0B" w:rsidRPr="000B07C3" w:rsidRDefault="00E92F0B" w:rsidP="00514011">
            <w:r>
              <w:rPr>
                <w:rFonts w:ascii="Calibri" w:hAnsi="Calibri" w:cs="Calibri"/>
                <w:color w:val="000000"/>
              </w:rPr>
              <w:t>1.00</w:t>
            </w:r>
          </w:p>
        </w:tc>
        <w:tc>
          <w:tcPr>
            <w:tcW w:w="1008" w:type="dxa"/>
            <w:noWrap/>
            <w:vAlign w:val="bottom"/>
            <w:hideMark/>
          </w:tcPr>
          <w:p w14:paraId="1966FB4E" w14:textId="77777777" w:rsidR="00E92F0B" w:rsidRPr="000B07C3" w:rsidRDefault="00E92F0B" w:rsidP="00514011">
            <w:r>
              <w:rPr>
                <w:rFonts w:ascii="Calibri" w:hAnsi="Calibri" w:cs="Calibri"/>
                <w:color w:val="000000"/>
              </w:rPr>
              <w:t>1320.76</w:t>
            </w:r>
          </w:p>
        </w:tc>
        <w:tc>
          <w:tcPr>
            <w:tcW w:w="960" w:type="dxa"/>
            <w:noWrap/>
            <w:vAlign w:val="bottom"/>
            <w:hideMark/>
          </w:tcPr>
          <w:p w14:paraId="1EC3912A" w14:textId="77777777" w:rsidR="00E92F0B" w:rsidRPr="000B07C3" w:rsidRDefault="00E92F0B" w:rsidP="00514011">
            <w:r>
              <w:rPr>
                <w:rFonts w:ascii="Calibri" w:hAnsi="Calibri" w:cs="Calibri"/>
                <w:color w:val="000000"/>
              </w:rPr>
              <w:t>2096.45</w:t>
            </w:r>
          </w:p>
        </w:tc>
      </w:tr>
      <w:tr w:rsidR="00E92F0B" w:rsidRPr="000B07C3" w14:paraId="4C321805" w14:textId="77777777" w:rsidTr="00514011">
        <w:trPr>
          <w:trHeight w:val="288"/>
        </w:trPr>
        <w:tc>
          <w:tcPr>
            <w:tcW w:w="1354" w:type="dxa"/>
            <w:noWrap/>
            <w:vAlign w:val="bottom"/>
            <w:hideMark/>
          </w:tcPr>
          <w:p w14:paraId="7FE94897" w14:textId="77777777" w:rsidR="00E92F0B" w:rsidRPr="008727D0" w:rsidRDefault="00E92F0B" w:rsidP="00514011">
            <w:pPr>
              <w:rPr>
                <w:b/>
                <w:bCs/>
              </w:rPr>
            </w:pPr>
            <w:r w:rsidRPr="00514011">
              <w:rPr>
                <w:rFonts w:ascii="Calibri" w:hAnsi="Calibri" w:cs="Calibri"/>
                <w:b/>
                <w:bCs/>
                <w:color w:val="000000"/>
              </w:rPr>
              <w:t>Fire</w:t>
            </w:r>
          </w:p>
        </w:tc>
        <w:tc>
          <w:tcPr>
            <w:tcW w:w="960" w:type="dxa"/>
            <w:noWrap/>
            <w:vAlign w:val="bottom"/>
            <w:hideMark/>
          </w:tcPr>
          <w:p w14:paraId="3392B534" w14:textId="77777777" w:rsidR="00E92F0B" w:rsidRPr="000B07C3" w:rsidRDefault="00E92F0B" w:rsidP="00514011">
            <w:r>
              <w:rPr>
                <w:rFonts w:ascii="Calibri" w:hAnsi="Calibri" w:cs="Calibri"/>
                <w:color w:val="000000"/>
              </w:rPr>
              <w:t>-3.51</w:t>
            </w:r>
          </w:p>
        </w:tc>
        <w:tc>
          <w:tcPr>
            <w:tcW w:w="960" w:type="dxa"/>
            <w:noWrap/>
            <w:vAlign w:val="bottom"/>
            <w:hideMark/>
          </w:tcPr>
          <w:p w14:paraId="1E3E588B" w14:textId="77777777" w:rsidR="00E92F0B" w:rsidRPr="000B07C3" w:rsidRDefault="00E92F0B" w:rsidP="00514011">
            <w:r>
              <w:rPr>
                <w:rFonts w:ascii="Calibri" w:hAnsi="Calibri" w:cs="Calibri"/>
                <w:color w:val="000000"/>
              </w:rPr>
              <w:t>-3.50</w:t>
            </w:r>
          </w:p>
        </w:tc>
        <w:tc>
          <w:tcPr>
            <w:tcW w:w="960" w:type="dxa"/>
            <w:noWrap/>
            <w:vAlign w:val="bottom"/>
            <w:hideMark/>
          </w:tcPr>
          <w:p w14:paraId="58D79F5E" w14:textId="77777777" w:rsidR="00E92F0B" w:rsidRPr="000B07C3" w:rsidRDefault="00E92F0B" w:rsidP="00514011">
            <w:r>
              <w:rPr>
                <w:rFonts w:ascii="Calibri" w:hAnsi="Calibri" w:cs="Calibri"/>
                <w:color w:val="000000"/>
              </w:rPr>
              <w:t>0.56</w:t>
            </w:r>
          </w:p>
        </w:tc>
        <w:tc>
          <w:tcPr>
            <w:tcW w:w="960" w:type="dxa"/>
            <w:noWrap/>
            <w:vAlign w:val="bottom"/>
            <w:hideMark/>
          </w:tcPr>
          <w:p w14:paraId="6309AEF1" w14:textId="77777777" w:rsidR="00E92F0B" w:rsidRPr="000B07C3" w:rsidRDefault="00E92F0B" w:rsidP="00514011">
            <w:r>
              <w:rPr>
                <w:rFonts w:ascii="Calibri" w:hAnsi="Calibri" w:cs="Calibri"/>
                <w:color w:val="000000"/>
              </w:rPr>
              <w:t>-4.45</w:t>
            </w:r>
          </w:p>
        </w:tc>
        <w:tc>
          <w:tcPr>
            <w:tcW w:w="960" w:type="dxa"/>
            <w:noWrap/>
            <w:vAlign w:val="bottom"/>
            <w:hideMark/>
          </w:tcPr>
          <w:p w14:paraId="05892C92" w14:textId="77777777" w:rsidR="00E92F0B" w:rsidRPr="000B07C3" w:rsidRDefault="00E92F0B" w:rsidP="00514011">
            <w:r>
              <w:rPr>
                <w:rFonts w:ascii="Calibri" w:hAnsi="Calibri" w:cs="Calibri"/>
                <w:color w:val="000000"/>
              </w:rPr>
              <w:t>-2.61</w:t>
            </w:r>
          </w:p>
        </w:tc>
        <w:tc>
          <w:tcPr>
            <w:tcW w:w="960" w:type="dxa"/>
            <w:noWrap/>
            <w:vAlign w:val="bottom"/>
            <w:hideMark/>
          </w:tcPr>
          <w:p w14:paraId="7A7F886B" w14:textId="77777777" w:rsidR="00E92F0B" w:rsidRPr="000B07C3" w:rsidRDefault="00E92F0B" w:rsidP="00514011">
            <w:r>
              <w:rPr>
                <w:rFonts w:ascii="Calibri" w:hAnsi="Calibri" w:cs="Calibri"/>
                <w:color w:val="000000"/>
              </w:rPr>
              <w:t>1.00</w:t>
            </w:r>
          </w:p>
        </w:tc>
        <w:tc>
          <w:tcPr>
            <w:tcW w:w="1008" w:type="dxa"/>
            <w:noWrap/>
            <w:vAlign w:val="bottom"/>
            <w:hideMark/>
          </w:tcPr>
          <w:p w14:paraId="09A17799" w14:textId="77777777" w:rsidR="00E92F0B" w:rsidRPr="000B07C3" w:rsidRDefault="00E92F0B" w:rsidP="00514011">
            <w:r>
              <w:rPr>
                <w:rFonts w:ascii="Calibri" w:hAnsi="Calibri" w:cs="Calibri"/>
                <w:color w:val="000000"/>
              </w:rPr>
              <w:t>1364.76</w:t>
            </w:r>
          </w:p>
        </w:tc>
        <w:tc>
          <w:tcPr>
            <w:tcW w:w="960" w:type="dxa"/>
            <w:noWrap/>
            <w:vAlign w:val="bottom"/>
            <w:hideMark/>
          </w:tcPr>
          <w:p w14:paraId="1275CC7A" w14:textId="77777777" w:rsidR="00E92F0B" w:rsidRPr="000B07C3" w:rsidRDefault="00E92F0B" w:rsidP="00514011">
            <w:r>
              <w:rPr>
                <w:rFonts w:ascii="Calibri" w:hAnsi="Calibri" w:cs="Calibri"/>
                <w:color w:val="000000"/>
              </w:rPr>
              <w:t>2179.64</w:t>
            </w:r>
          </w:p>
        </w:tc>
      </w:tr>
      <w:tr w:rsidR="00E92F0B" w:rsidRPr="000B07C3" w14:paraId="52F0CFF6" w14:textId="77777777" w:rsidTr="00514011">
        <w:trPr>
          <w:trHeight w:val="288"/>
        </w:trPr>
        <w:tc>
          <w:tcPr>
            <w:tcW w:w="1354" w:type="dxa"/>
            <w:noWrap/>
            <w:vAlign w:val="bottom"/>
            <w:hideMark/>
          </w:tcPr>
          <w:p w14:paraId="38D05E65" w14:textId="77777777" w:rsidR="00E92F0B" w:rsidRPr="008727D0" w:rsidRDefault="00E92F0B" w:rsidP="00514011">
            <w:pPr>
              <w:rPr>
                <w:b/>
                <w:bCs/>
              </w:rPr>
            </w:pPr>
            <w:r w:rsidRPr="00514011">
              <w:rPr>
                <w:rFonts w:ascii="Calibri" w:hAnsi="Calibri" w:cs="Calibri"/>
                <w:b/>
                <w:bCs/>
                <w:color w:val="000000"/>
              </w:rPr>
              <w:t>WPBR</w:t>
            </w:r>
          </w:p>
        </w:tc>
        <w:tc>
          <w:tcPr>
            <w:tcW w:w="960" w:type="dxa"/>
            <w:noWrap/>
            <w:vAlign w:val="bottom"/>
            <w:hideMark/>
          </w:tcPr>
          <w:p w14:paraId="2CC215B8" w14:textId="77777777" w:rsidR="00E92F0B" w:rsidRPr="000B07C3" w:rsidRDefault="00E92F0B" w:rsidP="00514011">
            <w:r>
              <w:rPr>
                <w:rFonts w:ascii="Calibri" w:hAnsi="Calibri" w:cs="Calibri"/>
                <w:color w:val="000000"/>
              </w:rPr>
              <w:t>-0.96</w:t>
            </w:r>
          </w:p>
        </w:tc>
        <w:tc>
          <w:tcPr>
            <w:tcW w:w="960" w:type="dxa"/>
            <w:noWrap/>
            <w:vAlign w:val="bottom"/>
            <w:hideMark/>
          </w:tcPr>
          <w:p w14:paraId="2CC80332" w14:textId="77777777" w:rsidR="00E92F0B" w:rsidRPr="000B07C3" w:rsidRDefault="00E92F0B" w:rsidP="00514011">
            <w:r>
              <w:rPr>
                <w:rFonts w:ascii="Calibri" w:hAnsi="Calibri" w:cs="Calibri"/>
                <w:color w:val="000000"/>
              </w:rPr>
              <w:t>-0.96</w:t>
            </w:r>
          </w:p>
        </w:tc>
        <w:tc>
          <w:tcPr>
            <w:tcW w:w="960" w:type="dxa"/>
            <w:noWrap/>
            <w:vAlign w:val="bottom"/>
            <w:hideMark/>
          </w:tcPr>
          <w:p w14:paraId="102F565B" w14:textId="77777777" w:rsidR="00E92F0B" w:rsidRPr="000B07C3" w:rsidRDefault="00E92F0B" w:rsidP="00514011">
            <w:r>
              <w:rPr>
                <w:rFonts w:ascii="Calibri" w:hAnsi="Calibri" w:cs="Calibri"/>
                <w:color w:val="000000"/>
              </w:rPr>
              <w:t>0.55</w:t>
            </w:r>
          </w:p>
        </w:tc>
        <w:tc>
          <w:tcPr>
            <w:tcW w:w="960" w:type="dxa"/>
            <w:noWrap/>
            <w:vAlign w:val="bottom"/>
            <w:hideMark/>
          </w:tcPr>
          <w:p w14:paraId="03109596" w14:textId="77777777" w:rsidR="00E92F0B" w:rsidRPr="000B07C3" w:rsidRDefault="00E92F0B" w:rsidP="00514011">
            <w:r>
              <w:rPr>
                <w:rFonts w:ascii="Calibri" w:hAnsi="Calibri" w:cs="Calibri"/>
                <w:color w:val="000000"/>
              </w:rPr>
              <w:t>-1.87</w:t>
            </w:r>
          </w:p>
        </w:tc>
        <w:tc>
          <w:tcPr>
            <w:tcW w:w="960" w:type="dxa"/>
            <w:noWrap/>
            <w:vAlign w:val="bottom"/>
            <w:hideMark/>
          </w:tcPr>
          <w:p w14:paraId="2E475BA2" w14:textId="77777777" w:rsidR="00E92F0B" w:rsidRPr="000B07C3" w:rsidRDefault="00E92F0B" w:rsidP="00514011">
            <w:r>
              <w:rPr>
                <w:rFonts w:ascii="Calibri" w:hAnsi="Calibri" w:cs="Calibri"/>
                <w:color w:val="000000"/>
              </w:rPr>
              <w:t>-0.05</w:t>
            </w:r>
          </w:p>
        </w:tc>
        <w:tc>
          <w:tcPr>
            <w:tcW w:w="960" w:type="dxa"/>
            <w:noWrap/>
            <w:vAlign w:val="bottom"/>
            <w:hideMark/>
          </w:tcPr>
          <w:p w14:paraId="02931BEA" w14:textId="77777777" w:rsidR="00E92F0B" w:rsidRPr="000B07C3" w:rsidRDefault="00E92F0B" w:rsidP="00514011">
            <w:r>
              <w:rPr>
                <w:rFonts w:ascii="Calibri" w:hAnsi="Calibri" w:cs="Calibri"/>
                <w:color w:val="000000"/>
              </w:rPr>
              <w:t>1.00</w:t>
            </w:r>
          </w:p>
        </w:tc>
        <w:tc>
          <w:tcPr>
            <w:tcW w:w="1008" w:type="dxa"/>
            <w:noWrap/>
            <w:vAlign w:val="bottom"/>
            <w:hideMark/>
          </w:tcPr>
          <w:p w14:paraId="60A2A41E" w14:textId="77777777" w:rsidR="00E92F0B" w:rsidRPr="000B07C3" w:rsidRDefault="00E92F0B" w:rsidP="00514011">
            <w:r>
              <w:rPr>
                <w:rFonts w:ascii="Calibri" w:hAnsi="Calibri" w:cs="Calibri"/>
                <w:color w:val="000000"/>
              </w:rPr>
              <w:t>1279.53</w:t>
            </w:r>
          </w:p>
        </w:tc>
        <w:tc>
          <w:tcPr>
            <w:tcW w:w="960" w:type="dxa"/>
            <w:noWrap/>
            <w:vAlign w:val="bottom"/>
            <w:hideMark/>
          </w:tcPr>
          <w:p w14:paraId="5A7EF102" w14:textId="77777777" w:rsidR="00E92F0B" w:rsidRPr="000B07C3" w:rsidRDefault="00E92F0B" w:rsidP="00514011">
            <w:r>
              <w:rPr>
                <w:rFonts w:ascii="Calibri" w:hAnsi="Calibri" w:cs="Calibri"/>
                <w:color w:val="000000"/>
              </w:rPr>
              <w:t>2174.54</w:t>
            </w:r>
          </w:p>
        </w:tc>
      </w:tr>
      <w:tr w:rsidR="00E92F0B" w:rsidRPr="000B07C3" w14:paraId="29EC59A3" w14:textId="77777777" w:rsidTr="00514011">
        <w:trPr>
          <w:trHeight w:val="288"/>
        </w:trPr>
        <w:tc>
          <w:tcPr>
            <w:tcW w:w="1354" w:type="dxa"/>
            <w:noWrap/>
            <w:vAlign w:val="bottom"/>
            <w:hideMark/>
          </w:tcPr>
          <w:p w14:paraId="7B670254" w14:textId="77777777" w:rsidR="00E92F0B" w:rsidRPr="008727D0" w:rsidRDefault="00E92F0B" w:rsidP="00514011">
            <w:pPr>
              <w:rPr>
                <w:b/>
                <w:bCs/>
              </w:rPr>
            </w:pPr>
            <w:r w:rsidRPr="00514011">
              <w:rPr>
                <w:rFonts w:ascii="Calibri" w:hAnsi="Calibri" w:cs="Calibri"/>
                <w:b/>
                <w:bCs/>
                <w:color w:val="000000"/>
              </w:rPr>
              <w:t>Basal Area</w:t>
            </w:r>
          </w:p>
        </w:tc>
        <w:tc>
          <w:tcPr>
            <w:tcW w:w="960" w:type="dxa"/>
            <w:noWrap/>
            <w:vAlign w:val="bottom"/>
            <w:hideMark/>
          </w:tcPr>
          <w:p w14:paraId="39D15B49" w14:textId="77777777" w:rsidR="00E92F0B" w:rsidRPr="000B07C3" w:rsidRDefault="00E92F0B" w:rsidP="00514011">
            <w:r>
              <w:rPr>
                <w:rFonts w:ascii="Calibri" w:hAnsi="Calibri" w:cs="Calibri"/>
                <w:color w:val="000000"/>
              </w:rPr>
              <w:t>-0.81</w:t>
            </w:r>
          </w:p>
        </w:tc>
        <w:tc>
          <w:tcPr>
            <w:tcW w:w="960" w:type="dxa"/>
            <w:noWrap/>
            <w:vAlign w:val="bottom"/>
            <w:hideMark/>
          </w:tcPr>
          <w:p w14:paraId="2FA7C248" w14:textId="77777777" w:rsidR="00E92F0B" w:rsidRPr="000B07C3" w:rsidRDefault="00E92F0B" w:rsidP="00514011">
            <w:r>
              <w:rPr>
                <w:rFonts w:ascii="Calibri" w:hAnsi="Calibri" w:cs="Calibri"/>
                <w:color w:val="000000"/>
              </w:rPr>
              <w:t>-0.81</w:t>
            </w:r>
          </w:p>
        </w:tc>
        <w:tc>
          <w:tcPr>
            <w:tcW w:w="960" w:type="dxa"/>
            <w:noWrap/>
            <w:vAlign w:val="bottom"/>
            <w:hideMark/>
          </w:tcPr>
          <w:p w14:paraId="51D517ED" w14:textId="77777777" w:rsidR="00E92F0B" w:rsidRPr="000B07C3" w:rsidRDefault="00E92F0B" w:rsidP="00514011">
            <w:r>
              <w:rPr>
                <w:rFonts w:ascii="Calibri" w:hAnsi="Calibri" w:cs="Calibri"/>
                <w:color w:val="000000"/>
              </w:rPr>
              <w:t>0.22</w:t>
            </w:r>
          </w:p>
        </w:tc>
        <w:tc>
          <w:tcPr>
            <w:tcW w:w="960" w:type="dxa"/>
            <w:noWrap/>
            <w:vAlign w:val="bottom"/>
            <w:hideMark/>
          </w:tcPr>
          <w:p w14:paraId="7703BBC8" w14:textId="77777777" w:rsidR="00E92F0B" w:rsidRPr="000B07C3" w:rsidRDefault="00E92F0B" w:rsidP="00514011">
            <w:r>
              <w:rPr>
                <w:rFonts w:ascii="Calibri" w:hAnsi="Calibri" w:cs="Calibri"/>
                <w:color w:val="000000"/>
              </w:rPr>
              <w:t>-1.18</w:t>
            </w:r>
          </w:p>
        </w:tc>
        <w:tc>
          <w:tcPr>
            <w:tcW w:w="960" w:type="dxa"/>
            <w:noWrap/>
            <w:vAlign w:val="bottom"/>
            <w:hideMark/>
          </w:tcPr>
          <w:p w14:paraId="6547DBF1" w14:textId="77777777" w:rsidR="00E92F0B" w:rsidRPr="000B07C3" w:rsidRDefault="00E92F0B" w:rsidP="00514011">
            <w:r>
              <w:rPr>
                <w:rFonts w:ascii="Calibri" w:hAnsi="Calibri" w:cs="Calibri"/>
                <w:color w:val="000000"/>
              </w:rPr>
              <w:t>-0.45</w:t>
            </w:r>
          </w:p>
        </w:tc>
        <w:tc>
          <w:tcPr>
            <w:tcW w:w="960" w:type="dxa"/>
            <w:noWrap/>
            <w:vAlign w:val="bottom"/>
            <w:hideMark/>
          </w:tcPr>
          <w:p w14:paraId="10CDA929" w14:textId="77777777" w:rsidR="00E92F0B" w:rsidRPr="000B07C3" w:rsidRDefault="00E92F0B" w:rsidP="00514011">
            <w:r>
              <w:rPr>
                <w:rFonts w:ascii="Calibri" w:hAnsi="Calibri" w:cs="Calibri"/>
                <w:color w:val="000000"/>
              </w:rPr>
              <w:t>1.00</w:t>
            </w:r>
          </w:p>
        </w:tc>
        <w:tc>
          <w:tcPr>
            <w:tcW w:w="1008" w:type="dxa"/>
            <w:noWrap/>
            <w:vAlign w:val="bottom"/>
            <w:hideMark/>
          </w:tcPr>
          <w:p w14:paraId="3CDF3FFE" w14:textId="77777777" w:rsidR="00E92F0B" w:rsidRPr="000B07C3" w:rsidRDefault="00E92F0B" w:rsidP="00514011">
            <w:r>
              <w:rPr>
                <w:rFonts w:ascii="Calibri" w:hAnsi="Calibri" w:cs="Calibri"/>
                <w:color w:val="000000"/>
              </w:rPr>
              <w:t>1463.60</w:t>
            </w:r>
          </w:p>
        </w:tc>
        <w:tc>
          <w:tcPr>
            <w:tcW w:w="960" w:type="dxa"/>
            <w:noWrap/>
            <w:vAlign w:val="bottom"/>
            <w:hideMark/>
          </w:tcPr>
          <w:p w14:paraId="5BA6D2A8" w14:textId="77777777" w:rsidR="00E92F0B" w:rsidRPr="000B07C3" w:rsidRDefault="00E92F0B" w:rsidP="00514011">
            <w:r>
              <w:rPr>
                <w:rFonts w:ascii="Calibri" w:hAnsi="Calibri" w:cs="Calibri"/>
                <w:color w:val="000000"/>
              </w:rPr>
              <w:t>2170.85</w:t>
            </w:r>
          </w:p>
        </w:tc>
      </w:tr>
      <w:tr w:rsidR="00E92F0B" w:rsidRPr="000B07C3" w14:paraId="4D532ADE" w14:textId="77777777" w:rsidTr="00514011">
        <w:trPr>
          <w:trHeight w:val="288"/>
        </w:trPr>
        <w:tc>
          <w:tcPr>
            <w:tcW w:w="1354" w:type="dxa"/>
            <w:noWrap/>
            <w:vAlign w:val="bottom"/>
            <w:hideMark/>
          </w:tcPr>
          <w:p w14:paraId="6B379D8D" w14:textId="77777777" w:rsidR="00E92F0B" w:rsidRPr="008727D0" w:rsidRDefault="00E92F0B" w:rsidP="00514011">
            <w:pPr>
              <w:rPr>
                <w:b/>
                <w:bCs/>
              </w:rPr>
            </w:pPr>
            <w:r w:rsidRPr="00514011">
              <w:rPr>
                <w:rFonts w:ascii="Calibri" w:hAnsi="Calibri" w:cs="Calibri"/>
                <w:b/>
                <w:bCs/>
                <w:color w:val="000000"/>
              </w:rPr>
              <w:t>Drought</w:t>
            </w:r>
          </w:p>
        </w:tc>
        <w:tc>
          <w:tcPr>
            <w:tcW w:w="960" w:type="dxa"/>
            <w:noWrap/>
            <w:vAlign w:val="bottom"/>
            <w:hideMark/>
          </w:tcPr>
          <w:p w14:paraId="4FA4142C" w14:textId="77777777" w:rsidR="00E92F0B" w:rsidRPr="000B07C3" w:rsidRDefault="00E92F0B" w:rsidP="00514011">
            <w:r>
              <w:rPr>
                <w:rFonts w:ascii="Calibri" w:hAnsi="Calibri" w:cs="Calibri"/>
                <w:color w:val="000000"/>
              </w:rPr>
              <w:t>-0.34</w:t>
            </w:r>
          </w:p>
        </w:tc>
        <w:tc>
          <w:tcPr>
            <w:tcW w:w="960" w:type="dxa"/>
            <w:noWrap/>
            <w:vAlign w:val="bottom"/>
            <w:hideMark/>
          </w:tcPr>
          <w:p w14:paraId="64A6AFD4" w14:textId="77777777" w:rsidR="00E92F0B" w:rsidRPr="000B07C3" w:rsidRDefault="00E92F0B" w:rsidP="00514011">
            <w:r>
              <w:rPr>
                <w:rFonts w:ascii="Calibri" w:hAnsi="Calibri" w:cs="Calibri"/>
                <w:color w:val="000000"/>
              </w:rPr>
              <w:t>-0.34</w:t>
            </w:r>
          </w:p>
        </w:tc>
        <w:tc>
          <w:tcPr>
            <w:tcW w:w="960" w:type="dxa"/>
            <w:noWrap/>
            <w:vAlign w:val="bottom"/>
            <w:hideMark/>
          </w:tcPr>
          <w:p w14:paraId="69B43BAB" w14:textId="77777777" w:rsidR="00E92F0B" w:rsidRPr="000B07C3" w:rsidRDefault="00E92F0B" w:rsidP="00514011">
            <w:r>
              <w:rPr>
                <w:rFonts w:ascii="Calibri" w:hAnsi="Calibri" w:cs="Calibri"/>
                <w:color w:val="000000"/>
              </w:rPr>
              <w:t>0.20</w:t>
            </w:r>
          </w:p>
        </w:tc>
        <w:tc>
          <w:tcPr>
            <w:tcW w:w="960" w:type="dxa"/>
            <w:noWrap/>
            <w:vAlign w:val="bottom"/>
            <w:hideMark/>
          </w:tcPr>
          <w:p w14:paraId="4261FF4A" w14:textId="77777777" w:rsidR="00E92F0B" w:rsidRPr="000B07C3" w:rsidRDefault="00E92F0B" w:rsidP="00514011">
            <w:r>
              <w:rPr>
                <w:rFonts w:ascii="Calibri" w:hAnsi="Calibri" w:cs="Calibri"/>
                <w:color w:val="000000"/>
              </w:rPr>
              <w:t>-0.68</w:t>
            </w:r>
          </w:p>
        </w:tc>
        <w:tc>
          <w:tcPr>
            <w:tcW w:w="960" w:type="dxa"/>
            <w:noWrap/>
            <w:vAlign w:val="bottom"/>
            <w:hideMark/>
          </w:tcPr>
          <w:p w14:paraId="448B9080" w14:textId="77777777" w:rsidR="00E92F0B" w:rsidRPr="000B07C3" w:rsidRDefault="00E92F0B" w:rsidP="00514011">
            <w:r>
              <w:rPr>
                <w:rFonts w:ascii="Calibri" w:hAnsi="Calibri" w:cs="Calibri"/>
                <w:color w:val="000000"/>
              </w:rPr>
              <w:t>-0.01</w:t>
            </w:r>
          </w:p>
        </w:tc>
        <w:tc>
          <w:tcPr>
            <w:tcW w:w="960" w:type="dxa"/>
            <w:noWrap/>
            <w:vAlign w:val="bottom"/>
            <w:hideMark/>
          </w:tcPr>
          <w:p w14:paraId="39335771" w14:textId="77777777" w:rsidR="00E92F0B" w:rsidRPr="000B07C3" w:rsidRDefault="00E92F0B" w:rsidP="00514011">
            <w:r>
              <w:rPr>
                <w:rFonts w:ascii="Calibri" w:hAnsi="Calibri" w:cs="Calibri"/>
                <w:color w:val="000000"/>
              </w:rPr>
              <w:t>1.00</w:t>
            </w:r>
          </w:p>
        </w:tc>
        <w:tc>
          <w:tcPr>
            <w:tcW w:w="1008" w:type="dxa"/>
            <w:noWrap/>
            <w:vAlign w:val="bottom"/>
            <w:hideMark/>
          </w:tcPr>
          <w:p w14:paraId="01AE54D5" w14:textId="77777777" w:rsidR="00E92F0B" w:rsidRPr="000B07C3" w:rsidRDefault="00E92F0B" w:rsidP="00514011">
            <w:r>
              <w:rPr>
                <w:rFonts w:ascii="Calibri" w:hAnsi="Calibri" w:cs="Calibri"/>
                <w:color w:val="000000"/>
              </w:rPr>
              <w:t>1113.71</w:t>
            </w:r>
          </w:p>
        </w:tc>
        <w:tc>
          <w:tcPr>
            <w:tcW w:w="960" w:type="dxa"/>
            <w:noWrap/>
            <w:vAlign w:val="bottom"/>
            <w:hideMark/>
          </w:tcPr>
          <w:p w14:paraId="17F92D7F" w14:textId="77777777" w:rsidR="00E92F0B" w:rsidRPr="000B07C3" w:rsidRDefault="00E92F0B" w:rsidP="00514011">
            <w:r>
              <w:rPr>
                <w:rFonts w:ascii="Calibri" w:hAnsi="Calibri" w:cs="Calibri"/>
                <w:color w:val="000000"/>
              </w:rPr>
              <w:t>1900.59</w:t>
            </w:r>
          </w:p>
        </w:tc>
      </w:tr>
      <w:tr w:rsidR="00E92F0B" w:rsidRPr="000B07C3" w14:paraId="70ECCDB0" w14:textId="77777777" w:rsidTr="00514011">
        <w:trPr>
          <w:trHeight w:val="288"/>
        </w:trPr>
        <w:tc>
          <w:tcPr>
            <w:tcW w:w="1354" w:type="dxa"/>
            <w:noWrap/>
            <w:vAlign w:val="bottom"/>
            <w:hideMark/>
          </w:tcPr>
          <w:p w14:paraId="0AA06D4E" w14:textId="77777777" w:rsidR="00E92F0B" w:rsidRPr="008727D0" w:rsidRDefault="00E92F0B" w:rsidP="00514011">
            <w:pPr>
              <w:rPr>
                <w:b/>
                <w:bCs/>
              </w:rPr>
            </w:pPr>
            <w:r w:rsidRPr="00514011">
              <w:rPr>
                <w:rFonts w:ascii="Calibri" w:hAnsi="Calibri" w:cs="Calibri"/>
                <w:b/>
                <w:bCs/>
                <w:color w:val="000000"/>
              </w:rPr>
              <w:t>Site Dryness</w:t>
            </w:r>
          </w:p>
        </w:tc>
        <w:tc>
          <w:tcPr>
            <w:tcW w:w="960" w:type="dxa"/>
            <w:noWrap/>
            <w:vAlign w:val="bottom"/>
            <w:hideMark/>
          </w:tcPr>
          <w:p w14:paraId="478DF6F8" w14:textId="77777777" w:rsidR="00E92F0B" w:rsidRPr="000B07C3" w:rsidRDefault="00E92F0B" w:rsidP="00514011">
            <w:r>
              <w:rPr>
                <w:rFonts w:ascii="Calibri" w:hAnsi="Calibri" w:cs="Calibri"/>
                <w:color w:val="000000"/>
              </w:rPr>
              <w:t>-0.33</w:t>
            </w:r>
          </w:p>
        </w:tc>
        <w:tc>
          <w:tcPr>
            <w:tcW w:w="960" w:type="dxa"/>
            <w:noWrap/>
            <w:vAlign w:val="bottom"/>
            <w:hideMark/>
          </w:tcPr>
          <w:p w14:paraId="2C485353" w14:textId="77777777" w:rsidR="00E92F0B" w:rsidRPr="000B07C3" w:rsidRDefault="00E92F0B" w:rsidP="00514011">
            <w:r>
              <w:rPr>
                <w:rFonts w:ascii="Calibri" w:hAnsi="Calibri" w:cs="Calibri"/>
                <w:color w:val="000000"/>
              </w:rPr>
              <w:t>-0.33</w:t>
            </w:r>
          </w:p>
        </w:tc>
        <w:tc>
          <w:tcPr>
            <w:tcW w:w="960" w:type="dxa"/>
            <w:noWrap/>
            <w:vAlign w:val="bottom"/>
            <w:hideMark/>
          </w:tcPr>
          <w:p w14:paraId="6DB158B6" w14:textId="77777777" w:rsidR="00E92F0B" w:rsidRPr="000B07C3" w:rsidRDefault="00E92F0B" w:rsidP="00514011">
            <w:r>
              <w:rPr>
                <w:rFonts w:ascii="Calibri" w:hAnsi="Calibri" w:cs="Calibri"/>
                <w:color w:val="000000"/>
              </w:rPr>
              <w:t>0.23</w:t>
            </w:r>
          </w:p>
        </w:tc>
        <w:tc>
          <w:tcPr>
            <w:tcW w:w="960" w:type="dxa"/>
            <w:noWrap/>
            <w:vAlign w:val="bottom"/>
            <w:hideMark/>
          </w:tcPr>
          <w:p w14:paraId="47A53BD9" w14:textId="77777777" w:rsidR="00E92F0B" w:rsidRPr="000B07C3" w:rsidRDefault="00E92F0B" w:rsidP="00514011">
            <w:r>
              <w:rPr>
                <w:rFonts w:ascii="Calibri" w:hAnsi="Calibri" w:cs="Calibri"/>
                <w:color w:val="000000"/>
              </w:rPr>
              <w:t>-0.70</w:t>
            </w:r>
          </w:p>
        </w:tc>
        <w:tc>
          <w:tcPr>
            <w:tcW w:w="960" w:type="dxa"/>
            <w:noWrap/>
            <w:vAlign w:val="bottom"/>
            <w:hideMark/>
          </w:tcPr>
          <w:p w14:paraId="28F5C5E1" w14:textId="77777777" w:rsidR="00E92F0B" w:rsidRPr="000B07C3" w:rsidRDefault="00E92F0B" w:rsidP="00514011">
            <w:r>
              <w:rPr>
                <w:rFonts w:ascii="Calibri" w:hAnsi="Calibri" w:cs="Calibri"/>
                <w:color w:val="000000"/>
              </w:rPr>
              <w:t>0.05</w:t>
            </w:r>
          </w:p>
        </w:tc>
        <w:tc>
          <w:tcPr>
            <w:tcW w:w="960" w:type="dxa"/>
            <w:noWrap/>
            <w:vAlign w:val="bottom"/>
            <w:hideMark/>
          </w:tcPr>
          <w:p w14:paraId="77B51E9A" w14:textId="77777777" w:rsidR="00E92F0B" w:rsidRPr="000B07C3" w:rsidRDefault="00E92F0B" w:rsidP="00514011">
            <w:r>
              <w:rPr>
                <w:rFonts w:ascii="Calibri" w:hAnsi="Calibri" w:cs="Calibri"/>
                <w:color w:val="000000"/>
              </w:rPr>
              <w:t>1.00</w:t>
            </w:r>
          </w:p>
        </w:tc>
        <w:tc>
          <w:tcPr>
            <w:tcW w:w="1008" w:type="dxa"/>
            <w:noWrap/>
            <w:vAlign w:val="bottom"/>
            <w:hideMark/>
          </w:tcPr>
          <w:p w14:paraId="7A64004A" w14:textId="77777777" w:rsidR="00E92F0B" w:rsidRPr="000B07C3" w:rsidRDefault="00E92F0B" w:rsidP="00514011">
            <w:r>
              <w:rPr>
                <w:rFonts w:ascii="Calibri" w:hAnsi="Calibri" w:cs="Calibri"/>
                <w:color w:val="000000"/>
              </w:rPr>
              <w:t>1429.15</w:t>
            </w:r>
          </w:p>
        </w:tc>
        <w:tc>
          <w:tcPr>
            <w:tcW w:w="960" w:type="dxa"/>
            <w:noWrap/>
            <w:vAlign w:val="bottom"/>
            <w:hideMark/>
          </w:tcPr>
          <w:p w14:paraId="696C0AF2" w14:textId="77777777" w:rsidR="00E92F0B" w:rsidRPr="000B07C3" w:rsidRDefault="00E92F0B" w:rsidP="00514011">
            <w:r>
              <w:rPr>
                <w:rFonts w:ascii="Calibri" w:hAnsi="Calibri" w:cs="Calibri"/>
                <w:color w:val="000000"/>
              </w:rPr>
              <w:t>2287.44</w:t>
            </w:r>
          </w:p>
        </w:tc>
      </w:tr>
      <w:tr w:rsidR="00E92F0B" w:rsidRPr="000B07C3" w14:paraId="7D14D1DC" w14:textId="77777777" w:rsidTr="00514011">
        <w:trPr>
          <w:trHeight w:val="288"/>
        </w:trPr>
        <w:tc>
          <w:tcPr>
            <w:tcW w:w="1354" w:type="dxa"/>
            <w:noWrap/>
            <w:vAlign w:val="bottom"/>
            <w:hideMark/>
          </w:tcPr>
          <w:p w14:paraId="479BC8BB" w14:textId="77777777" w:rsidR="00E92F0B" w:rsidRPr="008727D0" w:rsidRDefault="00E92F0B" w:rsidP="00514011">
            <w:pPr>
              <w:rPr>
                <w:b/>
                <w:bCs/>
              </w:rPr>
            </w:pPr>
            <w:r w:rsidRPr="00514011">
              <w:rPr>
                <w:rFonts w:ascii="Calibri" w:hAnsi="Calibri" w:cs="Calibri"/>
                <w:b/>
                <w:bCs/>
                <w:color w:val="000000"/>
              </w:rPr>
              <w:t>DBH x Fire</w:t>
            </w:r>
          </w:p>
        </w:tc>
        <w:tc>
          <w:tcPr>
            <w:tcW w:w="960" w:type="dxa"/>
            <w:noWrap/>
            <w:vAlign w:val="bottom"/>
            <w:hideMark/>
          </w:tcPr>
          <w:p w14:paraId="3E708813" w14:textId="77777777" w:rsidR="00E92F0B" w:rsidRPr="000B07C3" w:rsidRDefault="00E92F0B" w:rsidP="00514011">
            <w:r>
              <w:rPr>
                <w:rFonts w:ascii="Calibri" w:hAnsi="Calibri" w:cs="Calibri"/>
                <w:color w:val="000000"/>
              </w:rPr>
              <w:t>2.40</w:t>
            </w:r>
          </w:p>
        </w:tc>
        <w:tc>
          <w:tcPr>
            <w:tcW w:w="960" w:type="dxa"/>
            <w:noWrap/>
            <w:vAlign w:val="bottom"/>
            <w:hideMark/>
          </w:tcPr>
          <w:p w14:paraId="7E210815" w14:textId="77777777" w:rsidR="00E92F0B" w:rsidRPr="000B07C3" w:rsidRDefault="00E92F0B" w:rsidP="00514011">
            <w:r>
              <w:rPr>
                <w:rFonts w:ascii="Calibri" w:hAnsi="Calibri" w:cs="Calibri"/>
                <w:color w:val="000000"/>
              </w:rPr>
              <w:t>2.38</w:t>
            </w:r>
          </w:p>
        </w:tc>
        <w:tc>
          <w:tcPr>
            <w:tcW w:w="960" w:type="dxa"/>
            <w:noWrap/>
            <w:vAlign w:val="bottom"/>
            <w:hideMark/>
          </w:tcPr>
          <w:p w14:paraId="543FFCE6" w14:textId="77777777" w:rsidR="00E92F0B" w:rsidRPr="000B07C3" w:rsidRDefault="00E92F0B" w:rsidP="00514011">
            <w:r>
              <w:rPr>
                <w:rFonts w:ascii="Calibri" w:hAnsi="Calibri" w:cs="Calibri"/>
                <w:color w:val="000000"/>
              </w:rPr>
              <w:t>1.45</w:t>
            </w:r>
          </w:p>
        </w:tc>
        <w:tc>
          <w:tcPr>
            <w:tcW w:w="960" w:type="dxa"/>
            <w:noWrap/>
            <w:vAlign w:val="bottom"/>
            <w:hideMark/>
          </w:tcPr>
          <w:p w14:paraId="35D5D35B" w14:textId="77777777" w:rsidR="00E92F0B" w:rsidRPr="000B07C3" w:rsidRDefault="00E92F0B" w:rsidP="00514011">
            <w:r>
              <w:rPr>
                <w:rFonts w:ascii="Calibri" w:hAnsi="Calibri" w:cs="Calibri"/>
                <w:color w:val="000000"/>
              </w:rPr>
              <w:t>0.10</w:t>
            </w:r>
          </w:p>
        </w:tc>
        <w:tc>
          <w:tcPr>
            <w:tcW w:w="960" w:type="dxa"/>
            <w:noWrap/>
            <w:vAlign w:val="bottom"/>
            <w:hideMark/>
          </w:tcPr>
          <w:p w14:paraId="671A0EB1" w14:textId="77777777" w:rsidR="00E92F0B" w:rsidRPr="000B07C3" w:rsidRDefault="00E92F0B" w:rsidP="00514011">
            <w:r>
              <w:rPr>
                <w:rFonts w:ascii="Calibri" w:hAnsi="Calibri" w:cs="Calibri"/>
                <w:color w:val="000000"/>
              </w:rPr>
              <w:t>4.78</w:t>
            </w:r>
          </w:p>
        </w:tc>
        <w:tc>
          <w:tcPr>
            <w:tcW w:w="960" w:type="dxa"/>
            <w:noWrap/>
            <w:vAlign w:val="bottom"/>
            <w:hideMark/>
          </w:tcPr>
          <w:p w14:paraId="6DB284D3" w14:textId="77777777" w:rsidR="00E92F0B" w:rsidRPr="000B07C3" w:rsidRDefault="00E92F0B" w:rsidP="00514011">
            <w:r>
              <w:rPr>
                <w:rFonts w:ascii="Calibri" w:hAnsi="Calibri" w:cs="Calibri"/>
                <w:color w:val="000000"/>
              </w:rPr>
              <w:t>1.00</w:t>
            </w:r>
          </w:p>
        </w:tc>
        <w:tc>
          <w:tcPr>
            <w:tcW w:w="1008" w:type="dxa"/>
            <w:noWrap/>
            <w:vAlign w:val="bottom"/>
            <w:hideMark/>
          </w:tcPr>
          <w:p w14:paraId="749E7B66" w14:textId="77777777" w:rsidR="00E92F0B" w:rsidRPr="000B07C3" w:rsidRDefault="00E92F0B" w:rsidP="00514011">
            <w:r>
              <w:rPr>
                <w:rFonts w:ascii="Calibri" w:hAnsi="Calibri" w:cs="Calibri"/>
                <w:color w:val="000000"/>
              </w:rPr>
              <w:t>1291.53</w:t>
            </w:r>
          </w:p>
        </w:tc>
        <w:tc>
          <w:tcPr>
            <w:tcW w:w="960" w:type="dxa"/>
            <w:noWrap/>
            <w:vAlign w:val="bottom"/>
            <w:hideMark/>
          </w:tcPr>
          <w:p w14:paraId="7EF0F5DB" w14:textId="77777777" w:rsidR="00E92F0B" w:rsidRPr="000B07C3" w:rsidRDefault="00E92F0B" w:rsidP="00514011">
            <w:r>
              <w:rPr>
                <w:rFonts w:ascii="Calibri" w:hAnsi="Calibri" w:cs="Calibri"/>
                <w:color w:val="000000"/>
              </w:rPr>
              <w:t>2079.10</w:t>
            </w:r>
          </w:p>
        </w:tc>
      </w:tr>
      <w:tr w:rsidR="00E92F0B" w:rsidRPr="000B07C3" w14:paraId="5CD55C04" w14:textId="77777777" w:rsidTr="00514011">
        <w:trPr>
          <w:trHeight w:val="288"/>
        </w:trPr>
        <w:tc>
          <w:tcPr>
            <w:tcW w:w="1354" w:type="dxa"/>
            <w:noWrap/>
            <w:vAlign w:val="bottom"/>
            <w:hideMark/>
          </w:tcPr>
          <w:p w14:paraId="22C3D624" w14:textId="77777777" w:rsidR="00E92F0B" w:rsidRPr="008727D0" w:rsidRDefault="00E92F0B" w:rsidP="00514011">
            <w:pPr>
              <w:rPr>
                <w:b/>
                <w:bCs/>
              </w:rPr>
            </w:pPr>
            <w:r w:rsidRPr="00514011">
              <w:rPr>
                <w:rFonts w:ascii="Calibri" w:hAnsi="Calibri" w:cs="Calibri"/>
                <w:b/>
                <w:bCs/>
                <w:color w:val="000000"/>
              </w:rPr>
              <w:t>DBH^2 x Fire</w:t>
            </w:r>
          </w:p>
        </w:tc>
        <w:tc>
          <w:tcPr>
            <w:tcW w:w="960" w:type="dxa"/>
            <w:noWrap/>
            <w:vAlign w:val="bottom"/>
            <w:hideMark/>
          </w:tcPr>
          <w:p w14:paraId="4DFAE83D" w14:textId="77777777" w:rsidR="00E92F0B" w:rsidRPr="000B07C3" w:rsidRDefault="00E92F0B" w:rsidP="00514011">
            <w:r>
              <w:rPr>
                <w:rFonts w:ascii="Calibri" w:hAnsi="Calibri" w:cs="Calibri"/>
                <w:color w:val="000000"/>
              </w:rPr>
              <w:t>-1.10</w:t>
            </w:r>
          </w:p>
        </w:tc>
        <w:tc>
          <w:tcPr>
            <w:tcW w:w="960" w:type="dxa"/>
            <w:noWrap/>
            <w:vAlign w:val="bottom"/>
            <w:hideMark/>
          </w:tcPr>
          <w:p w14:paraId="2DAC38BD" w14:textId="77777777" w:rsidR="00E92F0B" w:rsidRPr="000B07C3" w:rsidRDefault="00E92F0B" w:rsidP="00514011">
            <w:r>
              <w:rPr>
                <w:rFonts w:ascii="Calibri" w:hAnsi="Calibri" w:cs="Calibri"/>
                <w:color w:val="000000"/>
              </w:rPr>
              <w:t>-1.08</w:t>
            </w:r>
          </w:p>
        </w:tc>
        <w:tc>
          <w:tcPr>
            <w:tcW w:w="960" w:type="dxa"/>
            <w:noWrap/>
            <w:vAlign w:val="bottom"/>
            <w:hideMark/>
          </w:tcPr>
          <w:p w14:paraId="43097690" w14:textId="77777777" w:rsidR="00E92F0B" w:rsidRPr="000B07C3" w:rsidRDefault="00E92F0B" w:rsidP="00514011">
            <w:r>
              <w:rPr>
                <w:rFonts w:ascii="Calibri" w:hAnsi="Calibri" w:cs="Calibri"/>
                <w:color w:val="000000"/>
              </w:rPr>
              <w:t>0.92</w:t>
            </w:r>
          </w:p>
        </w:tc>
        <w:tc>
          <w:tcPr>
            <w:tcW w:w="960" w:type="dxa"/>
            <w:noWrap/>
            <w:vAlign w:val="bottom"/>
            <w:hideMark/>
          </w:tcPr>
          <w:p w14:paraId="5D164C3A" w14:textId="77777777" w:rsidR="00E92F0B" w:rsidRPr="000B07C3" w:rsidRDefault="00E92F0B" w:rsidP="00514011">
            <w:r>
              <w:rPr>
                <w:rFonts w:ascii="Calibri" w:hAnsi="Calibri" w:cs="Calibri"/>
                <w:color w:val="000000"/>
              </w:rPr>
              <w:t>-2.64</w:t>
            </w:r>
          </w:p>
        </w:tc>
        <w:tc>
          <w:tcPr>
            <w:tcW w:w="960" w:type="dxa"/>
            <w:noWrap/>
            <w:vAlign w:val="bottom"/>
            <w:hideMark/>
          </w:tcPr>
          <w:p w14:paraId="3B7725B6" w14:textId="77777777" w:rsidR="00E92F0B" w:rsidRPr="000B07C3" w:rsidRDefault="00E92F0B" w:rsidP="00514011">
            <w:r>
              <w:rPr>
                <w:rFonts w:ascii="Calibri" w:hAnsi="Calibri" w:cs="Calibri"/>
                <w:color w:val="000000"/>
              </w:rPr>
              <w:t>0.35</w:t>
            </w:r>
          </w:p>
        </w:tc>
        <w:tc>
          <w:tcPr>
            <w:tcW w:w="960" w:type="dxa"/>
            <w:noWrap/>
            <w:vAlign w:val="bottom"/>
            <w:hideMark/>
          </w:tcPr>
          <w:p w14:paraId="64EE8C62" w14:textId="77777777" w:rsidR="00E92F0B" w:rsidRPr="000B07C3" w:rsidRDefault="00E92F0B" w:rsidP="00514011">
            <w:r>
              <w:rPr>
                <w:rFonts w:ascii="Calibri" w:hAnsi="Calibri" w:cs="Calibri"/>
                <w:color w:val="000000"/>
              </w:rPr>
              <w:t>1.00</w:t>
            </w:r>
          </w:p>
        </w:tc>
        <w:tc>
          <w:tcPr>
            <w:tcW w:w="1008" w:type="dxa"/>
            <w:noWrap/>
            <w:vAlign w:val="bottom"/>
            <w:hideMark/>
          </w:tcPr>
          <w:p w14:paraId="2E8C8091" w14:textId="77777777" w:rsidR="00E92F0B" w:rsidRPr="000B07C3" w:rsidRDefault="00E92F0B" w:rsidP="00514011">
            <w:r>
              <w:rPr>
                <w:rFonts w:ascii="Calibri" w:hAnsi="Calibri" w:cs="Calibri"/>
                <w:color w:val="000000"/>
              </w:rPr>
              <w:t>1386.52</w:t>
            </w:r>
          </w:p>
        </w:tc>
        <w:tc>
          <w:tcPr>
            <w:tcW w:w="960" w:type="dxa"/>
            <w:noWrap/>
            <w:vAlign w:val="bottom"/>
            <w:hideMark/>
          </w:tcPr>
          <w:p w14:paraId="5F2D02E8" w14:textId="77777777" w:rsidR="00E92F0B" w:rsidRPr="000B07C3" w:rsidRDefault="00E92F0B" w:rsidP="00514011">
            <w:r>
              <w:rPr>
                <w:rFonts w:ascii="Calibri" w:hAnsi="Calibri" w:cs="Calibri"/>
                <w:color w:val="000000"/>
              </w:rPr>
              <w:t>2235.70</w:t>
            </w:r>
          </w:p>
        </w:tc>
      </w:tr>
      <w:tr w:rsidR="00E92F0B" w:rsidRPr="000B07C3" w14:paraId="377C5EBB" w14:textId="77777777" w:rsidTr="00514011">
        <w:trPr>
          <w:trHeight w:val="288"/>
        </w:trPr>
        <w:tc>
          <w:tcPr>
            <w:tcW w:w="1354" w:type="dxa"/>
            <w:noWrap/>
            <w:vAlign w:val="bottom"/>
            <w:hideMark/>
          </w:tcPr>
          <w:p w14:paraId="0037E836" w14:textId="77777777" w:rsidR="00E92F0B" w:rsidRPr="008727D0" w:rsidRDefault="00E92F0B" w:rsidP="00514011">
            <w:pPr>
              <w:rPr>
                <w:b/>
                <w:bCs/>
              </w:rPr>
            </w:pPr>
            <w:r w:rsidRPr="00514011">
              <w:rPr>
                <w:rFonts w:ascii="Calibri" w:hAnsi="Calibri" w:cs="Calibri"/>
                <w:b/>
                <w:bCs/>
                <w:color w:val="000000"/>
              </w:rPr>
              <w:t>DBH x WPBR</w:t>
            </w:r>
          </w:p>
        </w:tc>
        <w:tc>
          <w:tcPr>
            <w:tcW w:w="960" w:type="dxa"/>
            <w:noWrap/>
            <w:vAlign w:val="bottom"/>
            <w:hideMark/>
          </w:tcPr>
          <w:p w14:paraId="7BD42286" w14:textId="77777777" w:rsidR="00E92F0B" w:rsidRPr="000B07C3" w:rsidRDefault="00E92F0B" w:rsidP="00514011">
            <w:r>
              <w:rPr>
                <w:rFonts w:ascii="Calibri" w:hAnsi="Calibri" w:cs="Calibri"/>
                <w:color w:val="000000"/>
              </w:rPr>
              <w:t>0.83</w:t>
            </w:r>
          </w:p>
        </w:tc>
        <w:tc>
          <w:tcPr>
            <w:tcW w:w="960" w:type="dxa"/>
            <w:noWrap/>
            <w:vAlign w:val="bottom"/>
            <w:hideMark/>
          </w:tcPr>
          <w:p w14:paraId="143D76C1" w14:textId="77777777" w:rsidR="00E92F0B" w:rsidRPr="000B07C3" w:rsidRDefault="00E92F0B" w:rsidP="00514011">
            <w:r>
              <w:rPr>
                <w:rFonts w:ascii="Calibri" w:hAnsi="Calibri" w:cs="Calibri"/>
                <w:color w:val="000000"/>
              </w:rPr>
              <w:t>0.82</w:t>
            </w:r>
          </w:p>
        </w:tc>
        <w:tc>
          <w:tcPr>
            <w:tcW w:w="960" w:type="dxa"/>
            <w:noWrap/>
            <w:vAlign w:val="bottom"/>
            <w:hideMark/>
          </w:tcPr>
          <w:p w14:paraId="15018695" w14:textId="77777777" w:rsidR="00E92F0B" w:rsidRPr="000B07C3" w:rsidRDefault="00E92F0B" w:rsidP="00514011">
            <w:r>
              <w:rPr>
                <w:rFonts w:ascii="Calibri" w:hAnsi="Calibri" w:cs="Calibri"/>
                <w:color w:val="000000"/>
              </w:rPr>
              <w:t>1.68</w:t>
            </w:r>
          </w:p>
        </w:tc>
        <w:tc>
          <w:tcPr>
            <w:tcW w:w="960" w:type="dxa"/>
            <w:noWrap/>
            <w:vAlign w:val="bottom"/>
            <w:hideMark/>
          </w:tcPr>
          <w:p w14:paraId="7694CC01" w14:textId="77777777" w:rsidR="00E92F0B" w:rsidRPr="000B07C3" w:rsidRDefault="00E92F0B" w:rsidP="00514011">
            <w:r>
              <w:rPr>
                <w:rFonts w:ascii="Calibri" w:hAnsi="Calibri" w:cs="Calibri"/>
                <w:color w:val="000000"/>
              </w:rPr>
              <w:t>-1.89</w:t>
            </w:r>
          </w:p>
        </w:tc>
        <w:tc>
          <w:tcPr>
            <w:tcW w:w="960" w:type="dxa"/>
            <w:noWrap/>
            <w:vAlign w:val="bottom"/>
            <w:hideMark/>
          </w:tcPr>
          <w:p w14:paraId="45634650" w14:textId="77777777" w:rsidR="00E92F0B" w:rsidRPr="000B07C3" w:rsidRDefault="00E92F0B" w:rsidP="00514011">
            <w:r>
              <w:rPr>
                <w:rFonts w:ascii="Calibri" w:hAnsi="Calibri" w:cs="Calibri"/>
                <w:color w:val="000000"/>
              </w:rPr>
              <w:t>3.62</w:t>
            </w:r>
          </w:p>
        </w:tc>
        <w:tc>
          <w:tcPr>
            <w:tcW w:w="960" w:type="dxa"/>
            <w:noWrap/>
            <w:vAlign w:val="bottom"/>
            <w:hideMark/>
          </w:tcPr>
          <w:p w14:paraId="0C8D3FF6" w14:textId="77777777" w:rsidR="00E92F0B" w:rsidRPr="000B07C3" w:rsidRDefault="00E92F0B" w:rsidP="00514011">
            <w:r>
              <w:rPr>
                <w:rFonts w:ascii="Calibri" w:hAnsi="Calibri" w:cs="Calibri"/>
                <w:color w:val="000000"/>
              </w:rPr>
              <w:t>1.00</w:t>
            </w:r>
          </w:p>
        </w:tc>
        <w:tc>
          <w:tcPr>
            <w:tcW w:w="1008" w:type="dxa"/>
            <w:noWrap/>
            <w:vAlign w:val="bottom"/>
            <w:hideMark/>
          </w:tcPr>
          <w:p w14:paraId="21DB6C21" w14:textId="77777777" w:rsidR="00E92F0B" w:rsidRPr="000B07C3" w:rsidRDefault="00E92F0B" w:rsidP="00514011">
            <w:r>
              <w:rPr>
                <w:rFonts w:ascii="Calibri" w:hAnsi="Calibri" w:cs="Calibri"/>
                <w:color w:val="000000"/>
              </w:rPr>
              <w:t>1482.98</w:t>
            </w:r>
          </w:p>
        </w:tc>
        <w:tc>
          <w:tcPr>
            <w:tcW w:w="960" w:type="dxa"/>
            <w:noWrap/>
            <w:vAlign w:val="bottom"/>
            <w:hideMark/>
          </w:tcPr>
          <w:p w14:paraId="79CFE475" w14:textId="77777777" w:rsidR="00E92F0B" w:rsidRPr="000B07C3" w:rsidRDefault="00E92F0B" w:rsidP="00514011">
            <w:r>
              <w:rPr>
                <w:rFonts w:ascii="Calibri" w:hAnsi="Calibri" w:cs="Calibri"/>
                <w:color w:val="000000"/>
              </w:rPr>
              <w:t>2079.69</w:t>
            </w:r>
          </w:p>
        </w:tc>
      </w:tr>
      <w:tr w:rsidR="00E92F0B" w:rsidRPr="000B07C3" w14:paraId="033F29DA" w14:textId="77777777" w:rsidTr="00514011">
        <w:trPr>
          <w:trHeight w:val="288"/>
        </w:trPr>
        <w:tc>
          <w:tcPr>
            <w:tcW w:w="1354" w:type="dxa"/>
            <w:noWrap/>
            <w:vAlign w:val="bottom"/>
            <w:hideMark/>
          </w:tcPr>
          <w:p w14:paraId="394AFA16" w14:textId="77777777" w:rsidR="00E92F0B" w:rsidRPr="008727D0" w:rsidRDefault="00E92F0B" w:rsidP="00514011">
            <w:pPr>
              <w:rPr>
                <w:b/>
                <w:bCs/>
              </w:rPr>
            </w:pPr>
            <w:r w:rsidRPr="00514011">
              <w:rPr>
                <w:rFonts w:ascii="Calibri" w:hAnsi="Calibri" w:cs="Calibri"/>
                <w:b/>
                <w:bCs/>
                <w:color w:val="000000"/>
              </w:rPr>
              <w:t>DBH^2 x WPBR</w:t>
            </w:r>
          </w:p>
        </w:tc>
        <w:tc>
          <w:tcPr>
            <w:tcW w:w="960" w:type="dxa"/>
            <w:noWrap/>
            <w:vAlign w:val="bottom"/>
            <w:hideMark/>
          </w:tcPr>
          <w:p w14:paraId="0C68E2C8" w14:textId="77777777" w:rsidR="00E92F0B" w:rsidRPr="000B07C3" w:rsidRDefault="00E92F0B" w:rsidP="00514011">
            <w:r>
              <w:rPr>
                <w:rFonts w:ascii="Calibri" w:hAnsi="Calibri" w:cs="Calibri"/>
                <w:color w:val="000000"/>
              </w:rPr>
              <w:t>-0.42</w:t>
            </w:r>
          </w:p>
        </w:tc>
        <w:tc>
          <w:tcPr>
            <w:tcW w:w="960" w:type="dxa"/>
            <w:noWrap/>
            <w:vAlign w:val="bottom"/>
            <w:hideMark/>
          </w:tcPr>
          <w:p w14:paraId="2ED0BC65" w14:textId="77777777" w:rsidR="00E92F0B" w:rsidRPr="000B07C3" w:rsidRDefault="00E92F0B" w:rsidP="00514011">
            <w:r>
              <w:rPr>
                <w:rFonts w:ascii="Calibri" w:hAnsi="Calibri" w:cs="Calibri"/>
                <w:color w:val="000000"/>
              </w:rPr>
              <w:t>-0.40</w:t>
            </w:r>
          </w:p>
        </w:tc>
        <w:tc>
          <w:tcPr>
            <w:tcW w:w="960" w:type="dxa"/>
            <w:noWrap/>
            <w:vAlign w:val="bottom"/>
            <w:hideMark/>
          </w:tcPr>
          <w:p w14:paraId="18D828D7" w14:textId="77777777" w:rsidR="00E92F0B" w:rsidRPr="000B07C3" w:rsidRDefault="00E92F0B" w:rsidP="00514011">
            <w:r>
              <w:rPr>
                <w:rFonts w:ascii="Calibri" w:hAnsi="Calibri" w:cs="Calibri"/>
                <w:color w:val="000000"/>
              </w:rPr>
              <w:t>1.20</w:t>
            </w:r>
          </w:p>
        </w:tc>
        <w:tc>
          <w:tcPr>
            <w:tcW w:w="960" w:type="dxa"/>
            <w:noWrap/>
            <w:vAlign w:val="bottom"/>
            <w:hideMark/>
          </w:tcPr>
          <w:p w14:paraId="37A371C9" w14:textId="77777777" w:rsidR="00E92F0B" w:rsidRPr="000B07C3" w:rsidRDefault="00E92F0B" w:rsidP="00514011">
            <w:r>
              <w:rPr>
                <w:rFonts w:ascii="Calibri" w:hAnsi="Calibri" w:cs="Calibri"/>
                <w:color w:val="000000"/>
              </w:rPr>
              <w:t>-2.39</w:t>
            </w:r>
          </w:p>
        </w:tc>
        <w:tc>
          <w:tcPr>
            <w:tcW w:w="960" w:type="dxa"/>
            <w:noWrap/>
            <w:vAlign w:val="bottom"/>
            <w:hideMark/>
          </w:tcPr>
          <w:p w14:paraId="1450EFE8" w14:textId="77777777" w:rsidR="00E92F0B" w:rsidRPr="000B07C3" w:rsidRDefault="00E92F0B" w:rsidP="00514011">
            <w:r>
              <w:rPr>
                <w:rFonts w:ascii="Calibri" w:hAnsi="Calibri" w:cs="Calibri"/>
                <w:color w:val="000000"/>
              </w:rPr>
              <w:t>1.57</w:t>
            </w:r>
          </w:p>
        </w:tc>
        <w:tc>
          <w:tcPr>
            <w:tcW w:w="960" w:type="dxa"/>
            <w:noWrap/>
            <w:vAlign w:val="bottom"/>
            <w:hideMark/>
          </w:tcPr>
          <w:p w14:paraId="0010607E" w14:textId="77777777" w:rsidR="00E92F0B" w:rsidRPr="000B07C3" w:rsidRDefault="00E92F0B" w:rsidP="00514011">
            <w:r>
              <w:rPr>
                <w:rFonts w:ascii="Calibri" w:hAnsi="Calibri" w:cs="Calibri"/>
                <w:color w:val="000000"/>
              </w:rPr>
              <w:t>1.00</w:t>
            </w:r>
          </w:p>
        </w:tc>
        <w:tc>
          <w:tcPr>
            <w:tcW w:w="1008" w:type="dxa"/>
            <w:noWrap/>
            <w:vAlign w:val="bottom"/>
            <w:hideMark/>
          </w:tcPr>
          <w:p w14:paraId="0F5260A6" w14:textId="77777777" w:rsidR="00E92F0B" w:rsidRPr="000B07C3" w:rsidRDefault="00E92F0B" w:rsidP="00514011">
            <w:r>
              <w:rPr>
                <w:rFonts w:ascii="Calibri" w:hAnsi="Calibri" w:cs="Calibri"/>
                <w:color w:val="000000"/>
              </w:rPr>
              <w:t>1592.54</w:t>
            </w:r>
          </w:p>
        </w:tc>
        <w:tc>
          <w:tcPr>
            <w:tcW w:w="960" w:type="dxa"/>
            <w:noWrap/>
            <w:vAlign w:val="bottom"/>
            <w:hideMark/>
          </w:tcPr>
          <w:p w14:paraId="66526D7C" w14:textId="77777777" w:rsidR="00E92F0B" w:rsidRPr="000B07C3" w:rsidRDefault="00E92F0B" w:rsidP="00514011">
            <w:r>
              <w:rPr>
                <w:rFonts w:ascii="Calibri" w:hAnsi="Calibri" w:cs="Calibri"/>
                <w:color w:val="000000"/>
              </w:rPr>
              <w:t>2189.01</w:t>
            </w:r>
          </w:p>
        </w:tc>
      </w:tr>
      <w:tr w:rsidR="00E92F0B" w:rsidRPr="000B07C3" w14:paraId="37586247" w14:textId="77777777" w:rsidTr="00514011">
        <w:trPr>
          <w:trHeight w:val="288"/>
        </w:trPr>
        <w:tc>
          <w:tcPr>
            <w:tcW w:w="1354" w:type="dxa"/>
            <w:noWrap/>
            <w:vAlign w:val="bottom"/>
            <w:hideMark/>
          </w:tcPr>
          <w:p w14:paraId="29353E81" w14:textId="77777777" w:rsidR="00E92F0B" w:rsidRPr="008727D0" w:rsidRDefault="00E92F0B" w:rsidP="00514011">
            <w:pPr>
              <w:rPr>
                <w:b/>
                <w:bCs/>
              </w:rPr>
            </w:pPr>
            <w:r w:rsidRPr="00514011">
              <w:rPr>
                <w:rFonts w:ascii="Calibri" w:hAnsi="Calibri" w:cs="Calibri"/>
                <w:b/>
                <w:bCs/>
                <w:color w:val="000000"/>
              </w:rPr>
              <w:t>DBH x BA</w:t>
            </w:r>
          </w:p>
        </w:tc>
        <w:tc>
          <w:tcPr>
            <w:tcW w:w="960" w:type="dxa"/>
            <w:noWrap/>
            <w:vAlign w:val="bottom"/>
            <w:hideMark/>
          </w:tcPr>
          <w:p w14:paraId="7AAB9814" w14:textId="77777777" w:rsidR="00E92F0B" w:rsidRPr="000B07C3" w:rsidRDefault="00E92F0B" w:rsidP="00514011">
            <w:r>
              <w:rPr>
                <w:rFonts w:ascii="Calibri" w:hAnsi="Calibri" w:cs="Calibri"/>
                <w:color w:val="000000"/>
              </w:rPr>
              <w:t>0.94</w:t>
            </w:r>
          </w:p>
        </w:tc>
        <w:tc>
          <w:tcPr>
            <w:tcW w:w="960" w:type="dxa"/>
            <w:noWrap/>
            <w:vAlign w:val="bottom"/>
            <w:hideMark/>
          </w:tcPr>
          <w:p w14:paraId="23F63778" w14:textId="77777777" w:rsidR="00E92F0B" w:rsidRPr="000B07C3" w:rsidRDefault="00E92F0B" w:rsidP="00514011">
            <w:r>
              <w:rPr>
                <w:rFonts w:ascii="Calibri" w:hAnsi="Calibri" w:cs="Calibri"/>
                <w:color w:val="000000"/>
              </w:rPr>
              <w:t>0.93</w:t>
            </w:r>
          </w:p>
        </w:tc>
        <w:tc>
          <w:tcPr>
            <w:tcW w:w="960" w:type="dxa"/>
            <w:noWrap/>
            <w:vAlign w:val="bottom"/>
            <w:hideMark/>
          </w:tcPr>
          <w:p w14:paraId="37BAC857" w14:textId="77777777" w:rsidR="00E92F0B" w:rsidRPr="000B07C3" w:rsidRDefault="00E92F0B" w:rsidP="00514011">
            <w:r>
              <w:rPr>
                <w:rFonts w:ascii="Calibri" w:hAnsi="Calibri" w:cs="Calibri"/>
                <w:color w:val="000000"/>
              </w:rPr>
              <w:t>0.55</w:t>
            </w:r>
          </w:p>
        </w:tc>
        <w:tc>
          <w:tcPr>
            <w:tcW w:w="960" w:type="dxa"/>
            <w:noWrap/>
            <w:vAlign w:val="bottom"/>
            <w:hideMark/>
          </w:tcPr>
          <w:p w14:paraId="13A491F7" w14:textId="77777777" w:rsidR="00E92F0B" w:rsidRPr="000B07C3" w:rsidRDefault="00E92F0B" w:rsidP="00514011">
            <w:r>
              <w:rPr>
                <w:rFonts w:ascii="Calibri" w:hAnsi="Calibri" w:cs="Calibri"/>
                <w:color w:val="000000"/>
              </w:rPr>
              <w:t>0.04</w:t>
            </w:r>
          </w:p>
        </w:tc>
        <w:tc>
          <w:tcPr>
            <w:tcW w:w="960" w:type="dxa"/>
            <w:noWrap/>
            <w:vAlign w:val="bottom"/>
            <w:hideMark/>
          </w:tcPr>
          <w:p w14:paraId="2B807AD6" w14:textId="77777777" w:rsidR="00E92F0B" w:rsidRPr="000B07C3" w:rsidRDefault="00E92F0B" w:rsidP="00514011">
            <w:r>
              <w:rPr>
                <w:rFonts w:ascii="Calibri" w:hAnsi="Calibri" w:cs="Calibri"/>
                <w:color w:val="000000"/>
              </w:rPr>
              <w:t>1.83</w:t>
            </w:r>
          </w:p>
        </w:tc>
        <w:tc>
          <w:tcPr>
            <w:tcW w:w="960" w:type="dxa"/>
            <w:noWrap/>
            <w:vAlign w:val="bottom"/>
            <w:hideMark/>
          </w:tcPr>
          <w:p w14:paraId="7AF52FDE" w14:textId="77777777" w:rsidR="00E92F0B" w:rsidRPr="000B07C3" w:rsidRDefault="00E92F0B" w:rsidP="00514011">
            <w:r>
              <w:rPr>
                <w:rFonts w:ascii="Calibri" w:hAnsi="Calibri" w:cs="Calibri"/>
                <w:color w:val="000000"/>
              </w:rPr>
              <w:t>1.00</w:t>
            </w:r>
          </w:p>
        </w:tc>
        <w:tc>
          <w:tcPr>
            <w:tcW w:w="1008" w:type="dxa"/>
            <w:noWrap/>
            <w:vAlign w:val="bottom"/>
            <w:hideMark/>
          </w:tcPr>
          <w:p w14:paraId="2B3A4678" w14:textId="77777777" w:rsidR="00E92F0B" w:rsidRPr="000B07C3" w:rsidRDefault="00E92F0B" w:rsidP="00514011">
            <w:r>
              <w:rPr>
                <w:rFonts w:ascii="Calibri" w:hAnsi="Calibri" w:cs="Calibri"/>
                <w:color w:val="000000"/>
              </w:rPr>
              <w:t>1528.47</w:t>
            </w:r>
          </w:p>
        </w:tc>
        <w:tc>
          <w:tcPr>
            <w:tcW w:w="960" w:type="dxa"/>
            <w:noWrap/>
            <w:vAlign w:val="bottom"/>
            <w:hideMark/>
          </w:tcPr>
          <w:p w14:paraId="75AE35F1" w14:textId="77777777" w:rsidR="00E92F0B" w:rsidRPr="000B07C3" w:rsidRDefault="00E92F0B" w:rsidP="00514011">
            <w:r>
              <w:rPr>
                <w:rFonts w:ascii="Calibri" w:hAnsi="Calibri" w:cs="Calibri"/>
                <w:color w:val="000000"/>
              </w:rPr>
              <w:t>2091.84</w:t>
            </w:r>
          </w:p>
        </w:tc>
      </w:tr>
      <w:tr w:rsidR="00E92F0B" w:rsidRPr="000B07C3" w14:paraId="2C31229B" w14:textId="77777777" w:rsidTr="00514011">
        <w:trPr>
          <w:trHeight w:val="288"/>
        </w:trPr>
        <w:tc>
          <w:tcPr>
            <w:tcW w:w="1354" w:type="dxa"/>
            <w:noWrap/>
            <w:vAlign w:val="bottom"/>
            <w:hideMark/>
          </w:tcPr>
          <w:p w14:paraId="54BEFDDB" w14:textId="77777777" w:rsidR="00E92F0B" w:rsidRPr="008727D0" w:rsidRDefault="00E92F0B" w:rsidP="00514011">
            <w:pPr>
              <w:rPr>
                <w:b/>
                <w:bCs/>
              </w:rPr>
            </w:pPr>
            <w:r w:rsidRPr="00514011">
              <w:rPr>
                <w:rFonts w:ascii="Calibri" w:hAnsi="Calibri" w:cs="Calibri"/>
                <w:b/>
                <w:bCs/>
                <w:color w:val="000000"/>
              </w:rPr>
              <w:t>DBH^2 x BA</w:t>
            </w:r>
          </w:p>
        </w:tc>
        <w:tc>
          <w:tcPr>
            <w:tcW w:w="960" w:type="dxa"/>
            <w:noWrap/>
            <w:vAlign w:val="bottom"/>
            <w:hideMark/>
          </w:tcPr>
          <w:p w14:paraId="3E1DA003" w14:textId="77777777" w:rsidR="00E92F0B" w:rsidRPr="000B07C3" w:rsidRDefault="00E92F0B" w:rsidP="00514011">
            <w:r>
              <w:rPr>
                <w:rFonts w:ascii="Calibri" w:hAnsi="Calibri" w:cs="Calibri"/>
                <w:color w:val="000000"/>
              </w:rPr>
              <w:t>-0.17</w:t>
            </w:r>
          </w:p>
        </w:tc>
        <w:tc>
          <w:tcPr>
            <w:tcW w:w="960" w:type="dxa"/>
            <w:noWrap/>
            <w:vAlign w:val="bottom"/>
            <w:hideMark/>
          </w:tcPr>
          <w:p w14:paraId="11906AAF" w14:textId="77777777" w:rsidR="00E92F0B" w:rsidRPr="000B07C3" w:rsidRDefault="00E92F0B" w:rsidP="00514011">
            <w:r>
              <w:rPr>
                <w:rFonts w:ascii="Calibri" w:hAnsi="Calibri" w:cs="Calibri"/>
                <w:color w:val="000000"/>
              </w:rPr>
              <w:t>-0.17</w:t>
            </w:r>
          </w:p>
        </w:tc>
        <w:tc>
          <w:tcPr>
            <w:tcW w:w="960" w:type="dxa"/>
            <w:noWrap/>
            <w:vAlign w:val="bottom"/>
            <w:hideMark/>
          </w:tcPr>
          <w:p w14:paraId="6C597C03" w14:textId="77777777" w:rsidR="00E92F0B" w:rsidRPr="000B07C3" w:rsidRDefault="00E92F0B" w:rsidP="00514011">
            <w:r>
              <w:rPr>
                <w:rFonts w:ascii="Calibri" w:hAnsi="Calibri" w:cs="Calibri"/>
                <w:color w:val="000000"/>
              </w:rPr>
              <w:t>0.32</w:t>
            </w:r>
          </w:p>
        </w:tc>
        <w:tc>
          <w:tcPr>
            <w:tcW w:w="960" w:type="dxa"/>
            <w:noWrap/>
            <w:vAlign w:val="bottom"/>
            <w:hideMark/>
          </w:tcPr>
          <w:p w14:paraId="3FF76105" w14:textId="77777777" w:rsidR="00E92F0B" w:rsidRPr="000B07C3" w:rsidRDefault="00E92F0B" w:rsidP="00514011">
            <w:r>
              <w:rPr>
                <w:rFonts w:ascii="Calibri" w:hAnsi="Calibri" w:cs="Calibri"/>
                <w:color w:val="000000"/>
              </w:rPr>
              <w:t>-0.68</w:t>
            </w:r>
          </w:p>
        </w:tc>
        <w:tc>
          <w:tcPr>
            <w:tcW w:w="960" w:type="dxa"/>
            <w:noWrap/>
            <w:vAlign w:val="bottom"/>
            <w:hideMark/>
          </w:tcPr>
          <w:p w14:paraId="1051E63E" w14:textId="77777777" w:rsidR="00E92F0B" w:rsidRPr="000B07C3" w:rsidRDefault="00E92F0B" w:rsidP="00514011">
            <w:r>
              <w:rPr>
                <w:rFonts w:ascii="Calibri" w:hAnsi="Calibri" w:cs="Calibri"/>
                <w:color w:val="000000"/>
              </w:rPr>
              <w:t>0.36</w:t>
            </w:r>
          </w:p>
        </w:tc>
        <w:tc>
          <w:tcPr>
            <w:tcW w:w="960" w:type="dxa"/>
            <w:noWrap/>
            <w:vAlign w:val="bottom"/>
            <w:hideMark/>
          </w:tcPr>
          <w:p w14:paraId="30FAA1CE" w14:textId="77777777" w:rsidR="00E92F0B" w:rsidRPr="000B07C3" w:rsidRDefault="00E92F0B" w:rsidP="00514011">
            <w:r>
              <w:rPr>
                <w:rFonts w:ascii="Calibri" w:hAnsi="Calibri" w:cs="Calibri"/>
                <w:color w:val="000000"/>
              </w:rPr>
              <w:t>1.00</w:t>
            </w:r>
          </w:p>
        </w:tc>
        <w:tc>
          <w:tcPr>
            <w:tcW w:w="1008" w:type="dxa"/>
            <w:noWrap/>
            <w:vAlign w:val="bottom"/>
            <w:hideMark/>
          </w:tcPr>
          <w:p w14:paraId="1A1E280A" w14:textId="77777777" w:rsidR="00E92F0B" w:rsidRPr="000B07C3" w:rsidRDefault="00E92F0B" w:rsidP="00514011">
            <w:r>
              <w:rPr>
                <w:rFonts w:ascii="Calibri" w:hAnsi="Calibri" w:cs="Calibri"/>
                <w:color w:val="000000"/>
              </w:rPr>
              <w:t>1630.07</w:t>
            </w:r>
          </w:p>
        </w:tc>
        <w:tc>
          <w:tcPr>
            <w:tcW w:w="960" w:type="dxa"/>
            <w:noWrap/>
            <w:vAlign w:val="bottom"/>
            <w:hideMark/>
          </w:tcPr>
          <w:p w14:paraId="11F2D70F" w14:textId="77777777" w:rsidR="00E92F0B" w:rsidRPr="000B07C3" w:rsidRDefault="00E92F0B" w:rsidP="00514011">
            <w:pPr>
              <w:keepNext/>
            </w:pPr>
            <w:r>
              <w:rPr>
                <w:rFonts w:ascii="Calibri" w:hAnsi="Calibri" w:cs="Calibri"/>
                <w:color w:val="000000"/>
              </w:rPr>
              <w:t>2358.15</w:t>
            </w:r>
          </w:p>
        </w:tc>
      </w:tr>
      <w:tr w:rsidR="00E92F0B" w:rsidRPr="000B07C3" w14:paraId="42EE191D" w14:textId="77777777" w:rsidTr="00514011">
        <w:trPr>
          <w:trHeight w:val="288"/>
        </w:trPr>
        <w:tc>
          <w:tcPr>
            <w:tcW w:w="1354" w:type="dxa"/>
            <w:noWrap/>
            <w:vAlign w:val="bottom"/>
          </w:tcPr>
          <w:p w14:paraId="74096B13" w14:textId="77777777" w:rsidR="00E92F0B" w:rsidRPr="008727D0" w:rsidRDefault="00E92F0B" w:rsidP="00514011">
            <w:pPr>
              <w:rPr>
                <w:b/>
                <w:bCs/>
              </w:rPr>
            </w:pPr>
            <w:r w:rsidRPr="00514011">
              <w:rPr>
                <w:rFonts w:ascii="Calibri" w:hAnsi="Calibri" w:cs="Calibri"/>
                <w:b/>
                <w:bCs/>
                <w:color w:val="000000"/>
              </w:rPr>
              <w:t>DBH x Drought</w:t>
            </w:r>
          </w:p>
        </w:tc>
        <w:tc>
          <w:tcPr>
            <w:tcW w:w="960" w:type="dxa"/>
            <w:noWrap/>
            <w:vAlign w:val="bottom"/>
          </w:tcPr>
          <w:p w14:paraId="285D9EC8" w14:textId="77777777" w:rsidR="00E92F0B" w:rsidRPr="000B07C3" w:rsidRDefault="00E92F0B" w:rsidP="00514011">
            <w:r>
              <w:rPr>
                <w:rFonts w:ascii="Calibri" w:hAnsi="Calibri" w:cs="Calibri"/>
                <w:color w:val="000000"/>
              </w:rPr>
              <w:t>0.49</w:t>
            </w:r>
          </w:p>
        </w:tc>
        <w:tc>
          <w:tcPr>
            <w:tcW w:w="960" w:type="dxa"/>
            <w:noWrap/>
            <w:vAlign w:val="bottom"/>
          </w:tcPr>
          <w:p w14:paraId="2AA12145" w14:textId="77777777" w:rsidR="00E92F0B" w:rsidRPr="000B07C3" w:rsidRDefault="00E92F0B" w:rsidP="00514011">
            <w:r>
              <w:rPr>
                <w:rFonts w:ascii="Calibri" w:hAnsi="Calibri" w:cs="Calibri"/>
                <w:color w:val="000000"/>
              </w:rPr>
              <w:t>0.49</w:t>
            </w:r>
          </w:p>
        </w:tc>
        <w:tc>
          <w:tcPr>
            <w:tcW w:w="960" w:type="dxa"/>
            <w:noWrap/>
            <w:vAlign w:val="bottom"/>
          </w:tcPr>
          <w:p w14:paraId="028619E7" w14:textId="77777777" w:rsidR="00E92F0B" w:rsidRPr="000B07C3" w:rsidRDefault="00E92F0B" w:rsidP="00514011">
            <w:r>
              <w:rPr>
                <w:rFonts w:ascii="Calibri" w:hAnsi="Calibri" w:cs="Calibri"/>
                <w:color w:val="000000"/>
              </w:rPr>
              <w:t>0.58</w:t>
            </w:r>
          </w:p>
        </w:tc>
        <w:tc>
          <w:tcPr>
            <w:tcW w:w="960" w:type="dxa"/>
            <w:noWrap/>
            <w:vAlign w:val="bottom"/>
          </w:tcPr>
          <w:p w14:paraId="6D9C717B" w14:textId="77777777" w:rsidR="00E92F0B" w:rsidRPr="000B07C3" w:rsidRDefault="00E92F0B" w:rsidP="00514011">
            <w:r>
              <w:rPr>
                <w:rFonts w:ascii="Calibri" w:hAnsi="Calibri" w:cs="Calibri"/>
                <w:color w:val="000000"/>
              </w:rPr>
              <w:t>-0.46</w:t>
            </w:r>
          </w:p>
        </w:tc>
        <w:tc>
          <w:tcPr>
            <w:tcW w:w="960" w:type="dxa"/>
            <w:noWrap/>
            <w:vAlign w:val="bottom"/>
          </w:tcPr>
          <w:p w14:paraId="25BA6F3A" w14:textId="77777777" w:rsidR="00E92F0B" w:rsidRPr="000B07C3" w:rsidRDefault="00E92F0B" w:rsidP="00514011">
            <w:r>
              <w:rPr>
                <w:rFonts w:ascii="Calibri" w:hAnsi="Calibri" w:cs="Calibri"/>
                <w:color w:val="000000"/>
              </w:rPr>
              <w:t>1.44</w:t>
            </w:r>
          </w:p>
        </w:tc>
        <w:tc>
          <w:tcPr>
            <w:tcW w:w="960" w:type="dxa"/>
            <w:noWrap/>
            <w:vAlign w:val="bottom"/>
          </w:tcPr>
          <w:p w14:paraId="7C49D211" w14:textId="77777777" w:rsidR="00E92F0B" w:rsidRPr="000B07C3" w:rsidRDefault="00E92F0B" w:rsidP="00514011">
            <w:r>
              <w:rPr>
                <w:rFonts w:ascii="Calibri" w:hAnsi="Calibri" w:cs="Calibri"/>
                <w:color w:val="000000"/>
              </w:rPr>
              <w:t>1.00</w:t>
            </w:r>
          </w:p>
        </w:tc>
        <w:tc>
          <w:tcPr>
            <w:tcW w:w="1008" w:type="dxa"/>
            <w:noWrap/>
            <w:vAlign w:val="bottom"/>
          </w:tcPr>
          <w:p w14:paraId="370CD9C0" w14:textId="77777777" w:rsidR="00E92F0B" w:rsidRPr="000B07C3" w:rsidRDefault="00E92F0B" w:rsidP="00514011">
            <w:r>
              <w:rPr>
                <w:rFonts w:ascii="Calibri" w:hAnsi="Calibri" w:cs="Calibri"/>
                <w:color w:val="000000"/>
              </w:rPr>
              <w:t>1260.66</w:t>
            </w:r>
          </w:p>
        </w:tc>
        <w:tc>
          <w:tcPr>
            <w:tcW w:w="960" w:type="dxa"/>
            <w:noWrap/>
            <w:vAlign w:val="bottom"/>
          </w:tcPr>
          <w:p w14:paraId="030A7318" w14:textId="77777777" w:rsidR="00E92F0B" w:rsidRPr="000B07C3" w:rsidRDefault="00E92F0B" w:rsidP="00514011">
            <w:pPr>
              <w:keepNext/>
            </w:pPr>
            <w:r>
              <w:rPr>
                <w:rFonts w:ascii="Calibri" w:hAnsi="Calibri" w:cs="Calibri"/>
                <w:color w:val="000000"/>
              </w:rPr>
              <w:t>2100.02</w:t>
            </w:r>
          </w:p>
        </w:tc>
      </w:tr>
      <w:tr w:rsidR="00E92F0B" w:rsidRPr="000B07C3" w14:paraId="369E0BF2" w14:textId="77777777" w:rsidTr="00514011">
        <w:trPr>
          <w:trHeight w:val="288"/>
        </w:trPr>
        <w:tc>
          <w:tcPr>
            <w:tcW w:w="1354" w:type="dxa"/>
            <w:noWrap/>
            <w:vAlign w:val="bottom"/>
          </w:tcPr>
          <w:p w14:paraId="43464C9F" w14:textId="77777777" w:rsidR="00E92F0B" w:rsidRPr="008727D0" w:rsidRDefault="00E92F0B" w:rsidP="00514011">
            <w:pPr>
              <w:rPr>
                <w:b/>
                <w:bCs/>
              </w:rPr>
            </w:pPr>
            <w:r w:rsidRPr="00514011">
              <w:rPr>
                <w:rFonts w:ascii="Calibri" w:hAnsi="Calibri" w:cs="Calibri"/>
                <w:b/>
                <w:bCs/>
                <w:color w:val="000000"/>
              </w:rPr>
              <w:t>DBH^2 x Drought</w:t>
            </w:r>
          </w:p>
        </w:tc>
        <w:tc>
          <w:tcPr>
            <w:tcW w:w="960" w:type="dxa"/>
            <w:noWrap/>
            <w:vAlign w:val="bottom"/>
          </w:tcPr>
          <w:p w14:paraId="7AF64D7E" w14:textId="77777777" w:rsidR="00E92F0B" w:rsidRPr="000B07C3" w:rsidRDefault="00E92F0B" w:rsidP="00514011">
            <w:r>
              <w:rPr>
                <w:rFonts w:ascii="Calibri" w:hAnsi="Calibri" w:cs="Calibri"/>
                <w:color w:val="000000"/>
              </w:rPr>
              <w:t>-0.19</w:t>
            </w:r>
          </w:p>
        </w:tc>
        <w:tc>
          <w:tcPr>
            <w:tcW w:w="960" w:type="dxa"/>
            <w:noWrap/>
            <w:vAlign w:val="bottom"/>
          </w:tcPr>
          <w:p w14:paraId="5607E3E4" w14:textId="77777777" w:rsidR="00E92F0B" w:rsidRPr="000B07C3" w:rsidRDefault="00E92F0B" w:rsidP="00514011">
            <w:r>
              <w:rPr>
                <w:rFonts w:ascii="Calibri" w:hAnsi="Calibri" w:cs="Calibri"/>
                <w:color w:val="000000"/>
              </w:rPr>
              <w:t>-0.18</w:t>
            </w:r>
          </w:p>
        </w:tc>
        <w:tc>
          <w:tcPr>
            <w:tcW w:w="960" w:type="dxa"/>
            <w:noWrap/>
            <w:vAlign w:val="bottom"/>
          </w:tcPr>
          <w:p w14:paraId="07BE8B42" w14:textId="77777777" w:rsidR="00E92F0B" w:rsidRPr="000B07C3" w:rsidRDefault="00E92F0B" w:rsidP="00514011">
            <w:r>
              <w:rPr>
                <w:rFonts w:ascii="Calibri" w:hAnsi="Calibri" w:cs="Calibri"/>
                <w:color w:val="000000"/>
              </w:rPr>
              <w:t>0.40</w:t>
            </w:r>
          </w:p>
        </w:tc>
        <w:tc>
          <w:tcPr>
            <w:tcW w:w="960" w:type="dxa"/>
            <w:noWrap/>
            <w:vAlign w:val="bottom"/>
          </w:tcPr>
          <w:p w14:paraId="33F105E5" w14:textId="77777777" w:rsidR="00E92F0B" w:rsidRPr="000B07C3" w:rsidRDefault="00E92F0B" w:rsidP="00514011">
            <w:r>
              <w:rPr>
                <w:rFonts w:ascii="Calibri" w:hAnsi="Calibri" w:cs="Calibri"/>
                <w:color w:val="000000"/>
              </w:rPr>
              <w:t>-0.85</w:t>
            </w:r>
          </w:p>
        </w:tc>
        <w:tc>
          <w:tcPr>
            <w:tcW w:w="960" w:type="dxa"/>
            <w:noWrap/>
            <w:vAlign w:val="bottom"/>
          </w:tcPr>
          <w:p w14:paraId="407BEE65" w14:textId="77777777" w:rsidR="00E92F0B" w:rsidRPr="000B07C3" w:rsidRDefault="00E92F0B" w:rsidP="00514011">
            <w:r>
              <w:rPr>
                <w:rFonts w:ascii="Calibri" w:hAnsi="Calibri" w:cs="Calibri"/>
                <w:color w:val="000000"/>
              </w:rPr>
              <w:t>0.48</w:t>
            </w:r>
          </w:p>
        </w:tc>
        <w:tc>
          <w:tcPr>
            <w:tcW w:w="960" w:type="dxa"/>
            <w:noWrap/>
            <w:vAlign w:val="bottom"/>
          </w:tcPr>
          <w:p w14:paraId="6D75681D" w14:textId="77777777" w:rsidR="00E92F0B" w:rsidRPr="000B07C3" w:rsidRDefault="00E92F0B" w:rsidP="00514011">
            <w:r>
              <w:rPr>
                <w:rFonts w:ascii="Calibri" w:hAnsi="Calibri" w:cs="Calibri"/>
                <w:color w:val="000000"/>
              </w:rPr>
              <w:t>1.00</w:t>
            </w:r>
          </w:p>
        </w:tc>
        <w:tc>
          <w:tcPr>
            <w:tcW w:w="1008" w:type="dxa"/>
            <w:noWrap/>
            <w:vAlign w:val="bottom"/>
          </w:tcPr>
          <w:p w14:paraId="4C280F0E" w14:textId="77777777" w:rsidR="00E92F0B" w:rsidRPr="000B07C3" w:rsidRDefault="00E92F0B" w:rsidP="00514011">
            <w:r>
              <w:rPr>
                <w:rFonts w:ascii="Calibri" w:hAnsi="Calibri" w:cs="Calibri"/>
                <w:color w:val="000000"/>
              </w:rPr>
              <w:t>1394.84</w:t>
            </w:r>
          </w:p>
        </w:tc>
        <w:tc>
          <w:tcPr>
            <w:tcW w:w="960" w:type="dxa"/>
            <w:noWrap/>
            <w:vAlign w:val="bottom"/>
          </w:tcPr>
          <w:p w14:paraId="37D662EE" w14:textId="77777777" w:rsidR="00E92F0B" w:rsidRPr="000B07C3" w:rsidRDefault="00E92F0B" w:rsidP="00514011">
            <w:pPr>
              <w:keepNext/>
            </w:pPr>
            <w:r>
              <w:rPr>
                <w:rFonts w:ascii="Calibri" w:hAnsi="Calibri" w:cs="Calibri"/>
                <w:color w:val="000000"/>
              </w:rPr>
              <w:t>2170.48</w:t>
            </w:r>
          </w:p>
        </w:tc>
      </w:tr>
      <w:tr w:rsidR="00E92F0B" w:rsidRPr="000B07C3" w14:paraId="5ED4A0EA" w14:textId="77777777" w:rsidTr="00514011">
        <w:trPr>
          <w:trHeight w:val="288"/>
        </w:trPr>
        <w:tc>
          <w:tcPr>
            <w:tcW w:w="1354" w:type="dxa"/>
            <w:noWrap/>
            <w:vAlign w:val="bottom"/>
          </w:tcPr>
          <w:p w14:paraId="683D0154" w14:textId="77777777" w:rsidR="00E92F0B" w:rsidRPr="008727D0" w:rsidRDefault="00E92F0B" w:rsidP="00514011">
            <w:pPr>
              <w:rPr>
                <w:b/>
                <w:bCs/>
              </w:rPr>
            </w:pPr>
            <w:r w:rsidRPr="00514011">
              <w:rPr>
                <w:rFonts w:ascii="Calibri" w:hAnsi="Calibri" w:cs="Calibri"/>
                <w:b/>
                <w:bCs/>
                <w:color w:val="000000"/>
              </w:rPr>
              <w:t>DBH x Dryness</w:t>
            </w:r>
          </w:p>
        </w:tc>
        <w:tc>
          <w:tcPr>
            <w:tcW w:w="960" w:type="dxa"/>
            <w:noWrap/>
            <w:vAlign w:val="bottom"/>
          </w:tcPr>
          <w:p w14:paraId="0768D91F" w14:textId="77777777" w:rsidR="00E92F0B" w:rsidRPr="000B07C3" w:rsidRDefault="00E92F0B" w:rsidP="00514011">
            <w:r>
              <w:rPr>
                <w:rFonts w:ascii="Calibri" w:hAnsi="Calibri" w:cs="Calibri"/>
                <w:color w:val="000000"/>
              </w:rPr>
              <w:t>0.60</w:t>
            </w:r>
          </w:p>
        </w:tc>
        <w:tc>
          <w:tcPr>
            <w:tcW w:w="960" w:type="dxa"/>
            <w:noWrap/>
            <w:vAlign w:val="bottom"/>
          </w:tcPr>
          <w:p w14:paraId="5C5E396D" w14:textId="77777777" w:rsidR="00E92F0B" w:rsidRPr="000B07C3" w:rsidRDefault="00E92F0B" w:rsidP="00514011">
            <w:r>
              <w:rPr>
                <w:rFonts w:ascii="Calibri" w:hAnsi="Calibri" w:cs="Calibri"/>
                <w:color w:val="000000"/>
              </w:rPr>
              <w:t>0.61</w:t>
            </w:r>
          </w:p>
        </w:tc>
        <w:tc>
          <w:tcPr>
            <w:tcW w:w="960" w:type="dxa"/>
            <w:noWrap/>
            <w:vAlign w:val="bottom"/>
          </w:tcPr>
          <w:p w14:paraId="25CDE929" w14:textId="77777777" w:rsidR="00E92F0B" w:rsidRPr="000B07C3" w:rsidRDefault="00E92F0B" w:rsidP="00514011">
            <w:r>
              <w:rPr>
                <w:rFonts w:ascii="Calibri" w:hAnsi="Calibri" w:cs="Calibri"/>
                <w:color w:val="000000"/>
              </w:rPr>
              <w:t>0.67</w:t>
            </w:r>
          </w:p>
        </w:tc>
        <w:tc>
          <w:tcPr>
            <w:tcW w:w="960" w:type="dxa"/>
            <w:noWrap/>
            <w:vAlign w:val="bottom"/>
          </w:tcPr>
          <w:p w14:paraId="67768636" w14:textId="77777777" w:rsidR="00E92F0B" w:rsidRPr="000B07C3" w:rsidRDefault="00E92F0B" w:rsidP="00514011">
            <w:r>
              <w:rPr>
                <w:rFonts w:ascii="Calibri" w:hAnsi="Calibri" w:cs="Calibri"/>
                <w:color w:val="000000"/>
              </w:rPr>
              <w:t>-0.53</w:t>
            </w:r>
          </w:p>
        </w:tc>
        <w:tc>
          <w:tcPr>
            <w:tcW w:w="960" w:type="dxa"/>
            <w:noWrap/>
            <w:vAlign w:val="bottom"/>
          </w:tcPr>
          <w:p w14:paraId="4907A7EC" w14:textId="77777777" w:rsidR="00E92F0B" w:rsidRPr="000B07C3" w:rsidRDefault="00E92F0B" w:rsidP="00514011">
            <w:r>
              <w:rPr>
                <w:rFonts w:ascii="Calibri" w:hAnsi="Calibri" w:cs="Calibri"/>
                <w:color w:val="000000"/>
              </w:rPr>
              <w:t>1.69</w:t>
            </w:r>
          </w:p>
        </w:tc>
        <w:tc>
          <w:tcPr>
            <w:tcW w:w="960" w:type="dxa"/>
            <w:noWrap/>
            <w:vAlign w:val="bottom"/>
          </w:tcPr>
          <w:p w14:paraId="45C1EE90" w14:textId="77777777" w:rsidR="00E92F0B" w:rsidRPr="000B07C3" w:rsidRDefault="00E92F0B" w:rsidP="00514011">
            <w:r>
              <w:rPr>
                <w:rFonts w:ascii="Calibri" w:hAnsi="Calibri" w:cs="Calibri"/>
                <w:color w:val="000000"/>
              </w:rPr>
              <w:t>1.00</w:t>
            </w:r>
          </w:p>
        </w:tc>
        <w:tc>
          <w:tcPr>
            <w:tcW w:w="1008" w:type="dxa"/>
            <w:noWrap/>
            <w:vAlign w:val="bottom"/>
          </w:tcPr>
          <w:p w14:paraId="3BE9DE62" w14:textId="77777777" w:rsidR="00E92F0B" w:rsidRPr="000B07C3" w:rsidRDefault="00E92F0B" w:rsidP="00514011">
            <w:r>
              <w:rPr>
                <w:rFonts w:ascii="Calibri" w:hAnsi="Calibri" w:cs="Calibri"/>
                <w:color w:val="000000"/>
              </w:rPr>
              <w:t>1202.08</w:t>
            </w:r>
          </w:p>
        </w:tc>
        <w:tc>
          <w:tcPr>
            <w:tcW w:w="960" w:type="dxa"/>
            <w:noWrap/>
            <w:vAlign w:val="bottom"/>
          </w:tcPr>
          <w:p w14:paraId="160527CD" w14:textId="77777777" w:rsidR="00E92F0B" w:rsidRPr="000B07C3" w:rsidRDefault="00E92F0B" w:rsidP="00514011">
            <w:pPr>
              <w:keepNext/>
            </w:pPr>
            <w:r>
              <w:rPr>
                <w:rFonts w:ascii="Calibri" w:hAnsi="Calibri" w:cs="Calibri"/>
                <w:color w:val="000000"/>
              </w:rPr>
              <w:t>2221.01</w:t>
            </w:r>
          </w:p>
        </w:tc>
      </w:tr>
      <w:tr w:rsidR="00E92F0B" w:rsidRPr="000B07C3" w14:paraId="40131B53" w14:textId="77777777" w:rsidTr="00514011">
        <w:trPr>
          <w:trHeight w:val="288"/>
        </w:trPr>
        <w:tc>
          <w:tcPr>
            <w:tcW w:w="1354" w:type="dxa"/>
            <w:noWrap/>
            <w:vAlign w:val="bottom"/>
          </w:tcPr>
          <w:p w14:paraId="1E2E08C0" w14:textId="77777777" w:rsidR="00E92F0B" w:rsidRPr="008727D0" w:rsidRDefault="00E92F0B" w:rsidP="00514011">
            <w:pPr>
              <w:rPr>
                <w:b/>
                <w:bCs/>
              </w:rPr>
            </w:pPr>
            <w:r w:rsidRPr="00514011">
              <w:rPr>
                <w:rFonts w:ascii="Calibri" w:hAnsi="Calibri" w:cs="Calibri"/>
                <w:b/>
                <w:bCs/>
                <w:color w:val="000000"/>
              </w:rPr>
              <w:t>DBH^2 x Dryness</w:t>
            </w:r>
          </w:p>
        </w:tc>
        <w:tc>
          <w:tcPr>
            <w:tcW w:w="960" w:type="dxa"/>
            <w:noWrap/>
            <w:vAlign w:val="bottom"/>
          </w:tcPr>
          <w:p w14:paraId="67127C1F" w14:textId="77777777" w:rsidR="00E92F0B" w:rsidRPr="000B07C3" w:rsidRDefault="00E92F0B" w:rsidP="00514011">
            <w:r>
              <w:rPr>
                <w:rFonts w:ascii="Calibri" w:hAnsi="Calibri" w:cs="Calibri"/>
                <w:color w:val="000000"/>
              </w:rPr>
              <w:t>-0.56</w:t>
            </w:r>
          </w:p>
        </w:tc>
        <w:tc>
          <w:tcPr>
            <w:tcW w:w="960" w:type="dxa"/>
            <w:noWrap/>
            <w:vAlign w:val="bottom"/>
          </w:tcPr>
          <w:p w14:paraId="4B30B150" w14:textId="77777777" w:rsidR="00E92F0B" w:rsidRPr="000B07C3" w:rsidRDefault="00E92F0B" w:rsidP="00514011">
            <w:r>
              <w:rPr>
                <w:rFonts w:ascii="Calibri" w:hAnsi="Calibri" w:cs="Calibri"/>
                <w:color w:val="000000"/>
              </w:rPr>
              <w:t>-0.57</w:t>
            </w:r>
          </w:p>
        </w:tc>
        <w:tc>
          <w:tcPr>
            <w:tcW w:w="960" w:type="dxa"/>
            <w:noWrap/>
            <w:vAlign w:val="bottom"/>
          </w:tcPr>
          <w:p w14:paraId="260F342A" w14:textId="77777777" w:rsidR="00E92F0B" w:rsidRPr="000B07C3" w:rsidRDefault="00E92F0B" w:rsidP="00514011">
            <w:r>
              <w:rPr>
                <w:rFonts w:ascii="Calibri" w:hAnsi="Calibri" w:cs="Calibri"/>
                <w:color w:val="000000"/>
              </w:rPr>
              <w:t>0.46</w:t>
            </w:r>
          </w:p>
        </w:tc>
        <w:tc>
          <w:tcPr>
            <w:tcW w:w="960" w:type="dxa"/>
            <w:noWrap/>
            <w:vAlign w:val="bottom"/>
          </w:tcPr>
          <w:p w14:paraId="3050EA87" w14:textId="77777777" w:rsidR="00E92F0B" w:rsidRPr="000B07C3" w:rsidRDefault="00E92F0B" w:rsidP="00514011">
            <w:r>
              <w:rPr>
                <w:rFonts w:ascii="Calibri" w:hAnsi="Calibri" w:cs="Calibri"/>
                <w:color w:val="000000"/>
              </w:rPr>
              <w:t>-1.31</w:t>
            </w:r>
          </w:p>
        </w:tc>
        <w:tc>
          <w:tcPr>
            <w:tcW w:w="960" w:type="dxa"/>
            <w:noWrap/>
            <w:vAlign w:val="bottom"/>
          </w:tcPr>
          <w:p w14:paraId="2B420A85" w14:textId="77777777" w:rsidR="00E92F0B" w:rsidRPr="000B07C3" w:rsidRDefault="00E92F0B" w:rsidP="00514011">
            <w:r>
              <w:rPr>
                <w:rFonts w:ascii="Calibri" w:hAnsi="Calibri" w:cs="Calibri"/>
                <w:color w:val="000000"/>
              </w:rPr>
              <w:t>0.20</w:t>
            </w:r>
          </w:p>
        </w:tc>
        <w:tc>
          <w:tcPr>
            <w:tcW w:w="960" w:type="dxa"/>
            <w:noWrap/>
            <w:vAlign w:val="bottom"/>
          </w:tcPr>
          <w:p w14:paraId="1F9A631D" w14:textId="77777777" w:rsidR="00E92F0B" w:rsidRPr="000B07C3" w:rsidRDefault="00E92F0B" w:rsidP="00514011">
            <w:r>
              <w:rPr>
                <w:rFonts w:ascii="Calibri" w:hAnsi="Calibri" w:cs="Calibri"/>
                <w:color w:val="000000"/>
              </w:rPr>
              <w:t>1.00</w:t>
            </w:r>
          </w:p>
        </w:tc>
        <w:tc>
          <w:tcPr>
            <w:tcW w:w="1008" w:type="dxa"/>
            <w:noWrap/>
            <w:vAlign w:val="bottom"/>
          </w:tcPr>
          <w:p w14:paraId="00D91E5D" w14:textId="77777777" w:rsidR="00E92F0B" w:rsidRPr="000B07C3" w:rsidRDefault="00E92F0B" w:rsidP="00514011">
            <w:r>
              <w:rPr>
                <w:rFonts w:ascii="Calibri" w:hAnsi="Calibri" w:cs="Calibri"/>
                <w:color w:val="000000"/>
              </w:rPr>
              <w:t>1280.66</w:t>
            </w:r>
          </w:p>
        </w:tc>
        <w:tc>
          <w:tcPr>
            <w:tcW w:w="960" w:type="dxa"/>
            <w:noWrap/>
            <w:vAlign w:val="bottom"/>
          </w:tcPr>
          <w:p w14:paraId="246E8C8F" w14:textId="77777777" w:rsidR="00E92F0B" w:rsidRPr="000B07C3" w:rsidRDefault="00E92F0B" w:rsidP="00514011">
            <w:pPr>
              <w:keepNext/>
            </w:pPr>
            <w:r>
              <w:rPr>
                <w:rFonts w:ascii="Calibri" w:hAnsi="Calibri" w:cs="Calibri"/>
                <w:color w:val="000000"/>
              </w:rPr>
              <w:t>2221.16</w:t>
            </w:r>
          </w:p>
        </w:tc>
      </w:tr>
      <w:tr w:rsidR="00E92F0B" w:rsidRPr="000B07C3" w14:paraId="7AD5D262" w14:textId="77777777" w:rsidTr="00514011">
        <w:trPr>
          <w:trHeight w:val="288"/>
        </w:trPr>
        <w:tc>
          <w:tcPr>
            <w:tcW w:w="1354" w:type="dxa"/>
            <w:noWrap/>
            <w:vAlign w:val="bottom"/>
          </w:tcPr>
          <w:p w14:paraId="380C082C" w14:textId="77777777" w:rsidR="00E92F0B" w:rsidRPr="008727D0" w:rsidRDefault="00E92F0B" w:rsidP="00514011">
            <w:pPr>
              <w:rPr>
                <w:b/>
                <w:bCs/>
              </w:rPr>
            </w:pPr>
            <w:r w:rsidRPr="00514011">
              <w:rPr>
                <w:rFonts w:ascii="Calibri" w:hAnsi="Calibri" w:cs="Calibri"/>
                <w:b/>
                <w:bCs/>
                <w:color w:val="000000"/>
              </w:rPr>
              <w:t>SD Plots</w:t>
            </w:r>
          </w:p>
        </w:tc>
        <w:tc>
          <w:tcPr>
            <w:tcW w:w="960" w:type="dxa"/>
            <w:noWrap/>
            <w:vAlign w:val="bottom"/>
          </w:tcPr>
          <w:p w14:paraId="40A24704" w14:textId="77777777" w:rsidR="00E92F0B" w:rsidRPr="000B07C3" w:rsidRDefault="00E92F0B" w:rsidP="00514011">
            <w:r>
              <w:rPr>
                <w:rFonts w:ascii="Calibri" w:hAnsi="Calibri" w:cs="Calibri"/>
                <w:color w:val="000000"/>
              </w:rPr>
              <w:t>2.04</w:t>
            </w:r>
          </w:p>
        </w:tc>
        <w:tc>
          <w:tcPr>
            <w:tcW w:w="960" w:type="dxa"/>
            <w:noWrap/>
            <w:vAlign w:val="bottom"/>
          </w:tcPr>
          <w:p w14:paraId="2C8B45C9" w14:textId="77777777" w:rsidR="00E92F0B" w:rsidRPr="000B07C3" w:rsidRDefault="00E92F0B" w:rsidP="00514011">
            <w:r>
              <w:rPr>
                <w:rFonts w:ascii="Calibri" w:hAnsi="Calibri" w:cs="Calibri"/>
                <w:color w:val="000000"/>
              </w:rPr>
              <w:t>2.03</w:t>
            </w:r>
          </w:p>
        </w:tc>
        <w:tc>
          <w:tcPr>
            <w:tcW w:w="960" w:type="dxa"/>
            <w:noWrap/>
            <w:vAlign w:val="bottom"/>
          </w:tcPr>
          <w:p w14:paraId="760107FB" w14:textId="77777777" w:rsidR="00E92F0B" w:rsidRPr="000B07C3" w:rsidRDefault="00E92F0B" w:rsidP="00514011">
            <w:r>
              <w:rPr>
                <w:rFonts w:ascii="Calibri" w:hAnsi="Calibri" w:cs="Calibri"/>
                <w:color w:val="000000"/>
              </w:rPr>
              <w:t>0.16</w:t>
            </w:r>
          </w:p>
        </w:tc>
        <w:tc>
          <w:tcPr>
            <w:tcW w:w="960" w:type="dxa"/>
            <w:noWrap/>
            <w:vAlign w:val="bottom"/>
          </w:tcPr>
          <w:p w14:paraId="209C31D4" w14:textId="77777777" w:rsidR="00E92F0B" w:rsidRPr="000B07C3" w:rsidRDefault="00E92F0B" w:rsidP="00514011">
            <w:r>
              <w:rPr>
                <w:rFonts w:ascii="Calibri" w:hAnsi="Calibri" w:cs="Calibri"/>
                <w:color w:val="000000"/>
              </w:rPr>
              <w:t>1.79</w:t>
            </w:r>
          </w:p>
        </w:tc>
        <w:tc>
          <w:tcPr>
            <w:tcW w:w="960" w:type="dxa"/>
            <w:noWrap/>
            <w:vAlign w:val="bottom"/>
          </w:tcPr>
          <w:p w14:paraId="23305F6B" w14:textId="77777777" w:rsidR="00E92F0B" w:rsidRPr="000B07C3" w:rsidRDefault="00E92F0B" w:rsidP="00514011">
            <w:r>
              <w:rPr>
                <w:rFonts w:ascii="Calibri" w:hAnsi="Calibri" w:cs="Calibri"/>
                <w:color w:val="000000"/>
              </w:rPr>
              <w:t>2.32</w:t>
            </w:r>
          </w:p>
        </w:tc>
        <w:tc>
          <w:tcPr>
            <w:tcW w:w="960" w:type="dxa"/>
            <w:noWrap/>
            <w:vAlign w:val="bottom"/>
          </w:tcPr>
          <w:p w14:paraId="11C957B4" w14:textId="77777777" w:rsidR="00E92F0B" w:rsidRPr="000B07C3" w:rsidRDefault="00E92F0B" w:rsidP="00514011">
            <w:r>
              <w:rPr>
                <w:rFonts w:ascii="Calibri" w:hAnsi="Calibri" w:cs="Calibri"/>
                <w:color w:val="000000"/>
              </w:rPr>
              <w:t>1.00</w:t>
            </w:r>
          </w:p>
        </w:tc>
        <w:tc>
          <w:tcPr>
            <w:tcW w:w="1008" w:type="dxa"/>
            <w:noWrap/>
            <w:vAlign w:val="bottom"/>
          </w:tcPr>
          <w:p w14:paraId="743640F8" w14:textId="77777777" w:rsidR="00E92F0B" w:rsidRPr="000B07C3" w:rsidRDefault="00E92F0B" w:rsidP="00514011">
            <w:r>
              <w:rPr>
                <w:rFonts w:ascii="Calibri" w:hAnsi="Calibri" w:cs="Calibri"/>
                <w:color w:val="000000"/>
              </w:rPr>
              <w:t>1120.85</w:t>
            </w:r>
          </w:p>
        </w:tc>
        <w:tc>
          <w:tcPr>
            <w:tcW w:w="960" w:type="dxa"/>
            <w:noWrap/>
            <w:vAlign w:val="bottom"/>
          </w:tcPr>
          <w:p w14:paraId="60676D37" w14:textId="77777777" w:rsidR="00E92F0B" w:rsidRPr="000B07C3" w:rsidRDefault="00E92F0B" w:rsidP="00514011">
            <w:pPr>
              <w:keepNext/>
            </w:pPr>
            <w:r>
              <w:rPr>
                <w:rFonts w:ascii="Calibri" w:hAnsi="Calibri" w:cs="Calibri"/>
                <w:color w:val="000000"/>
              </w:rPr>
              <w:t>2021.54</w:t>
            </w:r>
          </w:p>
        </w:tc>
      </w:tr>
      <w:tr w:rsidR="00E92F0B" w:rsidRPr="000B07C3" w14:paraId="33BBCC22" w14:textId="77777777" w:rsidTr="00514011">
        <w:trPr>
          <w:trHeight w:val="288"/>
        </w:trPr>
        <w:tc>
          <w:tcPr>
            <w:tcW w:w="1354" w:type="dxa"/>
            <w:noWrap/>
            <w:vAlign w:val="bottom"/>
          </w:tcPr>
          <w:p w14:paraId="77F50005" w14:textId="77777777" w:rsidR="00E92F0B" w:rsidRPr="008727D0" w:rsidRDefault="00E92F0B" w:rsidP="00514011">
            <w:pPr>
              <w:rPr>
                <w:b/>
                <w:bCs/>
              </w:rPr>
            </w:pPr>
            <w:r w:rsidRPr="00514011">
              <w:rPr>
                <w:rFonts w:ascii="Calibri" w:hAnsi="Calibri" w:cs="Calibri"/>
                <w:b/>
                <w:bCs/>
                <w:color w:val="000000"/>
              </w:rPr>
              <w:t>SD Ecoregions</w:t>
            </w:r>
          </w:p>
        </w:tc>
        <w:tc>
          <w:tcPr>
            <w:tcW w:w="960" w:type="dxa"/>
            <w:noWrap/>
            <w:vAlign w:val="bottom"/>
          </w:tcPr>
          <w:p w14:paraId="0D0EBAED" w14:textId="77777777" w:rsidR="00E92F0B" w:rsidRPr="000B07C3" w:rsidRDefault="00E92F0B" w:rsidP="00514011">
            <w:r>
              <w:rPr>
                <w:rFonts w:ascii="Calibri" w:hAnsi="Calibri" w:cs="Calibri"/>
                <w:color w:val="000000"/>
              </w:rPr>
              <w:t>0.27</w:t>
            </w:r>
          </w:p>
        </w:tc>
        <w:tc>
          <w:tcPr>
            <w:tcW w:w="960" w:type="dxa"/>
            <w:noWrap/>
            <w:vAlign w:val="bottom"/>
          </w:tcPr>
          <w:p w14:paraId="0925DA5C" w14:textId="77777777" w:rsidR="00E92F0B" w:rsidRPr="000B07C3" w:rsidRDefault="00E92F0B" w:rsidP="00514011">
            <w:r>
              <w:rPr>
                <w:rFonts w:ascii="Calibri" w:hAnsi="Calibri" w:cs="Calibri"/>
                <w:color w:val="000000"/>
              </w:rPr>
              <w:t>0.25</w:t>
            </w:r>
          </w:p>
        </w:tc>
        <w:tc>
          <w:tcPr>
            <w:tcW w:w="960" w:type="dxa"/>
            <w:noWrap/>
            <w:vAlign w:val="bottom"/>
          </w:tcPr>
          <w:p w14:paraId="0C36C11C" w14:textId="77777777" w:rsidR="00E92F0B" w:rsidRPr="000B07C3" w:rsidRDefault="00E92F0B" w:rsidP="00514011">
            <w:r>
              <w:rPr>
                <w:rFonts w:ascii="Calibri" w:hAnsi="Calibri" w:cs="Calibri"/>
                <w:color w:val="000000"/>
              </w:rPr>
              <w:t>0.17</w:t>
            </w:r>
          </w:p>
        </w:tc>
        <w:tc>
          <w:tcPr>
            <w:tcW w:w="960" w:type="dxa"/>
            <w:noWrap/>
            <w:vAlign w:val="bottom"/>
          </w:tcPr>
          <w:p w14:paraId="2B9AFFCD" w14:textId="77777777" w:rsidR="00E92F0B" w:rsidRPr="000B07C3" w:rsidRDefault="00E92F0B" w:rsidP="00514011">
            <w:r>
              <w:rPr>
                <w:rFonts w:ascii="Calibri" w:hAnsi="Calibri" w:cs="Calibri"/>
                <w:color w:val="000000"/>
              </w:rPr>
              <w:t>0.02</w:t>
            </w:r>
          </w:p>
        </w:tc>
        <w:tc>
          <w:tcPr>
            <w:tcW w:w="960" w:type="dxa"/>
            <w:noWrap/>
            <w:vAlign w:val="bottom"/>
          </w:tcPr>
          <w:p w14:paraId="745430E3" w14:textId="77777777" w:rsidR="00E92F0B" w:rsidRPr="000B07C3" w:rsidRDefault="00E92F0B" w:rsidP="00514011">
            <w:r>
              <w:rPr>
                <w:rFonts w:ascii="Calibri" w:hAnsi="Calibri" w:cs="Calibri"/>
                <w:color w:val="000000"/>
              </w:rPr>
              <w:t>0.57</w:t>
            </w:r>
          </w:p>
        </w:tc>
        <w:tc>
          <w:tcPr>
            <w:tcW w:w="960" w:type="dxa"/>
            <w:noWrap/>
            <w:vAlign w:val="bottom"/>
          </w:tcPr>
          <w:p w14:paraId="5CE4775D" w14:textId="77777777" w:rsidR="00E92F0B" w:rsidRPr="000B07C3" w:rsidRDefault="00E92F0B" w:rsidP="00514011">
            <w:r>
              <w:rPr>
                <w:rFonts w:ascii="Calibri" w:hAnsi="Calibri" w:cs="Calibri"/>
                <w:color w:val="000000"/>
              </w:rPr>
              <w:t>1.02</w:t>
            </w:r>
          </w:p>
        </w:tc>
        <w:tc>
          <w:tcPr>
            <w:tcW w:w="1008" w:type="dxa"/>
            <w:noWrap/>
            <w:vAlign w:val="bottom"/>
          </w:tcPr>
          <w:p w14:paraId="43C41136" w14:textId="77777777" w:rsidR="00E92F0B" w:rsidRPr="000B07C3" w:rsidRDefault="00E92F0B" w:rsidP="00514011">
            <w:r>
              <w:rPr>
                <w:rFonts w:ascii="Calibri" w:hAnsi="Calibri" w:cs="Calibri"/>
                <w:color w:val="000000"/>
              </w:rPr>
              <w:t>317.97</w:t>
            </w:r>
          </w:p>
        </w:tc>
        <w:tc>
          <w:tcPr>
            <w:tcW w:w="960" w:type="dxa"/>
            <w:noWrap/>
            <w:vAlign w:val="bottom"/>
          </w:tcPr>
          <w:p w14:paraId="53D52A12" w14:textId="77777777" w:rsidR="00E92F0B" w:rsidRPr="000B07C3" w:rsidRDefault="00E92F0B" w:rsidP="00514011">
            <w:pPr>
              <w:keepNext/>
            </w:pPr>
            <w:r>
              <w:rPr>
                <w:rFonts w:ascii="Calibri" w:hAnsi="Calibri" w:cs="Calibri"/>
                <w:color w:val="000000"/>
              </w:rPr>
              <w:t>977.47</w:t>
            </w:r>
          </w:p>
        </w:tc>
      </w:tr>
    </w:tbl>
    <w:p w14:paraId="4692F4CA" w14:textId="668F78C4" w:rsidR="00E92F0B" w:rsidRDefault="00245CBF" w:rsidP="00245CBF">
      <w:pPr>
        <w:pStyle w:val="Caption"/>
      </w:pPr>
      <w:bookmarkStart w:id="74" w:name="_Ref104545123"/>
      <w:r>
        <w:t xml:space="preserve">Table </w:t>
      </w:r>
      <w:r w:rsidR="00585CCB">
        <w:fldChar w:fldCharType="begin"/>
      </w:r>
      <w:r w:rsidR="00585CCB">
        <w:instrText xml:space="preserve"> SEQ Table \* ARABIC </w:instrText>
      </w:r>
      <w:r w:rsidR="00585CCB">
        <w:fldChar w:fldCharType="separate"/>
      </w:r>
      <w:r>
        <w:rPr>
          <w:noProof/>
        </w:rPr>
        <w:t>1</w:t>
      </w:r>
      <w:r w:rsidR="00585CCB">
        <w:rPr>
          <w:noProof/>
        </w:rPr>
        <w:fldChar w:fldCharType="end"/>
      </w:r>
      <w:bookmarkEnd w:id="74"/>
      <w:r>
        <w:t>:</w:t>
      </w:r>
      <w:r w:rsidR="00E92F0B">
        <w:t>Summary of results for survival sub model, giving the mean, median, standard deviation, 5</w:t>
      </w:r>
      <w:r w:rsidR="00E92F0B" w:rsidRPr="00362541">
        <w:rPr>
          <w:vertAlign w:val="superscript"/>
        </w:rPr>
        <w:t>th</w:t>
      </w:r>
      <w:r w:rsidR="00E92F0B">
        <w:t xml:space="preserve"> percentile, and 95</w:t>
      </w:r>
      <w:r w:rsidR="00E92F0B" w:rsidRPr="00362541">
        <w:rPr>
          <w:vertAlign w:val="superscript"/>
        </w:rPr>
        <w:t>th</w:t>
      </w:r>
      <w:r w:rsidR="00E92F0B">
        <w:t xml:space="preserve"> percentile of posterior samples for each parameter, plus diagnostics R-hat, effective sample size (bulk), and effective sample size (tail).</w:t>
      </w:r>
    </w:p>
    <w:p w14:paraId="323F3779" w14:textId="77777777" w:rsidR="00245CBF" w:rsidRDefault="00245CBF">
      <w:r>
        <w:br w:type="page"/>
      </w:r>
    </w:p>
    <w:tbl>
      <w:tblPr>
        <w:tblStyle w:val="TableGrid"/>
        <w:tblW w:w="0" w:type="auto"/>
        <w:tblLook w:val="04A0" w:firstRow="1" w:lastRow="0" w:firstColumn="1" w:lastColumn="0" w:noHBand="0" w:noVBand="1"/>
      </w:tblPr>
      <w:tblGrid>
        <w:gridCol w:w="1533"/>
        <w:gridCol w:w="746"/>
        <w:gridCol w:w="1052"/>
        <w:gridCol w:w="822"/>
        <w:gridCol w:w="902"/>
        <w:gridCol w:w="902"/>
        <w:gridCol w:w="825"/>
        <w:gridCol w:w="1284"/>
        <w:gridCol w:w="1284"/>
      </w:tblGrid>
      <w:tr w:rsidR="004940F9" w:rsidRPr="00870621" w14:paraId="0A39E06B" w14:textId="77777777" w:rsidTr="004940F9">
        <w:trPr>
          <w:trHeight w:val="288"/>
        </w:trPr>
        <w:tc>
          <w:tcPr>
            <w:tcW w:w="1533" w:type="dxa"/>
            <w:noWrap/>
            <w:hideMark/>
          </w:tcPr>
          <w:p w14:paraId="3E3FEABC" w14:textId="77777777" w:rsidR="00245CBF" w:rsidRPr="00870621" w:rsidRDefault="00245CBF" w:rsidP="00514011">
            <w:pPr>
              <w:rPr>
                <w:b/>
                <w:bCs/>
              </w:rPr>
            </w:pPr>
            <w:r w:rsidRPr="00870621">
              <w:rPr>
                <w:b/>
                <w:bCs/>
              </w:rPr>
              <w:lastRenderedPageBreak/>
              <w:t>Parameter</w:t>
            </w:r>
          </w:p>
        </w:tc>
        <w:tc>
          <w:tcPr>
            <w:tcW w:w="739" w:type="dxa"/>
            <w:noWrap/>
            <w:hideMark/>
          </w:tcPr>
          <w:p w14:paraId="351CF69B" w14:textId="77777777" w:rsidR="00245CBF" w:rsidRPr="00870621" w:rsidRDefault="00245CBF" w:rsidP="00514011">
            <w:pPr>
              <w:rPr>
                <w:b/>
                <w:bCs/>
              </w:rPr>
            </w:pPr>
            <w:r w:rsidRPr="00870621">
              <w:rPr>
                <w:b/>
                <w:bCs/>
              </w:rPr>
              <w:t>Mean</w:t>
            </w:r>
          </w:p>
        </w:tc>
        <w:tc>
          <w:tcPr>
            <w:tcW w:w="1053" w:type="dxa"/>
            <w:noWrap/>
            <w:hideMark/>
          </w:tcPr>
          <w:p w14:paraId="332D56A6" w14:textId="77777777" w:rsidR="00245CBF" w:rsidRPr="00870621" w:rsidRDefault="00245CBF" w:rsidP="00514011">
            <w:pPr>
              <w:rPr>
                <w:b/>
                <w:bCs/>
              </w:rPr>
            </w:pPr>
            <w:r w:rsidRPr="00870621">
              <w:rPr>
                <w:b/>
                <w:bCs/>
              </w:rPr>
              <w:t>Median</w:t>
            </w:r>
          </w:p>
        </w:tc>
        <w:tc>
          <w:tcPr>
            <w:tcW w:w="823" w:type="dxa"/>
            <w:noWrap/>
            <w:hideMark/>
          </w:tcPr>
          <w:p w14:paraId="6D61FCF0" w14:textId="77777777" w:rsidR="00245CBF" w:rsidRPr="00870621" w:rsidRDefault="00245CBF" w:rsidP="00514011">
            <w:pPr>
              <w:rPr>
                <w:b/>
                <w:bCs/>
              </w:rPr>
            </w:pPr>
            <w:r w:rsidRPr="00870621">
              <w:rPr>
                <w:b/>
                <w:bCs/>
              </w:rPr>
              <w:t>StDev</w:t>
            </w:r>
          </w:p>
        </w:tc>
        <w:tc>
          <w:tcPr>
            <w:tcW w:w="903" w:type="dxa"/>
            <w:noWrap/>
            <w:hideMark/>
          </w:tcPr>
          <w:p w14:paraId="63316CD6" w14:textId="77777777" w:rsidR="00245CBF" w:rsidRPr="00870621" w:rsidRDefault="00245CBF" w:rsidP="00514011">
            <w:pPr>
              <w:rPr>
                <w:b/>
                <w:bCs/>
              </w:rPr>
            </w:pPr>
            <w:r w:rsidRPr="00870621">
              <w:rPr>
                <w:b/>
                <w:bCs/>
              </w:rPr>
              <w:t>q5</w:t>
            </w:r>
          </w:p>
        </w:tc>
        <w:tc>
          <w:tcPr>
            <w:tcW w:w="903" w:type="dxa"/>
            <w:noWrap/>
            <w:hideMark/>
          </w:tcPr>
          <w:p w14:paraId="7A292C13" w14:textId="77777777" w:rsidR="00245CBF" w:rsidRPr="00870621" w:rsidRDefault="00245CBF" w:rsidP="00514011">
            <w:pPr>
              <w:rPr>
                <w:b/>
                <w:bCs/>
              </w:rPr>
            </w:pPr>
            <w:r w:rsidRPr="00870621">
              <w:rPr>
                <w:b/>
                <w:bCs/>
              </w:rPr>
              <w:t>q95</w:t>
            </w:r>
          </w:p>
        </w:tc>
        <w:tc>
          <w:tcPr>
            <w:tcW w:w="826" w:type="dxa"/>
            <w:noWrap/>
            <w:hideMark/>
          </w:tcPr>
          <w:p w14:paraId="188CC90B" w14:textId="77777777" w:rsidR="00245CBF" w:rsidRPr="00870621" w:rsidRDefault="00245CBF" w:rsidP="00514011">
            <w:pPr>
              <w:rPr>
                <w:b/>
                <w:bCs/>
              </w:rPr>
            </w:pPr>
            <w:r w:rsidRPr="00870621">
              <w:rPr>
                <w:b/>
                <w:bCs/>
              </w:rPr>
              <w:t>rhat</w:t>
            </w:r>
          </w:p>
        </w:tc>
        <w:tc>
          <w:tcPr>
            <w:tcW w:w="1285" w:type="dxa"/>
            <w:noWrap/>
            <w:hideMark/>
          </w:tcPr>
          <w:p w14:paraId="6C097373" w14:textId="77777777" w:rsidR="00245CBF" w:rsidRPr="00870621" w:rsidRDefault="00245CBF" w:rsidP="00514011">
            <w:pPr>
              <w:rPr>
                <w:b/>
                <w:bCs/>
              </w:rPr>
            </w:pPr>
            <w:r w:rsidRPr="00870621">
              <w:rPr>
                <w:b/>
                <w:bCs/>
              </w:rPr>
              <w:t>ess_bulk</w:t>
            </w:r>
          </w:p>
        </w:tc>
        <w:tc>
          <w:tcPr>
            <w:tcW w:w="1285" w:type="dxa"/>
            <w:noWrap/>
            <w:hideMark/>
          </w:tcPr>
          <w:p w14:paraId="419EF56B" w14:textId="77777777" w:rsidR="00245CBF" w:rsidRPr="00870621" w:rsidRDefault="00245CBF" w:rsidP="00514011">
            <w:pPr>
              <w:rPr>
                <w:b/>
                <w:bCs/>
              </w:rPr>
            </w:pPr>
            <w:r w:rsidRPr="00870621">
              <w:rPr>
                <w:b/>
                <w:bCs/>
              </w:rPr>
              <w:t>ess_tail</w:t>
            </w:r>
          </w:p>
        </w:tc>
      </w:tr>
      <w:tr w:rsidR="004940F9" w:rsidRPr="00870621" w14:paraId="07485478" w14:textId="77777777" w:rsidTr="004940F9">
        <w:trPr>
          <w:trHeight w:val="288"/>
        </w:trPr>
        <w:tc>
          <w:tcPr>
            <w:tcW w:w="1533" w:type="dxa"/>
            <w:noWrap/>
            <w:hideMark/>
          </w:tcPr>
          <w:p w14:paraId="6963147A" w14:textId="77777777" w:rsidR="00245CBF" w:rsidRPr="00870621" w:rsidRDefault="00245CBF" w:rsidP="00514011">
            <w:pPr>
              <w:rPr>
                <w:b/>
                <w:bCs/>
              </w:rPr>
            </w:pPr>
            <w:r w:rsidRPr="00870621">
              <w:rPr>
                <w:b/>
                <w:bCs/>
              </w:rPr>
              <w:t>Intercept</w:t>
            </w:r>
          </w:p>
        </w:tc>
        <w:tc>
          <w:tcPr>
            <w:tcW w:w="739" w:type="dxa"/>
            <w:noWrap/>
            <w:vAlign w:val="bottom"/>
            <w:hideMark/>
          </w:tcPr>
          <w:p w14:paraId="19158196" w14:textId="77777777" w:rsidR="00245CBF" w:rsidRPr="00870621" w:rsidRDefault="00245CBF" w:rsidP="00514011">
            <w:r>
              <w:rPr>
                <w:rFonts w:ascii="Calibri" w:hAnsi="Calibri" w:cs="Calibri"/>
                <w:color w:val="000000"/>
              </w:rPr>
              <w:t>0.038</w:t>
            </w:r>
          </w:p>
        </w:tc>
        <w:tc>
          <w:tcPr>
            <w:tcW w:w="1053" w:type="dxa"/>
            <w:noWrap/>
            <w:vAlign w:val="bottom"/>
            <w:hideMark/>
          </w:tcPr>
          <w:p w14:paraId="6919153B" w14:textId="77777777" w:rsidR="00245CBF" w:rsidRPr="00870621" w:rsidRDefault="00245CBF" w:rsidP="00514011">
            <w:r>
              <w:rPr>
                <w:rFonts w:ascii="Calibri" w:hAnsi="Calibri" w:cs="Calibri"/>
                <w:color w:val="000000"/>
              </w:rPr>
              <w:t>0.038</w:t>
            </w:r>
          </w:p>
        </w:tc>
        <w:tc>
          <w:tcPr>
            <w:tcW w:w="823" w:type="dxa"/>
            <w:noWrap/>
            <w:vAlign w:val="bottom"/>
            <w:hideMark/>
          </w:tcPr>
          <w:p w14:paraId="02506C0D" w14:textId="77777777" w:rsidR="00245CBF" w:rsidRPr="00870621" w:rsidRDefault="00245CBF" w:rsidP="00514011">
            <w:r>
              <w:rPr>
                <w:rFonts w:ascii="Calibri" w:hAnsi="Calibri" w:cs="Calibri"/>
                <w:color w:val="000000"/>
              </w:rPr>
              <w:t>0.002</w:t>
            </w:r>
          </w:p>
        </w:tc>
        <w:tc>
          <w:tcPr>
            <w:tcW w:w="903" w:type="dxa"/>
            <w:noWrap/>
            <w:vAlign w:val="bottom"/>
            <w:hideMark/>
          </w:tcPr>
          <w:p w14:paraId="624DEC9D" w14:textId="77777777" w:rsidR="00245CBF" w:rsidRPr="00870621" w:rsidRDefault="00245CBF" w:rsidP="00514011">
            <w:r>
              <w:rPr>
                <w:rFonts w:ascii="Calibri" w:hAnsi="Calibri" w:cs="Calibri"/>
                <w:color w:val="000000"/>
              </w:rPr>
              <w:t>0.034</w:t>
            </w:r>
          </w:p>
        </w:tc>
        <w:tc>
          <w:tcPr>
            <w:tcW w:w="903" w:type="dxa"/>
            <w:noWrap/>
            <w:vAlign w:val="bottom"/>
            <w:hideMark/>
          </w:tcPr>
          <w:p w14:paraId="627B1E39" w14:textId="77777777" w:rsidR="00245CBF" w:rsidRPr="00870621" w:rsidRDefault="00245CBF" w:rsidP="00514011">
            <w:r>
              <w:rPr>
                <w:rFonts w:ascii="Calibri" w:hAnsi="Calibri" w:cs="Calibri"/>
                <w:color w:val="000000"/>
              </w:rPr>
              <w:t>0.041</w:t>
            </w:r>
          </w:p>
        </w:tc>
        <w:tc>
          <w:tcPr>
            <w:tcW w:w="826" w:type="dxa"/>
            <w:noWrap/>
            <w:vAlign w:val="bottom"/>
            <w:hideMark/>
          </w:tcPr>
          <w:p w14:paraId="284363B9" w14:textId="77777777" w:rsidR="00245CBF" w:rsidRPr="00870621" w:rsidRDefault="00245CBF" w:rsidP="00514011">
            <w:r>
              <w:rPr>
                <w:rFonts w:ascii="Calibri" w:hAnsi="Calibri" w:cs="Calibri"/>
                <w:color w:val="000000"/>
              </w:rPr>
              <w:t>1.00</w:t>
            </w:r>
          </w:p>
        </w:tc>
        <w:tc>
          <w:tcPr>
            <w:tcW w:w="1285" w:type="dxa"/>
            <w:noWrap/>
            <w:vAlign w:val="bottom"/>
            <w:hideMark/>
          </w:tcPr>
          <w:p w14:paraId="3C558314" w14:textId="77777777" w:rsidR="00245CBF" w:rsidRPr="00870621" w:rsidRDefault="00245CBF" w:rsidP="00514011">
            <w:r>
              <w:rPr>
                <w:rFonts w:ascii="Calibri" w:hAnsi="Calibri" w:cs="Calibri"/>
                <w:color w:val="000000"/>
              </w:rPr>
              <w:t>976.04</w:t>
            </w:r>
          </w:p>
        </w:tc>
        <w:tc>
          <w:tcPr>
            <w:tcW w:w="1285" w:type="dxa"/>
            <w:noWrap/>
            <w:vAlign w:val="bottom"/>
            <w:hideMark/>
          </w:tcPr>
          <w:p w14:paraId="37926C0F" w14:textId="77777777" w:rsidR="00245CBF" w:rsidRPr="00870621" w:rsidRDefault="00245CBF" w:rsidP="00514011">
            <w:r>
              <w:rPr>
                <w:rFonts w:ascii="Calibri" w:hAnsi="Calibri" w:cs="Calibri"/>
                <w:color w:val="000000"/>
              </w:rPr>
              <w:t>1615.67</w:t>
            </w:r>
          </w:p>
        </w:tc>
      </w:tr>
      <w:tr w:rsidR="004940F9" w:rsidRPr="00870621" w14:paraId="731E0AF7" w14:textId="77777777" w:rsidTr="004940F9">
        <w:trPr>
          <w:trHeight w:val="288"/>
        </w:trPr>
        <w:tc>
          <w:tcPr>
            <w:tcW w:w="1533" w:type="dxa"/>
            <w:noWrap/>
            <w:hideMark/>
          </w:tcPr>
          <w:p w14:paraId="7CDD2AF9" w14:textId="77777777" w:rsidR="00245CBF" w:rsidRPr="00870621" w:rsidRDefault="00245CBF" w:rsidP="00514011">
            <w:pPr>
              <w:rPr>
                <w:b/>
                <w:bCs/>
              </w:rPr>
            </w:pPr>
            <w:r w:rsidRPr="00870621">
              <w:rPr>
                <w:b/>
                <w:bCs/>
              </w:rPr>
              <w:t>DBH (m)</w:t>
            </w:r>
          </w:p>
        </w:tc>
        <w:tc>
          <w:tcPr>
            <w:tcW w:w="739" w:type="dxa"/>
            <w:noWrap/>
            <w:vAlign w:val="bottom"/>
            <w:hideMark/>
          </w:tcPr>
          <w:p w14:paraId="4BC6992D" w14:textId="77777777" w:rsidR="00245CBF" w:rsidRPr="00870621" w:rsidRDefault="00245CBF" w:rsidP="00514011">
            <w:r>
              <w:rPr>
                <w:rFonts w:ascii="Calibri" w:hAnsi="Calibri" w:cs="Calibri"/>
                <w:color w:val="000000"/>
              </w:rPr>
              <w:t>1.001</w:t>
            </w:r>
          </w:p>
        </w:tc>
        <w:tc>
          <w:tcPr>
            <w:tcW w:w="1053" w:type="dxa"/>
            <w:noWrap/>
            <w:vAlign w:val="bottom"/>
            <w:hideMark/>
          </w:tcPr>
          <w:p w14:paraId="1CEF43F8" w14:textId="77777777" w:rsidR="00245CBF" w:rsidRPr="00870621" w:rsidRDefault="00245CBF" w:rsidP="00514011">
            <w:r>
              <w:rPr>
                <w:rFonts w:ascii="Calibri" w:hAnsi="Calibri" w:cs="Calibri"/>
                <w:color w:val="000000"/>
              </w:rPr>
              <w:t>1.001</w:t>
            </w:r>
          </w:p>
        </w:tc>
        <w:tc>
          <w:tcPr>
            <w:tcW w:w="823" w:type="dxa"/>
            <w:noWrap/>
            <w:vAlign w:val="bottom"/>
            <w:hideMark/>
          </w:tcPr>
          <w:p w14:paraId="220F34CC" w14:textId="77777777" w:rsidR="00245CBF" w:rsidRPr="00870621" w:rsidRDefault="00245CBF" w:rsidP="00514011">
            <w:r>
              <w:rPr>
                <w:rFonts w:ascii="Calibri" w:hAnsi="Calibri" w:cs="Calibri"/>
                <w:color w:val="000000"/>
              </w:rPr>
              <w:t>0.002</w:t>
            </w:r>
          </w:p>
        </w:tc>
        <w:tc>
          <w:tcPr>
            <w:tcW w:w="903" w:type="dxa"/>
            <w:noWrap/>
            <w:vAlign w:val="bottom"/>
            <w:hideMark/>
          </w:tcPr>
          <w:p w14:paraId="3C693653" w14:textId="77777777" w:rsidR="00245CBF" w:rsidRPr="00870621" w:rsidRDefault="00245CBF" w:rsidP="00514011">
            <w:r>
              <w:rPr>
                <w:rFonts w:ascii="Calibri" w:hAnsi="Calibri" w:cs="Calibri"/>
                <w:color w:val="000000"/>
              </w:rPr>
              <w:t>0.998</w:t>
            </w:r>
          </w:p>
        </w:tc>
        <w:tc>
          <w:tcPr>
            <w:tcW w:w="903" w:type="dxa"/>
            <w:noWrap/>
            <w:vAlign w:val="bottom"/>
            <w:hideMark/>
          </w:tcPr>
          <w:p w14:paraId="2B55DB2E" w14:textId="77777777" w:rsidR="00245CBF" w:rsidRPr="00870621" w:rsidRDefault="00245CBF" w:rsidP="00514011">
            <w:r>
              <w:rPr>
                <w:rFonts w:ascii="Calibri" w:hAnsi="Calibri" w:cs="Calibri"/>
                <w:color w:val="000000"/>
              </w:rPr>
              <w:t>1.004</w:t>
            </w:r>
          </w:p>
        </w:tc>
        <w:tc>
          <w:tcPr>
            <w:tcW w:w="826" w:type="dxa"/>
            <w:noWrap/>
            <w:vAlign w:val="bottom"/>
            <w:hideMark/>
          </w:tcPr>
          <w:p w14:paraId="17C64310" w14:textId="77777777" w:rsidR="00245CBF" w:rsidRPr="00870621" w:rsidRDefault="00245CBF" w:rsidP="00514011">
            <w:r>
              <w:rPr>
                <w:rFonts w:ascii="Calibri" w:hAnsi="Calibri" w:cs="Calibri"/>
                <w:color w:val="000000"/>
              </w:rPr>
              <w:t>1.00</w:t>
            </w:r>
          </w:p>
        </w:tc>
        <w:tc>
          <w:tcPr>
            <w:tcW w:w="1285" w:type="dxa"/>
            <w:noWrap/>
            <w:vAlign w:val="bottom"/>
            <w:hideMark/>
          </w:tcPr>
          <w:p w14:paraId="2C077E00" w14:textId="77777777" w:rsidR="00245CBF" w:rsidRPr="00870621" w:rsidRDefault="00245CBF" w:rsidP="00514011">
            <w:r>
              <w:rPr>
                <w:rFonts w:ascii="Calibri" w:hAnsi="Calibri" w:cs="Calibri"/>
                <w:color w:val="000000"/>
              </w:rPr>
              <w:t>3598.48</w:t>
            </w:r>
          </w:p>
        </w:tc>
        <w:tc>
          <w:tcPr>
            <w:tcW w:w="1285" w:type="dxa"/>
            <w:noWrap/>
            <w:vAlign w:val="bottom"/>
            <w:hideMark/>
          </w:tcPr>
          <w:p w14:paraId="3679A0E4" w14:textId="77777777" w:rsidR="00245CBF" w:rsidRPr="00870621" w:rsidRDefault="00245CBF" w:rsidP="00514011">
            <w:r>
              <w:rPr>
                <w:rFonts w:ascii="Calibri" w:hAnsi="Calibri" w:cs="Calibri"/>
                <w:color w:val="000000"/>
              </w:rPr>
              <w:t>3670.58</w:t>
            </w:r>
          </w:p>
        </w:tc>
      </w:tr>
      <w:tr w:rsidR="004940F9" w:rsidRPr="00870621" w14:paraId="0B156E08" w14:textId="77777777" w:rsidTr="004940F9">
        <w:trPr>
          <w:trHeight w:val="288"/>
        </w:trPr>
        <w:tc>
          <w:tcPr>
            <w:tcW w:w="1533" w:type="dxa"/>
            <w:noWrap/>
            <w:hideMark/>
          </w:tcPr>
          <w:p w14:paraId="62979226" w14:textId="77777777" w:rsidR="00245CBF" w:rsidRPr="00870621" w:rsidRDefault="00245CBF" w:rsidP="00514011">
            <w:pPr>
              <w:rPr>
                <w:b/>
                <w:bCs/>
              </w:rPr>
            </w:pPr>
            <w:r w:rsidRPr="00870621">
              <w:rPr>
                <w:b/>
                <w:bCs/>
              </w:rPr>
              <w:t>Fire</w:t>
            </w:r>
          </w:p>
        </w:tc>
        <w:tc>
          <w:tcPr>
            <w:tcW w:w="739" w:type="dxa"/>
            <w:noWrap/>
            <w:vAlign w:val="bottom"/>
            <w:hideMark/>
          </w:tcPr>
          <w:p w14:paraId="6BCEB5B6" w14:textId="77777777" w:rsidR="00245CBF" w:rsidRPr="00870621" w:rsidRDefault="00245CBF" w:rsidP="00514011">
            <w:r>
              <w:rPr>
                <w:rFonts w:ascii="Calibri" w:hAnsi="Calibri" w:cs="Calibri"/>
                <w:color w:val="000000"/>
              </w:rPr>
              <w:t>-0.006</w:t>
            </w:r>
          </w:p>
        </w:tc>
        <w:tc>
          <w:tcPr>
            <w:tcW w:w="1053" w:type="dxa"/>
            <w:noWrap/>
            <w:vAlign w:val="bottom"/>
            <w:hideMark/>
          </w:tcPr>
          <w:p w14:paraId="741DF542" w14:textId="77777777" w:rsidR="00245CBF" w:rsidRPr="00870621" w:rsidRDefault="00245CBF" w:rsidP="00514011">
            <w:r>
              <w:rPr>
                <w:rFonts w:ascii="Calibri" w:hAnsi="Calibri" w:cs="Calibri"/>
                <w:color w:val="000000"/>
              </w:rPr>
              <w:t>-0.006</w:t>
            </w:r>
          </w:p>
        </w:tc>
        <w:tc>
          <w:tcPr>
            <w:tcW w:w="823" w:type="dxa"/>
            <w:noWrap/>
            <w:vAlign w:val="bottom"/>
            <w:hideMark/>
          </w:tcPr>
          <w:p w14:paraId="3C56E5C7" w14:textId="77777777" w:rsidR="00245CBF" w:rsidRPr="00870621" w:rsidRDefault="00245CBF" w:rsidP="00514011">
            <w:r>
              <w:rPr>
                <w:rFonts w:ascii="Calibri" w:hAnsi="Calibri" w:cs="Calibri"/>
                <w:color w:val="000000"/>
              </w:rPr>
              <w:t>0.005</w:t>
            </w:r>
          </w:p>
        </w:tc>
        <w:tc>
          <w:tcPr>
            <w:tcW w:w="903" w:type="dxa"/>
            <w:noWrap/>
            <w:vAlign w:val="bottom"/>
            <w:hideMark/>
          </w:tcPr>
          <w:p w14:paraId="6CB9E66C" w14:textId="77777777" w:rsidR="00245CBF" w:rsidRPr="00870621" w:rsidRDefault="00245CBF" w:rsidP="00514011">
            <w:r>
              <w:rPr>
                <w:rFonts w:ascii="Calibri" w:hAnsi="Calibri" w:cs="Calibri"/>
                <w:color w:val="000000"/>
              </w:rPr>
              <w:t>-0.014</w:t>
            </w:r>
          </w:p>
        </w:tc>
        <w:tc>
          <w:tcPr>
            <w:tcW w:w="903" w:type="dxa"/>
            <w:noWrap/>
            <w:vAlign w:val="bottom"/>
            <w:hideMark/>
          </w:tcPr>
          <w:p w14:paraId="32C9A2FD" w14:textId="77777777" w:rsidR="00245CBF" w:rsidRPr="00870621" w:rsidRDefault="00245CBF" w:rsidP="00514011">
            <w:r>
              <w:rPr>
                <w:rFonts w:ascii="Calibri" w:hAnsi="Calibri" w:cs="Calibri"/>
                <w:color w:val="000000"/>
              </w:rPr>
              <w:t>0.002</w:t>
            </w:r>
          </w:p>
        </w:tc>
        <w:tc>
          <w:tcPr>
            <w:tcW w:w="826" w:type="dxa"/>
            <w:noWrap/>
            <w:vAlign w:val="bottom"/>
            <w:hideMark/>
          </w:tcPr>
          <w:p w14:paraId="7C7E9128" w14:textId="77777777" w:rsidR="00245CBF" w:rsidRPr="00870621" w:rsidRDefault="00245CBF" w:rsidP="00514011">
            <w:r>
              <w:rPr>
                <w:rFonts w:ascii="Calibri" w:hAnsi="Calibri" w:cs="Calibri"/>
                <w:color w:val="000000"/>
              </w:rPr>
              <w:t>1.00</w:t>
            </w:r>
          </w:p>
        </w:tc>
        <w:tc>
          <w:tcPr>
            <w:tcW w:w="1285" w:type="dxa"/>
            <w:noWrap/>
            <w:vAlign w:val="bottom"/>
            <w:hideMark/>
          </w:tcPr>
          <w:p w14:paraId="1E93B627" w14:textId="77777777" w:rsidR="00245CBF" w:rsidRPr="00870621" w:rsidRDefault="00245CBF" w:rsidP="00514011">
            <w:r>
              <w:rPr>
                <w:rFonts w:ascii="Calibri" w:hAnsi="Calibri" w:cs="Calibri"/>
                <w:color w:val="000000"/>
              </w:rPr>
              <w:t>2076.59</w:t>
            </w:r>
          </w:p>
        </w:tc>
        <w:tc>
          <w:tcPr>
            <w:tcW w:w="1285" w:type="dxa"/>
            <w:noWrap/>
            <w:vAlign w:val="bottom"/>
            <w:hideMark/>
          </w:tcPr>
          <w:p w14:paraId="23BFAB25" w14:textId="77777777" w:rsidR="00245CBF" w:rsidRPr="00870621" w:rsidRDefault="00245CBF" w:rsidP="00514011">
            <w:r>
              <w:rPr>
                <w:rFonts w:ascii="Calibri" w:hAnsi="Calibri" w:cs="Calibri"/>
                <w:color w:val="000000"/>
              </w:rPr>
              <w:t>2646.10</w:t>
            </w:r>
          </w:p>
        </w:tc>
      </w:tr>
      <w:tr w:rsidR="004940F9" w:rsidRPr="00870621" w14:paraId="6E01275B" w14:textId="77777777" w:rsidTr="004940F9">
        <w:trPr>
          <w:trHeight w:val="288"/>
        </w:trPr>
        <w:tc>
          <w:tcPr>
            <w:tcW w:w="1533" w:type="dxa"/>
            <w:noWrap/>
            <w:hideMark/>
          </w:tcPr>
          <w:p w14:paraId="502AD63D" w14:textId="77777777" w:rsidR="00245CBF" w:rsidRPr="00870621" w:rsidRDefault="00245CBF" w:rsidP="00514011">
            <w:pPr>
              <w:rPr>
                <w:b/>
                <w:bCs/>
              </w:rPr>
            </w:pPr>
            <w:r w:rsidRPr="00870621">
              <w:rPr>
                <w:b/>
                <w:bCs/>
              </w:rPr>
              <w:t>WPBR</w:t>
            </w:r>
          </w:p>
        </w:tc>
        <w:tc>
          <w:tcPr>
            <w:tcW w:w="739" w:type="dxa"/>
            <w:noWrap/>
            <w:vAlign w:val="bottom"/>
            <w:hideMark/>
          </w:tcPr>
          <w:p w14:paraId="1669B7E2" w14:textId="77777777" w:rsidR="00245CBF" w:rsidRPr="00870621" w:rsidRDefault="00245CBF" w:rsidP="00514011">
            <w:r>
              <w:rPr>
                <w:rFonts w:ascii="Calibri" w:hAnsi="Calibri" w:cs="Calibri"/>
                <w:color w:val="000000"/>
              </w:rPr>
              <w:t>0.006</w:t>
            </w:r>
          </w:p>
        </w:tc>
        <w:tc>
          <w:tcPr>
            <w:tcW w:w="1053" w:type="dxa"/>
            <w:noWrap/>
            <w:vAlign w:val="bottom"/>
            <w:hideMark/>
          </w:tcPr>
          <w:p w14:paraId="70C004C8" w14:textId="77777777" w:rsidR="00245CBF" w:rsidRPr="00870621" w:rsidRDefault="00245CBF" w:rsidP="00514011">
            <w:r>
              <w:rPr>
                <w:rFonts w:ascii="Calibri" w:hAnsi="Calibri" w:cs="Calibri"/>
                <w:color w:val="000000"/>
              </w:rPr>
              <w:t>0.006</w:t>
            </w:r>
          </w:p>
        </w:tc>
        <w:tc>
          <w:tcPr>
            <w:tcW w:w="823" w:type="dxa"/>
            <w:noWrap/>
            <w:vAlign w:val="bottom"/>
            <w:hideMark/>
          </w:tcPr>
          <w:p w14:paraId="118468E4" w14:textId="77777777" w:rsidR="00245CBF" w:rsidRPr="00870621" w:rsidRDefault="00245CBF" w:rsidP="00514011">
            <w:r>
              <w:rPr>
                <w:rFonts w:ascii="Calibri" w:hAnsi="Calibri" w:cs="Calibri"/>
                <w:color w:val="000000"/>
              </w:rPr>
              <w:t>0.004</w:t>
            </w:r>
          </w:p>
        </w:tc>
        <w:tc>
          <w:tcPr>
            <w:tcW w:w="903" w:type="dxa"/>
            <w:noWrap/>
            <w:vAlign w:val="bottom"/>
            <w:hideMark/>
          </w:tcPr>
          <w:p w14:paraId="1FB8AC9A" w14:textId="77777777" w:rsidR="00245CBF" w:rsidRPr="00870621" w:rsidRDefault="00245CBF" w:rsidP="00514011">
            <w:r>
              <w:rPr>
                <w:rFonts w:ascii="Calibri" w:hAnsi="Calibri" w:cs="Calibri"/>
                <w:color w:val="000000"/>
              </w:rPr>
              <w:t>-0.001</w:t>
            </w:r>
          </w:p>
        </w:tc>
        <w:tc>
          <w:tcPr>
            <w:tcW w:w="903" w:type="dxa"/>
            <w:noWrap/>
            <w:vAlign w:val="bottom"/>
            <w:hideMark/>
          </w:tcPr>
          <w:p w14:paraId="0AC24526" w14:textId="77777777" w:rsidR="00245CBF" w:rsidRPr="00870621" w:rsidRDefault="00245CBF" w:rsidP="00514011">
            <w:r>
              <w:rPr>
                <w:rFonts w:ascii="Calibri" w:hAnsi="Calibri" w:cs="Calibri"/>
                <w:color w:val="000000"/>
              </w:rPr>
              <w:t>0.013</w:t>
            </w:r>
          </w:p>
        </w:tc>
        <w:tc>
          <w:tcPr>
            <w:tcW w:w="826" w:type="dxa"/>
            <w:noWrap/>
            <w:vAlign w:val="bottom"/>
            <w:hideMark/>
          </w:tcPr>
          <w:p w14:paraId="59E374EE" w14:textId="77777777" w:rsidR="00245CBF" w:rsidRPr="00870621" w:rsidRDefault="00245CBF" w:rsidP="00514011">
            <w:r>
              <w:rPr>
                <w:rFonts w:ascii="Calibri" w:hAnsi="Calibri" w:cs="Calibri"/>
                <w:color w:val="000000"/>
              </w:rPr>
              <w:t>1.00</w:t>
            </w:r>
          </w:p>
        </w:tc>
        <w:tc>
          <w:tcPr>
            <w:tcW w:w="1285" w:type="dxa"/>
            <w:noWrap/>
            <w:vAlign w:val="bottom"/>
            <w:hideMark/>
          </w:tcPr>
          <w:p w14:paraId="0609BC29" w14:textId="77777777" w:rsidR="00245CBF" w:rsidRPr="00870621" w:rsidRDefault="00245CBF" w:rsidP="00514011">
            <w:r>
              <w:rPr>
                <w:rFonts w:ascii="Calibri" w:hAnsi="Calibri" w:cs="Calibri"/>
                <w:color w:val="000000"/>
              </w:rPr>
              <w:t>1641.70</w:t>
            </w:r>
          </w:p>
        </w:tc>
        <w:tc>
          <w:tcPr>
            <w:tcW w:w="1285" w:type="dxa"/>
            <w:noWrap/>
            <w:vAlign w:val="bottom"/>
            <w:hideMark/>
          </w:tcPr>
          <w:p w14:paraId="3E842160" w14:textId="77777777" w:rsidR="00245CBF" w:rsidRPr="00870621" w:rsidRDefault="00245CBF" w:rsidP="00514011">
            <w:r>
              <w:rPr>
                <w:rFonts w:ascii="Calibri" w:hAnsi="Calibri" w:cs="Calibri"/>
                <w:color w:val="000000"/>
              </w:rPr>
              <w:t>2659.93</w:t>
            </w:r>
          </w:p>
        </w:tc>
      </w:tr>
      <w:tr w:rsidR="004940F9" w:rsidRPr="00870621" w14:paraId="057A0FFD" w14:textId="77777777" w:rsidTr="004940F9">
        <w:trPr>
          <w:trHeight w:val="288"/>
        </w:trPr>
        <w:tc>
          <w:tcPr>
            <w:tcW w:w="1533" w:type="dxa"/>
            <w:noWrap/>
            <w:hideMark/>
          </w:tcPr>
          <w:p w14:paraId="3D4FB2D6" w14:textId="77777777" w:rsidR="00245CBF" w:rsidRPr="00870621" w:rsidRDefault="00245CBF" w:rsidP="00514011">
            <w:pPr>
              <w:rPr>
                <w:b/>
                <w:bCs/>
              </w:rPr>
            </w:pPr>
            <w:r w:rsidRPr="00870621">
              <w:rPr>
                <w:b/>
                <w:bCs/>
              </w:rPr>
              <w:t>Basal Area</w:t>
            </w:r>
          </w:p>
        </w:tc>
        <w:tc>
          <w:tcPr>
            <w:tcW w:w="739" w:type="dxa"/>
            <w:noWrap/>
            <w:vAlign w:val="bottom"/>
            <w:hideMark/>
          </w:tcPr>
          <w:p w14:paraId="358CA16C" w14:textId="77777777" w:rsidR="00245CBF" w:rsidRPr="00870621" w:rsidRDefault="00245CBF" w:rsidP="00514011">
            <w:r>
              <w:rPr>
                <w:rFonts w:ascii="Calibri" w:hAnsi="Calibri" w:cs="Calibri"/>
                <w:color w:val="000000"/>
              </w:rPr>
              <w:t>-0.004</w:t>
            </w:r>
          </w:p>
        </w:tc>
        <w:tc>
          <w:tcPr>
            <w:tcW w:w="1053" w:type="dxa"/>
            <w:noWrap/>
            <w:vAlign w:val="bottom"/>
            <w:hideMark/>
          </w:tcPr>
          <w:p w14:paraId="6F19725D" w14:textId="77777777" w:rsidR="00245CBF" w:rsidRPr="00870621" w:rsidRDefault="00245CBF" w:rsidP="00514011">
            <w:r>
              <w:rPr>
                <w:rFonts w:ascii="Calibri" w:hAnsi="Calibri" w:cs="Calibri"/>
                <w:color w:val="000000"/>
              </w:rPr>
              <w:t>-0.004</w:t>
            </w:r>
          </w:p>
        </w:tc>
        <w:tc>
          <w:tcPr>
            <w:tcW w:w="823" w:type="dxa"/>
            <w:noWrap/>
            <w:vAlign w:val="bottom"/>
            <w:hideMark/>
          </w:tcPr>
          <w:p w14:paraId="3E455A96" w14:textId="77777777" w:rsidR="00245CBF" w:rsidRPr="00870621" w:rsidRDefault="00245CBF" w:rsidP="00514011">
            <w:r>
              <w:rPr>
                <w:rFonts w:ascii="Calibri" w:hAnsi="Calibri" w:cs="Calibri"/>
                <w:color w:val="000000"/>
              </w:rPr>
              <w:t>0.001</w:t>
            </w:r>
          </w:p>
        </w:tc>
        <w:tc>
          <w:tcPr>
            <w:tcW w:w="903" w:type="dxa"/>
            <w:noWrap/>
            <w:vAlign w:val="bottom"/>
            <w:hideMark/>
          </w:tcPr>
          <w:p w14:paraId="05B10FA0" w14:textId="77777777" w:rsidR="00245CBF" w:rsidRPr="00870621" w:rsidRDefault="00245CBF" w:rsidP="00514011">
            <w:r>
              <w:rPr>
                <w:rFonts w:ascii="Calibri" w:hAnsi="Calibri" w:cs="Calibri"/>
                <w:color w:val="000000"/>
              </w:rPr>
              <w:t>-0.007</w:t>
            </w:r>
          </w:p>
        </w:tc>
        <w:tc>
          <w:tcPr>
            <w:tcW w:w="903" w:type="dxa"/>
            <w:noWrap/>
            <w:vAlign w:val="bottom"/>
            <w:hideMark/>
          </w:tcPr>
          <w:p w14:paraId="74B12C83" w14:textId="77777777" w:rsidR="00245CBF" w:rsidRPr="00870621" w:rsidRDefault="00245CBF" w:rsidP="00514011">
            <w:r>
              <w:rPr>
                <w:rFonts w:ascii="Calibri" w:hAnsi="Calibri" w:cs="Calibri"/>
                <w:color w:val="000000"/>
              </w:rPr>
              <w:t>-0.002</w:t>
            </w:r>
          </w:p>
        </w:tc>
        <w:tc>
          <w:tcPr>
            <w:tcW w:w="826" w:type="dxa"/>
            <w:noWrap/>
            <w:vAlign w:val="bottom"/>
            <w:hideMark/>
          </w:tcPr>
          <w:p w14:paraId="4C05910E" w14:textId="77777777" w:rsidR="00245CBF" w:rsidRPr="00870621" w:rsidRDefault="00245CBF" w:rsidP="00514011">
            <w:r>
              <w:rPr>
                <w:rFonts w:ascii="Calibri" w:hAnsi="Calibri" w:cs="Calibri"/>
                <w:color w:val="000000"/>
              </w:rPr>
              <w:t>1.00</w:t>
            </w:r>
          </w:p>
        </w:tc>
        <w:tc>
          <w:tcPr>
            <w:tcW w:w="1285" w:type="dxa"/>
            <w:noWrap/>
            <w:vAlign w:val="bottom"/>
            <w:hideMark/>
          </w:tcPr>
          <w:p w14:paraId="0C9A9C7B" w14:textId="77777777" w:rsidR="00245CBF" w:rsidRPr="00870621" w:rsidRDefault="00245CBF" w:rsidP="00514011">
            <w:r>
              <w:rPr>
                <w:rFonts w:ascii="Calibri" w:hAnsi="Calibri" w:cs="Calibri"/>
                <w:color w:val="000000"/>
              </w:rPr>
              <w:t>2558.93</w:t>
            </w:r>
          </w:p>
        </w:tc>
        <w:tc>
          <w:tcPr>
            <w:tcW w:w="1285" w:type="dxa"/>
            <w:noWrap/>
            <w:vAlign w:val="bottom"/>
            <w:hideMark/>
          </w:tcPr>
          <w:p w14:paraId="2271DEB8" w14:textId="77777777" w:rsidR="00245CBF" w:rsidRPr="00870621" w:rsidRDefault="00245CBF" w:rsidP="00514011">
            <w:r>
              <w:rPr>
                <w:rFonts w:ascii="Calibri" w:hAnsi="Calibri" w:cs="Calibri"/>
                <w:color w:val="000000"/>
              </w:rPr>
              <w:t>3202.40</w:t>
            </w:r>
          </w:p>
        </w:tc>
      </w:tr>
      <w:tr w:rsidR="004940F9" w:rsidRPr="00870621" w14:paraId="7186D04C" w14:textId="77777777" w:rsidTr="004940F9">
        <w:trPr>
          <w:trHeight w:val="288"/>
        </w:trPr>
        <w:tc>
          <w:tcPr>
            <w:tcW w:w="1533" w:type="dxa"/>
            <w:noWrap/>
            <w:hideMark/>
          </w:tcPr>
          <w:p w14:paraId="36C419E7" w14:textId="77777777" w:rsidR="00245CBF" w:rsidRPr="00870621" w:rsidRDefault="00245CBF" w:rsidP="00514011">
            <w:pPr>
              <w:rPr>
                <w:b/>
                <w:bCs/>
              </w:rPr>
            </w:pPr>
            <w:r w:rsidRPr="00870621">
              <w:rPr>
                <w:b/>
                <w:bCs/>
              </w:rPr>
              <w:t>Drought</w:t>
            </w:r>
          </w:p>
        </w:tc>
        <w:tc>
          <w:tcPr>
            <w:tcW w:w="739" w:type="dxa"/>
            <w:noWrap/>
            <w:vAlign w:val="bottom"/>
            <w:hideMark/>
          </w:tcPr>
          <w:p w14:paraId="1C228737" w14:textId="77777777" w:rsidR="00245CBF" w:rsidRPr="00870621" w:rsidRDefault="00245CBF" w:rsidP="00514011">
            <w:r>
              <w:rPr>
                <w:rFonts w:ascii="Calibri" w:hAnsi="Calibri" w:cs="Calibri"/>
                <w:color w:val="000000"/>
              </w:rPr>
              <w:t>0.000</w:t>
            </w:r>
          </w:p>
        </w:tc>
        <w:tc>
          <w:tcPr>
            <w:tcW w:w="1053" w:type="dxa"/>
            <w:noWrap/>
            <w:vAlign w:val="bottom"/>
            <w:hideMark/>
          </w:tcPr>
          <w:p w14:paraId="73AA09B7" w14:textId="77777777" w:rsidR="00245CBF" w:rsidRPr="00870621" w:rsidRDefault="00245CBF" w:rsidP="00514011">
            <w:r>
              <w:rPr>
                <w:rFonts w:ascii="Calibri" w:hAnsi="Calibri" w:cs="Calibri"/>
                <w:color w:val="000000"/>
              </w:rPr>
              <w:t>0.000</w:t>
            </w:r>
          </w:p>
        </w:tc>
        <w:tc>
          <w:tcPr>
            <w:tcW w:w="823" w:type="dxa"/>
            <w:noWrap/>
            <w:vAlign w:val="bottom"/>
            <w:hideMark/>
          </w:tcPr>
          <w:p w14:paraId="5D43AF49" w14:textId="77777777" w:rsidR="00245CBF" w:rsidRPr="00870621" w:rsidRDefault="00245CBF" w:rsidP="00514011">
            <w:r>
              <w:rPr>
                <w:rFonts w:ascii="Calibri" w:hAnsi="Calibri" w:cs="Calibri"/>
                <w:color w:val="000000"/>
              </w:rPr>
              <w:t>0.001</w:t>
            </w:r>
          </w:p>
        </w:tc>
        <w:tc>
          <w:tcPr>
            <w:tcW w:w="903" w:type="dxa"/>
            <w:noWrap/>
            <w:vAlign w:val="bottom"/>
            <w:hideMark/>
          </w:tcPr>
          <w:p w14:paraId="08A85C77" w14:textId="77777777" w:rsidR="00245CBF" w:rsidRPr="00870621" w:rsidRDefault="00245CBF" w:rsidP="00514011">
            <w:r>
              <w:rPr>
                <w:rFonts w:ascii="Calibri" w:hAnsi="Calibri" w:cs="Calibri"/>
                <w:color w:val="000000"/>
              </w:rPr>
              <w:t>-0.003</w:t>
            </w:r>
          </w:p>
        </w:tc>
        <w:tc>
          <w:tcPr>
            <w:tcW w:w="903" w:type="dxa"/>
            <w:noWrap/>
            <w:vAlign w:val="bottom"/>
            <w:hideMark/>
          </w:tcPr>
          <w:p w14:paraId="3DEFE5A5" w14:textId="77777777" w:rsidR="00245CBF" w:rsidRPr="00870621" w:rsidRDefault="00245CBF" w:rsidP="00514011">
            <w:r>
              <w:rPr>
                <w:rFonts w:ascii="Calibri" w:hAnsi="Calibri" w:cs="Calibri"/>
                <w:color w:val="000000"/>
              </w:rPr>
              <w:t>0.002</w:t>
            </w:r>
          </w:p>
        </w:tc>
        <w:tc>
          <w:tcPr>
            <w:tcW w:w="826" w:type="dxa"/>
            <w:noWrap/>
            <w:vAlign w:val="bottom"/>
            <w:hideMark/>
          </w:tcPr>
          <w:p w14:paraId="3749CF6C" w14:textId="77777777" w:rsidR="00245CBF" w:rsidRPr="00870621" w:rsidRDefault="00245CBF" w:rsidP="00514011">
            <w:r>
              <w:rPr>
                <w:rFonts w:ascii="Calibri" w:hAnsi="Calibri" w:cs="Calibri"/>
                <w:color w:val="000000"/>
              </w:rPr>
              <w:t>1.00</w:t>
            </w:r>
          </w:p>
        </w:tc>
        <w:tc>
          <w:tcPr>
            <w:tcW w:w="1285" w:type="dxa"/>
            <w:noWrap/>
            <w:vAlign w:val="bottom"/>
            <w:hideMark/>
          </w:tcPr>
          <w:p w14:paraId="25A72BF7" w14:textId="77777777" w:rsidR="00245CBF" w:rsidRPr="00870621" w:rsidRDefault="00245CBF" w:rsidP="00514011">
            <w:r>
              <w:rPr>
                <w:rFonts w:ascii="Calibri" w:hAnsi="Calibri" w:cs="Calibri"/>
                <w:color w:val="000000"/>
              </w:rPr>
              <w:t>2233.77</w:t>
            </w:r>
          </w:p>
        </w:tc>
        <w:tc>
          <w:tcPr>
            <w:tcW w:w="1285" w:type="dxa"/>
            <w:noWrap/>
            <w:vAlign w:val="bottom"/>
            <w:hideMark/>
          </w:tcPr>
          <w:p w14:paraId="194E7262" w14:textId="77777777" w:rsidR="00245CBF" w:rsidRPr="00870621" w:rsidRDefault="00245CBF" w:rsidP="00514011">
            <w:r>
              <w:rPr>
                <w:rFonts w:ascii="Calibri" w:hAnsi="Calibri" w:cs="Calibri"/>
                <w:color w:val="000000"/>
              </w:rPr>
              <w:t>2778.53</w:t>
            </w:r>
          </w:p>
        </w:tc>
      </w:tr>
      <w:tr w:rsidR="004940F9" w:rsidRPr="00870621" w14:paraId="1F743D1B" w14:textId="77777777" w:rsidTr="004940F9">
        <w:trPr>
          <w:trHeight w:val="288"/>
        </w:trPr>
        <w:tc>
          <w:tcPr>
            <w:tcW w:w="1533" w:type="dxa"/>
            <w:noWrap/>
            <w:hideMark/>
          </w:tcPr>
          <w:p w14:paraId="5BF1E460" w14:textId="77777777" w:rsidR="00245CBF" w:rsidRPr="00870621" w:rsidRDefault="00245CBF" w:rsidP="00514011">
            <w:pPr>
              <w:rPr>
                <w:b/>
                <w:bCs/>
              </w:rPr>
            </w:pPr>
            <w:r w:rsidRPr="00870621">
              <w:rPr>
                <w:b/>
                <w:bCs/>
              </w:rPr>
              <w:t>Site Dryness</w:t>
            </w:r>
          </w:p>
        </w:tc>
        <w:tc>
          <w:tcPr>
            <w:tcW w:w="739" w:type="dxa"/>
            <w:noWrap/>
            <w:vAlign w:val="bottom"/>
            <w:hideMark/>
          </w:tcPr>
          <w:p w14:paraId="69D31EF3" w14:textId="77777777" w:rsidR="00245CBF" w:rsidRPr="00870621" w:rsidRDefault="00245CBF" w:rsidP="00514011">
            <w:r>
              <w:rPr>
                <w:rFonts w:ascii="Calibri" w:hAnsi="Calibri" w:cs="Calibri"/>
                <w:color w:val="000000"/>
              </w:rPr>
              <w:t>-0.004</w:t>
            </w:r>
          </w:p>
        </w:tc>
        <w:tc>
          <w:tcPr>
            <w:tcW w:w="1053" w:type="dxa"/>
            <w:noWrap/>
            <w:vAlign w:val="bottom"/>
            <w:hideMark/>
          </w:tcPr>
          <w:p w14:paraId="63573594" w14:textId="77777777" w:rsidR="00245CBF" w:rsidRPr="00870621" w:rsidRDefault="00245CBF" w:rsidP="00514011">
            <w:r>
              <w:rPr>
                <w:rFonts w:ascii="Calibri" w:hAnsi="Calibri" w:cs="Calibri"/>
                <w:color w:val="000000"/>
              </w:rPr>
              <w:t>-0.004</w:t>
            </w:r>
          </w:p>
        </w:tc>
        <w:tc>
          <w:tcPr>
            <w:tcW w:w="823" w:type="dxa"/>
            <w:noWrap/>
            <w:vAlign w:val="bottom"/>
            <w:hideMark/>
          </w:tcPr>
          <w:p w14:paraId="23AF5EC9" w14:textId="77777777" w:rsidR="00245CBF" w:rsidRPr="00870621" w:rsidRDefault="00245CBF" w:rsidP="00514011">
            <w:r>
              <w:rPr>
                <w:rFonts w:ascii="Calibri" w:hAnsi="Calibri" w:cs="Calibri"/>
                <w:color w:val="000000"/>
              </w:rPr>
              <w:t>0.002</w:t>
            </w:r>
          </w:p>
        </w:tc>
        <w:tc>
          <w:tcPr>
            <w:tcW w:w="903" w:type="dxa"/>
            <w:noWrap/>
            <w:vAlign w:val="bottom"/>
            <w:hideMark/>
          </w:tcPr>
          <w:p w14:paraId="19D40DB4" w14:textId="77777777" w:rsidR="00245CBF" w:rsidRPr="00870621" w:rsidRDefault="00245CBF" w:rsidP="00514011">
            <w:r>
              <w:rPr>
                <w:rFonts w:ascii="Calibri" w:hAnsi="Calibri" w:cs="Calibri"/>
                <w:color w:val="000000"/>
              </w:rPr>
              <w:t>-0.007</w:t>
            </w:r>
          </w:p>
        </w:tc>
        <w:tc>
          <w:tcPr>
            <w:tcW w:w="903" w:type="dxa"/>
            <w:noWrap/>
            <w:vAlign w:val="bottom"/>
            <w:hideMark/>
          </w:tcPr>
          <w:p w14:paraId="771E6D35" w14:textId="77777777" w:rsidR="00245CBF" w:rsidRPr="00870621" w:rsidRDefault="00245CBF" w:rsidP="00514011">
            <w:r>
              <w:rPr>
                <w:rFonts w:ascii="Calibri" w:hAnsi="Calibri" w:cs="Calibri"/>
                <w:color w:val="000000"/>
              </w:rPr>
              <w:t>-0.001</w:t>
            </w:r>
          </w:p>
        </w:tc>
        <w:tc>
          <w:tcPr>
            <w:tcW w:w="826" w:type="dxa"/>
            <w:noWrap/>
            <w:vAlign w:val="bottom"/>
            <w:hideMark/>
          </w:tcPr>
          <w:p w14:paraId="65507AA5" w14:textId="77777777" w:rsidR="00245CBF" w:rsidRPr="00870621" w:rsidRDefault="00245CBF" w:rsidP="00514011">
            <w:r>
              <w:rPr>
                <w:rFonts w:ascii="Calibri" w:hAnsi="Calibri" w:cs="Calibri"/>
                <w:color w:val="000000"/>
              </w:rPr>
              <w:t>1.00</w:t>
            </w:r>
          </w:p>
        </w:tc>
        <w:tc>
          <w:tcPr>
            <w:tcW w:w="1285" w:type="dxa"/>
            <w:noWrap/>
            <w:vAlign w:val="bottom"/>
            <w:hideMark/>
          </w:tcPr>
          <w:p w14:paraId="5B7DF776" w14:textId="77777777" w:rsidR="00245CBF" w:rsidRPr="00870621" w:rsidRDefault="00245CBF" w:rsidP="00514011">
            <w:r>
              <w:rPr>
                <w:rFonts w:ascii="Calibri" w:hAnsi="Calibri" w:cs="Calibri"/>
                <w:color w:val="000000"/>
              </w:rPr>
              <w:t>1981.64</w:t>
            </w:r>
          </w:p>
        </w:tc>
        <w:tc>
          <w:tcPr>
            <w:tcW w:w="1285" w:type="dxa"/>
            <w:noWrap/>
            <w:vAlign w:val="bottom"/>
            <w:hideMark/>
          </w:tcPr>
          <w:p w14:paraId="0A8B5CD0" w14:textId="77777777" w:rsidR="00245CBF" w:rsidRPr="00870621" w:rsidRDefault="00245CBF" w:rsidP="00514011">
            <w:r>
              <w:rPr>
                <w:rFonts w:ascii="Calibri" w:hAnsi="Calibri" w:cs="Calibri"/>
                <w:color w:val="000000"/>
              </w:rPr>
              <w:t>2584.46</w:t>
            </w:r>
          </w:p>
        </w:tc>
      </w:tr>
      <w:tr w:rsidR="004940F9" w:rsidRPr="00870621" w14:paraId="555E450D" w14:textId="77777777" w:rsidTr="004940F9">
        <w:trPr>
          <w:trHeight w:val="288"/>
        </w:trPr>
        <w:tc>
          <w:tcPr>
            <w:tcW w:w="1533" w:type="dxa"/>
            <w:noWrap/>
            <w:hideMark/>
          </w:tcPr>
          <w:p w14:paraId="4958E85C" w14:textId="77777777" w:rsidR="00245CBF" w:rsidRPr="00870621" w:rsidRDefault="00245CBF" w:rsidP="00514011">
            <w:pPr>
              <w:rPr>
                <w:b/>
                <w:bCs/>
              </w:rPr>
            </w:pPr>
            <w:r w:rsidRPr="00870621">
              <w:rPr>
                <w:b/>
                <w:bCs/>
              </w:rPr>
              <w:t>DBH x Fire</w:t>
            </w:r>
          </w:p>
        </w:tc>
        <w:tc>
          <w:tcPr>
            <w:tcW w:w="739" w:type="dxa"/>
            <w:noWrap/>
            <w:vAlign w:val="bottom"/>
            <w:hideMark/>
          </w:tcPr>
          <w:p w14:paraId="72D6EA0F" w14:textId="77777777" w:rsidR="00245CBF" w:rsidRPr="00870621" w:rsidRDefault="00245CBF" w:rsidP="00514011">
            <w:r>
              <w:rPr>
                <w:rFonts w:ascii="Calibri" w:hAnsi="Calibri" w:cs="Calibri"/>
                <w:color w:val="000000"/>
              </w:rPr>
              <w:t>-0.008</w:t>
            </w:r>
          </w:p>
        </w:tc>
        <w:tc>
          <w:tcPr>
            <w:tcW w:w="1053" w:type="dxa"/>
            <w:noWrap/>
            <w:vAlign w:val="bottom"/>
            <w:hideMark/>
          </w:tcPr>
          <w:p w14:paraId="39DE3D15" w14:textId="77777777" w:rsidR="00245CBF" w:rsidRPr="00870621" w:rsidRDefault="00245CBF" w:rsidP="00514011">
            <w:r>
              <w:rPr>
                <w:rFonts w:ascii="Calibri" w:hAnsi="Calibri" w:cs="Calibri"/>
                <w:color w:val="000000"/>
              </w:rPr>
              <w:t>-0.008</w:t>
            </w:r>
          </w:p>
        </w:tc>
        <w:tc>
          <w:tcPr>
            <w:tcW w:w="823" w:type="dxa"/>
            <w:noWrap/>
            <w:vAlign w:val="bottom"/>
            <w:hideMark/>
          </w:tcPr>
          <w:p w14:paraId="1DDA1D62" w14:textId="77777777" w:rsidR="00245CBF" w:rsidRPr="00870621" w:rsidRDefault="00245CBF" w:rsidP="00514011">
            <w:r>
              <w:rPr>
                <w:rFonts w:ascii="Calibri" w:hAnsi="Calibri" w:cs="Calibri"/>
                <w:color w:val="000000"/>
              </w:rPr>
              <w:t>0.005</w:t>
            </w:r>
          </w:p>
        </w:tc>
        <w:tc>
          <w:tcPr>
            <w:tcW w:w="903" w:type="dxa"/>
            <w:noWrap/>
            <w:vAlign w:val="bottom"/>
            <w:hideMark/>
          </w:tcPr>
          <w:p w14:paraId="53A5E868" w14:textId="77777777" w:rsidR="00245CBF" w:rsidRPr="00870621" w:rsidRDefault="00245CBF" w:rsidP="00514011">
            <w:r>
              <w:rPr>
                <w:rFonts w:ascii="Calibri" w:hAnsi="Calibri" w:cs="Calibri"/>
                <w:color w:val="000000"/>
              </w:rPr>
              <w:t>-0.017</w:t>
            </w:r>
          </w:p>
        </w:tc>
        <w:tc>
          <w:tcPr>
            <w:tcW w:w="903" w:type="dxa"/>
            <w:noWrap/>
            <w:vAlign w:val="bottom"/>
            <w:hideMark/>
          </w:tcPr>
          <w:p w14:paraId="1ED1B347" w14:textId="77777777" w:rsidR="00245CBF" w:rsidRPr="00870621" w:rsidRDefault="00245CBF" w:rsidP="00514011">
            <w:r>
              <w:rPr>
                <w:rFonts w:ascii="Calibri" w:hAnsi="Calibri" w:cs="Calibri"/>
                <w:color w:val="000000"/>
              </w:rPr>
              <w:t>0.000</w:t>
            </w:r>
          </w:p>
        </w:tc>
        <w:tc>
          <w:tcPr>
            <w:tcW w:w="826" w:type="dxa"/>
            <w:noWrap/>
            <w:vAlign w:val="bottom"/>
            <w:hideMark/>
          </w:tcPr>
          <w:p w14:paraId="6DD767EF" w14:textId="77777777" w:rsidR="00245CBF" w:rsidRPr="00870621" w:rsidRDefault="00245CBF" w:rsidP="00514011">
            <w:r>
              <w:rPr>
                <w:rFonts w:ascii="Calibri" w:hAnsi="Calibri" w:cs="Calibri"/>
                <w:color w:val="000000"/>
              </w:rPr>
              <w:t>1.00</w:t>
            </w:r>
          </w:p>
        </w:tc>
        <w:tc>
          <w:tcPr>
            <w:tcW w:w="1285" w:type="dxa"/>
            <w:noWrap/>
            <w:vAlign w:val="bottom"/>
            <w:hideMark/>
          </w:tcPr>
          <w:p w14:paraId="7BBB1E0D" w14:textId="77777777" w:rsidR="00245CBF" w:rsidRPr="00870621" w:rsidRDefault="00245CBF" w:rsidP="00514011">
            <w:r>
              <w:rPr>
                <w:rFonts w:ascii="Calibri" w:hAnsi="Calibri" w:cs="Calibri"/>
                <w:color w:val="000000"/>
              </w:rPr>
              <w:t>2463.56</w:t>
            </w:r>
          </w:p>
        </w:tc>
        <w:tc>
          <w:tcPr>
            <w:tcW w:w="1285" w:type="dxa"/>
            <w:noWrap/>
            <w:vAlign w:val="bottom"/>
            <w:hideMark/>
          </w:tcPr>
          <w:p w14:paraId="547CDE05" w14:textId="77777777" w:rsidR="00245CBF" w:rsidRPr="00870621" w:rsidRDefault="00245CBF" w:rsidP="00514011">
            <w:r>
              <w:rPr>
                <w:rFonts w:ascii="Calibri" w:hAnsi="Calibri" w:cs="Calibri"/>
                <w:color w:val="000000"/>
              </w:rPr>
              <w:t>2561.93</w:t>
            </w:r>
          </w:p>
        </w:tc>
      </w:tr>
      <w:tr w:rsidR="004940F9" w:rsidRPr="00870621" w14:paraId="40E8E756" w14:textId="77777777" w:rsidTr="004940F9">
        <w:trPr>
          <w:trHeight w:val="288"/>
        </w:trPr>
        <w:tc>
          <w:tcPr>
            <w:tcW w:w="1533" w:type="dxa"/>
            <w:noWrap/>
            <w:hideMark/>
          </w:tcPr>
          <w:p w14:paraId="1C8BD865" w14:textId="77777777" w:rsidR="00245CBF" w:rsidRPr="00870621" w:rsidRDefault="00245CBF" w:rsidP="00514011">
            <w:pPr>
              <w:rPr>
                <w:b/>
                <w:bCs/>
              </w:rPr>
            </w:pPr>
            <w:r w:rsidRPr="00870621">
              <w:rPr>
                <w:b/>
                <w:bCs/>
              </w:rPr>
              <w:t>DBH x WPBR</w:t>
            </w:r>
          </w:p>
        </w:tc>
        <w:tc>
          <w:tcPr>
            <w:tcW w:w="739" w:type="dxa"/>
            <w:noWrap/>
            <w:vAlign w:val="bottom"/>
            <w:hideMark/>
          </w:tcPr>
          <w:p w14:paraId="3BF957E9" w14:textId="77777777" w:rsidR="00245CBF" w:rsidRPr="00870621" w:rsidRDefault="00245CBF" w:rsidP="00514011">
            <w:r>
              <w:rPr>
                <w:rFonts w:ascii="Calibri" w:hAnsi="Calibri" w:cs="Calibri"/>
                <w:color w:val="000000"/>
              </w:rPr>
              <w:t>-0.004</w:t>
            </w:r>
          </w:p>
        </w:tc>
        <w:tc>
          <w:tcPr>
            <w:tcW w:w="1053" w:type="dxa"/>
            <w:noWrap/>
            <w:vAlign w:val="bottom"/>
            <w:hideMark/>
          </w:tcPr>
          <w:p w14:paraId="67AE487A" w14:textId="77777777" w:rsidR="00245CBF" w:rsidRPr="00870621" w:rsidRDefault="00245CBF" w:rsidP="00514011">
            <w:r>
              <w:rPr>
                <w:rFonts w:ascii="Calibri" w:hAnsi="Calibri" w:cs="Calibri"/>
                <w:color w:val="000000"/>
              </w:rPr>
              <w:t>-0.005</w:t>
            </w:r>
          </w:p>
        </w:tc>
        <w:tc>
          <w:tcPr>
            <w:tcW w:w="823" w:type="dxa"/>
            <w:noWrap/>
            <w:vAlign w:val="bottom"/>
            <w:hideMark/>
          </w:tcPr>
          <w:p w14:paraId="241F716C" w14:textId="77777777" w:rsidR="00245CBF" w:rsidRPr="00870621" w:rsidRDefault="00245CBF" w:rsidP="00514011">
            <w:r>
              <w:rPr>
                <w:rFonts w:ascii="Calibri" w:hAnsi="Calibri" w:cs="Calibri"/>
                <w:color w:val="000000"/>
              </w:rPr>
              <w:t>0.005</w:t>
            </w:r>
          </w:p>
        </w:tc>
        <w:tc>
          <w:tcPr>
            <w:tcW w:w="903" w:type="dxa"/>
            <w:noWrap/>
            <w:vAlign w:val="bottom"/>
            <w:hideMark/>
          </w:tcPr>
          <w:p w14:paraId="654F14CC" w14:textId="77777777" w:rsidR="00245CBF" w:rsidRPr="00870621" w:rsidRDefault="00245CBF" w:rsidP="00514011">
            <w:r>
              <w:rPr>
                <w:rFonts w:ascii="Calibri" w:hAnsi="Calibri" w:cs="Calibri"/>
                <w:color w:val="000000"/>
              </w:rPr>
              <w:t>-0.013</w:t>
            </w:r>
          </w:p>
        </w:tc>
        <w:tc>
          <w:tcPr>
            <w:tcW w:w="903" w:type="dxa"/>
            <w:noWrap/>
            <w:vAlign w:val="bottom"/>
            <w:hideMark/>
          </w:tcPr>
          <w:p w14:paraId="25DDCAC6" w14:textId="77777777" w:rsidR="00245CBF" w:rsidRPr="00870621" w:rsidRDefault="00245CBF" w:rsidP="00514011">
            <w:r>
              <w:rPr>
                <w:rFonts w:ascii="Calibri" w:hAnsi="Calibri" w:cs="Calibri"/>
                <w:color w:val="000000"/>
              </w:rPr>
              <w:t>0.004</w:t>
            </w:r>
          </w:p>
        </w:tc>
        <w:tc>
          <w:tcPr>
            <w:tcW w:w="826" w:type="dxa"/>
            <w:noWrap/>
            <w:vAlign w:val="bottom"/>
            <w:hideMark/>
          </w:tcPr>
          <w:p w14:paraId="48B8E0A6" w14:textId="77777777" w:rsidR="00245CBF" w:rsidRPr="00870621" w:rsidRDefault="00245CBF" w:rsidP="00514011">
            <w:r>
              <w:rPr>
                <w:rFonts w:ascii="Calibri" w:hAnsi="Calibri" w:cs="Calibri"/>
                <w:color w:val="000000"/>
              </w:rPr>
              <w:t>1.00</w:t>
            </w:r>
          </w:p>
        </w:tc>
        <w:tc>
          <w:tcPr>
            <w:tcW w:w="1285" w:type="dxa"/>
            <w:noWrap/>
            <w:vAlign w:val="bottom"/>
            <w:hideMark/>
          </w:tcPr>
          <w:p w14:paraId="778F2E85" w14:textId="77777777" w:rsidR="00245CBF" w:rsidRPr="00870621" w:rsidRDefault="00245CBF" w:rsidP="00514011">
            <w:r>
              <w:rPr>
                <w:rFonts w:ascii="Calibri" w:hAnsi="Calibri" w:cs="Calibri"/>
                <w:color w:val="000000"/>
              </w:rPr>
              <w:t>2633.02</w:t>
            </w:r>
          </w:p>
        </w:tc>
        <w:tc>
          <w:tcPr>
            <w:tcW w:w="1285" w:type="dxa"/>
            <w:noWrap/>
            <w:vAlign w:val="bottom"/>
            <w:hideMark/>
          </w:tcPr>
          <w:p w14:paraId="4AF8ABF0" w14:textId="77777777" w:rsidR="00245CBF" w:rsidRPr="00870621" w:rsidRDefault="00245CBF" w:rsidP="00514011">
            <w:r>
              <w:rPr>
                <w:rFonts w:ascii="Calibri" w:hAnsi="Calibri" w:cs="Calibri"/>
                <w:color w:val="000000"/>
              </w:rPr>
              <w:t>2602.77</w:t>
            </w:r>
          </w:p>
        </w:tc>
      </w:tr>
      <w:tr w:rsidR="004940F9" w:rsidRPr="00870621" w14:paraId="4E6C3C3E" w14:textId="77777777" w:rsidTr="004940F9">
        <w:trPr>
          <w:trHeight w:val="288"/>
        </w:trPr>
        <w:tc>
          <w:tcPr>
            <w:tcW w:w="1533" w:type="dxa"/>
            <w:noWrap/>
            <w:hideMark/>
          </w:tcPr>
          <w:p w14:paraId="41FF9D38" w14:textId="77777777" w:rsidR="00245CBF" w:rsidRPr="00870621" w:rsidRDefault="00245CBF" w:rsidP="00514011">
            <w:pPr>
              <w:rPr>
                <w:b/>
                <w:bCs/>
              </w:rPr>
            </w:pPr>
            <w:r w:rsidRPr="00870621">
              <w:rPr>
                <w:b/>
                <w:bCs/>
              </w:rPr>
              <w:t>DBH x BA</w:t>
            </w:r>
          </w:p>
        </w:tc>
        <w:tc>
          <w:tcPr>
            <w:tcW w:w="739" w:type="dxa"/>
            <w:noWrap/>
            <w:vAlign w:val="bottom"/>
            <w:hideMark/>
          </w:tcPr>
          <w:p w14:paraId="063F320F" w14:textId="77777777" w:rsidR="00245CBF" w:rsidRPr="00870621" w:rsidRDefault="00245CBF" w:rsidP="00514011">
            <w:r>
              <w:rPr>
                <w:rFonts w:ascii="Calibri" w:hAnsi="Calibri" w:cs="Calibri"/>
                <w:color w:val="000000"/>
              </w:rPr>
              <w:t>0.002</w:t>
            </w:r>
          </w:p>
        </w:tc>
        <w:tc>
          <w:tcPr>
            <w:tcW w:w="1053" w:type="dxa"/>
            <w:noWrap/>
            <w:vAlign w:val="bottom"/>
            <w:hideMark/>
          </w:tcPr>
          <w:p w14:paraId="41700C37" w14:textId="77777777" w:rsidR="00245CBF" w:rsidRPr="00870621" w:rsidRDefault="00245CBF" w:rsidP="00514011">
            <w:r>
              <w:rPr>
                <w:rFonts w:ascii="Calibri" w:hAnsi="Calibri" w:cs="Calibri"/>
                <w:color w:val="000000"/>
              </w:rPr>
              <w:t>0.002</w:t>
            </w:r>
          </w:p>
        </w:tc>
        <w:tc>
          <w:tcPr>
            <w:tcW w:w="823" w:type="dxa"/>
            <w:noWrap/>
            <w:vAlign w:val="bottom"/>
            <w:hideMark/>
          </w:tcPr>
          <w:p w14:paraId="02917E9D" w14:textId="77777777" w:rsidR="00245CBF" w:rsidRPr="00870621" w:rsidRDefault="00245CBF" w:rsidP="00514011">
            <w:r>
              <w:rPr>
                <w:rFonts w:ascii="Calibri" w:hAnsi="Calibri" w:cs="Calibri"/>
                <w:color w:val="000000"/>
              </w:rPr>
              <w:t>0.002</w:t>
            </w:r>
          </w:p>
        </w:tc>
        <w:tc>
          <w:tcPr>
            <w:tcW w:w="903" w:type="dxa"/>
            <w:noWrap/>
            <w:vAlign w:val="bottom"/>
            <w:hideMark/>
          </w:tcPr>
          <w:p w14:paraId="22B2FE57" w14:textId="77777777" w:rsidR="00245CBF" w:rsidRPr="00870621" w:rsidRDefault="00245CBF" w:rsidP="00514011">
            <w:r>
              <w:rPr>
                <w:rFonts w:ascii="Calibri" w:hAnsi="Calibri" w:cs="Calibri"/>
                <w:color w:val="000000"/>
              </w:rPr>
              <w:t>-0.001</w:t>
            </w:r>
          </w:p>
        </w:tc>
        <w:tc>
          <w:tcPr>
            <w:tcW w:w="903" w:type="dxa"/>
            <w:noWrap/>
            <w:vAlign w:val="bottom"/>
            <w:hideMark/>
          </w:tcPr>
          <w:p w14:paraId="47D41704" w14:textId="77777777" w:rsidR="00245CBF" w:rsidRPr="00870621" w:rsidRDefault="00245CBF" w:rsidP="00514011">
            <w:r>
              <w:rPr>
                <w:rFonts w:ascii="Calibri" w:hAnsi="Calibri" w:cs="Calibri"/>
                <w:color w:val="000000"/>
              </w:rPr>
              <w:t>0.005</w:t>
            </w:r>
          </w:p>
        </w:tc>
        <w:tc>
          <w:tcPr>
            <w:tcW w:w="826" w:type="dxa"/>
            <w:noWrap/>
            <w:vAlign w:val="bottom"/>
            <w:hideMark/>
          </w:tcPr>
          <w:p w14:paraId="2E83C2E8" w14:textId="77777777" w:rsidR="00245CBF" w:rsidRPr="00870621" w:rsidRDefault="00245CBF" w:rsidP="00514011">
            <w:r>
              <w:rPr>
                <w:rFonts w:ascii="Calibri" w:hAnsi="Calibri" w:cs="Calibri"/>
                <w:color w:val="000000"/>
              </w:rPr>
              <w:t>1.00</w:t>
            </w:r>
          </w:p>
        </w:tc>
        <w:tc>
          <w:tcPr>
            <w:tcW w:w="1285" w:type="dxa"/>
            <w:noWrap/>
            <w:vAlign w:val="bottom"/>
            <w:hideMark/>
          </w:tcPr>
          <w:p w14:paraId="0FD8F894" w14:textId="77777777" w:rsidR="00245CBF" w:rsidRPr="00870621" w:rsidRDefault="00245CBF" w:rsidP="00514011">
            <w:r>
              <w:rPr>
                <w:rFonts w:ascii="Calibri" w:hAnsi="Calibri" w:cs="Calibri"/>
                <w:color w:val="000000"/>
              </w:rPr>
              <w:t>3683.91</w:t>
            </w:r>
          </w:p>
        </w:tc>
        <w:tc>
          <w:tcPr>
            <w:tcW w:w="1285" w:type="dxa"/>
            <w:noWrap/>
            <w:vAlign w:val="bottom"/>
            <w:hideMark/>
          </w:tcPr>
          <w:p w14:paraId="11C50562" w14:textId="77777777" w:rsidR="00245CBF" w:rsidRPr="00870621" w:rsidRDefault="00245CBF" w:rsidP="00514011">
            <w:r>
              <w:rPr>
                <w:rFonts w:ascii="Calibri" w:hAnsi="Calibri" w:cs="Calibri"/>
                <w:color w:val="000000"/>
              </w:rPr>
              <w:t>3249.29</w:t>
            </w:r>
          </w:p>
        </w:tc>
      </w:tr>
      <w:tr w:rsidR="004940F9" w:rsidRPr="00870621" w14:paraId="204548DE" w14:textId="77777777" w:rsidTr="004940F9">
        <w:trPr>
          <w:trHeight w:val="288"/>
        </w:trPr>
        <w:tc>
          <w:tcPr>
            <w:tcW w:w="1533" w:type="dxa"/>
            <w:noWrap/>
            <w:hideMark/>
          </w:tcPr>
          <w:p w14:paraId="295006D8" w14:textId="77777777" w:rsidR="00245CBF" w:rsidRPr="00870621" w:rsidRDefault="00245CBF" w:rsidP="00514011">
            <w:pPr>
              <w:rPr>
                <w:b/>
                <w:bCs/>
              </w:rPr>
            </w:pPr>
            <w:r w:rsidRPr="00870621">
              <w:rPr>
                <w:b/>
                <w:bCs/>
              </w:rPr>
              <w:t>DBH x Drought</w:t>
            </w:r>
          </w:p>
        </w:tc>
        <w:tc>
          <w:tcPr>
            <w:tcW w:w="739" w:type="dxa"/>
            <w:noWrap/>
            <w:vAlign w:val="bottom"/>
            <w:hideMark/>
          </w:tcPr>
          <w:p w14:paraId="7E234AA8" w14:textId="77777777" w:rsidR="00245CBF" w:rsidRPr="00870621" w:rsidRDefault="00245CBF" w:rsidP="00514011">
            <w:r>
              <w:rPr>
                <w:rFonts w:ascii="Calibri" w:hAnsi="Calibri" w:cs="Calibri"/>
                <w:color w:val="000000"/>
              </w:rPr>
              <w:t>0.001</w:t>
            </w:r>
          </w:p>
        </w:tc>
        <w:tc>
          <w:tcPr>
            <w:tcW w:w="1053" w:type="dxa"/>
            <w:noWrap/>
            <w:vAlign w:val="bottom"/>
            <w:hideMark/>
          </w:tcPr>
          <w:p w14:paraId="2AF40618" w14:textId="77777777" w:rsidR="00245CBF" w:rsidRPr="00870621" w:rsidRDefault="00245CBF" w:rsidP="00514011">
            <w:r>
              <w:rPr>
                <w:rFonts w:ascii="Calibri" w:hAnsi="Calibri" w:cs="Calibri"/>
                <w:color w:val="000000"/>
              </w:rPr>
              <w:t>0.001</w:t>
            </w:r>
          </w:p>
        </w:tc>
        <w:tc>
          <w:tcPr>
            <w:tcW w:w="823" w:type="dxa"/>
            <w:noWrap/>
            <w:vAlign w:val="bottom"/>
            <w:hideMark/>
          </w:tcPr>
          <w:p w14:paraId="6E9A9252" w14:textId="77777777" w:rsidR="00245CBF" w:rsidRPr="00870621" w:rsidRDefault="00245CBF" w:rsidP="00514011">
            <w:r>
              <w:rPr>
                <w:rFonts w:ascii="Calibri" w:hAnsi="Calibri" w:cs="Calibri"/>
                <w:color w:val="000000"/>
              </w:rPr>
              <w:t>0.002</w:t>
            </w:r>
          </w:p>
        </w:tc>
        <w:tc>
          <w:tcPr>
            <w:tcW w:w="903" w:type="dxa"/>
            <w:noWrap/>
            <w:vAlign w:val="bottom"/>
            <w:hideMark/>
          </w:tcPr>
          <w:p w14:paraId="3AEC3832" w14:textId="77777777" w:rsidR="00245CBF" w:rsidRPr="00870621" w:rsidRDefault="00245CBF" w:rsidP="00514011">
            <w:r>
              <w:rPr>
                <w:rFonts w:ascii="Calibri" w:hAnsi="Calibri" w:cs="Calibri"/>
                <w:color w:val="000000"/>
              </w:rPr>
              <w:t>-0.002</w:t>
            </w:r>
          </w:p>
        </w:tc>
        <w:tc>
          <w:tcPr>
            <w:tcW w:w="903" w:type="dxa"/>
            <w:noWrap/>
            <w:vAlign w:val="bottom"/>
            <w:hideMark/>
          </w:tcPr>
          <w:p w14:paraId="133498EE" w14:textId="77777777" w:rsidR="00245CBF" w:rsidRPr="00870621" w:rsidRDefault="00245CBF" w:rsidP="00514011">
            <w:r>
              <w:rPr>
                <w:rFonts w:ascii="Calibri" w:hAnsi="Calibri" w:cs="Calibri"/>
                <w:color w:val="000000"/>
              </w:rPr>
              <w:t>0.004</w:t>
            </w:r>
          </w:p>
        </w:tc>
        <w:tc>
          <w:tcPr>
            <w:tcW w:w="826" w:type="dxa"/>
            <w:noWrap/>
            <w:vAlign w:val="bottom"/>
            <w:hideMark/>
          </w:tcPr>
          <w:p w14:paraId="63DB8FDE" w14:textId="77777777" w:rsidR="00245CBF" w:rsidRPr="00870621" w:rsidRDefault="00245CBF" w:rsidP="00514011">
            <w:r>
              <w:rPr>
                <w:rFonts w:ascii="Calibri" w:hAnsi="Calibri" w:cs="Calibri"/>
                <w:color w:val="000000"/>
              </w:rPr>
              <w:t>1.00</w:t>
            </w:r>
          </w:p>
        </w:tc>
        <w:tc>
          <w:tcPr>
            <w:tcW w:w="1285" w:type="dxa"/>
            <w:noWrap/>
            <w:vAlign w:val="bottom"/>
            <w:hideMark/>
          </w:tcPr>
          <w:p w14:paraId="792B1455" w14:textId="77777777" w:rsidR="00245CBF" w:rsidRPr="00870621" w:rsidRDefault="00245CBF" w:rsidP="00514011">
            <w:r>
              <w:rPr>
                <w:rFonts w:ascii="Calibri" w:hAnsi="Calibri" w:cs="Calibri"/>
                <w:color w:val="000000"/>
              </w:rPr>
              <w:t>3419.86</w:t>
            </w:r>
          </w:p>
        </w:tc>
        <w:tc>
          <w:tcPr>
            <w:tcW w:w="1285" w:type="dxa"/>
            <w:noWrap/>
            <w:vAlign w:val="bottom"/>
            <w:hideMark/>
          </w:tcPr>
          <w:p w14:paraId="04B7F52C" w14:textId="77777777" w:rsidR="00245CBF" w:rsidRPr="00870621" w:rsidRDefault="00245CBF" w:rsidP="00514011">
            <w:r>
              <w:rPr>
                <w:rFonts w:ascii="Calibri" w:hAnsi="Calibri" w:cs="Calibri"/>
                <w:color w:val="000000"/>
              </w:rPr>
              <w:t>3362.41</w:t>
            </w:r>
          </w:p>
        </w:tc>
      </w:tr>
      <w:tr w:rsidR="004940F9" w:rsidRPr="00870621" w14:paraId="581943A9" w14:textId="77777777" w:rsidTr="004940F9">
        <w:trPr>
          <w:trHeight w:val="288"/>
        </w:trPr>
        <w:tc>
          <w:tcPr>
            <w:tcW w:w="1533" w:type="dxa"/>
            <w:noWrap/>
            <w:hideMark/>
          </w:tcPr>
          <w:p w14:paraId="1D0922C0" w14:textId="77777777" w:rsidR="00245CBF" w:rsidRPr="00870621" w:rsidRDefault="00245CBF" w:rsidP="00514011">
            <w:pPr>
              <w:rPr>
                <w:b/>
                <w:bCs/>
              </w:rPr>
            </w:pPr>
            <w:r w:rsidRPr="00870621">
              <w:rPr>
                <w:b/>
                <w:bCs/>
              </w:rPr>
              <w:t>DBH x Dryness</w:t>
            </w:r>
          </w:p>
        </w:tc>
        <w:tc>
          <w:tcPr>
            <w:tcW w:w="739" w:type="dxa"/>
            <w:noWrap/>
            <w:vAlign w:val="bottom"/>
            <w:hideMark/>
          </w:tcPr>
          <w:p w14:paraId="0286D8C6" w14:textId="77777777" w:rsidR="00245CBF" w:rsidRPr="00870621" w:rsidRDefault="00245CBF" w:rsidP="00514011">
            <w:r>
              <w:rPr>
                <w:rFonts w:ascii="Calibri" w:hAnsi="Calibri" w:cs="Calibri"/>
                <w:color w:val="000000"/>
              </w:rPr>
              <w:t>0.006</w:t>
            </w:r>
          </w:p>
        </w:tc>
        <w:tc>
          <w:tcPr>
            <w:tcW w:w="1053" w:type="dxa"/>
            <w:noWrap/>
            <w:vAlign w:val="bottom"/>
            <w:hideMark/>
          </w:tcPr>
          <w:p w14:paraId="0A36E02D" w14:textId="77777777" w:rsidR="00245CBF" w:rsidRPr="00870621" w:rsidRDefault="00245CBF" w:rsidP="00514011">
            <w:r>
              <w:rPr>
                <w:rFonts w:ascii="Calibri" w:hAnsi="Calibri" w:cs="Calibri"/>
                <w:color w:val="000000"/>
              </w:rPr>
              <w:t>0.006</w:t>
            </w:r>
          </w:p>
        </w:tc>
        <w:tc>
          <w:tcPr>
            <w:tcW w:w="823" w:type="dxa"/>
            <w:noWrap/>
            <w:vAlign w:val="bottom"/>
            <w:hideMark/>
          </w:tcPr>
          <w:p w14:paraId="7642D352" w14:textId="77777777" w:rsidR="00245CBF" w:rsidRPr="00870621" w:rsidRDefault="00245CBF" w:rsidP="00514011">
            <w:r>
              <w:rPr>
                <w:rFonts w:ascii="Calibri" w:hAnsi="Calibri" w:cs="Calibri"/>
                <w:color w:val="000000"/>
              </w:rPr>
              <w:t>0.002</w:t>
            </w:r>
          </w:p>
        </w:tc>
        <w:tc>
          <w:tcPr>
            <w:tcW w:w="903" w:type="dxa"/>
            <w:noWrap/>
            <w:vAlign w:val="bottom"/>
            <w:hideMark/>
          </w:tcPr>
          <w:p w14:paraId="7CB1F1BA" w14:textId="77777777" w:rsidR="00245CBF" w:rsidRPr="00870621" w:rsidRDefault="00245CBF" w:rsidP="00514011">
            <w:r>
              <w:rPr>
                <w:rFonts w:ascii="Calibri" w:hAnsi="Calibri" w:cs="Calibri"/>
                <w:color w:val="000000"/>
              </w:rPr>
              <w:t>0.004</w:t>
            </w:r>
          </w:p>
        </w:tc>
        <w:tc>
          <w:tcPr>
            <w:tcW w:w="903" w:type="dxa"/>
            <w:noWrap/>
            <w:vAlign w:val="bottom"/>
            <w:hideMark/>
          </w:tcPr>
          <w:p w14:paraId="519374B7" w14:textId="77777777" w:rsidR="00245CBF" w:rsidRPr="00870621" w:rsidRDefault="00245CBF" w:rsidP="00514011">
            <w:r>
              <w:rPr>
                <w:rFonts w:ascii="Calibri" w:hAnsi="Calibri" w:cs="Calibri"/>
                <w:color w:val="000000"/>
              </w:rPr>
              <w:t>0.009</w:t>
            </w:r>
          </w:p>
        </w:tc>
        <w:tc>
          <w:tcPr>
            <w:tcW w:w="826" w:type="dxa"/>
            <w:noWrap/>
            <w:vAlign w:val="bottom"/>
            <w:hideMark/>
          </w:tcPr>
          <w:p w14:paraId="20F16BF8" w14:textId="77777777" w:rsidR="00245CBF" w:rsidRPr="00870621" w:rsidRDefault="00245CBF" w:rsidP="00514011">
            <w:r>
              <w:rPr>
                <w:rFonts w:ascii="Calibri" w:hAnsi="Calibri" w:cs="Calibri"/>
                <w:color w:val="000000"/>
              </w:rPr>
              <w:t>1.00</w:t>
            </w:r>
          </w:p>
        </w:tc>
        <w:tc>
          <w:tcPr>
            <w:tcW w:w="1285" w:type="dxa"/>
            <w:noWrap/>
            <w:vAlign w:val="bottom"/>
            <w:hideMark/>
          </w:tcPr>
          <w:p w14:paraId="68C7DA9D" w14:textId="77777777" w:rsidR="00245CBF" w:rsidRPr="00870621" w:rsidRDefault="00245CBF" w:rsidP="00514011">
            <w:r>
              <w:rPr>
                <w:rFonts w:ascii="Calibri" w:hAnsi="Calibri" w:cs="Calibri"/>
                <w:color w:val="000000"/>
              </w:rPr>
              <w:t>3868.52</w:t>
            </w:r>
          </w:p>
        </w:tc>
        <w:tc>
          <w:tcPr>
            <w:tcW w:w="1285" w:type="dxa"/>
            <w:noWrap/>
            <w:vAlign w:val="bottom"/>
            <w:hideMark/>
          </w:tcPr>
          <w:p w14:paraId="561AAADA" w14:textId="77777777" w:rsidR="00245CBF" w:rsidRPr="00870621" w:rsidRDefault="00245CBF" w:rsidP="00514011">
            <w:r>
              <w:rPr>
                <w:rFonts w:ascii="Calibri" w:hAnsi="Calibri" w:cs="Calibri"/>
                <w:color w:val="000000"/>
              </w:rPr>
              <w:t>3515.61</w:t>
            </w:r>
          </w:p>
        </w:tc>
      </w:tr>
      <w:tr w:rsidR="004940F9" w:rsidRPr="00870621" w14:paraId="30D51368" w14:textId="77777777" w:rsidTr="004940F9">
        <w:trPr>
          <w:trHeight w:val="288"/>
        </w:trPr>
        <w:tc>
          <w:tcPr>
            <w:tcW w:w="1533" w:type="dxa"/>
            <w:noWrap/>
            <w:hideMark/>
          </w:tcPr>
          <w:p w14:paraId="5C459BC2" w14:textId="77777777" w:rsidR="00245CBF" w:rsidRPr="00870621" w:rsidRDefault="00245CBF" w:rsidP="00514011">
            <w:pPr>
              <w:rPr>
                <w:b/>
                <w:bCs/>
              </w:rPr>
            </w:pPr>
            <w:r w:rsidRPr="00870621">
              <w:rPr>
                <w:b/>
                <w:bCs/>
              </w:rPr>
              <w:t>SD Plots</w:t>
            </w:r>
          </w:p>
        </w:tc>
        <w:tc>
          <w:tcPr>
            <w:tcW w:w="739" w:type="dxa"/>
            <w:noWrap/>
            <w:vAlign w:val="bottom"/>
            <w:hideMark/>
          </w:tcPr>
          <w:p w14:paraId="75755ADC" w14:textId="77777777" w:rsidR="00245CBF" w:rsidRPr="00870621" w:rsidRDefault="00245CBF" w:rsidP="00514011">
            <w:r>
              <w:rPr>
                <w:rFonts w:ascii="Calibri" w:hAnsi="Calibri" w:cs="Calibri"/>
                <w:color w:val="000000"/>
              </w:rPr>
              <w:t>0.018</w:t>
            </w:r>
          </w:p>
        </w:tc>
        <w:tc>
          <w:tcPr>
            <w:tcW w:w="1053" w:type="dxa"/>
            <w:noWrap/>
            <w:vAlign w:val="bottom"/>
            <w:hideMark/>
          </w:tcPr>
          <w:p w14:paraId="322B8DA7" w14:textId="77777777" w:rsidR="00245CBF" w:rsidRPr="00870621" w:rsidRDefault="00245CBF" w:rsidP="00514011">
            <w:r>
              <w:rPr>
                <w:rFonts w:ascii="Calibri" w:hAnsi="Calibri" w:cs="Calibri"/>
                <w:color w:val="000000"/>
              </w:rPr>
              <w:t>0.018</w:t>
            </w:r>
          </w:p>
        </w:tc>
        <w:tc>
          <w:tcPr>
            <w:tcW w:w="823" w:type="dxa"/>
            <w:noWrap/>
            <w:vAlign w:val="bottom"/>
            <w:hideMark/>
          </w:tcPr>
          <w:p w14:paraId="4BE61084" w14:textId="77777777" w:rsidR="00245CBF" w:rsidRPr="00870621" w:rsidRDefault="00245CBF" w:rsidP="00514011">
            <w:r>
              <w:rPr>
                <w:rFonts w:ascii="Calibri" w:hAnsi="Calibri" w:cs="Calibri"/>
                <w:color w:val="000000"/>
              </w:rPr>
              <w:t>0.001</w:t>
            </w:r>
          </w:p>
        </w:tc>
        <w:tc>
          <w:tcPr>
            <w:tcW w:w="903" w:type="dxa"/>
            <w:noWrap/>
            <w:vAlign w:val="bottom"/>
            <w:hideMark/>
          </w:tcPr>
          <w:p w14:paraId="5414716B" w14:textId="77777777" w:rsidR="00245CBF" w:rsidRPr="00870621" w:rsidRDefault="00245CBF" w:rsidP="00514011">
            <w:r>
              <w:rPr>
                <w:rFonts w:ascii="Calibri" w:hAnsi="Calibri" w:cs="Calibri"/>
                <w:color w:val="000000"/>
              </w:rPr>
              <w:t>0.017</w:t>
            </w:r>
          </w:p>
        </w:tc>
        <w:tc>
          <w:tcPr>
            <w:tcW w:w="903" w:type="dxa"/>
            <w:noWrap/>
            <w:vAlign w:val="bottom"/>
            <w:hideMark/>
          </w:tcPr>
          <w:p w14:paraId="2F4FEB11" w14:textId="77777777" w:rsidR="00245CBF" w:rsidRPr="00870621" w:rsidRDefault="00245CBF" w:rsidP="00514011">
            <w:r>
              <w:rPr>
                <w:rFonts w:ascii="Calibri" w:hAnsi="Calibri" w:cs="Calibri"/>
                <w:color w:val="000000"/>
              </w:rPr>
              <w:t>0.019</w:t>
            </w:r>
          </w:p>
        </w:tc>
        <w:tc>
          <w:tcPr>
            <w:tcW w:w="826" w:type="dxa"/>
            <w:noWrap/>
            <w:vAlign w:val="bottom"/>
            <w:hideMark/>
          </w:tcPr>
          <w:p w14:paraId="27F9B2CF" w14:textId="77777777" w:rsidR="00245CBF" w:rsidRPr="00870621" w:rsidRDefault="00245CBF" w:rsidP="00514011">
            <w:r>
              <w:rPr>
                <w:rFonts w:ascii="Calibri" w:hAnsi="Calibri" w:cs="Calibri"/>
                <w:color w:val="000000"/>
              </w:rPr>
              <w:t>1.00</w:t>
            </w:r>
          </w:p>
        </w:tc>
        <w:tc>
          <w:tcPr>
            <w:tcW w:w="1285" w:type="dxa"/>
            <w:noWrap/>
            <w:vAlign w:val="bottom"/>
            <w:hideMark/>
          </w:tcPr>
          <w:p w14:paraId="314D7B8D" w14:textId="77777777" w:rsidR="00245CBF" w:rsidRPr="00870621" w:rsidRDefault="00245CBF" w:rsidP="00514011">
            <w:r>
              <w:rPr>
                <w:rFonts w:ascii="Calibri" w:hAnsi="Calibri" w:cs="Calibri"/>
                <w:color w:val="000000"/>
              </w:rPr>
              <w:t>1162.46</w:t>
            </w:r>
          </w:p>
        </w:tc>
        <w:tc>
          <w:tcPr>
            <w:tcW w:w="1285" w:type="dxa"/>
            <w:noWrap/>
            <w:vAlign w:val="bottom"/>
            <w:hideMark/>
          </w:tcPr>
          <w:p w14:paraId="0489AD96" w14:textId="77777777" w:rsidR="00245CBF" w:rsidRPr="00870621" w:rsidRDefault="00245CBF" w:rsidP="00514011">
            <w:r>
              <w:rPr>
                <w:rFonts w:ascii="Calibri" w:hAnsi="Calibri" w:cs="Calibri"/>
                <w:color w:val="000000"/>
              </w:rPr>
              <w:t>2109.90</w:t>
            </w:r>
          </w:p>
        </w:tc>
      </w:tr>
      <w:tr w:rsidR="004940F9" w:rsidRPr="00870621" w14:paraId="3650C9BB" w14:textId="77777777" w:rsidTr="004940F9">
        <w:trPr>
          <w:trHeight w:val="288"/>
        </w:trPr>
        <w:tc>
          <w:tcPr>
            <w:tcW w:w="1533" w:type="dxa"/>
            <w:noWrap/>
            <w:hideMark/>
          </w:tcPr>
          <w:p w14:paraId="7956544B" w14:textId="77777777" w:rsidR="00245CBF" w:rsidRPr="00870621" w:rsidRDefault="00245CBF" w:rsidP="00514011">
            <w:pPr>
              <w:rPr>
                <w:b/>
                <w:bCs/>
              </w:rPr>
            </w:pPr>
            <w:r w:rsidRPr="00870621">
              <w:rPr>
                <w:b/>
                <w:bCs/>
              </w:rPr>
              <w:t>SD Ecoregions</w:t>
            </w:r>
          </w:p>
        </w:tc>
        <w:tc>
          <w:tcPr>
            <w:tcW w:w="739" w:type="dxa"/>
            <w:noWrap/>
            <w:vAlign w:val="bottom"/>
            <w:hideMark/>
          </w:tcPr>
          <w:p w14:paraId="7FECC770" w14:textId="77777777" w:rsidR="00245CBF" w:rsidRPr="00870621" w:rsidRDefault="00245CBF" w:rsidP="00514011">
            <w:r>
              <w:rPr>
                <w:rFonts w:ascii="Calibri" w:hAnsi="Calibri" w:cs="Calibri"/>
                <w:color w:val="000000"/>
              </w:rPr>
              <w:t>0.012</w:t>
            </w:r>
          </w:p>
        </w:tc>
        <w:tc>
          <w:tcPr>
            <w:tcW w:w="1053" w:type="dxa"/>
            <w:noWrap/>
            <w:vAlign w:val="bottom"/>
            <w:hideMark/>
          </w:tcPr>
          <w:p w14:paraId="39AC202E" w14:textId="77777777" w:rsidR="00245CBF" w:rsidRPr="00870621" w:rsidRDefault="00245CBF" w:rsidP="00514011">
            <w:r>
              <w:rPr>
                <w:rFonts w:ascii="Calibri" w:hAnsi="Calibri" w:cs="Calibri"/>
                <w:color w:val="000000"/>
              </w:rPr>
              <w:t>0.012</w:t>
            </w:r>
          </w:p>
        </w:tc>
        <w:tc>
          <w:tcPr>
            <w:tcW w:w="823" w:type="dxa"/>
            <w:noWrap/>
            <w:vAlign w:val="bottom"/>
            <w:hideMark/>
          </w:tcPr>
          <w:p w14:paraId="1B5B4E5E" w14:textId="77777777" w:rsidR="00245CBF" w:rsidRPr="00870621" w:rsidRDefault="00245CBF" w:rsidP="00514011">
            <w:r>
              <w:rPr>
                <w:rFonts w:ascii="Calibri" w:hAnsi="Calibri" w:cs="Calibri"/>
                <w:color w:val="000000"/>
              </w:rPr>
              <w:t>0.002</w:t>
            </w:r>
          </w:p>
        </w:tc>
        <w:tc>
          <w:tcPr>
            <w:tcW w:w="903" w:type="dxa"/>
            <w:noWrap/>
            <w:vAlign w:val="bottom"/>
            <w:hideMark/>
          </w:tcPr>
          <w:p w14:paraId="18DA34D5" w14:textId="77777777" w:rsidR="00245CBF" w:rsidRPr="00870621" w:rsidRDefault="00245CBF" w:rsidP="00514011">
            <w:r>
              <w:rPr>
                <w:rFonts w:ascii="Calibri" w:hAnsi="Calibri" w:cs="Calibri"/>
                <w:color w:val="000000"/>
              </w:rPr>
              <w:t>0.009</w:t>
            </w:r>
          </w:p>
        </w:tc>
        <w:tc>
          <w:tcPr>
            <w:tcW w:w="903" w:type="dxa"/>
            <w:noWrap/>
            <w:vAlign w:val="bottom"/>
            <w:hideMark/>
          </w:tcPr>
          <w:p w14:paraId="06298A34" w14:textId="77777777" w:rsidR="00245CBF" w:rsidRPr="00870621" w:rsidRDefault="00245CBF" w:rsidP="00514011">
            <w:r>
              <w:rPr>
                <w:rFonts w:ascii="Calibri" w:hAnsi="Calibri" w:cs="Calibri"/>
                <w:color w:val="000000"/>
              </w:rPr>
              <w:t>0.015</w:t>
            </w:r>
          </w:p>
        </w:tc>
        <w:tc>
          <w:tcPr>
            <w:tcW w:w="826" w:type="dxa"/>
            <w:noWrap/>
            <w:vAlign w:val="bottom"/>
            <w:hideMark/>
          </w:tcPr>
          <w:p w14:paraId="02A79090" w14:textId="77777777" w:rsidR="00245CBF" w:rsidRPr="00870621" w:rsidRDefault="00245CBF" w:rsidP="00514011">
            <w:r>
              <w:rPr>
                <w:rFonts w:ascii="Calibri" w:hAnsi="Calibri" w:cs="Calibri"/>
                <w:color w:val="000000"/>
              </w:rPr>
              <w:t>1.00</w:t>
            </w:r>
          </w:p>
        </w:tc>
        <w:tc>
          <w:tcPr>
            <w:tcW w:w="1285" w:type="dxa"/>
            <w:noWrap/>
            <w:vAlign w:val="bottom"/>
            <w:hideMark/>
          </w:tcPr>
          <w:p w14:paraId="7161831B" w14:textId="77777777" w:rsidR="00245CBF" w:rsidRPr="00870621" w:rsidRDefault="00245CBF" w:rsidP="00514011">
            <w:r>
              <w:rPr>
                <w:rFonts w:ascii="Calibri" w:hAnsi="Calibri" w:cs="Calibri"/>
                <w:color w:val="000000"/>
              </w:rPr>
              <w:t>935.99</w:t>
            </w:r>
          </w:p>
        </w:tc>
        <w:tc>
          <w:tcPr>
            <w:tcW w:w="1285" w:type="dxa"/>
            <w:noWrap/>
            <w:vAlign w:val="bottom"/>
            <w:hideMark/>
          </w:tcPr>
          <w:p w14:paraId="44EF95C0" w14:textId="77777777" w:rsidR="00245CBF" w:rsidRPr="00870621" w:rsidRDefault="00245CBF" w:rsidP="00514011">
            <w:r>
              <w:rPr>
                <w:rFonts w:ascii="Calibri" w:hAnsi="Calibri" w:cs="Calibri"/>
                <w:color w:val="000000"/>
              </w:rPr>
              <w:t>1395.57</w:t>
            </w:r>
          </w:p>
        </w:tc>
      </w:tr>
      <w:tr w:rsidR="004940F9" w:rsidRPr="00870621" w14:paraId="43B4E864" w14:textId="77777777" w:rsidTr="004940F9">
        <w:trPr>
          <w:trHeight w:val="288"/>
        </w:trPr>
        <w:tc>
          <w:tcPr>
            <w:tcW w:w="1533" w:type="dxa"/>
            <w:noWrap/>
            <w:hideMark/>
          </w:tcPr>
          <w:p w14:paraId="5457E2C0" w14:textId="77777777" w:rsidR="00245CBF" w:rsidRPr="00870621" w:rsidRDefault="00245CBF" w:rsidP="00514011">
            <w:pPr>
              <w:rPr>
                <w:b/>
                <w:bCs/>
              </w:rPr>
            </w:pPr>
            <w:r w:rsidRPr="00870621">
              <w:rPr>
                <w:b/>
                <w:bCs/>
              </w:rPr>
              <w:t>SD Residual</w:t>
            </w:r>
          </w:p>
        </w:tc>
        <w:tc>
          <w:tcPr>
            <w:tcW w:w="739" w:type="dxa"/>
            <w:noWrap/>
            <w:vAlign w:val="bottom"/>
            <w:hideMark/>
          </w:tcPr>
          <w:p w14:paraId="4AA2B518" w14:textId="77777777" w:rsidR="00245CBF" w:rsidRPr="00870621" w:rsidRDefault="00245CBF" w:rsidP="00514011">
            <w:r>
              <w:rPr>
                <w:rFonts w:ascii="Calibri" w:hAnsi="Calibri" w:cs="Calibri"/>
                <w:color w:val="000000"/>
              </w:rPr>
              <w:t>0.022</w:t>
            </w:r>
          </w:p>
        </w:tc>
        <w:tc>
          <w:tcPr>
            <w:tcW w:w="1053" w:type="dxa"/>
            <w:noWrap/>
            <w:vAlign w:val="bottom"/>
            <w:hideMark/>
          </w:tcPr>
          <w:p w14:paraId="5F0A2F49" w14:textId="77777777" w:rsidR="00245CBF" w:rsidRPr="00870621" w:rsidRDefault="00245CBF" w:rsidP="00514011">
            <w:r>
              <w:rPr>
                <w:rFonts w:ascii="Calibri" w:hAnsi="Calibri" w:cs="Calibri"/>
                <w:color w:val="000000"/>
              </w:rPr>
              <w:t>0.022</w:t>
            </w:r>
          </w:p>
        </w:tc>
        <w:tc>
          <w:tcPr>
            <w:tcW w:w="823" w:type="dxa"/>
            <w:noWrap/>
            <w:vAlign w:val="bottom"/>
            <w:hideMark/>
          </w:tcPr>
          <w:p w14:paraId="24C4EDFF" w14:textId="77777777" w:rsidR="00245CBF" w:rsidRPr="00870621" w:rsidRDefault="00245CBF" w:rsidP="00514011">
            <w:r>
              <w:rPr>
                <w:rFonts w:ascii="Calibri" w:hAnsi="Calibri" w:cs="Calibri"/>
                <w:color w:val="000000"/>
              </w:rPr>
              <w:t>0.000</w:t>
            </w:r>
          </w:p>
        </w:tc>
        <w:tc>
          <w:tcPr>
            <w:tcW w:w="903" w:type="dxa"/>
            <w:noWrap/>
            <w:vAlign w:val="bottom"/>
            <w:hideMark/>
          </w:tcPr>
          <w:p w14:paraId="31EB0762" w14:textId="77777777" w:rsidR="00245CBF" w:rsidRPr="00870621" w:rsidRDefault="00245CBF" w:rsidP="00514011">
            <w:r>
              <w:rPr>
                <w:rFonts w:ascii="Calibri" w:hAnsi="Calibri" w:cs="Calibri"/>
                <w:color w:val="000000"/>
              </w:rPr>
              <w:t>0.021</w:t>
            </w:r>
          </w:p>
        </w:tc>
        <w:tc>
          <w:tcPr>
            <w:tcW w:w="903" w:type="dxa"/>
            <w:noWrap/>
            <w:vAlign w:val="bottom"/>
            <w:hideMark/>
          </w:tcPr>
          <w:p w14:paraId="208719D6" w14:textId="77777777" w:rsidR="00245CBF" w:rsidRPr="00870621" w:rsidRDefault="00245CBF" w:rsidP="00514011">
            <w:r>
              <w:rPr>
                <w:rFonts w:ascii="Calibri" w:hAnsi="Calibri" w:cs="Calibri"/>
                <w:color w:val="000000"/>
              </w:rPr>
              <w:t>0.022</w:t>
            </w:r>
          </w:p>
        </w:tc>
        <w:tc>
          <w:tcPr>
            <w:tcW w:w="826" w:type="dxa"/>
            <w:noWrap/>
            <w:vAlign w:val="bottom"/>
            <w:hideMark/>
          </w:tcPr>
          <w:p w14:paraId="79F6FB68" w14:textId="77777777" w:rsidR="00245CBF" w:rsidRPr="00870621" w:rsidRDefault="00245CBF" w:rsidP="00514011">
            <w:r>
              <w:rPr>
                <w:rFonts w:ascii="Calibri" w:hAnsi="Calibri" w:cs="Calibri"/>
                <w:color w:val="000000"/>
              </w:rPr>
              <w:t>1.00</w:t>
            </w:r>
          </w:p>
        </w:tc>
        <w:tc>
          <w:tcPr>
            <w:tcW w:w="1285" w:type="dxa"/>
            <w:noWrap/>
            <w:vAlign w:val="bottom"/>
            <w:hideMark/>
          </w:tcPr>
          <w:p w14:paraId="1317CEBA" w14:textId="77777777" w:rsidR="00245CBF" w:rsidRPr="00870621" w:rsidRDefault="00245CBF" w:rsidP="00514011">
            <w:r>
              <w:rPr>
                <w:rFonts w:ascii="Calibri" w:hAnsi="Calibri" w:cs="Calibri"/>
                <w:color w:val="000000"/>
              </w:rPr>
              <w:t>2054.00</w:t>
            </w:r>
          </w:p>
        </w:tc>
        <w:tc>
          <w:tcPr>
            <w:tcW w:w="1285" w:type="dxa"/>
            <w:noWrap/>
            <w:vAlign w:val="bottom"/>
            <w:hideMark/>
          </w:tcPr>
          <w:p w14:paraId="1362787C" w14:textId="77777777" w:rsidR="00245CBF" w:rsidRPr="00870621" w:rsidRDefault="00245CBF" w:rsidP="00514011">
            <w:pPr>
              <w:keepNext/>
            </w:pPr>
            <w:r>
              <w:rPr>
                <w:rFonts w:ascii="Calibri" w:hAnsi="Calibri" w:cs="Calibri"/>
                <w:color w:val="000000"/>
              </w:rPr>
              <w:t>2747.82</w:t>
            </w:r>
          </w:p>
        </w:tc>
      </w:tr>
    </w:tbl>
    <w:p w14:paraId="0E4418C7" w14:textId="77777777" w:rsidR="00245CBF" w:rsidRDefault="00245CBF" w:rsidP="00245CBF">
      <w:pPr>
        <w:pStyle w:val="Caption"/>
      </w:pPr>
      <w:bookmarkStart w:id="75" w:name="_Ref94609644"/>
      <w:r>
        <w:t xml:space="preserve">Table </w:t>
      </w:r>
      <w:fldSimple w:instr=" SEQ Table \* ARABIC ">
        <w:r>
          <w:rPr>
            <w:noProof/>
          </w:rPr>
          <w:t>2</w:t>
        </w:r>
      </w:fldSimple>
      <w:bookmarkEnd w:id="75"/>
      <w:r>
        <w:t>: Summary of results for growth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490DDBD7" w14:textId="77777777" w:rsidR="00245CBF" w:rsidRDefault="00245CBF">
      <w:r>
        <w:br w:type="page"/>
      </w:r>
    </w:p>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245CBF" w:rsidRPr="00870621" w14:paraId="3BF289FB" w14:textId="77777777" w:rsidTr="00514011">
        <w:trPr>
          <w:trHeight w:val="288"/>
        </w:trPr>
        <w:tc>
          <w:tcPr>
            <w:tcW w:w="1354" w:type="dxa"/>
            <w:noWrap/>
            <w:vAlign w:val="bottom"/>
            <w:hideMark/>
          </w:tcPr>
          <w:p w14:paraId="17C62EE6" w14:textId="77777777" w:rsidR="00245CBF" w:rsidRPr="008727D0" w:rsidRDefault="00245CBF" w:rsidP="00514011">
            <w:pPr>
              <w:rPr>
                <w:b/>
                <w:bCs/>
              </w:rPr>
            </w:pPr>
            <w:r w:rsidRPr="00E92F0B">
              <w:rPr>
                <w:rFonts w:ascii="Calibri" w:hAnsi="Calibri" w:cs="Calibri"/>
                <w:b/>
                <w:bCs/>
                <w:color w:val="000000"/>
              </w:rPr>
              <w:lastRenderedPageBreak/>
              <w:t>Parameter</w:t>
            </w:r>
          </w:p>
        </w:tc>
        <w:tc>
          <w:tcPr>
            <w:tcW w:w="960" w:type="dxa"/>
            <w:noWrap/>
            <w:vAlign w:val="bottom"/>
            <w:hideMark/>
          </w:tcPr>
          <w:p w14:paraId="2901ED05" w14:textId="77777777" w:rsidR="00245CBF" w:rsidRPr="008727D0" w:rsidRDefault="00245CBF" w:rsidP="00514011">
            <w:pPr>
              <w:rPr>
                <w:b/>
                <w:bCs/>
              </w:rPr>
            </w:pPr>
            <w:r w:rsidRPr="00E92F0B">
              <w:rPr>
                <w:rFonts w:ascii="Calibri" w:hAnsi="Calibri" w:cs="Calibri"/>
                <w:b/>
                <w:bCs/>
                <w:color w:val="000000"/>
              </w:rPr>
              <w:t>Mean</w:t>
            </w:r>
          </w:p>
        </w:tc>
        <w:tc>
          <w:tcPr>
            <w:tcW w:w="960" w:type="dxa"/>
            <w:noWrap/>
            <w:vAlign w:val="bottom"/>
            <w:hideMark/>
          </w:tcPr>
          <w:p w14:paraId="49EEACE3" w14:textId="77777777" w:rsidR="00245CBF" w:rsidRPr="008727D0" w:rsidRDefault="00245CBF" w:rsidP="00514011">
            <w:pPr>
              <w:rPr>
                <w:b/>
                <w:bCs/>
              </w:rPr>
            </w:pPr>
            <w:r w:rsidRPr="00E92F0B">
              <w:rPr>
                <w:rFonts w:ascii="Calibri" w:hAnsi="Calibri" w:cs="Calibri"/>
                <w:b/>
                <w:bCs/>
                <w:color w:val="000000"/>
              </w:rPr>
              <w:t>Median</w:t>
            </w:r>
          </w:p>
        </w:tc>
        <w:tc>
          <w:tcPr>
            <w:tcW w:w="960" w:type="dxa"/>
            <w:noWrap/>
            <w:vAlign w:val="bottom"/>
            <w:hideMark/>
          </w:tcPr>
          <w:p w14:paraId="646B52A9" w14:textId="77777777" w:rsidR="00245CBF" w:rsidRPr="008727D0" w:rsidRDefault="00245CBF" w:rsidP="00514011">
            <w:pPr>
              <w:rPr>
                <w:b/>
                <w:bCs/>
              </w:rPr>
            </w:pPr>
            <w:r w:rsidRPr="00E92F0B">
              <w:rPr>
                <w:rFonts w:ascii="Calibri" w:hAnsi="Calibri" w:cs="Calibri"/>
                <w:b/>
                <w:bCs/>
                <w:color w:val="000000"/>
              </w:rPr>
              <w:t>StDev</w:t>
            </w:r>
          </w:p>
        </w:tc>
        <w:tc>
          <w:tcPr>
            <w:tcW w:w="960" w:type="dxa"/>
            <w:noWrap/>
            <w:vAlign w:val="bottom"/>
            <w:hideMark/>
          </w:tcPr>
          <w:p w14:paraId="044F0134" w14:textId="77777777" w:rsidR="00245CBF" w:rsidRPr="008727D0" w:rsidRDefault="00245CBF" w:rsidP="00514011">
            <w:pPr>
              <w:rPr>
                <w:b/>
                <w:bCs/>
              </w:rPr>
            </w:pPr>
            <w:r w:rsidRPr="00E92F0B">
              <w:rPr>
                <w:rFonts w:ascii="Calibri" w:hAnsi="Calibri" w:cs="Calibri"/>
                <w:b/>
                <w:bCs/>
                <w:color w:val="000000"/>
              </w:rPr>
              <w:t>q5</w:t>
            </w:r>
          </w:p>
        </w:tc>
        <w:tc>
          <w:tcPr>
            <w:tcW w:w="960" w:type="dxa"/>
            <w:noWrap/>
            <w:vAlign w:val="bottom"/>
            <w:hideMark/>
          </w:tcPr>
          <w:p w14:paraId="65EDD944" w14:textId="77777777" w:rsidR="00245CBF" w:rsidRPr="008727D0" w:rsidRDefault="00245CBF" w:rsidP="00514011">
            <w:pPr>
              <w:rPr>
                <w:b/>
                <w:bCs/>
              </w:rPr>
            </w:pPr>
            <w:r w:rsidRPr="00E92F0B">
              <w:rPr>
                <w:rFonts w:ascii="Calibri" w:hAnsi="Calibri" w:cs="Calibri"/>
                <w:b/>
                <w:bCs/>
                <w:color w:val="000000"/>
              </w:rPr>
              <w:t>q95</w:t>
            </w:r>
          </w:p>
        </w:tc>
        <w:tc>
          <w:tcPr>
            <w:tcW w:w="960" w:type="dxa"/>
            <w:noWrap/>
            <w:vAlign w:val="bottom"/>
            <w:hideMark/>
          </w:tcPr>
          <w:p w14:paraId="70B4FA70" w14:textId="77777777" w:rsidR="00245CBF" w:rsidRPr="008727D0" w:rsidRDefault="00245CBF" w:rsidP="00514011">
            <w:pPr>
              <w:rPr>
                <w:b/>
                <w:bCs/>
              </w:rPr>
            </w:pPr>
            <w:r w:rsidRPr="00E92F0B">
              <w:rPr>
                <w:rFonts w:ascii="Calibri" w:hAnsi="Calibri" w:cs="Calibri"/>
                <w:b/>
                <w:bCs/>
                <w:color w:val="000000"/>
              </w:rPr>
              <w:t>rhat</w:t>
            </w:r>
          </w:p>
        </w:tc>
        <w:tc>
          <w:tcPr>
            <w:tcW w:w="1008" w:type="dxa"/>
            <w:noWrap/>
            <w:vAlign w:val="bottom"/>
            <w:hideMark/>
          </w:tcPr>
          <w:p w14:paraId="69F89ABD" w14:textId="77777777" w:rsidR="00245CBF" w:rsidRPr="008727D0" w:rsidRDefault="00245CBF" w:rsidP="00514011">
            <w:pPr>
              <w:rPr>
                <w:b/>
                <w:bCs/>
              </w:rPr>
            </w:pPr>
            <w:r w:rsidRPr="00E92F0B">
              <w:rPr>
                <w:rFonts w:ascii="Calibri" w:hAnsi="Calibri" w:cs="Calibri"/>
                <w:b/>
                <w:bCs/>
                <w:color w:val="000000"/>
              </w:rPr>
              <w:t>ess_bulk</w:t>
            </w:r>
          </w:p>
        </w:tc>
        <w:tc>
          <w:tcPr>
            <w:tcW w:w="960" w:type="dxa"/>
            <w:noWrap/>
            <w:vAlign w:val="bottom"/>
            <w:hideMark/>
          </w:tcPr>
          <w:p w14:paraId="01552ED6" w14:textId="77777777" w:rsidR="00245CBF" w:rsidRPr="008727D0" w:rsidRDefault="00245CBF" w:rsidP="00514011">
            <w:pPr>
              <w:rPr>
                <w:b/>
                <w:bCs/>
              </w:rPr>
            </w:pPr>
            <w:r w:rsidRPr="00E92F0B">
              <w:rPr>
                <w:rFonts w:ascii="Calibri" w:hAnsi="Calibri" w:cs="Calibri"/>
                <w:b/>
                <w:bCs/>
                <w:color w:val="000000"/>
              </w:rPr>
              <w:t>ess_tail</w:t>
            </w:r>
          </w:p>
        </w:tc>
      </w:tr>
      <w:tr w:rsidR="00245CBF" w:rsidRPr="00870621" w14:paraId="0956D216" w14:textId="77777777" w:rsidTr="00514011">
        <w:trPr>
          <w:trHeight w:val="288"/>
        </w:trPr>
        <w:tc>
          <w:tcPr>
            <w:tcW w:w="1354" w:type="dxa"/>
            <w:noWrap/>
            <w:vAlign w:val="bottom"/>
            <w:hideMark/>
          </w:tcPr>
          <w:p w14:paraId="62A42B8A" w14:textId="77777777" w:rsidR="00245CBF" w:rsidRPr="008727D0" w:rsidRDefault="00245CBF" w:rsidP="00514011">
            <w:pPr>
              <w:rPr>
                <w:b/>
                <w:bCs/>
              </w:rPr>
            </w:pPr>
            <w:r w:rsidRPr="00E92F0B">
              <w:rPr>
                <w:rFonts w:ascii="Calibri" w:hAnsi="Calibri" w:cs="Calibri"/>
                <w:b/>
                <w:bCs/>
                <w:color w:val="000000"/>
              </w:rPr>
              <w:t>Intercept</w:t>
            </w:r>
          </w:p>
        </w:tc>
        <w:tc>
          <w:tcPr>
            <w:tcW w:w="960" w:type="dxa"/>
            <w:noWrap/>
            <w:vAlign w:val="bottom"/>
            <w:hideMark/>
          </w:tcPr>
          <w:p w14:paraId="4F272BC4" w14:textId="77777777" w:rsidR="00245CBF" w:rsidRPr="00870621" w:rsidRDefault="00245CBF" w:rsidP="00514011">
            <w:r>
              <w:rPr>
                <w:rFonts w:ascii="Calibri" w:hAnsi="Calibri" w:cs="Calibri"/>
                <w:color w:val="000000"/>
              </w:rPr>
              <w:t>-3.65</w:t>
            </w:r>
          </w:p>
        </w:tc>
        <w:tc>
          <w:tcPr>
            <w:tcW w:w="960" w:type="dxa"/>
            <w:noWrap/>
            <w:vAlign w:val="bottom"/>
            <w:hideMark/>
          </w:tcPr>
          <w:p w14:paraId="2CC6E7DA" w14:textId="77777777" w:rsidR="00245CBF" w:rsidRPr="00870621" w:rsidRDefault="00245CBF" w:rsidP="00514011">
            <w:r>
              <w:rPr>
                <w:rFonts w:ascii="Calibri" w:hAnsi="Calibri" w:cs="Calibri"/>
                <w:color w:val="000000"/>
              </w:rPr>
              <w:t>-3.63</w:t>
            </w:r>
          </w:p>
        </w:tc>
        <w:tc>
          <w:tcPr>
            <w:tcW w:w="960" w:type="dxa"/>
            <w:noWrap/>
            <w:vAlign w:val="bottom"/>
            <w:hideMark/>
          </w:tcPr>
          <w:p w14:paraId="65B97461" w14:textId="77777777" w:rsidR="00245CBF" w:rsidRPr="00870621" w:rsidRDefault="00245CBF" w:rsidP="00514011">
            <w:r>
              <w:rPr>
                <w:rFonts w:ascii="Calibri" w:hAnsi="Calibri" w:cs="Calibri"/>
                <w:color w:val="000000"/>
              </w:rPr>
              <w:t>0.39</w:t>
            </w:r>
          </w:p>
        </w:tc>
        <w:tc>
          <w:tcPr>
            <w:tcW w:w="960" w:type="dxa"/>
            <w:noWrap/>
            <w:vAlign w:val="bottom"/>
            <w:hideMark/>
          </w:tcPr>
          <w:p w14:paraId="16B29371" w14:textId="77777777" w:rsidR="00245CBF" w:rsidRPr="00870621" w:rsidRDefault="00245CBF" w:rsidP="00514011">
            <w:r>
              <w:rPr>
                <w:rFonts w:ascii="Calibri" w:hAnsi="Calibri" w:cs="Calibri"/>
                <w:color w:val="000000"/>
              </w:rPr>
              <w:t>-4.32</w:t>
            </w:r>
          </w:p>
        </w:tc>
        <w:tc>
          <w:tcPr>
            <w:tcW w:w="960" w:type="dxa"/>
            <w:noWrap/>
            <w:vAlign w:val="bottom"/>
            <w:hideMark/>
          </w:tcPr>
          <w:p w14:paraId="5BCF2699" w14:textId="77777777" w:rsidR="00245CBF" w:rsidRPr="00870621" w:rsidRDefault="00245CBF" w:rsidP="00514011">
            <w:r>
              <w:rPr>
                <w:rFonts w:ascii="Calibri" w:hAnsi="Calibri" w:cs="Calibri"/>
                <w:color w:val="000000"/>
              </w:rPr>
              <w:t>-3.01</w:t>
            </w:r>
          </w:p>
        </w:tc>
        <w:tc>
          <w:tcPr>
            <w:tcW w:w="960" w:type="dxa"/>
            <w:noWrap/>
            <w:vAlign w:val="bottom"/>
            <w:hideMark/>
          </w:tcPr>
          <w:p w14:paraId="35089F8A" w14:textId="77777777" w:rsidR="00245CBF" w:rsidRPr="00870621" w:rsidRDefault="00245CBF" w:rsidP="00514011">
            <w:r>
              <w:rPr>
                <w:rFonts w:ascii="Calibri" w:hAnsi="Calibri" w:cs="Calibri"/>
                <w:color w:val="000000"/>
              </w:rPr>
              <w:t>1.00</w:t>
            </w:r>
          </w:p>
        </w:tc>
        <w:tc>
          <w:tcPr>
            <w:tcW w:w="1008" w:type="dxa"/>
            <w:noWrap/>
            <w:vAlign w:val="bottom"/>
            <w:hideMark/>
          </w:tcPr>
          <w:p w14:paraId="26DD3073" w14:textId="77777777" w:rsidR="00245CBF" w:rsidRPr="00870621" w:rsidRDefault="00245CBF" w:rsidP="00514011">
            <w:r>
              <w:rPr>
                <w:rFonts w:ascii="Calibri" w:hAnsi="Calibri" w:cs="Calibri"/>
                <w:color w:val="000000"/>
              </w:rPr>
              <w:t>1457.36</w:t>
            </w:r>
          </w:p>
        </w:tc>
        <w:tc>
          <w:tcPr>
            <w:tcW w:w="960" w:type="dxa"/>
            <w:noWrap/>
            <w:vAlign w:val="bottom"/>
            <w:hideMark/>
          </w:tcPr>
          <w:p w14:paraId="0E9871EA" w14:textId="77777777" w:rsidR="00245CBF" w:rsidRPr="00870621" w:rsidRDefault="00245CBF" w:rsidP="00514011">
            <w:r>
              <w:rPr>
                <w:rFonts w:ascii="Calibri" w:hAnsi="Calibri" w:cs="Calibri"/>
                <w:color w:val="000000"/>
              </w:rPr>
              <w:t>1998.09</w:t>
            </w:r>
          </w:p>
        </w:tc>
      </w:tr>
      <w:tr w:rsidR="00245CBF" w:rsidRPr="00870621" w14:paraId="2859CD06" w14:textId="77777777" w:rsidTr="00514011">
        <w:trPr>
          <w:trHeight w:val="288"/>
        </w:trPr>
        <w:tc>
          <w:tcPr>
            <w:tcW w:w="1354" w:type="dxa"/>
            <w:noWrap/>
            <w:vAlign w:val="bottom"/>
            <w:hideMark/>
          </w:tcPr>
          <w:p w14:paraId="62C652AF" w14:textId="77777777" w:rsidR="00245CBF" w:rsidRPr="008727D0" w:rsidRDefault="00245CBF" w:rsidP="00514011">
            <w:pPr>
              <w:rPr>
                <w:b/>
                <w:bCs/>
              </w:rPr>
            </w:pPr>
            <w:r w:rsidRPr="00E92F0B">
              <w:rPr>
                <w:rFonts w:ascii="Calibri" w:hAnsi="Calibri" w:cs="Calibri"/>
                <w:b/>
                <w:bCs/>
                <w:color w:val="000000"/>
              </w:rPr>
              <w:t>DBH (m)</w:t>
            </w:r>
          </w:p>
        </w:tc>
        <w:tc>
          <w:tcPr>
            <w:tcW w:w="960" w:type="dxa"/>
            <w:noWrap/>
            <w:vAlign w:val="bottom"/>
            <w:hideMark/>
          </w:tcPr>
          <w:p w14:paraId="6D5EE25B" w14:textId="77777777" w:rsidR="00245CBF" w:rsidRPr="00870621" w:rsidRDefault="00245CBF" w:rsidP="00514011">
            <w:r>
              <w:rPr>
                <w:rFonts w:ascii="Calibri" w:hAnsi="Calibri" w:cs="Calibri"/>
                <w:color w:val="000000"/>
              </w:rPr>
              <w:t>4.38</w:t>
            </w:r>
          </w:p>
        </w:tc>
        <w:tc>
          <w:tcPr>
            <w:tcW w:w="960" w:type="dxa"/>
            <w:noWrap/>
            <w:vAlign w:val="bottom"/>
            <w:hideMark/>
          </w:tcPr>
          <w:p w14:paraId="6C1EB4A4" w14:textId="77777777" w:rsidR="00245CBF" w:rsidRPr="00870621" w:rsidRDefault="00245CBF" w:rsidP="00514011">
            <w:r>
              <w:rPr>
                <w:rFonts w:ascii="Calibri" w:hAnsi="Calibri" w:cs="Calibri"/>
                <w:color w:val="000000"/>
              </w:rPr>
              <w:t>4.38</w:t>
            </w:r>
          </w:p>
        </w:tc>
        <w:tc>
          <w:tcPr>
            <w:tcW w:w="960" w:type="dxa"/>
            <w:noWrap/>
            <w:vAlign w:val="bottom"/>
            <w:hideMark/>
          </w:tcPr>
          <w:p w14:paraId="7104F3E2" w14:textId="77777777" w:rsidR="00245CBF" w:rsidRPr="00870621" w:rsidRDefault="00245CBF" w:rsidP="00514011">
            <w:r>
              <w:rPr>
                <w:rFonts w:ascii="Calibri" w:hAnsi="Calibri" w:cs="Calibri"/>
                <w:color w:val="000000"/>
              </w:rPr>
              <w:t>0.68</w:t>
            </w:r>
          </w:p>
        </w:tc>
        <w:tc>
          <w:tcPr>
            <w:tcW w:w="960" w:type="dxa"/>
            <w:noWrap/>
            <w:vAlign w:val="bottom"/>
            <w:hideMark/>
          </w:tcPr>
          <w:p w14:paraId="660D0C20" w14:textId="77777777" w:rsidR="00245CBF" w:rsidRPr="00870621" w:rsidRDefault="00245CBF" w:rsidP="00514011">
            <w:r>
              <w:rPr>
                <w:rFonts w:ascii="Calibri" w:hAnsi="Calibri" w:cs="Calibri"/>
                <w:color w:val="000000"/>
              </w:rPr>
              <w:t>3.28</w:t>
            </w:r>
          </w:p>
        </w:tc>
        <w:tc>
          <w:tcPr>
            <w:tcW w:w="960" w:type="dxa"/>
            <w:noWrap/>
            <w:vAlign w:val="bottom"/>
            <w:hideMark/>
          </w:tcPr>
          <w:p w14:paraId="1D971E8A" w14:textId="77777777" w:rsidR="00245CBF" w:rsidRPr="00870621" w:rsidRDefault="00245CBF" w:rsidP="00514011">
            <w:r>
              <w:rPr>
                <w:rFonts w:ascii="Calibri" w:hAnsi="Calibri" w:cs="Calibri"/>
                <w:color w:val="000000"/>
              </w:rPr>
              <w:t>5.52</w:t>
            </w:r>
          </w:p>
        </w:tc>
        <w:tc>
          <w:tcPr>
            <w:tcW w:w="960" w:type="dxa"/>
            <w:noWrap/>
            <w:vAlign w:val="bottom"/>
            <w:hideMark/>
          </w:tcPr>
          <w:p w14:paraId="497B51B9" w14:textId="77777777" w:rsidR="00245CBF" w:rsidRPr="00870621" w:rsidRDefault="00245CBF" w:rsidP="00514011">
            <w:r>
              <w:rPr>
                <w:rFonts w:ascii="Calibri" w:hAnsi="Calibri" w:cs="Calibri"/>
                <w:color w:val="000000"/>
              </w:rPr>
              <w:t>1.00</w:t>
            </w:r>
          </w:p>
        </w:tc>
        <w:tc>
          <w:tcPr>
            <w:tcW w:w="1008" w:type="dxa"/>
            <w:noWrap/>
            <w:vAlign w:val="bottom"/>
            <w:hideMark/>
          </w:tcPr>
          <w:p w14:paraId="1AFB0BE3" w14:textId="77777777" w:rsidR="00245CBF" w:rsidRPr="00870621" w:rsidRDefault="00245CBF" w:rsidP="00514011">
            <w:r>
              <w:rPr>
                <w:rFonts w:ascii="Calibri" w:hAnsi="Calibri" w:cs="Calibri"/>
                <w:color w:val="000000"/>
              </w:rPr>
              <w:t>1452.09</w:t>
            </w:r>
          </w:p>
        </w:tc>
        <w:tc>
          <w:tcPr>
            <w:tcW w:w="960" w:type="dxa"/>
            <w:noWrap/>
            <w:vAlign w:val="bottom"/>
            <w:hideMark/>
          </w:tcPr>
          <w:p w14:paraId="2C03C999" w14:textId="77777777" w:rsidR="00245CBF" w:rsidRPr="00870621" w:rsidRDefault="00245CBF" w:rsidP="00514011">
            <w:r>
              <w:rPr>
                <w:rFonts w:ascii="Calibri" w:hAnsi="Calibri" w:cs="Calibri"/>
                <w:color w:val="000000"/>
              </w:rPr>
              <w:t>1771.06</w:t>
            </w:r>
          </w:p>
        </w:tc>
      </w:tr>
      <w:tr w:rsidR="00245CBF" w:rsidRPr="00870621" w14:paraId="3CA3B22A" w14:textId="77777777" w:rsidTr="00514011">
        <w:trPr>
          <w:trHeight w:val="288"/>
        </w:trPr>
        <w:tc>
          <w:tcPr>
            <w:tcW w:w="1354" w:type="dxa"/>
            <w:noWrap/>
            <w:vAlign w:val="bottom"/>
            <w:hideMark/>
          </w:tcPr>
          <w:p w14:paraId="181B1BE0" w14:textId="77777777" w:rsidR="00245CBF" w:rsidRPr="008727D0" w:rsidRDefault="00245CBF" w:rsidP="00514011">
            <w:pPr>
              <w:rPr>
                <w:b/>
                <w:bCs/>
              </w:rPr>
            </w:pPr>
            <w:r w:rsidRPr="00E92F0B">
              <w:rPr>
                <w:rFonts w:ascii="Calibri" w:hAnsi="Calibri" w:cs="Calibri"/>
                <w:b/>
                <w:bCs/>
                <w:color w:val="000000"/>
              </w:rPr>
              <w:t>DBH^2 (m)</w:t>
            </w:r>
          </w:p>
        </w:tc>
        <w:tc>
          <w:tcPr>
            <w:tcW w:w="960" w:type="dxa"/>
            <w:noWrap/>
            <w:vAlign w:val="bottom"/>
            <w:hideMark/>
          </w:tcPr>
          <w:p w14:paraId="630918CB" w14:textId="77777777" w:rsidR="00245CBF" w:rsidRPr="00870621" w:rsidRDefault="00245CBF" w:rsidP="00514011">
            <w:r>
              <w:rPr>
                <w:rFonts w:ascii="Calibri" w:hAnsi="Calibri" w:cs="Calibri"/>
                <w:color w:val="000000"/>
              </w:rPr>
              <w:t>-1.27</w:t>
            </w:r>
          </w:p>
        </w:tc>
        <w:tc>
          <w:tcPr>
            <w:tcW w:w="960" w:type="dxa"/>
            <w:noWrap/>
            <w:vAlign w:val="bottom"/>
            <w:hideMark/>
          </w:tcPr>
          <w:p w14:paraId="6F091B54" w14:textId="77777777" w:rsidR="00245CBF" w:rsidRPr="00870621" w:rsidRDefault="00245CBF" w:rsidP="00514011">
            <w:r>
              <w:rPr>
                <w:rFonts w:ascii="Calibri" w:hAnsi="Calibri" w:cs="Calibri"/>
                <w:color w:val="000000"/>
              </w:rPr>
              <w:t>-1.27</w:t>
            </w:r>
          </w:p>
        </w:tc>
        <w:tc>
          <w:tcPr>
            <w:tcW w:w="960" w:type="dxa"/>
            <w:noWrap/>
            <w:vAlign w:val="bottom"/>
            <w:hideMark/>
          </w:tcPr>
          <w:p w14:paraId="4B6A61D2" w14:textId="77777777" w:rsidR="00245CBF" w:rsidRPr="00870621" w:rsidRDefault="00245CBF" w:rsidP="00514011">
            <w:r>
              <w:rPr>
                <w:rFonts w:ascii="Calibri" w:hAnsi="Calibri" w:cs="Calibri"/>
                <w:color w:val="000000"/>
              </w:rPr>
              <w:t>0.29</w:t>
            </w:r>
          </w:p>
        </w:tc>
        <w:tc>
          <w:tcPr>
            <w:tcW w:w="960" w:type="dxa"/>
            <w:noWrap/>
            <w:vAlign w:val="bottom"/>
            <w:hideMark/>
          </w:tcPr>
          <w:p w14:paraId="4B379C51" w14:textId="77777777" w:rsidR="00245CBF" w:rsidRPr="00870621" w:rsidRDefault="00245CBF" w:rsidP="00514011">
            <w:r>
              <w:rPr>
                <w:rFonts w:ascii="Calibri" w:hAnsi="Calibri" w:cs="Calibri"/>
                <w:color w:val="000000"/>
              </w:rPr>
              <w:t>-1.75</w:t>
            </w:r>
          </w:p>
        </w:tc>
        <w:tc>
          <w:tcPr>
            <w:tcW w:w="960" w:type="dxa"/>
            <w:noWrap/>
            <w:vAlign w:val="bottom"/>
            <w:hideMark/>
          </w:tcPr>
          <w:p w14:paraId="2F749FE6" w14:textId="77777777" w:rsidR="00245CBF" w:rsidRPr="00870621" w:rsidRDefault="00245CBF" w:rsidP="00514011">
            <w:r>
              <w:rPr>
                <w:rFonts w:ascii="Calibri" w:hAnsi="Calibri" w:cs="Calibri"/>
                <w:color w:val="000000"/>
              </w:rPr>
              <w:t>-0.80</w:t>
            </w:r>
          </w:p>
        </w:tc>
        <w:tc>
          <w:tcPr>
            <w:tcW w:w="960" w:type="dxa"/>
            <w:noWrap/>
            <w:vAlign w:val="bottom"/>
            <w:hideMark/>
          </w:tcPr>
          <w:p w14:paraId="2827178B" w14:textId="77777777" w:rsidR="00245CBF" w:rsidRPr="00870621" w:rsidRDefault="00245CBF" w:rsidP="00514011">
            <w:r>
              <w:rPr>
                <w:rFonts w:ascii="Calibri" w:hAnsi="Calibri" w:cs="Calibri"/>
                <w:color w:val="000000"/>
              </w:rPr>
              <w:t>1.00</w:t>
            </w:r>
          </w:p>
        </w:tc>
        <w:tc>
          <w:tcPr>
            <w:tcW w:w="1008" w:type="dxa"/>
            <w:noWrap/>
            <w:vAlign w:val="bottom"/>
            <w:hideMark/>
          </w:tcPr>
          <w:p w14:paraId="7EBEF2EE" w14:textId="77777777" w:rsidR="00245CBF" w:rsidRPr="00870621" w:rsidRDefault="00245CBF" w:rsidP="00514011">
            <w:r>
              <w:rPr>
                <w:rFonts w:ascii="Calibri" w:hAnsi="Calibri" w:cs="Calibri"/>
                <w:color w:val="000000"/>
              </w:rPr>
              <w:t>1638.78</w:t>
            </w:r>
          </w:p>
        </w:tc>
        <w:tc>
          <w:tcPr>
            <w:tcW w:w="960" w:type="dxa"/>
            <w:noWrap/>
            <w:vAlign w:val="bottom"/>
            <w:hideMark/>
          </w:tcPr>
          <w:p w14:paraId="7E7A8094" w14:textId="77777777" w:rsidR="00245CBF" w:rsidRPr="00870621" w:rsidRDefault="00245CBF" w:rsidP="00514011">
            <w:r>
              <w:rPr>
                <w:rFonts w:ascii="Calibri" w:hAnsi="Calibri" w:cs="Calibri"/>
                <w:color w:val="000000"/>
              </w:rPr>
              <w:t>2025.90</w:t>
            </w:r>
          </w:p>
        </w:tc>
      </w:tr>
      <w:tr w:rsidR="00245CBF" w:rsidRPr="00870621" w14:paraId="01026377" w14:textId="77777777" w:rsidTr="00514011">
        <w:trPr>
          <w:trHeight w:val="288"/>
        </w:trPr>
        <w:tc>
          <w:tcPr>
            <w:tcW w:w="1354" w:type="dxa"/>
            <w:noWrap/>
            <w:vAlign w:val="bottom"/>
            <w:hideMark/>
          </w:tcPr>
          <w:p w14:paraId="6EF6CD99" w14:textId="77777777" w:rsidR="00245CBF" w:rsidRPr="008727D0" w:rsidRDefault="00245CBF" w:rsidP="00514011">
            <w:pPr>
              <w:rPr>
                <w:b/>
                <w:bCs/>
              </w:rPr>
            </w:pPr>
            <w:r w:rsidRPr="00E92F0B">
              <w:rPr>
                <w:rFonts w:ascii="Calibri" w:hAnsi="Calibri" w:cs="Calibri"/>
                <w:b/>
                <w:bCs/>
                <w:color w:val="000000"/>
              </w:rPr>
              <w:t>Fire</w:t>
            </w:r>
          </w:p>
        </w:tc>
        <w:tc>
          <w:tcPr>
            <w:tcW w:w="960" w:type="dxa"/>
            <w:noWrap/>
            <w:vAlign w:val="bottom"/>
            <w:hideMark/>
          </w:tcPr>
          <w:p w14:paraId="0D3A4658" w14:textId="77777777" w:rsidR="00245CBF" w:rsidRPr="00870621" w:rsidRDefault="00245CBF" w:rsidP="00514011">
            <w:r>
              <w:rPr>
                <w:rFonts w:ascii="Calibri" w:hAnsi="Calibri" w:cs="Calibri"/>
                <w:color w:val="000000"/>
              </w:rPr>
              <w:t>-0.27</w:t>
            </w:r>
          </w:p>
        </w:tc>
        <w:tc>
          <w:tcPr>
            <w:tcW w:w="960" w:type="dxa"/>
            <w:noWrap/>
            <w:vAlign w:val="bottom"/>
            <w:hideMark/>
          </w:tcPr>
          <w:p w14:paraId="0FA956D8" w14:textId="77777777" w:rsidR="00245CBF" w:rsidRPr="00870621" w:rsidRDefault="00245CBF" w:rsidP="00514011">
            <w:r>
              <w:rPr>
                <w:rFonts w:ascii="Calibri" w:hAnsi="Calibri" w:cs="Calibri"/>
                <w:color w:val="000000"/>
              </w:rPr>
              <w:t>-0.20</w:t>
            </w:r>
          </w:p>
        </w:tc>
        <w:tc>
          <w:tcPr>
            <w:tcW w:w="960" w:type="dxa"/>
            <w:noWrap/>
            <w:vAlign w:val="bottom"/>
            <w:hideMark/>
          </w:tcPr>
          <w:p w14:paraId="6E754AC6" w14:textId="77777777" w:rsidR="00245CBF" w:rsidRPr="00870621" w:rsidRDefault="00245CBF" w:rsidP="00514011">
            <w:r>
              <w:rPr>
                <w:rFonts w:ascii="Calibri" w:hAnsi="Calibri" w:cs="Calibri"/>
                <w:color w:val="000000"/>
              </w:rPr>
              <w:t>1.02</w:t>
            </w:r>
          </w:p>
        </w:tc>
        <w:tc>
          <w:tcPr>
            <w:tcW w:w="960" w:type="dxa"/>
            <w:noWrap/>
            <w:vAlign w:val="bottom"/>
            <w:hideMark/>
          </w:tcPr>
          <w:p w14:paraId="24C27183" w14:textId="77777777" w:rsidR="00245CBF" w:rsidRPr="00870621" w:rsidRDefault="00245CBF" w:rsidP="00514011">
            <w:r>
              <w:rPr>
                <w:rFonts w:ascii="Calibri" w:hAnsi="Calibri" w:cs="Calibri"/>
                <w:color w:val="000000"/>
              </w:rPr>
              <w:t>-2.03</w:t>
            </w:r>
          </w:p>
        </w:tc>
        <w:tc>
          <w:tcPr>
            <w:tcW w:w="960" w:type="dxa"/>
            <w:noWrap/>
            <w:vAlign w:val="bottom"/>
            <w:hideMark/>
          </w:tcPr>
          <w:p w14:paraId="52897180" w14:textId="77777777" w:rsidR="00245CBF" w:rsidRPr="00870621" w:rsidRDefault="00245CBF" w:rsidP="00514011">
            <w:r>
              <w:rPr>
                <w:rFonts w:ascii="Calibri" w:hAnsi="Calibri" w:cs="Calibri"/>
                <w:color w:val="000000"/>
              </w:rPr>
              <w:t>1.30</w:t>
            </w:r>
          </w:p>
        </w:tc>
        <w:tc>
          <w:tcPr>
            <w:tcW w:w="960" w:type="dxa"/>
            <w:noWrap/>
            <w:vAlign w:val="bottom"/>
            <w:hideMark/>
          </w:tcPr>
          <w:p w14:paraId="7DD41D34" w14:textId="77777777" w:rsidR="00245CBF" w:rsidRPr="00870621" w:rsidRDefault="00245CBF" w:rsidP="00514011">
            <w:r>
              <w:rPr>
                <w:rFonts w:ascii="Calibri" w:hAnsi="Calibri" w:cs="Calibri"/>
                <w:color w:val="000000"/>
              </w:rPr>
              <w:t>1.00</w:t>
            </w:r>
          </w:p>
        </w:tc>
        <w:tc>
          <w:tcPr>
            <w:tcW w:w="1008" w:type="dxa"/>
            <w:noWrap/>
            <w:vAlign w:val="bottom"/>
            <w:hideMark/>
          </w:tcPr>
          <w:p w14:paraId="4D714EB3" w14:textId="77777777" w:rsidR="00245CBF" w:rsidRPr="00870621" w:rsidRDefault="00245CBF" w:rsidP="00514011">
            <w:r>
              <w:rPr>
                <w:rFonts w:ascii="Calibri" w:hAnsi="Calibri" w:cs="Calibri"/>
                <w:color w:val="000000"/>
              </w:rPr>
              <w:t>1798.17</w:t>
            </w:r>
          </w:p>
        </w:tc>
        <w:tc>
          <w:tcPr>
            <w:tcW w:w="960" w:type="dxa"/>
            <w:noWrap/>
            <w:vAlign w:val="bottom"/>
            <w:hideMark/>
          </w:tcPr>
          <w:p w14:paraId="0EE4F7C8" w14:textId="77777777" w:rsidR="00245CBF" w:rsidRPr="00870621" w:rsidRDefault="00245CBF" w:rsidP="00514011">
            <w:r>
              <w:rPr>
                <w:rFonts w:ascii="Calibri" w:hAnsi="Calibri" w:cs="Calibri"/>
                <w:color w:val="000000"/>
              </w:rPr>
              <w:t>2444.86</w:t>
            </w:r>
          </w:p>
        </w:tc>
      </w:tr>
      <w:tr w:rsidR="00245CBF" w:rsidRPr="00870621" w14:paraId="743F2DB6" w14:textId="77777777" w:rsidTr="00514011">
        <w:trPr>
          <w:trHeight w:val="288"/>
        </w:trPr>
        <w:tc>
          <w:tcPr>
            <w:tcW w:w="1354" w:type="dxa"/>
            <w:noWrap/>
            <w:vAlign w:val="bottom"/>
            <w:hideMark/>
          </w:tcPr>
          <w:p w14:paraId="53AE7B5C" w14:textId="77777777" w:rsidR="00245CBF" w:rsidRPr="008727D0" w:rsidRDefault="00245CBF" w:rsidP="00514011">
            <w:pPr>
              <w:rPr>
                <w:b/>
                <w:bCs/>
              </w:rPr>
            </w:pPr>
            <w:r w:rsidRPr="00E92F0B">
              <w:rPr>
                <w:rFonts w:ascii="Calibri" w:hAnsi="Calibri" w:cs="Calibri"/>
                <w:b/>
                <w:bCs/>
                <w:color w:val="000000"/>
              </w:rPr>
              <w:t>WPBR</w:t>
            </w:r>
          </w:p>
        </w:tc>
        <w:tc>
          <w:tcPr>
            <w:tcW w:w="960" w:type="dxa"/>
            <w:noWrap/>
            <w:vAlign w:val="bottom"/>
            <w:hideMark/>
          </w:tcPr>
          <w:p w14:paraId="67BF5BED" w14:textId="77777777" w:rsidR="00245CBF" w:rsidRPr="00870621" w:rsidRDefault="00245CBF" w:rsidP="00514011">
            <w:r>
              <w:rPr>
                <w:rFonts w:ascii="Calibri" w:hAnsi="Calibri" w:cs="Calibri"/>
                <w:color w:val="000000"/>
              </w:rPr>
              <w:t>-2.14</w:t>
            </w:r>
          </w:p>
        </w:tc>
        <w:tc>
          <w:tcPr>
            <w:tcW w:w="960" w:type="dxa"/>
            <w:noWrap/>
            <w:vAlign w:val="bottom"/>
            <w:hideMark/>
          </w:tcPr>
          <w:p w14:paraId="333680CB" w14:textId="77777777" w:rsidR="00245CBF" w:rsidRPr="00870621" w:rsidRDefault="00245CBF" w:rsidP="00514011">
            <w:r>
              <w:rPr>
                <w:rFonts w:ascii="Calibri" w:hAnsi="Calibri" w:cs="Calibri"/>
                <w:color w:val="000000"/>
              </w:rPr>
              <w:t>-2.08</w:t>
            </w:r>
          </w:p>
        </w:tc>
        <w:tc>
          <w:tcPr>
            <w:tcW w:w="960" w:type="dxa"/>
            <w:noWrap/>
            <w:vAlign w:val="bottom"/>
            <w:hideMark/>
          </w:tcPr>
          <w:p w14:paraId="4CF7C296" w14:textId="77777777" w:rsidR="00245CBF" w:rsidRPr="00870621" w:rsidRDefault="00245CBF" w:rsidP="00514011">
            <w:r>
              <w:rPr>
                <w:rFonts w:ascii="Calibri" w:hAnsi="Calibri" w:cs="Calibri"/>
                <w:color w:val="000000"/>
              </w:rPr>
              <w:t>1.45</w:t>
            </w:r>
          </w:p>
        </w:tc>
        <w:tc>
          <w:tcPr>
            <w:tcW w:w="960" w:type="dxa"/>
            <w:noWrap/>
            <w:vAlign w:val="bottom"/>
            <w:hideMark/>
          </w:tcPr>
          <w:p w14:paraId="57F0E256" w14:textId="77777777" w:rsidR="00245CBF" w:rsidRPr="00870621" w:rsidRDefault="00245CBF" w:rsidP="00514011">
            <w:r>
              <w:rPr>
                <w:rFonts w:ascii="Calibri" w:hAnsi="Calibri" w:cs="Calibri"/>
                <w:color w:val="000000"/>
              </w:rPr>
              <w:t>-4.67</w:t>
            </w:r>
          </w:p>
        </w:tc>
        <w:tc>
          <w:tcPr>
            <w:tcW w:w="960" w:type="dxa"/>
            <w:noWrap/>
            <w:vAlign w:val="bottom"/>
            <w:hideMark/>
          </w:tcPr>
          <w:p w14:paraId="4F27E205" w14:textId="77777777" w:rsidR="00245CBF" w:rsidRPr="00870621" w:rsidRDefault="00245CBF" w:rsidP="00514011">
            <w:r>
              <w:rPr>
                <w:rFonts w:ascii="Calibri" w:hAnsi="Calibri" w:cs="Calibri"/>
                <w:color w:val="000000"/>
              </w:rPr>
              <w:t>0.13</w:t>
            </w:r>
          </w:p>
        </w:tc>
        <w:tc>
          <w:tcPr>
            <w:tcW w:w="960" w:type="dxa"/>
            <w:noWrap/>
            <w:vAlign w:val="bottom"/>
            <w:hideMark/>
          </w:tcPr>
          <w:p w14:paraId="4816BF6B" w14:textId="77777777" w:rsidR="00245CBF" w:rsidRPr="00870621" w:rsidRDefault="00245CBF" w:rsidP="00514011">
            <w:r>
              <w:rPr>
                <w:rFonts w:ascii="Calibri" w:hAnsi="Calibri" w:cs="Calibri"/>
                <w:color w:val="000000"/>
              </w:rPr>
              <w:t>1.00</w:t>
            </w:r>
          </w:p>
        </w:tc>
        <w:tc>
          <w:tcPr>
            <w:tcW w:w="1008" w:type="dxa"/>
            <w:noWrap/>
            <w:vAlign w:val="bottom"/>
            <w:hideMark/>
          </w:tcPr>
          <w:p w14:paraId="2BBA5167" w14:textId="77777777" w:rsidR="00245CBF" w:rsidRPr="00870621" w:rsidRDefault="00245CBF" w:rsidP="00514011">
            <w:r>
              <w:rPr>
                <w:rFonts w:ascii="Calibri" w:hAnsi="Calibri" w:cs="Calibri"/>
                <w:color w:val="000000"/>
              </w:rPr>
              <w:t>2005.95</w:t>
            </w:r>
          </w:p>
        </w:tc>
        <w:tc>
          <w:tcPr>
            <w:tcW w:w="960" w:type="dxa"/>
            <w:noWrap/>
            <w:vAlign w:val="bottom"/>
            <w:hideMark/>
          </w:tcPr>
          <w:p w14:paraId="25D1949E" w14:textId="77777777" w:rsidR="00245CBF" w:rsidRPr="00870621" w:rsidRDefault="00245CBF" w:rsidP="00514011">
            <w:r>
              <w:rPr>
                <w:rFonts w:ascii="Calibri" w:hAnsi="Calibri" w:cs="Calibri"/>
                <w:color w:val="000000"/>
              </w:rPr>
              <w:t>1710.63</w:t>
            </w:r>
          </w:p>
        </w:tc>
      </w:tr>
      <w:tr w:rsidR="00245CBF" w:rsidRPr="00870621" w14:paraId="075E91C0" w14:textId="77777777" w:rsidTr="00514011">
        <w:trPr>
          <w:trHeight w:val="288"/>
        </w:trPr>
        <w:tc>
          <w:tcPr>
            <w:tcW w:w="1354" w:type="dxa"/>
            <w:noWrap/>
            <w:vAlign w:val="bottom"/>
            <w:hideMark/>
          </w:tcPr>
          <w:p w14:paraId="36C9A7CA" w14:textId="77777777" w:rsidR="00245CBF" w:rsidRPr="008727D0" w:rsidRDefault="00245CBF" w:rsidP="00514011">
            <w:pPr>
              <w:rPr>
                <w:b/>
                <w:bCs/>
              </w:rPr>
            </w:pPr>
            <w:r w:rsidRPr="00E92F0B">
              <w:rPr>
                <w:rFonts w:ascii="Calibri" w:hAnsi="Calibri" w:cs="Calibri"/>
                <w:b/>
                <w:bCs/>
                <w:color w:val="000000"/>
              </w:rPr>
              <w:t>Basal Area</w:t>
            </w:r>
          </w:p>
        </w:tc>
        <w:tc>
          <w:tcPr>
            <w:tcW w:w="960" w:type="dxa"/>
            <w:noWrap/>
            <w:vAlign w:val="bottom"/>
            <w:hideMark/>
          </w:tcPr>
          <w:p w14:paraId="7136AFD8" w14:textId="77777777" w:rsidR="00245CBF" w:rsidRPr="00870621" w:rsidRDefault="00245CBF" w:rsidP="00514011">
            <w:r>
              <w:rPr>
                <w:rFonts w:ascii="Calibri" w:hAnsi="Calibri" w:cs="Calibri"/>
                <w:color w:val="000000"/>
              </w:rPr>
              <w:t>0.40</w:t>
            </w:r>
          </w:p>
        </w:tc>
        <w:tc>
          <w:tcPr>
            <w:tcW w:w="960" w:type="dxa"/>
            <w:noWrap/>
            <w:vAlign w:val="bottom"/>
            <w:hideMark/>
          </w:tcPr>
          <w:p w14:paraId="5A04EBE6" w14:textId="77777777" w:rsidR="00245CBF" w:rsidRPr="00870621" w:rsidRDefault="00245CBF" w:rsidP="00514011">
            <w:r>
              <w:rPr>
                <w:rFonts w:ascii="Calibri" w:hAnsi="Calibri" w:cs="Calibri"/>
                <w:color w:val="000000"/>
              </w:rPr>
              <w:t>0.40</w:t>
            </w:r>
          </w:p>
        </w:tc>
        <w:tc>
          <w:tcPr>
            <w:tcW w:w="960" w:type="dxa"/>
            <w:noWrap/>
            <w:vAlign w:val="bottom"/>
            <w:hideMark/>
          </w:tcPr>
          <w:p w14:paraId="09DACF45" w14:textId="77777777" w:rsidR="00245CBF" w:rsidRPr="00870621" w:rsidRDefault="00245CBF" w:rsidP="00514011">
            <w:r>
              <w:rPr>
                <w:rFonts w:ascii="Calibri" w:hAnsi="Calibri" w:cs="Calibri"/>
                <w:color w:val="000000"/>
              </w:rPr>
              <w:t>0.31</w:t>
            </w:r>
          </w:p>
        </w:tc>
        <w:tc>
          <w:tcPr>
            <w:tcW w:w="960" w:type="dxa"/>
            <w:noWrap/>
            <w:vAlign w:val="bottom"/>
            <w:hideMark/>
          </w:tcPr>
          <w:p w14:paraId="2A4E2F15" w14:textId="77777777" w:rsidR="00245CBF" w:rsidRPr="00870621" w:rsidRDefault="00245CBF" w:rsidP="00514011">
            <w:r>
              <w:rPr>
                <w:rFonts w:ascii="Calibri" w:hAnsi="Calibri" w:cs="Calibri"/>
                <w:color w:val="000000"/>
              </w:rPr>
              <w:t>-0.10</w:t>
            </w:r>
          </w:p>
        </w:tc>
        <w:tc>
          <w:tcPr>
            <w:tcW w:w="960" w:type="dxa"/>
            <w:noWrap/>
            <w:vAlign w:val="bottom"/>
            <w:hideMark/>
          </w:tcPr>
          <w:p w14:paraId="14710821" w14:textId="77777777" w:rsidR="00245CBF" w:rsidRPr="00870621" w:rsidRDefault="00245CBF" w:rsidP="00514011">
            <w:r>
              <w:rPr>
                <w:rFonts w:ascii="Calibri" w:hAnsi="Calibri" w:cs="Calibri"/>
                <w:color w:val="000000"/>
              </w:rPr>
              <w:t>0.93</w:t>
            </w:r>
          </w:p>
        </w:tc>
        <w:tc>
          <w:tcPr>
            <w:tcW w:w="960" w:type="dxa"/>
            <w:noWrap/>
            <w:vAlign w:val="bottom"/>
            <w:hideMark/>
          </w:tcPr>
          <w:p w14:paraId="4F51A91D" w14:textId="77777777" w:rsidR="00245CBF" w:rsidRPr="00870621" w:rsidRDefault="00245CBF" w:rsidP="00514011">
            <w:r>
              <w:rPr>
                <w:rFonts w:ascii="Calibri" w:hAnsi="Calibri" w:cs="Calibri"/>
                <w:color w:val="000000"/>
              </w:rPr>
              <w:t>1.00</w:t>
            </w:r>
          </w:p>
        </w:tc>
        <w:tc>
          <w:tcPr>
            <w:tcW w:w="1008" w:type="dxa"/>
            <w:noWrap/>
            <w:vAlign w:val="bottom"/>
            <w:hideMark/>
          </w:tcPr>
          <w:p w14:paraId="0AD1902F" w14:textId="77777777" w:rsidR="00245CBF" w:rsidRPr="00870621" w:rsidRDefault="00245CBF" w:rsidP="00514011">
            <w:r>
              <w:rPr>
                <w:rFonts w:ascii="Calibri" w:hAnsi="Calibri" w:cs="Calibri"/>
                <w:color w:val="000000"/>
              </w:rPr>
              <w:t>1817.20</w:t>
            </w:r>
          </w:p>
        </w:tc>
        <w:tc>
          <w:tcPr>
            <w:tcW w:w="960" w:type="dxa"/>
            <w:noWrap/>
            <w:vAlign w:val="bottom"/>
            <w:hideMark/>
          </w:tcPr>
          <w:p w14:paraId="24951BF7" w14:textId="77777777" w:rsidR="00245CBF" w:rsidRPr="00870621" w:rsidRDefault="00245CBF" w:rsidP="00514011">
            <w:r>
              <w:rPr>
                <w:rFonts w:ascii="Calibri" w:hAnsi="Calibri" w:cs="Calibri"/>
                <w:color w:val="000000"/>
              </w:rPr>
              <w:t>2445.80</w:t>
            </w:r>
          </w:p>
        </w:tc>
      </w:tr>
      <w:tr w:rsidR="00245CBF" w:rsidRPr="00870621" w14:paraId="37AC5EC5" w14:textId="77777777" w:rsidTr="00514011">
        <w:trPr>
          <w:trHeight w:val="288"/>
        </w:trPr>
        <w:tc>
          <w:tcPr>
            <w:tcW w:w="1354" w:type="dxa"/>
            <w:noWrap/>
            <w:vAlign w:val="bottom"/>
            <w:hideMark/>
          </w:tcPr>
          <w:p w14:paraId="520A1D02" w14:textId="77777777" w:rsidR="00245CBF" w:rsidRPr="008727D0" w:rsidRDefault="00245CBF" w:rsidP="00514011">
            <w:pPr>
              <w:rPr>
                <w:b/>
                <w:bCs/>
              </w:rPr>
            </w:pPr>
            <w:r w:rsidRPr="00E92F0B">
              <w:rPr>
                <w:rFonts w:ascii="Calibri" w:hAnsi="Calibri" w:cs="Calibri"/>
                <w:b/>
                <w:bCs/>
                <w:color w:val="000000"/>
              </w:rPr>
              <w:t>Drought</w:t>
            </w:r>
          </w:p>
        </w:tc>
        <w:tc>
          <w:tcPr>
            <w:tcW w:w="960" w:type="dxa"/>
            <w:noWrap/>
            <w:vAlign w:val="bottom"/>
            <w:hideMark/>
          </w:tcPr>
          <w:p w14:paraId="6907C0A6" w14:textId="77777777" w:rsidR="00245CBF" w:rsidRPr="00870621" w:rsidRDefault="00245CBF" w:rsidP="00514011">
            <w:r>
              <w:rPr>
                <w:rFonts w:ascii="Calibri" w:hAnsi="Calibri" w:cs="Calibri"/>
                <w:color w:val="000000"/>
              </w:rPr>
              <w:t>0.07</w:t>
            </w:r>
          </w:p>
        </w:tc>
        <w:tc>
          <w:tcPr>
            <w:tcW w:w="960" w:type="dxa"/>
            <w:noWrap/>
            <w:vAlign w:val="bottom"/>
            <w:hideMark/>
          </w:tcPr>
          <w:p w14:paraId="697681DC" w14:textId="77777777" w:rsidR="00245CBF" w:rsidRPr="00870621" w:rsidRDefault="00245CBF" w:rsidP="00514011">
            <w:r>
              <w:rPr>
                <w:rFonts w:ascii="Calibri" w:hAnsi="Calibri" w:cs="Calibri"/>
                <w:color w:val="000000"/>
              </w:rPr>
              <w:t>0.05</w:t>
            </w:r>
          </w:p>
        </w:tc>
        <w:tc>
          <w:tcPr>
            <w:tcW w:w="960" w:type="dxa"/>
            <w:noWrap/>
            <w:vAlign w:val="bottom"/>
            <w:hideMark/>
          </w:tcPr>
          <w:p w14:paraId="0260C1CC" w14:textId="77777777" w:rsidR="00245CBF" w:rsidRPr="00870621" w:rsidRDefault="00245CBF" w:rsidP="00514011">
            <w:r>
              <w:rPr>
                <w:rFonts w:ascii="Calibri" w:hAnsi="Calibri" w:cs="Calibri"/>
                <w:color w:val="000000"/>
              </w:rPr>
              <w:t>0.23</w:t>
            </w:r>
          </w:p>
        </w:tc>
        <w:tc>
          <w:tcPr>
            <w:tcW w:w="960" w:type="dxa"/>
            <w:noWrap/>
            <w:vAlign w:val="bottom"/>
            <w:hideMark/>
          </w:tcPr>
          <w:p w14:paraId="54F75FA9" w14:textId="77777777" w:rsidR="00245CBF" w:rsidRPr="00870621" w:rsidRDefault="00245CBF" w:rsidP="00514011">
            <w:r>
              <w:rPr>
                <w:rFonts w:ascii="Calibri" w:hAnsi="Calibri" w:cs="Calibri"/>
                <w:color w:val="000000"/>
              </w:rPr>
              <w:t>-0.31</w:t>
            </w:r>
          </w:p>
        </w:tc>
        <w:tc>
          <w:tcPr>
            <w:tcW w:w="960" w:type="dxa"/>
            <w:noWrap/>
            <w:vAlign w:val="bottom"/>
            <w:hideMark/>
          </w:tcPr>
          <w:p w14:paraId="311DCB36" w14:textId="77777777" w:rsidR="00245CBF" w:rsidRPr="00870621" w:rsidRDefault="00245CBF" w:rsidP="00514011">
            <w:r>
              <w:rPr>
                <w:rFonts w:ascii="Calibri" w:hAnsi="Calibri" w:cs="Calibri"/>
                <w:color w:val="000000"/>
              </w:rPr>
              <w:t>0.45</w:t>
            </w:r>
          </w:p>
        </w:tc>
        <w:tc>
          <w:tcPr>
            <w:tcW w:w="960" w:type="dxa"/>
            <w:noWrap/>
            <w:vAlign w:val="bottom"/>
            <w:hideMark/>
          </w:tcPr>
          <w:p w14:paraId="5F09A7EA" w14:textId="77777777" w:rsidR="00245CBF" w:rsidRPr="00870621" w:rsidRDefault="00245CBF" w:rsidP="00514011">
            <w:r>
              <w:rPr>
                <w:rFonts w:ascii="Calibri" w:hAnsi="Calibri" w:cs="Calibri"/>
                <w:color w:val="000000"/>
              </w:rPr>
              <w:t>1.00</w:t>
            </w:r>
          </w:p>
        </w:tc>
        <w:tc>
          <w:tcPr>
            <w:tcW w:w="1008" w:type="dxa"/>
            <w:noWrap/>
            <w:vAlign w:val="bottom"/>
            <w:hideMark/>
          </w:tcPr>
          <w:p w14:paraId="107B98EC" w14:textId="77777777" w:rsidR="00245CBF" w:rsidRPr="00870621" w:rsidRDefault="00245CBF" w:rsidP="00514011">
            <w:r>
              <w:rPr>
                <w:rFonts w:ascii="Calibri" w:hAnsi="Calibri" w:cs="Calibri"/>
                <w:color w:val="000000"/>
              </w:rPr>
              <w:t>1962.79</w:t>
            </w:r>
          </w:p>
        </w:tc>
        <w:tc>
          <w:tcPr>
            <w:tcW w:w="960" w:type="dxa"/>
            <w:noWrap/>
            <w:vAlign w:val="bottom"/>
            <w:hideMark/>
          </w:tcPr>
          <w:p w14:paraId="70A65233" w14:textId="77777777" w:rsidR="00245CBF" w:rsidRPr="00870621" w:rsidRDefault="00245CBF" w:rsidP="00514011">
            <w:r>
              <w:rPr>
                <w:rFonts w:ascii="Calibri" w:hAnsi="Calibri" w:cs="Calibri"/>
                <w:color w:val="000000"/>
              </w:rPr>
              <w:t>2208.44</w:t>
            </w:r>
          </w:p>
        </w:tc>
      </w:tr>
      <w:tr w:rsidR="00245CBF" w:rsidRPr="00870621" w14:paraId="757EC12D" w14:textId="77777777" w:rsidTr="00514011">
        <w:trPr>
          <w:trHeight w:val="288"/>
        </w:trPr>
        <w:tc>
          <w:tcPr>
            <w:tcW w:w="1354" w:type="dxa"/>
            <w:noWrap/>
            <w:vAlign w:val="bottom"/>
            <w:hideMark/>
          </w:tcPr>
          <w:p w14:paraId="6ABC894D" w14:textId="77777777" w:rsidR="00245CBF" w:rsidRPr="008727D0" w:rsidRDefault="00245CBF" w:rsidP="00514011">
            <w:pPr>
              <w:rPr>
                <w:b/>
                <w:bCs/>
              </w:rPr>
            </w:pPr>
            <w:r w:rsidRPr="00E92F0B">
              <w:rPr>
                <w:rFonts w:ascii="Calibri" w:hAnsi="Calibri" w:cs="Calibri"/>
                <w:b/>
                <w:bCs/>
                <w:color w:val="000000"/>
              </w:rPr>
              <w:t>Site Dryness</w:t>
            </w:r>
          </w:p>
        </w:tc>
        <w:tc>
          <w:tcPr>
            <w:tcW w:w="960" w:type="dxa"/>
            <w:noWrap/>
            <w:vAlign w:val="bottom"/>
            <w:hideMark/>
          </w:tcPr>
          <w:p w14:paraId="5DEC31BA" w14:textId="77777777" w:rsidR="00245CBF" w:rsidRPr="00870621" w:rsidRDefault="00245CBF" w:rsidP="00514011">
            <w:r>
              <w:rPr>
                <w:rFonts w:ascii="Calibri" w:hAnsi="Calibri" w:cs="Calibri"/>
                <w:color w:val="000000"/>
              </w:rPr>
              <w:t>0.80</w:t>
            </w:r>
          </w:p>
        </w:tc>
        <w:tc>
          <w:tcPr>
            <w:tcW w:w="960" w:type="dxa"/>
            <w:noWrap/>
            <w:vAlign w:val="bottom"/>
            <w:hideMark/>
          </w:tcPr>
          <w:p w14:paraId="493C95D8" w14:textId="77777777" w:rsidR="00245CBF" w:rsidRPr="00870621" w:rsidRDefault="00245CBF" w:rsidP="00514011">
            <w:r>
              <w:rPr>
                <w:rFonts w:ascii="Calibri" w:hAnsi="Calibri" w:cs="Calibri"/>
                <w:color w:val="000000"/>
              </w:rPr>
              <w:t>0.80</w:t>
            </w:r>
          </w:p>
        </w:tc>
        <w:tc>
          <w:tcPr>
            <w:tcW w:w="960" w:type="dxa"/>
            <w:noWrap/>
            <w:vAlign w:val="bottom"/>
            <w:hideMark/>
          </w:tcPr>
          <w:p w14:paraId="344D612D" w14:textId="77777777" w:rsidR="00245CBF" w:rsidRPr="00870621" w:rsidRDefault="00245CBF" w:rsidP="00514011">
            <w:r>
              <w:rPr>
                <w:rFonts w:ascii="Calibri" w:hAnsi="Calibri" w:cs="Calibri"/>
                <w:color w:val="000000"/>
              </w:rPr>
              <w:t>0.31</w:t>
            </w:r>
          </w:p>
        </w:tc>
        <w:tc>
          <w:tcPr>
            <w:tcW w:w="960" w:type="dxa"/>
            <w:noWrap/>
            <w:vAlign w:val="bottom"/>
            <w:hideMark/>
          </w:tcPr>
          <w:p w14:paraId="1795CFCB" w14:textId="77777777" w:rsidR="00245CBF" w:rsidRPr="00870621" w:rsidRDefault="00245CBF" w:rsidP="00514011">
            <w:r>
              <w:rPr>
                <w:rFonts w:ascii="Calibri" w:hAnsi="Calibri" w:cs="Calibri"/>
                <w:color w:val="000000"/>
              </w:rPr>
              <w:t>0.31</w:t>
            </w:r>
          </w:p>
        </w:tc>
        <w:tc>
          <w:tcPr>
            <w:tcW w:w="960" w:type="dxa"/>
            <w:noWrap/>
            <w:vAlign w:val="bottom"/>
            <w:hideMark/>
          </w:tcPr>
          <w:p w14:paraId="69516D6B" w14:textId="77777777" w:rsidR="00245CBF" w:rsidRPr="00870621" w:rsidRDefault="00245CBF" w:rsidP="00514011">
            <w:r>
              <w:rPr>
                <w:rFonts w:ascii="Calibri" w:hAnsi="Calibri" w:cs="Calibri"/>
                <w:color w:val="000000"/>
              </w:rPr>
              <w:t>1.33</w:t>
            </w:r>
          </w:p>
        </w:tc>
        <w:tc>
          <w:tcPr>
            <w:tcW w:w="960" w:type="dxa"/>
            <w:noWrap/>
            <w:vAlign w:val="bottom"/>
            <w:hideMark/>
          </w:tcPr>
          <w:p w14:paraId="73DF976E" w14:textId="77777777" w:rsidR="00245CBF" w:rsidRPr="00870621" w:rsidRDefault="00245CBF" w:rsidP="00514011">
            <w:r>
              <w:rPr>
                <w:rFonts w:ascii="Calibri" w:hAnsi="Calibri" w:cs="Calibri"/>
                <w:color w:val="000000"/>
              </w:rPr>
              <w:t>1.00</w:t>
            </w:r>
          </w:p>
        </w:tc>
        <w:tc>
          <w:tcPr>
            <w:tcW w:w="1008" w:type="dxa"/>
            <w:noWrap/>
            <w:vAlign w:val="bottom"/>
            <w:hideMark/>
          </w:tcPr>
          <w:p w14:paraId="63C156F0" w14:textId="77777777" w:rsidR="00245CBF" w:rsidRPr="00870621" w:rsidRDefault="00245CBF" w:rsidP="00514011">
            <w:r>
              <w:rPr>
                <w:rFonts w:ascii="Calibri" w:hAnsi="Calibri" w:cs="Calibri"/>
                <w:color w:val="000000"/>
              </w:rPr>
              <w:t>1735.81</w:t>
            </w:r>
          </w:p>
        </w:tc>
        <w:tc>
          <w:tcPr>
            <w:tcW w:w="960" w:type="dxa"/>
            <w:noWrap/>
            <w:vAlign w:val="bottom"/>
            <w:hideMark/>
          </w:tcPr>
          <w:p w14:paraId="0B311852" w14:textId="77777777" w:rsidR="00245CBF" w:rsidRPr="00870621" w:rsidRDefault="00245CBF" w:rsidP="00514011">
            <w:r>
              <w:rPr>
                <w:rFonts w:ascii="Calibri" w:hAnsi="Calibri" w:cs="Calibri"/>
                <w:color w:val="000000"/>
              </w:rPr>
              <w:t>2291.06</w:t>
            </w:r>
          </w:p>
        </w:tc>
      </w:tr>
      <w:tr w:rsidR="00245CBF" w:rsidRPr="00870621" w14:paraId="014C5D81" w14:textId="77777777" w:rsidTr="00514011">
        <w:trPr>
          <w:trHeight w:val="288"/>
        </w:trPr>
        <w:tc>
          <w:tcPr>
            <w:tcW w:w="1354" w:type="dxa"/>
            <w:noWrap/>
            <w:vAlign w:val="bottom"/>
            <w:hideMark/>
          </w:tcPr>
          <w:p w14:paraId="1AC5CED1" w14:textId="77777777" w:rsidR="00245CBF" w:rsidRPr="008727D0" w:rsidRDefault="00245CBF" w:rsidP="00514011">
            <w:pPr>
              <w:rPr>
                <w:b/>
                <w:bCs/>
              </w:rPr>
            </w:pPr>
            <w:r w:rsidRPr="00E92F0B">
              <w:rPr>
                <w:rFonts w:ascii="Calibri" w:hAnsi="Calibri" w:cs="Calibri"/>
                <w:b/>
                <w:bCs/>
                <w:color w:val="000000"/>
              </w:rPr>
              <w:t>DBH x Fire</w:t>
            </w:r>
          </w:p>
        </w:tc>
        <w:tc>
          <w:tcPr>
            <w:tcW w:w="960" w:type="dxa"/>
            <w:noWrap/>
            <w:vAlign w:val="bottom"/>
            <w:hideMark/>
          </w:tcPr>
          <w:p w14:paraId="319BD7F5" w14:textId="77777777" w:rsidR="00245CBF" w:rsidRPr="00870621" w:rsidRDefault="00245CBF" w:rsidP="00514011">
            <w:r>
              <w:rPr>
                <w:rFonts w:ascii="Calibri" w:hAnsi="Calibri" w:cs="Calibri"/>
                <w:color w:val="000000"/>
              </w:rPr>
              <w:t>0.37</w:t>
            </w:r>
          </w:p>
        </w:tc>
        <w:tc>
          <w:tcPr>
            <w:tcW w:w="960" w:type="dxa"/>
            <w:noWrap/>
            <w:vAlign w:val="bottom"/>
            <w:hideMark/>
          </w:tcPr>
          <w:p w14:paraId="42B8960A" w14:textId="77777777" w:rsidR="00245CBF" w:rsidRPr="00870621" w:rsidRDefault="00245CBF" w:rsidP="00514011">
            <w:r>
              <w:rPr>
                <w:rFonts w:ascii="Calibri" w:hAnsi="Calibri" w:cs="Calibri"/>
                <w:color w:val="000000"/>
              </w:rPr>
              <w:t>0.42</w:t>
            </w:r>
          </w:p>
        </w:tc>
        <w:tc>
          <w:tcPr>
            <w:tcW w:w="960" w:type="dxa"/>
            <w:noWrap/>
            <w:vAlign w:val="bottom"/>
            <w:hideMark/>
          </w:tcPr>
          <w:p w14:paraId="3E60D4C6" w14:textId="77777777" w:rsidR="00245CBF" w:rsidRPr="00870621" w:rsidRDefault="00245CBF" w:rsidP="00514011">
            <w:r>
              <w:rPr>
                <w:rFonts w:ascii="Calibri" w:hAnsi="Calibri" w:cs="Calibri"/>
                <w:color w:val="000000"/>
              </w:rPr>
              <w:t>2.14</w:t>
            </w:r>
          </w:p>
        </w:tc>
        <w:tc>
          <w:tcPr>
            <w:tcW w:w="960" w:type="dxa"/>
            <w:noWrap/>
            <w:vAlign w:val="bottom"/>
            <w:hideMark/>
          </w:tcPr>
          <w:p w14:paraId="23CF9349" w14:textId="77777777" w:rsidR="00245CBF" w:rsidRPr="00870621" w:rsidRDefault="00245CBF" w:rsidP="00514011">
            <w:r>
              <w:rPr>
                <w:rFonts w:ascii="Calibri" w:hAnsi="Calibri" w:cs="Calibri"/>
                <w:color w:val="000000"/>
              </w:rPr>
              <w:t>-3.18</w:t>
            </w:r>
          </w:p>
        </w:tc>
        <w:tc>
          <w:tcPr>
            <w:tcW w:w="960" w:type="dxa"/>
            <w:noWrap/>
            <w:vAlign w:val="bottom"/>
            <w:hideMark/>
          </w:tcPr>
          <w:p w14:paraId="6D522BD0" w14:textId="77777777" w:rsidR="00245CBF" w:rsidRPr="00870621" w:rsidRDefault="00245CBF" w:rsidP="00514011">
            <w:r>
              <w:rPr>
                <w:rFonts w:ascii="Calibri" w:hAnsi="Calibri" w:cs="Calibri"/>
                <w:color w:val="000000"/>
              </w:rPr>
              <w:t>3.86</w:t>
            </w:r>
          </w:p>
        </w:tc>
        <w:tc>
          <w:tcPr>
            <w:tcW w:w="960" w:type="dxa"/>
            <w:noWrap/>
            <w:vAlign w:val="bottom"/>
            <w:hideMark/>
          </w:tcPr>
          <w:p w14:paraId="0467B1AB" w14:textId="77777777" w:rsidR="00245CBF" w:rsidRPr="00870621" w:rsidRDefault="00245CBF" w:rsidP="00514011">
            <w:r>
              <w:rPr>
                <w:rFonts w:ascii="Calibri" w:hAnsi="Calibri" w:cs="Calibri"/>
                <w:color w:val="000000"/>
              </w:rPr>
              <w:t>1.00</w:t>
            </w:r>
          </w:p>
        </w:tc>
        <w:tc>
          <w:tcPr>
            <w:tcW w:w="1008" w:type="dxa"/>
            <w:noWrap/>
            <w:vAlign w:val="bottom"/>
            <w:hideMark/>
          </w:tcPr>
          <w:p w14:paraId="19179E34" w14:textId="77777777" w:rsidR="00245CBF" w:rsidRPr="00870621" w:rsidRDefault="00245CBF" w:rsidP="00514011">
            <w:r>
              <w:rPr>
                <w:rFonts w:ascii="Calibri" w:hAnsi="Calibri" w:cs="Calibri"/>
                <w:color w:val="000000"/>
              </w:rPr>
              <w:t>1513.14</w:t>
            </w:r>
          </w:p>
        </w:tc>
        <w:tc>
          <w:tcPr>
            <w:tcW w:w="960" w:type="dxa"/>
            <w:noWrap/>
            <w:vAlign w:val="bottom"/>
            <w:hideMark/>
          </w:tcPr>
          <w:p w14:paraId="3A1CE365" w14:textId="77777777" w:rsidR="00245CBF" w:rsidRPr="00870621" w:rsidRDefault="00245CBF" w:rsidP="00514011">
            <w:r>
              <w:rPr>
                <w:rFonts w:ascii="Calibri" w:hAnsi="Calibri" w:cs="Calibri"/>
                <w:color w:val="000000"/>
              </w:rPr>
              <w:t>2242.98</w:t>
            </w:r>
          </w:p>
        </w:tc>
      </w:tr>
      <w:tr w:rsidR="00245CBF" w:rsidRPr="00870621" w14:paraId="4DFDF71B" w14:textId="77777777" w:rsidTr="00514011">
        <w:trPr>
          <w:trHeight w:val="288"/>
        </w:trPr>
        <w:tc>
          <w:tcPr>
            <w:tcW w:w="1354" w:type="dxa"/>
            <w:noWrap/>
            <w:vAlign w:val="bottom"/>
            <w:hideMark/>
          </w:tcPr>
          <w:p w14:paraId="69ABE019" w14:textId="77777777" w:rsidR="00245CBF" w:rsidRPr="008727D0" w:rsidRDefault="00245CBF" w:rsidP="00514011">
            <w:pPr>
              <w:rPr>
                <w:b/>
                <w:bCs/>
              </w:rPr>
            </w:pPr>
            <w:r w:rsidRPr="00E92F0B">
              <w:rPr>
                <w:rFonts w:ascii="Calibri" w:hAnsi="Calibri" w:cs="Calibri"/>
                <w:b/>
                <w:bCs/>
                <w:color w:val="000000"/>
              </w:rPr>
              <w:t>DBH^2 x Fire</w:t>
            </w:r>
          </w:p>
        </w:tc>
        <w:tc>
          <w:tcPr>
            <w:tcW w:w="960" w:type="dxa"/>
            <w:noWrap/>
            <w:vAlign w:val="bottom"/>
            <w:hideMark/>
          </w:tcPr>
          <w:p w14:paraId="01C10ECE" w14:textId="77777777" w:rsidR="00245CBF" w:rsidRPr="00870621" w:rsidRDefault="00245CBF" w:rsidP="00514011">
            <w:r>
              <w:rPr>
                <w:rFonts w:ascii="Calibri" w:hAnsi="Calibri" w:cs="Calibri"/>
                <w:color w:val="000000"/>
              </w:rPr>
              <w:t>0.04</w:t>
            </w:r>
          </w:p>
        </w:tc>
        <w:tc>
          <w:tcPr>
            <w:tcW w:w="960" w:type="dxa"/>
            <w:noWrap/>
            <w:vAlign w:val="bottom"/>
            <w:hideMark/>
          </w:tcPr>
          <w:p w14:paraId="6661AD1B" w14:textId="77777777" w:rsidR="00245CBF" w:rsidRPr="00870621" w:rsidRDefault="00245CBF" w:rsidP="00514011">
            <w:r>
              <w:rPr>
                <w:rFonts w:ascii="Calibri" w:hAnsi="Calibri" w:cs="Calibri"/>
                <w:color w:val="000000"/>
              </w:rPr>
              <w:t>0.02</w:t>
            </w:r>
          </w:p>
        </w:tc>
        <w:tc>
          <w:tcPr>
            <w:tcW w:w="960" w:type="dxa"/>
            <w:noWrap/>
            <w:vAlign w:val="bottom"/>
            <w:hideMark/>
          </w:tcPr>
          <w:p w14:paraId="4C3ACE76" w14:textId="77777777" w:rsidR="00245CBF" w:rsidRPr="00870621" w:rsidRDefault="00245CBF" w:rsidP="00514011">
            <w:r>
              <w:rPr>
                <w:rFonts w:ascii="Calibri" w:hAnsi="Calibri" w:cs="Calibri"/>
                <w:color w:val="000000"/>
              </w:rPr>
              <w:t>0.91</w:t>
            </w:r>
          </w:p>
        </w:tc>
        <w:tc>
          <w:tcPr>
            <w:tcW w:w="960" w:type="dxa"/>
            <w:noWrap/>
            <w:vAlign w:val="bottom"/>
            <w:hideMark/>
          </w:tcPr>
          <w:p w14:paraId="070F53B2" w14:textId="77777777" w:rsidR="00245CBF" w:rsidRPr="00870621" w:rsidRDefault="00245CBF" w:rsidP="00514011">
            <w:r>
              <w:rPr>
                <w:rFonts w:ascii="Calibri" w:hAnsi="Calibri" w:cs="Calibri"/>
                <w:color w:val="000000"/>
              </w:rPr>
              <w:t>-1.42</w:t>
            </w:r>
          </w:p>
        </w:tc>
        <w:tc>
          <w:tcPr>
            <w:tcW w:w="960" w:type="dxa"/>
            <w:noWrap/>
            <w:vAlign w:val="bottom"/>
            <w:hideMark/>
          </w:tcPr>
          <w:p w14:paraId="720A8A6F" w14:textId="77777777" w:rsidR="00245CBF" w:rsidRPr="00870621" w:rsidRDefault="00245CBF" w:rsidP="00514011">
            <w:r>
              <w:rPr>
                <w:rFonts w:ascii="Calibri" w:hAnsi="Calibri" w:cs="Calibri"/>
                <w:color w:val="000000"/>
              </w:rPr>
              <w:t>1.54</w:t>
            </w:r>
          </w:p>
        </w:tc>
        <w:tc>
          <w:tcPr>
            <w:tcW w:w="960" w:type="dxa"/>
            <w:noWrap/>
            <w:vAlign w:val="bottom"/>
            <w:hideMark/>
          </w:tcPr>
          <w:p w14:paraId="196DBC10" w14:textId="77777777" w:rsidR="00245CBF" w:rsidRPr="00870621" w:rsidRDefault="00245CBF" w:rsidP="00514011">
            <w:r>
              <w:rPr>
                <w:rFonts w:ascii="Calibri" w:hAnsi="Calibri" w:cs="Calibri"/>
                <w:color w:val="000000"/>
              </w:rPr>
              <w:t>1.00</w:t>
            </w:r>
          </w:p>
        </w:tc>
        <w:tc>
          <w:tcPr>
            <w:tcW w:w="1008" w:type="dxa"/>
            <w:noWrap/>
            <w:vAlign w:val="bottom"/>
            <w:hideMark/>
          </w:tcPr>
          <w:p w14:paraId="21D46F7B" w14:textId="77777777" w:rsidR="00245CBF" w:rsidRPr="00870621" w:rsidRDefault="00245CBF" w:rsidP="00514011">
            <w:r>
              <w:rPr>
                <w:rFonts w:ascii="Calibri" w:hAnsi="Calibri" w:cs="Calibri"/>
                <w:color w:val="000000"/>
              </w:rPr>
              <w:t>1618.22</w:t>
            </w:r>
          </w:p>
        </w:tc>
        <w:tc>
          <w:tcPr>
            <w:tcW w:w="960" w:type="dxa"/>
            <w:noWrap/>
            <w:vAlign w:val="bottom"/>
            <w:hideMark/>
          </w:tcPr>
          <w:p w14:paraId="6DC587F7" w14:textId="77777777" w:rsidR="00245CBF" w:rsidRPr="00870621" w:rsidRDefault="00245CBF" w:rsidP="00514011">
            <w:r>
              <w:rPr>
                <w:rFonts w:ascii="Calibri" w:hAnsi="Calibri" w:cs="Calibri"/>
                <w:color w:val="000000"/>
              </w:rPr>
              <w:t>2513.76</w:t>
            </w:r>
          </w:p>
        </w:tc>
      </w:tr>
      <w:tr w:rsidR="00245CBF" w:rsidRPr="00870621" w14:paraId="2614448B" w14:textId="77777777" w:rsidTr="00514011">
        <w:trPr>
          <w:trHeight w:val="288"/>
        </w:trPr>
        <w:tc>
          <w:tcPr>
            <w:tcW w:w="1354" w:type="dxa"/>
            <w:noWrap/>
            <w:vAlign w:val="bottom"/>
            <w:hideMark/>
          </w:tcPr>
          <w:p w14:paraId="22FDA1B3" w14:textId="77777777" w:rsidR="00245CBF" w:rsidRPr="008727D0" w:rsidRDefault="00245CBF" w:rsidP="00514011">
            <w:pPr>
              <w:rPr>
                <w:b/>
                <w:bCs/>
              </w:rPr>
            </w:pPr>
            <w:r w:rsidRPr="00E92F0B">
              <w:rPr>
                <w:rFonts w:ascii="Calibri" w:hAnsi="Calibri" w:cs="Calibri"/>
                <w:b/>
                <w:bCs/>
                <w:color w:val="000000"/>
              </w:rPr>
              <w:t>DBH x WPBR</w:t>
            </w:r>
          </w:p>
        </w:tc>
        <w:tc>
          <w:tcPr>
            <w:tcW w:w="960" w:type="dxa"/>
            <w:noWrap/>
            <w:vAlign w:val="bottom"/>
            <w:hideMark/>
          </w:tcPr>
          <w:p w14:paraId="7731102A" w14:textId="77777777" w:rsidR="00245CBF" w:rsidRPr="00870621" w:rsidRDefault="00245CBF" w:rsidP="00514011">
            <w:r>
              <w:rPr>
                <w:rFonts w:ascii="Calibri" w:hAnsi="Calibri" w:cs="Calibri"/>
                <w:color w:val="000000"/>
              </w:rPr>
              <w:t>4.95</w:t>
            </w:r>
          </w:p>
        </w:tc>
        <w:tc>
          <w:tcPr>
            <w:tcW w:w="960" w:type="dxa"/>
            <w:noWrap/>
            <w:vAlign w:val="bottom"/>
            <w:hideMark/>
          </w:tcPr>
          <w:p w14:paraId="304607AE" w14:textId="77777777" w:rsidR="00245CBF" w:rsidRPr="00870621" w:rsidRDefault="00245CBF" w:rsidP="00514011">
            <w:r>
              <w:rPr>
                <w:rFonts w:ascii="Calibri" w:hAnsi="Calibri" w:cs="Calibri"/>
                <w:color w:val="000000"/>
              </w:rPr>
              <w:t>4.84</w:t>
            </w:r>
          </w:p>
        </w:tc>
        <w:tc>
          <w:tcPr>
            <w:tcW w:w="960" w:type="dxa"/>
            <w:noWrap/>
            <w:vAlign w:val="bottom"/>
            <w:hideMark/>
          </w:tcPr>
          <w:p w14:paraId="09A171C2" w14:textId="77777777" w:rsidR="00245CBF" w:rsidRPr="00870621" w:rsidRDefault="00245CBF" w:rsidP="00514011">
            <w:r>
              <w:rPr>
                <w:rFonts w:ascii="Calibri" w:hAnsi="Calibri" w:cs="Calibri"/>
                <w:color w:val="000000"/>
              </w:rPr>
              <w:t>2.62</w:t>
            </w:r>
          </w:p>
        </w:tc>
        <w:tc>
          <w:tcPr>
            <w:tcW w:w="960" w:type="dxa"/>
            <w:noWrap/>
            <w:vAlign w:val="bottom"/>
            <w:hideMark/>
          </w:tcPr>
          <w:p w14:paraId="1195E743" w14:textId="77777777" w:rsidR="00245CBF" w:rsidRPr="00870621" w:rsidRDefault="00245CBF" w:rsidP="00514011">
            <w:r>
              <w:rPr>
                <w:rFonts w:ascii="Calibri" w:hAnsi="Calibri" w:cs="Calibri"/>
                <w:color w:val="000000"/>
              </w:rPr>
              <w:t>0.80</w:t>
            </w:r>
          </w:p>
        </w:tc>
        <w:tc>
          <w:tcPr>
            <w:tcW w:w="960" w:type="dxa"/>
            <w:noWrap/>
            <w:vAlign w:val="bottom"/>
            <w:hideMark/>
          </w:tcPr>
          <w:p w14:paraId="3ED5A944" w14:textId="77777777" w:rsidR="00245CBF" w:rsidRPr="00870621" w:rsidRDefault="00245CBF" w:rsidP="00514011">
            <w:r>
              <w:rPr>
                <w:rFonts w:ascii="Calibri" w:hAnsi="Calibri" w:cs="Calibri"/>
                <w:color w:val="000000"/>
              </w:rPr>
              <w:t>9.38</w:t>
            </w:r>
          </w:p>
        </w:tc>
        <w:tc>
          <w:tcPr>
            <w:tcW w:w="960" w:type="dxa"/>
            <w:noWrap/>
            <w:vAlign w:val="bottom"/>
            <w:hideMark/>
          </w:tcPr>
          <w:p w14:paraId="25CB6AD3" w14:textId="77777777" w:rsidR="00245CBF" w:rsidRPr="00870621" w:rsidRDefault="00245CBF" w:rsidP="00514011">
            <w:r>
              <w:rPr>
                <w:rFonts w:ascii="Calibri" w:hAnsi="Calibri" w:cs="Calibri"/>
                <w:color w:val="000000"/>
              </w:rPr>
              <w:t>1.00</w:t>
            </w:r>
          </w:p>
        </w:tc>
        <w:tc>
          <w:tcPr>
            <w:tcW w:w="1008" w:type="dxa"/>
            <w:noWrap/>
            <w:vAlign w:val="bottom"/>
            <w:hideMark/>
          </w:tcPr>
          <w:p w14:paraId="07CDE152" w14:textId="77777777" w:rsidR="00245CBF" w:rsidRPr="00870621" w:rsidRDefault="00245CBF" w:rsidP="00514011">
            <w:r>
              <w:rPr>
                <w:rFonts w:ascii="Calibri" w:hAnsi="Calibri" w:cs="Calibri"/>
                <w:color w:val="000000"/>
              </w:rPr>
              <w:t>1667.46</w:t>
            </w:r>
          </w:p>
        </w:tc>
        <w:tc>
          <w:tcPr>
            <w:tcW w:w="960" w:type="dxa"/>
            <w:noWrap/>
            <w:vAlign w:val="bottom"/>
            <w:hideMark/>
          </w:tcPr>
          <w:p w14:paraId="0049B0E7" w14:textId="77777777" w:rsidR="00245CBF" w:rsidRPr="00870621" w:rsidRDefault="00245CBF" w:rsidP="00514011">
            <w:r>
              <w:rPr>
                <w:rFonts w:ascii="Calibri" w:hAnsi="Calibri" w:cs="Calibri"/>
                <w:color w:val="000000"/>
              </w:rPr>
              <w:t>1534.56</w:t>
            </w:r>
          </w:p>
        </w:tc>
      </w:tr>
      <w:tr w:rsidR="00245CBF" w:rsidRPr="00870621" w14:paraId="41C67425" w14:textId="77777777" w:rsidTr="00514011">
        <w:trPr>
          <w:trHeight w:val="288"/>
        </w:trPr>
        <w:tc>
          <w:tcPr>
            <w:tcW w:w="1354" w:type="dxa"/>
            <w:noWrap/>
            <w:vAlign w:val="bottom"/>
            <w:hideMark/>
          </w:tcPr>
          <w:p w14:paraId="72964BEE" w14:textId="77777777" w:rsidR="00245CBF" w:rsidRPr="008727D0" w:rsidRDefault="00245CBF" w:rsidP="00514011">
            <w:pPr>
              <w:rPr>
                <w:b/>
                <w:bCs/>
              </w:rPr>
            </w:pPr>
            <w:r w:rsidRPr="00E92F0B">
              <w:rPr>
                <w:rFonts w:ascii="Calibri" w:hAnsi="Calibri" w:cs="Calibri"/>
                <w:b/>
                <w:bCs/>
                <w:color w:val="000000"/>
              </w:rPr>
              <w:t>DBH^2 x WPBR</w:t>
            </w:r>
          </w:p>
        </w:tc>
        <w:tc>
          <w:tcPr>
            <w:tcW w:w="960" w:type="dxa"/>
            <w:noWrap/>
            <w:vAlign w:val="bottom"/>
            <w:hideMark/>
          </w:tcPr>
          <w:p w14:paraId="0AEBE3F9" w14:textId="77777777" w:rsidR="00245CBF" w:rsidRPr="00870621" w:rsidRDefault="00245CBF" w:rsidP="00514011">
            <w:r>
              <w:rPr>
                <w:rFonts w:ascii="Calibri" w:hAnsi="Calibri" w:cs="Calibri"/>
                <w:color w:val="000000"/>
              </w:rPr>
              <w:t>-2.19</w:t>
            </w:r>
          </w:p>
        </w:tc>
        <w:tc>
          <w:tcPr>
            <w:tcW w:w="960" w:type="dxa"/>
            <w:noWrap/>
            <w:vAlign w:val="bottom"/>
            <w:hideMark/>
          </w:tcPr>
          <w:p w14:paraId="16957A56" w14:textId="77777777" w:rsidR="00245CBF" w:rsidRPr="00870621" w:rsidRDefault="00245CBF" w:rsidP="00514011">
            <w:r>
              <w:rPr>
                <w:rFonts w:ascii="Calibri" w:hAnsi="Calibri" w:cs="Calibri"/>
                <w:color w:val="000000"/>
              </w:rPr>
              <w:t>-2.15</w:t>
            </w:r>
          </w:p>
        </w:tc>
        <w:tc>
          <w:tcPr>
            <w:tcW w:w="960" w:type="dxa"/>
            <w:noWrap/>
            <w:vAlign w:val="bottom"/>
            <w:hideMark/>
          </w:tcPr>
          <w:p w14:paraId="7F82F587" w14:textId="77777777" w:rsidR="00245CBF" w:rsidRPr="00870621" w:rsidRDefault="00245CBF" w:rsidP="00514011">
            <w:r>
              <w:rPr>
                <w:rFonts w:ascii="Calibri" w:hAnsi="Calibri" w:cs="Calibri"/>
                <w:color w:val="000000"/>
              </w:rPr>
              <w:t>1.17</w:t>
            </w:r>
          </w:p>
        </w:tc>
        <w:tc>
          <w:tcPr>
            <w:tcW w:w="960" w:type="dxa"/>
            <w:noWrap/>
            <w:vAlign w:val="bottom"/>
            <w:hideMark/>
          </w:tcPr>
          <w:p w14:paraId="5E123666" w14:textId="77777777" w:rsidR="00245CBF" w:rsidRPr="00870621" w:rsidRDefault="00245CBF" w:rsidP="00514011">
            <w:r>
              <w:rPr>
                <w:rFonts w:ascii="Calibri" w:hAnsi="Calibri" w:cs="Calibri"/>
                <w:color w:val="000000"/>
              </w:rPr>
              <w:t>-4.23</w:t>
            </w:r>
          </w:p>
        </w:tc>
        <w:tc>
          <w:tcPr>
            <w:tcW w:w="960" w:type="dxa"/>
            <w:noWrap/>
            <w:vAlign w:val="bottom"/>
            <w:hideMark/>
          </w:tcPr>
          <w:p w14:paraId="7BBDD8B8" w14:textId="77777777" w:rsidR="00245CBF" w:rsidRPr="00870621" w:rsidRDefault="00245CBF" w:rsidP="00514011">
            <w:r>
              <w:rPr>
                <w:rFonts w:ascii="Calibri" w:hAnsi="Calibri" w:cs="Calibri"/>
                <w:color w:val="000000"/>
              </w:rPr>
              <w:t>-0.34</w:t>
            </w:r>
          </w:p>
        </w:tc>
        <w:tc>
          <w:tcPr>
            <w:tcW w:w="960" w:type="dxa"/>
            <w:noWrap/>
            <w:vAlign w:val="bottom"/>
            <w:hideMark/>
          </w:tcPr>
          <w:p w14:paraId="3D2FF9BD" w14:textId="77777777" w:rsidR="00245CBF" w:rsidRPr="00870621" w:rsidRDefault="00245CBF" w:rsidP="00514011">
            <w:r>
              <w:rPr>
                <w:rFonts w:ascii="Calibri" w:hAnsi="Calibri" w:cs="Calibri"/>
                <w:color w:val="000000"/>
              </w:rPr>
              <w:t>1.00</w:t>
            </w:r>
          </w:p>
        </w:tc>
        <w:tc>
          <w:tcPr>
            <w:tcW w:w="1008" w:type="dxa"/>
            <w:noWrap/>
            <w:vAlign w:val="bottom"/>
            <w:hideMark/>
          </w:tcPr>
          <w:p w14:paraId="748C9AE7" w14:textId="77777777" w:rsidR="00245CBF" w:rsidRPr="00870621" w:rsidRDefault="00245CBF" w:rsidP="00514011">
            <w:r>
              <w:rPr>
                <w:rFonts w:ascii="Calibri" w:hAnsi="Calibri" w:cs="Calibri"/>
                <w:color w:val="000000"/>
              </w:rPr>
              <w:t>1851.86</w:t>
            </w:r>
          </w:p>
        </w:tc>
        <w:tc>
          <w:tcPr>
            <w:tcW w:w="960" w:type="dxa"/>
            <w:noWrap/>
            <w:vAlign w:val="bottom"/>
            <w:hideMark/>
          </w:tcPr>
          <w:p w14:paraId="511F888D" w14:textId="77777777" w:rsidR="00245CBF" w:rsidRPr="00870621" w:rsidRDefault="00245CBF" w:rsidP="00514011">
            <w:r>
              <w:rPr>
                <w:rFonts w:ascii="Calibri" w:hAnsi="Calibri" w:cs="Calibri"/>
                <w:color w:val="000000"/>
              </w:rPr>
              <w:t>2202.04</w:t>
            </w:r>
          </w:p>
        </w:tc>
      </w:tr>
      <w:tr w:rsidR="00245CBF" w:rsidRPr="00870621" w14:paraId="23F8C60A" w14:textId="77777777" w:rsidTr="00514011">
        <w:trPr>
          <w:trHeight w:val="288"/>
        </w:trPr>
        <w:tc>
          <w:tcPr>
            <w:tcW w:w="1354" w:type="dxa"/>
            <w:noWrap/>
            <w:vAlign w:val="bottom"/>
            <w:hideMark/>
          </w:tcPr>
          <w:p w14:paraId="756290FF" w14:textId="77777777" w:rsidR="00245CBF" w:rsidRPr="008727D0" w:rsidRDefault="00245CBF" w:rsidP="00514011">
            <w:pPr>
              <w:rPr>
                <w:b/>
                <w:bCs/>
              </w:rPr>
            </w:pPr>
            <w:r w:rsidRPr="00E92F0B">
              <w:rPr>
                <w:rFonts w:ascii="Calibri" w:hAnsi="Calibri" w:cs="Calibri"/>
                <w:b/>
                <w:bCs/>
                <w:color w:val="000000"/>
              </w:rPr>
              <w:t>DBH x BA</w:t>
            </w:r>
          </w:p>
        </w:tc>
        <w:tc>
          <w:tcPr>
            <w:tcW w:w="960" w:type="dxa"/>
            <w:noWrap/>
            <w:vAlign w:val="bottom"/>
            <w:hideMark/>
          </w:tcPr>
          <w:p w14:paraId="61617381" w14:textId="77777777" w:rsidR="00245CBF" w:rsidRPr="00870621" w:rsidRDefault="00245CBF" w:rsidP="00514011">
            <w:r>
              <w:rPr>
                <w:rFonts w:ascii="Calibri" w:hAnsi="Calibri" w:cs="Calibri"/>
                <w:color w:val="000000"/>
              </w:rPr>
              <w:t>-1.33</w:t>
            </w:r>
          </w:p>
        </w:tc>
        <w:tc>
          <w:tcPr>
            <w:tcW w:w="960" w:type="dxa"/>
            <w:noWrap/>
            <w:vAlign w:val="bottom"/>
            <w:hideMark/>
          </w:tcPr>
          <w:p w14:paraId="72991937" w14:textId="77777777" w:rsidR="00245CBF" w:rsidRPr="00870621" w:rsidRDefault="00245CBF" w:rsidP="00514011">
            <w:r>
              <w:rPr>
                <w:rFonts w:ascii="Calibri" w:hAnsi="Calibri" w:cs="Calibri"/>
                <w:color w:val="000000"/>
              </w:rPr>
              <w:t>-1.33</w:t>
            </w:r>
          </w:p>
        </w:tc>
        <w:tc>
          <w:tcPr>
            <w:tcW w:w="960" w:type="dxa"/>
            <w:noWrap/>
            <w:vAlign w:val="bottom"/>
            <w:hideMark/>
          </w:tcPr>
          <w:p w14:paraId="76694EC2" w14:textId="77777777" w:rsidR="00245CBF" w:rsidRPr="00870621" w:rsidRDefault="00245CBF" w:rsidP="00514011">
            <w:r>
              <w:rPr>
                <w:rFonts w:ascii="Calibri" w:hAnsi="Calibri" w:cs="Calibri"/>
                <w:color w:val="000000"/>
              </w:rPr>
              <w:t>0.68</w:t>
            </w:r>
          </w:p>
        </w:tc>
        <w:tc>
          <w:tcPr>
            <w:tcW w:w="960" w:type="dxa"/>
            <w:noWrap/>
            <w:vAlign w:val="bottom"/>
            <w:hideMark/>
          </w:tcPr>
          <w:p w14:paraId="40FF6B60" w14:textId="77777777" w:rsidR="00245CBF" w:rsidRPr="00870621" w:rsidRDefault="00245CBF" w:rsidP="00514011">
            <w:r>
              <w:rPr>
                <w:rFonts w:ascii="Calibri" w:hAnsi="Calibri" w:cs="Calibri"/>
                <w:color w:val="000000"/>
              </w:rPr>
              <w:t>-2.43</w:t>
            </w:r>
          </w:p>
        </w:tc>
        <w:tc>
          <w:tcPr>
            <w:tcW w:w="960" w:type="dxa"/>
            <w:noWrap/>
            <w:vAlign w:val="bottom"/>
            <w:hideMark/>
          </w:tcPr>
          <w:p w14:paraId="21C7284E" w14:textId="77777777" w:rsidR="00245CBF" w:rsidRPr="00870621" w:rsidRDefault="00245CBF" w:rsidP="00514011">
            <w:r>
              <w:rPr>
                <w:rFonts w:ascii="Calibri" w:hAnsi="Calibri" w:cs="Calibri"/>
                <w:color w:val="000000"/>
              </w:rPr>
              <w:t>-0.19</w:t>
            </w:r>
          </w:p>
        </w:tc>
        <w:tc>
          <w:tcPr>
            <w:tcW w:w="960" w:type="dxa"/>
            <w:noWrap/>
            <w:vAlign w:val="bottom"/>
            <w:hideMark/>
          </w:tcPr>
          <w:p w14:paraId="7061F76C" w14:textId="77777777" w:rsidR="00245CBF" w:rsidRPr="00870621" w:rsidRDefault="00245CBF" w:rsidP="00514011">
            <w:r>
              <w:rPr>
                <w:rFonts w:ascii="Calibri" w:hAnsi="Calibri" w:cs="Calibri"/>
                <w:color w:val="000000"/>
              </w:rPr>
              <w:t>1.00</w:t>
            </w:r>
          </w:p>
        </w:tc>
        <w:tc>
          <w:tcPr>
            <w:tcW w:w="1008" w:type="dxa"/>
            <w:noWrap/>
            <w:vAlign w:val="bottom"/>
            <w:hideMark/>
          </w:tcPr>
          <w:p w14:paraId="795DE830" w14:textId="77777777" w:rsidR="00245CBF" w:rsidRPr="00870621" w:rsidRDefault="00245CBF" w:rsidP="00514011">
            <w:r>
              <w:rPr>
                <w:rFonts w:ascii="Calibri" w:hAnsi="Calibri" w:cs="Calibri"/>
                <w:color w:val="000000"/>
              </w:rPr>
              <w:t>1352.48</w:t>
            </w:r>
          </w:p>
        </w:tc>
        <w:tc>
          <w:tcPr>
            <w:tcW w:w="960" w:type="dxa"/>
            <w:noWrap/>
            <w:vAlign w:val="bottom"/>
            <w:hideMark/>
          </w:tcPr>
          <w:p w14:paraId="22A16051" w14:textId="77777777" w:rsidR="00245CBF" w:rsidRPr="00870621" w:rsidRDefault="00245CBF" w:rsidP="00514011">
            <w:r>
              <w:rPr>
                <w:rFonts w:ascii="Calibri" w:hAnsi="Calibri" w:cs="Calibri"/>
                <w:color w:val="000000"/>
              </w:rPr>
              <w:t>2404.24</w:t>
            </w:r>
          </w:p>
        </w:tc>
      </w:tr>
      <w:tr w:rsidR="00245CBF" w:rsidRPr="00870621" w14:paraId="387CA39B" w14:textId="77777777" w:rsidTr="00514011">
        <w:trPr>
          <w:trHeight w:val="288"/>
        </w:trPr>
        <w:tc>
          <w:tcPr>
            <w:tcW w:w="1354" w:type="dxa"/>
            <w:noWrap/>
            <w:vAlign w:val="bottom"/>
            <w:hideMark/>
          </w:tcPr>
          <w:p w14:paraId="19D23378" w14:textId="77777777" w:rsidR="00245CBF" w:rsidRPr="008727D0" w:rsidRDefault="00245CBF" w:rsidP="00514011">
            <w:pPr>
              <w:rPr>
                <w:b/>
                <w:bCs/>
              </w:rPr>
            </w:pPr>
            <w:r w:rsidRPr="00E92F0B">
              <w:rPr>
                <w:rFonts w:ascii="Calibri" w:hAnsi="Calibri" w:cs="Calibri"/>
                <w:b/>
                <w:bCs/>
                <w:color w:val="000000"/>
              </w:rPr>
              <w:t>DBH^2 x BA</w:t>
            </w:r>
          </w:p>
        </w:tc>
        <w:tc>
          <w:tcPr>
            <w:tcW w:w="960" w:type="dxa"/>
            <w:noWrap/>
            <w:vAlign w:val="bottom"/>
            <w:hideMark/>
          </w:tcPr>
          <w:p w14:paraId="300D4129" w14:textId="77777777" w:rsidR="00245CBF" w:rsidRPr="00870621" w:rsidRDefault="00245CBF" w:rsidP="00514011">
            <w:r>
              <w:rPr>
                <w:rFonts w:ascii="Calibri" w:hAnsi="Calibri" w:cs="Calibri"/>
                <w:color w:val="000000"/>
              </w:rPr>
              <w:t>0.50</w:t>
            </w:r>
          </w:p>
        </w:tc>
        <w:tc>
          <w:tcPr>
            <w:tcW w:w="960" w:type="dxa"/>
            <w:noWrap/>
            <w:vAlign w:val="bottom"/>
            <w:hideMark/>
          </w:tcPr>
          <w:p w14:paraId="07898F13" w14:textId="77777777" w:rsidR="00245CBF" w:rsidRPr="00870621" w:rsidRDefault="00245CBF" w:rsidP="00514011">
            <w:r>
              <w:rPr>
                <w:rFonts w:ascii="Calibri" w:hAnsi="Calibri" w:cs="Calibri"/>
                <w:color w:val="000000"/>
              </w:rPr>
              <w:t>0.50</w:t>
            </w:r>
          </w:p>
        </w:tc>
        <w:tc>
          <w:tcPr>
            <w:tcW w:w="960" w:type="dxa"/>
            <w:noWrap/>
            <w:vAlign w:val="bottom"/>
            <w:hideMark/>
          </w:tcPr>
          <w:p w14:paraId="434282D3" w14:textId="77777777" w:rsidR="00245CBF" w:rsidRPr="00870621" w:rsidRDefault="00245CBF" w:rsidP="00514011">
            <w:r>
              <w:rPr>
                <w:rFonts w:ascii="Calibri" w:hAnsi="Calibri" w:cs="Calibri"/>
                <w:color w:val="000000"/>
              </w:rPr>
              <w:t>0.30</w:t>
            </w:r>
          </w:p>
        </w:tc>
        <w:tc>
          <w:tcPr>
            <w:tcW w:w="960" w:type="dxa"/>
            <w:noWrap/>
            <w:vAlign w:val="bottom"/>
            <w:hideMark/>
          </w:tcPr>
          <w:p w14:paraId="69A1B7F5" w14:textId="77777777" w:rsidR="00245CBF" w:rsidRPr="00870621" w:rsidRDefault="00245CBF" w:rsidP="00514011">
            <w:r>
              <w:rPr>
                <w:rFonts w:ascii="Calibri" w:hAnsi="Calibri" w:cs="Calibri"/>
                <w:color w:val="000000"/>
              </w:rPr>
              <w:t>0.01</w:t>
            </w:r>
          </w:p>
        </w:tc>
        <w:tc>
          <w:tcPr>
            <w:tcW w:w="960" w:type="dxa"/>
            <w:noWrap/>
            <w:vAlign w:val="bottom"/>
            <w:hideMark/>
          </w:tcPr>
          <w:p w14:paraId="7C1B3400" w14:textId="77777777" w:rsidR="00245CBF" w:rsidRPr="00870621" w:rsidRDefault="00245CBF" w:rsidP="00514011">
            <w:r>
              <w:rPr>
                <w:rFonts w:ascii="Calibri" w:hAnsi="Calibri" w:cs="Calibri"/>
                <w:color w:val="000000"/>
              </w:rPr>
              <w:t>1.00</w:t>
            </w:r>
          </w:p>
        </w:tc>
        <w:tc>
          <w:tcPr>
            <w:tcW w:w="960" w:type="dxa"/>
            <w:noWrap/>
            <w:vAlign w:val="bottom"/>
            <w:hideMark/>
          </w:tcPr>
          <w:p w14:paraId="3AA6E9D3" w14:textId="77777777" w:rsidR="00245CBF" w:rsidRPr="00870621" w:rsidRDefault="00245CBF" w:rsidP="00514011">
            <w:r>
              <w:rPr>
                <w:rFonts w:ascii="Calibri" w:hAnsi="Calibri" w:cs="Calibri"/>
                <w:color w:val="000000"/>
              </w:rPr>
              <w:t>1.00</w:t>
            </w:r>
          </w:p>
        </w:tc>
        <w:tc>
          <w:tcPr>
            <w:tcW w:w="1008" w:type="dxa"/>
            <w:noWrap/>
            <w:vAlign w:val="bottom"/>
            <w:hideMark/>
          </w:tcPr>
          <w:p w14:paraId="30650704" w14:textId="77777777" w:rsidR="00245CBF" w:rsidRPr="00870621" w:rsidRDefault="00245CBF" w:rsidP="00514011">
            <w:r>
              <w:rPr>
                <w:rFonts w:ascii="Calibri" w:hAnsi="Calibri" w:cs="Calibri"/>
                <w:color w:val="000000"/>
              </w:rPr>
              <w:t>1485.97</w:t>
            </w:r>
          </w:p>
        </w:tc>
        <w:tc>
          <w:tcPr>
            <w:tcW w:w="960" w:type="dxa"/>
            <w:noWrap/>
            <w:vAlign w:val="bottom"/>
            <w:hideMark/>
          </w:tcPr>
          <w:p w14:paraId="2ECAE33F" w14:textId="77777777" w:rsidR="00245CBF" w:rsidRPr="00870621" w:rsidRDefault="00245CBF" w:rsidP="00514011">
            <w:r>
              <w:rPr>
                <w:rFonts w:ascii="Calibri" w:hAnsi="Calibri" w:cs="Calibri"/>
                <w:color w:val="000000"/>
              </w:rPr>
              <w:t>2159.68</w:t>
            </w:r>
          </w:p>
        </w:tc>
      </w:tr>
      <w:tr w:rsidR="00245CBF" w:rsidRPr="00870621" w14:paraId="64CCD9DC" w14:textId="77777777" w:rsidTr="00514011">
        <w:trPr>
          <w:trHeight w:val="288"/>
        </w:trPr>
        <w:tc>
          <w:tcPr>
            <w:tcW w:w="1354" w:type="dxa"/>
            <w:noWrap/>
            <w:vAlign w:val="bottom"/>
            <w:hideMark/>
          </w:tcPr>
          <w:p w14:paraId="209D423C" w14:textId="77777777" w:rsidR="00245CBF" w:rsidRPr="008727D0" w:rsidRDefault="00245CBF" w:rsidP="00514011">
            <w:pPr>
              <w:rPr>
                <w:b/>
                <w:bCs/>
              </w:rPr>
            </w:pPr>
            <w:r w:rsidRPr="00E92F0B">
              <w:rPr>
                <w:rFonts w:ascii="Calibri" w:hAnsi="Calibri" w:cs="Calibri"/>
                <w:b/>
                <w:bCs/>
                <w:color w:val="000000"/>
              </w:rPr>
              <w:t>DBH x Drought</w:t>
            </w:r>
          </w:p>
        </w:tc>
        <w:tc>
          <w:tcPr>
            <w:tcW w:w="960" w:type="dxa"/>
            <w:noWrap/>
            <w:vAlign w:val="bottom"/>
            <w:hideMark/>
          </w:tcPr>
          <w:p w14:paraId="4C02B1DE" w14:textId="77777777" w:rsidR="00245CBF" w:rsidRPr="00870621" w:rsidRDefault="00245CBF" w:rsidP="00514011">
            <w:r>
              <w:rPr>
                <w:rFonts w:ascii="Calibri" w:hAnsi="Calibri" w:cs="Calibri"/>
                <w:color w:val="000000"/>
              </w:rPr>
              <w:t>0.49</w:t>
            </w:r>
          </w:p>
        </w:tc>
        <w:tc>
          <w:tcPr>
            <w:tcW w:w="960" w:type="dxa"/>
            <w:noWrap/>
            <w:vAlign w:val="bottom"/>
            <w:hideMark/>
          </w:tcPr>
          <w:p w14:paraId="1E6E62B9" w14:textId="77777777" w:rsidR="00245CBF" w:rsidRPr="00870621" w:rsidRDefault="00245CBF" w:rsidP="00514011">
            <w:r>
              <w:rPr>
                <w:rFonts w:ascii="Calibri" w:hAnsi="Calibri" w:cs="Calibri"/>
                <w:color w:val="000000"/>
              </w:rPr>
              <w:t>0.49</w:t>
            </w:r>
          </w:p>
        </w:tc>
        <w:tc>
          <w:tcPr>
            <w:tcW w:w="960" w:type="dxa"/>
            <w:noWrap/>
            <w:vAlign w:val="bottom"/>
            <w:hideMark/>
          </w:tcPr>
          <w:p w14:paraId="0BCE1B37" w14:textId="77777777" w:rsidR="00245CBF" w:rsidRPr="00870621" w:rsidRDefault="00245CBF" w:rsidP="00514011">
            <w:r>
              <w:rPr>
                <w:rFonts w:ascii="Calibri" w:hAnsi="Calibri" w:cs="Calibri"/>
                <w:color w:val="000000"/>
              </w:rPr>
              <w:t>0.50</w:t>
            </w:r>
          </w:p>
        </w:tc>
        <w:tc>
          <w:tcPr>
            <w:tcW w:w="960" w:type="dxa"/>
            <w:noWrap/>
            <w:vAlign w:val="bottom"/>
            <w:hideMark/>
          </w:tcPr>
          <w:p w14:paraId="7CF6D5CF" w14:textId="77777777" w:rsidR="00245CBF" w:rsidRPr="00870621" w:rsidRDefault="00245CBF" w:rsidP="00514011">
            <w:r>
              <w:rPr>
                <w:rFonts w:ascii="Calibri" w:hAnsi="Calibri" w:cs="Calibri"/>
                <w:color w:val="000000"/>
              </w:rPr>
              <w:t>-0.36</w:t>
            </w:r>
          </w:p>
        </w:tc>
        <w:tc>
          <w:tcPr>
            <w:tcW w:w="960" w:type="dxa"/>
            <w:noWrap/>
            <w:vAlign w:val="bottom"/>
            <w:hideMark/>
          </w:tcPr>
          <w:p w14:paraId="24755552" w14:textId="77777777" w:rsidR="00245CBF" w:rsidRPr="00870621" w:rsidRDefault="00245CBF" w:rsidP="00514011">
            <w:r>
              <w:rPr>
                <w:rFonts w:ascii="Calibri" w:hAnsi="Calibri" w:cs="Calibri"/>
                <w:color w:val="000000"/>
              </w:rPr>
              <w:t>1.30</w:t>
            </w:r>
          </w:p>
        </w:tc>
        <w:tc>
          <w:tcPr>
            <w:tcW w:w="960" w:type="dxa"/>
            <w:noWrap/>
            <w:vAlign w:val="bottom"/>
            <w:hideMark/>
          </w:tcPr>
          <w:p w14:paraId="4456ECA7" w14:textId="77777777" w:rsidR="00245CBF" w:rsidRPr="00870621" w:rsidRDefault="00245CBF" w:rsidP="00514011">
            <w:r>
              <w:rPr>
                <w:rFonts w:ascii="Calibri" w:hAnsi="Calibri" w:cs="Calibri"/>
                <w:color w:val="000000"/>
              </w:rPr>
              <w:t>1.00</w:t>
            </w:r>
          </w:p>
        </w:tc>
        <w:tc>
          <w:tcPr>
            <w:tcW w:w="1008" w:type="dxa"/>
            <w:noWrap/>
            <w:vAlign w:val="bottom"/>
            <w:hideMark/>
          </w:tcPr>
          <w:p w14:paraId="55C18F8B" w14:textId="77777777" w:rsidR="00245CBF" w:rsidRPr="00870621" w:rsidRDefault="00245CBF" w:rsidP="00514011">
            <w:r>
              <w:rPr>
                <w:rFonts w:ascii="Calibri" w:hAnsi="Calibri" w:cs="Calibri"/>
                <w:color w:val="000000"/>
              </w:rPr>
              <w:t>1592.82</w:t>
            </w:r>
          </w:p>
        </w:tc>
        <w:tc>
          <w:tcPr>
            <w:tcW w:w="960" w:type="dxa"/>
            <w:noWrap/>
            <w:vAlign w:val="bottom"/>
            <w:hideMark/>
          </w:tcPr>
          <w:p w14:paraId="7DACAF45" w14:textId="77777777" w:rsidR="00245CBF" w:rsidRPr="00870621" w:rsidRDefault="00245CBF" w:rsidP="00514011">
            <w:pPr>
              <w:keepNext/>
            </w:pPr>
            <w:r>
              <w:rPr>
                <w:rFonts w:ascii="Calibri" w:hAnsi="Calibri" w:cs="Calibri"/>
                <w:color w:val="000000"/>
              </w:rPr>
              <w:t>2356.51</w:t>
            </w:r>
          </w:p>
        </w:tc>
      </w:tr>
      <w:tr w:rsidR="00245CBF" w:rsidRPr="00870621" w14:paraId="20B25C33" w14:textId="77777777" w:rsidTr="00514011">
        <w:trPr>
          <w:trHeight w:val="288"/>
        </w:trPr>
        <w:tc>
          <w:tcPr>
            <w:tcW w:w="1354" w:type="dxa"/>
            <w:noWrap/>
            <w:vAlign w:val="bottom"/>
          </w:tcPr>
          <w:p w14:paraId="21CEA710" w14:textId="77777777" w:rsidR="00245CBF" w:rsidRPr="008727D0" w:rsidRDefault="00245CBF" w:rsidP="00514011">
            <w:pPr>
              <w:rPr>
                <w:b/>
                <w:bCs/>
              </w:rPr>
            </w:pPr>
            <w:r w:rsidRPr="00E92F0B">
              <w:rPr>
                <w:rFonts w:ascii="Calibri" w:hAnsi="Calibri" w:cs="Calibri"/>
                <w:b/>
                <w:bCs/>
                <w:color w:val="000000"/>
              </w:rPr>
              <w:t>DBH^2 x Drought</w:t>
            </w:r>
          </w:p>
        </w:tc>
        <w:tc>
          <w:tcPr>
            <w:tcW w:w="960" w:type="dxa"/>
            <w:noWrap/>
            <w:vAlign w:val="bottom"/>
          </w:tcPr>
          <w:p w14:paraId="0FEBD7FF" w14:textId="77777777" w:rsidR="00245CBF" w:rsidRPr="00870621" w:rsidRDefault="00245CBF" w:rsidP="00514011">
            <w:r>
              <w:rPr>
                <w:rFonts w:ascii="Calibri" w:hAnsi="Calibri" w:cs="Calibri"/>
                <w:color w:val="000000"/>
              </w:rPr>
              <w:t>-0.26</w:t>
            </w:r>
          </w:p>
        </w:tc>
        <w:tc>
          <w:tcPr>
            <w:tcW w:w="960" w:type="dxa"/>
            <w:noWrap/>
            <w:vAlign w:val="bottom"/>
          </w:tcPr>
          <w:p w14:paraId="65CA1A8A" w14:textId="77777777" w:rsidR="00245CBF" w:rsidRPr="00870621" w:rsidRDefault="00245CBF" w:rsidP="00514011">
            <w:r>
              <w:rPr>
                <w:rFonts w:ascii="Calibri" w:hAnsi="Calibri" w:cs="Calibri"/>
                <w:color w:val="000000"/>
              </w:rPr>
              <w:t>-0.26</w:t>
            </w:r>
          </w:p>
        </w:tc>
        <w:tc>
          <w:tcPr>
            <w:tcW w:w="960" w:type="dxa"/>
            <w:noWrap/>
            <w:vAlign w:val="bottom"/>
          </w:tcPr>
          <w:p w14:paraId="15691639" w14:textId="77777777" w:rsidR="00245CBF" w:rsidRPr="00870621" w:rsidRDefault="00245CBF" w:rsidP="00514011">
            <w:r>
              <w:rPr>
                <w:rFonts w:ascii="Calibri" w:hAnsi="Calibri" w:cs="Calibri"/>
                <w:color w:val="000000"/>
              </w:rPr>
              <w:t>0.23</w:t>
            </w:r>
          </w:p>
        </w:tc>
        <w:tc>
          <w:tcPr>
            <w:tcW w:w="960" w:type="dxa"/>
            <w:noWrap/>
            <w:vAlign w:val="bottom"/>
          </w:tcPr>
          <w:p w14:paraId="7B86465F" w14:textId="77777777" w:rsidR="00245CBF" w:rsidRPr="00870621" w:rsidRDefault="00245CBF" w:rsidP="00514011">
            <w:r>
              <w:rPr>
                <w:rFonts w:ascii="Calibri" w:hAnsi="Calibri" w:cs="Calibri"/>
                <w:color w:val="000000"/>
              </w:rPr>
              <w:t>-0.64</w:t>
            </w:r>
          </w:p>
        </w:tc>
        <w:tc>
          <w:tcPr>
            <w:tcW w:w="960" w:type="dxa"/>
            <w:noWrap/>
            <w:vAlign w:val="bottom"/>
          </w:tcPr>
          <w:p w14:paraId="69469728" w14:textId="77777777" w:rsidR="00245CBF" w:rsidRPr="00870621" w:rsidRDefault="00245CBF" w:rsidP="00514011">
            <w:r>
              <w:rPr>
                <w:rFonts w:ascii="Calibri" w:hAnsi="Calibri" w:cs="Calibri"/>
                <w:color w:val="000000"/>
              </w:rPr>
              <w:t>0.13</w:t>
            </w:r>
          </w:p>
        </w:tc>
        <w:tc>
          <w:tcPr>
            <w:tcW w:w="960" w:type="dxa"/>
            <w:noWrap/>
            <w:vAlign w:val="bottom"/>
          </w:tcPr>
          <w:p w14:paraId="5421C20E" w14:textId="77777777" w:rsidR="00245CBF" w:rsidRPr="00870621" w:rsidRDefault="00245CBF" w:rsidP="00514011">
            <w:r>
              <w:rPr>
                <w:rFonts w:ascii="Calibri" w:hAnsi="Calibri" w:cs="Calibri"/>
                <w:color w:val="000000"/>
              </w:rPr>
              <w:t>1.00</w:t>
            </w:r>
          </w:p>
        </w:tc>
        <w:tc>
          <w:tcPr>
            <w:tcW w:w="1008" w:type="dxa"/>
            <w:noWrap/>
            <w:vAlign w:val="bottom"/>
          </w:tcPr>
          <w:p w14:paraId="2E1E7BD6" w14:textId="77777777" w:rsidR="00245CBF" w:rsidRPr="00870621" w:rsidRDefault="00245CBF" w:rsidP="00514011">
            <w:r>
              <w:rPr>
                <w:rFonts w:ascii="Calibri" w:hAnsi="Calibri" w:cs="Calibri"/>
                <w:color w:val="000000"/>
              </w:rPr>
              <w:t>1805.73</w:t>
            </w:r>
          </w:p>
        </w:tc>
        <w:tc>
          <w:tcPr>
            <w:tcW w:w="960" w:type="dxa"/>
            <w:noWrap/>
            <w:vAlign w:val="bottom"/>
          </w:tcPr>
          <w:p w14:paraId="62819808" w14:textId="77777777" w:rsidR="00245CBF" w:rsidRPr="00870621" w:rsidRDefault="00245CBF" w:rsidP="00514011">
            <w:pPr>
              <w:keepNext/>
            </w:pPr>
            <w:r>
              <w:rPr>
                <w:rFonts w:ascii="Calibri" w:hAnsi="Calibri" w:cs="Calibri"/>
                <w:color w:val="000000"/>
              </w:rPr>
              <w:t>2694.80</w:t>
            </w:r>
          </w:p>
        </w:tc>
      </w:tr>
      <w:tr w:rsidR="00245CBF" w:rsidRPr="00870621" w14:paraId="5666B719" w14:textId="77777777" w:rsidTr="00514011">
        <w:trPr>
          <w:trHeight w:val="288"/>
        </w:trPr>
        <w:tc>
          <w:tcPr>
            <w:tcW w:w="1354" w:type="dxa"/>
            <w:noWrap/>
            <w:vAlign w:val="bottom"/>
          </w:tcPr>
          <w:p w14:paraId="7587DC94" w14:textId="77777777" w:rsidR="00245CBF" w:rsidRPr="008727D0" w:rsidRDefault="00245CBF" w:rsidP="00514011">
            <w:pPr>
              <w:rPr>
                <w:b/>
                <w:bCs/>
              </w:rPr>
            </w:pPr>
            <w:r w:rsidRPr="00E92F0B">
              <w:rPr>
                <w:rFonts w:ascii="Calibri" w:hAnsi="Calibri" w:cs="Calibri"/>
                <w:b/>
                <w:bCs/>
                <w:color w:val="000000"/>
              </w:rPr>
              <w:t>DBH x Dryness</w:t>
            </w:r>
          </w:p>
        </w:tc>
        <w:tc>
          <w:tcPr>
            <w:tcW w:w="960" w:type="dxa"/>
            <w:noWrap/>
            <w:vAlign w:val="bottom"/>
          </w:tcPr>
          <w:p w14:paraId="7826019D" w14:textId="77777777" w:rsidR="00245CBF" w:rsidRPr="00870621" w:rsidRDefault="00245CBF" w:rsidP="00514011">
            <w:r>
              <w:rPr>
                <w:rFonts w:ascii="Calibri" w:hAnsi="Calibri" w:cs="Calibri"/>
                <w:color w:val="000000"/>
              </w:rPr>
              <w:t>-0.32</w:t>
            </w:r>
          </w:p>
        </w:tc>
        <w:tc>
          <w:tcPr>
            <w:tcW w:w="960" w:type="dxa"/>
            <w:noWrap/>
            <w:vAlign w:val="bottom"/>
          </w:tcPr>
          <w:p w14:paraId="6518DAF2" w14:textId="77777777" w:rsidR="00245CBF" w:rsidRPr="00870621" w:rsidRDefault="00245CBF" w:rsidP="00514011">
            <w:r>
              <w:rPr>
                <w:rFonts w:ascii="Calibri" w:hAnsi="Calibri" w:cs="Calibri"/>
                <w:color w:val="000000"/>
              </w:rPr>
              <w:t>-0.33</w:t>
            </w:r>
          </w:p>
        </w:tc>
        <w:tc>
          <w:tcPr>
            <w:tcW w:w="960" w:type="dxa"/>
            <w:noWrap/>
            <w:vAlign w:val="bottom"/>
          </w:tcPr>
          <w:p w14:paraId="059459F2" w14:textId="77777777" w:rsidR="00245CBF" w:rsidRPr="00870621" w:rsidRDefault="00245CBF" w:rsidP="00514011">
            <w:r>
              <w:rPr>
                <w:rFonts w:ascii="Calibri" w:hAnsi="Calibri" w:cs="Calibri"/>
                <w:color w:val="000000"/>
              </w:rPr>
              <w:t>0.63</w:t>
            </w:r>
          </w:p>
        </w:tc>
        <w:tc>
          <w:tcPr>
            <w:tcW w:w="960" w:type="dxa"/>
            <w:noWrap/>
            <w:vAlign w:val="bottom"/>
          </w:tcPr>
          <w:p w14:paraId="274B5F33" w14:textId="77777777" w:rsidR="00245CBF" w:rsidRPr="00870621" w:rsidRDefault="00245CBF" w:rsidP="00514011">
            <w:r>
              <w:rPr>
                <w:rFonts w:ascii="Calibri" w:hAnsi="Calibri" w:cs="Calibri"/>
                <w:color w:val="000000"/>
              </w:rPr>
              <w:t>-1.36</w:t>
            </w:r>
          </w:p>
        </w:tc>
        <w:tc>
          <w:tcPr>
            <w:tcW w:w="960" w:type="dxa"/>
            <w:noWrap/>
            <w:vAlign w:val="bottom"/>
          </w:tcPr>
          <w:p w14:paraId="118FE98B" w14:textId="77777777" w:rsidR="00245CBF" w:rsidRPr="00870621" w:rsidRDefault="00245CBF" w:rsidP="00514011">
            <w:r>
              <w:rPr>
                <w:rFonts w:ascii="Calibri" w:hAnsi="Calibri" w:cs="Calibri"/>
                <w:color w:val="000000"/>
              </w:rPr>
              <w:t>0.72</w:t>
            </w:r>
          </w:p>
        </w:tc>
        <w:tc>
          <w:tcPr>
            <w:tcW w:w="960" w:type="dxa"/>
            <w:noWrap/>
            <w:vAlign w:val="bottom"/>
          </w:tcPr>
          <w:p w14:paraId="58FF2DF2" w14:textId="77777777" w:rsidR="00245CBF" w:rsidRPr="00870621" w:rsidRDefault="00245CBF" w:rsidP="00514011">
            <w:r>
              <w:rPr>
                <w:rFonts w:ascii="Calibri" w:hAnsi="Calibri" w:cs="Calibri"/>
                <w:color w:val="000000"/>
              </w:rPr>
              <w:t>1.00</w:t>
            </w:r>
          </w:p>
        </w:tc>
        <w:tc>
          <w:tcPr>
            <w:tcW w:w="1008" w:type="dxa"/>
            <w:noWrap/>
            <w:vAlign w:val="bottom"/>
          </w:tcPr>
          <w:p w14:paraId="50927C72" w14:textId="77777777" w:rsidR="00245CBF" w:rsidRPr="00870621" w:rsidRDefault="00245CBF" w:rsidP="00514011">
            <w:r>
              <w:rPr>
                <w:rFonts w:ascii="Calibri" w:hAnsi="Calibri" w:cs="Calibri"/>
                <w:color w:val="000000"/>
              </w:rPr>
              <w:t>1562.24</w:t>
            </w:r>
          </w:p>
        </w:tc>
        <w:tc>
          <w:tcPr>
            <w:tcW w:w="960" w:type="dxa"/>
            <w:noWrap/>
            <w:vAlign w:val="bottom"/>
          </w:tcPr>
          <w:p w14:paraId="1EBD11F5" w14:textId="77777777" w:rsidR="00245CBF" w:rsidRPr="00870621" w:rsidRDefault="00245CBF" w:rsidP="00514011">
            <w:pPr>
              <w:keepNext/>
            </w:pPr>
            <w:r>
              <w:rPr>
                <w:rFonts w:ascii="Calibri" w:hAnsi="Calibri" w:cs="Calibri"/>
                <w:color w:val="000000"/>
              </w:rPr>
              <w:t>1894.60</w:t>
            </w:r>
          </w:p>
        </w:tc>
      </w:tr>
      <w:tr w:rsidR="00245CBF" w:rsidRPr="00870621" w14:paraId="2B2DE5E1" w14:textId="77777777" w:rsidTr="00514011">
        <w:trPr>
          <w:trHeight w:val="288"/>
        </w:trPr>
        <w:tc>
          <w:tcPr>
            <w:tcW w:w="1354" w:type="dxa"/>
            <w:noWrap/>
            <w:vAlign w:val="bottom"/>
          </w:tcPr>
          <w:p w14:paraId="3D8B24C8" w14:textId="77777777" w:rsidR="00245CBF" w:rsidRPr="008727D0" w:rsidRDefault="00245CBF" w:rsidP="00514011">
            <w:pPr>
              <w:rPr>
                <w:b/>
                <w:bCs/>
              </w:rPr>
            </w:pPr>
            <w:r w:rsidRPr="00E92F0B">
              <w:rPr>
                <w:rFonts w:ascii="Calibri" w:hAnsi="Calibri" w:cs="Calibri"/>
                <w:b/>
                <w:bCs/>
                <w:color w:val="000000"/>
              </w:rPr>
              <w:t>DBH^2 x Dryness</w:t>
            </w:r>
          </w:p>
        </w:tc>
        <w:tc>
          <w:tcPr>
            <w:tcW w:w="960" w:type="dxa"/>
            <w:noWrap/>
            <w:vAlign w:val="bottom"/>
          </w:tcPr>
          <w:p w14:paraId="1E0ED94F" w14:textId="77777777" w:rsidR="00245CBF" w:rsidRPr="00870621" w:rsidRDefault="00245CBF" w:rsidP="00514011">
            <w:r>
              <w:rPr>
                <w:rFonts w:ascii="Calibri" w:hAnsi="Calibri" w:cs="Calibri"/>
                <w:color w:val="000000"/>
              </w:rPr>
              <w:t>-0.08</w:t>
            </w:r>
          </w:p>
        </w:tc>
        <w:tc>
          <w:tcPr>
            <w:tcW w:w="960" w:type="dxa"/>
            <w:noWrap/>
            <w:vAlign w:val="bottom"/>
          </w:tcPr>
          <w:p w14:paraId="3AB37E92" w14:textId="77777777" w:rsidR="00245CBF" w:rsidRPr="00870621" w:rsidRDefault="00245CBF" w:rsidP="00514011">
            <w:r>
              <w:rPr>
                <w:rFonts w:ascii="Calibri" w:hAnsi="Calibri" w:cs="Calibri"/>
                <w:color w:val="000000"/>
              </w:rPr>
              <w:t>-0.08</w:t>
            </w:r>
          </w:p>
        </w:tc>
        <w:tc>
          <w:tcPr>
            <w:tcW w:w="960" w:type="dxa"/>
            <w:noWrap/>
            <w:vAlign w:val="bottom"/>
          </w:tcPr>
          <w:p w14:paraId="130B7CD6" w14:textId="77777777" w:rsidR="00245CBF" w:rsidRPr="00870621" w:rsidRDefault="00245CBF" w:rsidP="00514011">
            <w:r>
              <w:rPr>
                <w:rFonts w:ascii="Calibri" w:hAnsi="Calibri" w:cs="Calibri"/>
                <w:color w:val="000000"/>
              </w:rPr>
              <w:t>0.29</w:t>
            </w:r>
          </w:p>
        </w:tc>
        <w:tc>
          <w:tcPr>
            <w:tcW w:w="960" w:type="dxa"/>
            <w:noWrap/>
            <w:vAlign w:val="bottom"/>
          </w:tcPr>
          <w:p w14:paraId="3AC0D065" w14:textId="77777777" w:rsidR="00245CBF" w:rsidRPr="00870621" w:rsidRDefault="00245CBF" w:rsidP="00514011">
            <w:r>
              <w:rPr>
                <w:rFonts w:ascii="Calibri" w:hAnsi="Calibri" w:cs="Calibri"/>
                <w:color w:val="000000"/>
              </w:rPr>
              <w:t>-0.55</w:t>
            </w:r>
          </w:p>
        </w:tc>
        <w:tc>
          <w:tcPr>
            <w:tcW w:w="960" w:type="dxa"/>
            <w:noWrap/>
            <w:vAlign w:val="bottom"/>
          </w:tcPr>
          <w:p w14:paraId="12078471" w14:textId="77777777" w:rsidR="00245CBF" w:rsidRPr="00870621" w:rsidRDefault="00245CBF" w:rsidP="00514011">
            <w:r>
              <w:rPr>
                <w:rFonts w:ascii="Calibri" w:hAnsi="Calibri" w:cs="Calibri"/>
                <w:color w:val="000000"/>
              </w:rPr>
              <w:t>0.40</w:t>
            </w:r>
          </w:p>
        </w:tc>
        <w:tc>
          <w:tcPr>
            <w:tcW w:w="960" w:type="dxa"/>
            <w:noWrap/>
            <w:vAlign w:val="bottom"/>
          </w:tcPr>
          <w:p w14:paraId="45709D0C" w14:textId="77777777" w:rsidR="00245CBF" w:rsidRPr="00870621" w:rsidRDefault="00245CBF" w:rsidP="00514011">
            <w:r>
              <w:rPr>
                <w:rFonts w:ascii="Calibri" w:hAnsi="Calibri" w:cs="Calibri"/>
                <w:color w:val="000000"/>
              </w:rPr>
              <w:t>1.00</w:t>
            </w:r>
          </w:p>
        </w:tc>
        <w:tc>
          <w:tcPr>
            <w:tcW w:w="1008" w:type="dxa"/>
            <w:noWrap/>
            <w:vAlign w:val="bottom"/>
          </w:tcPr>
          <w:p w14:paraId="0C459F78" w14:textId="77777777" w:rsidR="00245CBF" w:rsidRPr="00870621" w:rsidRDefault="00245CBF" w:rsidP="00514011">
            <w:r>
              <w:rPr>
                <w:rFonts w:ascii="Calibri" w:hAnsi="Calibri" w:cs="Calibri"/>
                <w:color w:val="000000"/>
              </w:rPr>
              <w:t>1812.10</w:t>
            </w:r>
          </w:p>
        </w:tc>
        <w:tc>
          <w:tcPr>
            <w:tcW w:w="960" w:type="dxa"/>
            <w:noWrap/>
            <w:vAlign w:val="bottom"/>
          </w:tcPr>
          <w:p w14:paraId="6603645B" w14:textId="77777777" w:rsidR="00245CBF" w:rsidRPr="00870621" w:rsidRDefault="00245CBF" w:rsidP="00514011">
            <w:pPr>
              <w:keepNext/>
            </w:pPr>
            <w:r>
              <w:rPr>
                <w:rFonts w:ascii="Calibri" w:hAnsi="Calibri" w:cs="Calibri"/>
                <w:color w:val="000000"/>
              </w:rPr>
              <w:t>2451.13</w:t>
            </w:r>
          </w:p>
        </w:tc>
      </w:tr>
      <w:tr w:rsidR="00245CBF" w:rsidRPr="00870621" w14:paraId="6271A4E4" w14:textId="77777777" w:rsidTr="00514011">
        <w:trPr>
          <w:trHeight w:val="288"/>
        </w:trPr>
        <w:tc>
          <w:tcPr>
            <w:tcW w:w="1354" w:type="dxa"/>
            <w:noWrap/>
            <w:vAlign w:val="bottom"/>
          </w:tcPr>
          <w:p w14:paraId="1AD8B505" w14:textId="77777777" w:rsidR="00245CBF" w:rsidRPr="008727D0" w:rsidRDefault="00245CBF" w:rsidP="00514011">
            <w:pPr>
              <w:rPr>
                <w:b/>
                <w:bCs/>
              </w:rPr>
            </w:pPr>
            <w:r w:rsidRPr="00E92F0B">
              <w:rPr>
                <w:rFonts w:ascii="Calibri" w:hAnsi="Calibri" w:cs="Calibri"/>
                <w:b/>
                <w:bCs/>
                <w:color w:val="000000"/>
              </w:rPr>
              <w:t>SD Ecoregions</w:t>
            </w:r>
          </w:p>
        </w:tc>
        <w:tc>
          <w:tcPr>
            <w:tcW w:w="960" w:type="dxa"/>
            <w:noWrap/>
            <w:vAlign w:val="bottom"/>
          </w:tcPr>
          <w:p w14:paraId="06A530D9" w14:textId="77777777" w:rsidR="00245CBF" w:rsidRPr="00870621" w:rsidRDefault="00245CBF" w:rsidP="00514011">
            <w:r>
              <w:rPr>
                <w:rFonts w:ascii="Calibri" w:hAnsi="Calibri" w:cs="Calibri"/>
                <w:color w:val="000000"/>
              </w:rPr>
              <w:t>0.88</w:t>
            </w:r>
          </w:p>
        </w:tc>
        <w:tc>
          <w:tcPr>
            <w:tcW w:w="960" w:type="dxa"/>
            <w:noWrap/>
            <w:vAlign w:val="bottom"/>
          </w:tcPr>
          <w:p w14:paraId="0A4FB8DF" w14:textId="77777777" w:rsidR="00245CBF" w:rsidRPr="00870621" w:rsidRDefault="00245CBF" w:rsidP="00514011">
            <w:r>
              <w:rPr>
                <w:rFonts w:ascii="Calibri" w:hAnsi="Calibri" w:cs="Calibri"/>
                <w:color w:val="000000"/>
              </w:rPr>
              <w:t>0.85</w:t>
            </w:r>
          </w:p>
        </w:tc>
        <w:tc>
          <w:tcPr>
            <w:tcW w:w="960" w:type="dxa"/>
            <w:noWrap/>
            <w:vAlign w:val="bottom"/>
          </w:tcPr>
          <w:p w14:paraId="2F73F3CB" w14:textId="77777777" w:rsidR="00245CBF" w:rsidRPr="00870621" w:rsidRDefault="00245CBF" w:rsidP="00514011">
            <w:r>
              <w:rPr>
                <w:rFonts w:ascii="Calibri" w:hAnsi="Calibri" w:cs="Calibri"/>
                <w:color w:val="000000"/>
              </w:rPr>
              <w:t>0.24</w:t>
            </w:r>
          </w:p>
        </w:tc>
        <w:tc>
          <w:tcPr>
            <w:tcW w:w="960" w:type="dxa"/>
            <w:noWrap/>
            <w:vAlign w:val="bottom"/>
          </w:tcPr>
          <w:p w14:paraId="0E5C6FBE" w14:textId="77777777" w:rsidR="00245CBF" w:rsidRPr="00870621" w:rsidRDefault="00245CBF" w:rsidP="00514011">
            <w:r>
              <w:rPr>
                <w:rFonts w:ascii="Calibri" w:hAnsi="Calibri" w:cs="Calibri"/>
                <w:color w:val="000000"/>
              </w:rPr>
              <w:t>0.51</w:t>
            </w:r>
          </w:p>
        </w:tc>
        <w:tc>
          <w:tcPr>
            <w:tcW w:w="960" w:type="dxa"/>
            <w:noWrap/>
            <w:vAlign w:val="bottom"/>
          </w:tcPr>
          <w:p w14:paraId="0B3779F5" w14:textId="77777777" w:rsidR="00245CBF" w:rsidRPr="00870621" w:rsidRDefault="00245CBF" w:rsidP="00514011">
            <w:r>
              <w:rPr>
                <w:rFonts w:ascii="Calibri" w:hAnsi="Calibri" w:cs="Calibri"/>
                <w:color w:val="000000"/>
              </w:rPr>
              <w:t>1.30</w:t>
            </w:r>
          </w:p>
        </w:tc>
        <w:tc>
          <w:tcPr>
            <w:tcW w:w="960" w:type="dxa"/>
            <w:noWrap/>
            <w:vAlign w:val="bottom"/>
          </w:tcPr>
          <w:p w14:paraId="6A4E6CBD" w14:textId="77777777" w:rsidR="00245CBF" w:rsidRPr="00870621" w:rsidRDefault="00245CBF" w:rsidP="00514011">
            <w:r>
              <w:rPr>
                <w:rFonts w:ascii="Calibri" w:hAnsi="Calibri" w:cs="Calibri"/>
                <w:color w:val="000000"/>
              </w:rPr>
              <w:t>1.00</w:t>
            </w:r>
          </w:p>
        </w:tc>
        <w:tc>
          <w:tcPr>
            <w:tcW w:w="1008" w:type="dxa"/>
            <w:noWrap/>
            <w:vAlign w:val="bottom"/>
          </w:tcPr>
          <w:p w14:paraId="5DAE8C77" w14:textId="77777777" w:rsidR="00245CBF" w:rsidRPr="00870621" w:rsidRDefault="00245CBF" w:rsidP="00514011">
            <w:r>
              <w:rPr>
                <w:rFonts w:ascii="Calibri" w:hAnsi="Calibri" w:cs="Calibri"/>
                <w:color w:val="000000"/>
              </w:rPr>
              <w:t>1264.58</w:t>
            </w:r>
          </w:p>
        </w:tc>
        <w:tc>
          <w:tcPr>
            <w:tcW w:w="960" w:type="dxa"/>
            <w:noWrap/>
            <w:vAlign w:val="bottom"/>
          </w:tcPr>
          <w:p w14:paraId="0C4F8A19" w14:textId="77777777" w:rsidR="00245CBF" w:rsidRPr="00870621" w:rsidRDefault="00245CBF" w:rsidP="00514011">
            <w:pPr>
              <w:keepNext/>
            </w:pPr>
            <w:r>
              <w:rPr>
                <w:rFonts w:ascii="Calibri" w:hAnsi="Calibri" w:cs="Calibri"/>
                <w:color w:val="000000"/>
              </w:rPr>
              <w:t>1891.26</w:t>
            </w:r>
          </w:p>
        </w:tc>
      </w:tr>
      <w:tr w:rsidR="00245CBF" w:rsidRPr="00870621" w14:paraId="25451BBD" w14:textId="77777777" w:rsidTr="00514011">
        <w:trPr>
          <w:trHeight w:val="288"/>
        </w:trPr>
        <w:tc>
          <w:tcPr>
            <w:tcW w:w="1354" w:type="dxa"/>
            <w:noWrap/>
            <w:vAlign w:val="bottom"/>
          </w:tcPr>
          <w:p w14:paraId="3CCFA76E" w14:textId="77777777" w:rsidR="00245CBF" w:rsidRPr="008727D0" w:rsidRDefault="00245CBF" w:rsidP="00514011">
            <w:pPr>
              <w:rPr>
                <w:b/>
                <w:bCs/>
              </w:rPr>
            </w:pPr>
            <w:r w:rsidRPr="00E92F0B">
              <w:rPr>
                <w:rFonts w:ascii="Calibri" w:hAnsi="Calibri" w:cs="Calibri"/>
                <w:b/>
                <w:bCs/>
                <w:color w:val="000000"/>
              </w:rPr>
              <w:t>NB Dispersion</w:t>
            </w:r>
          </w:p>
        </w:tc>
        <w:tc>
          <w:tcPr>
            <w:tcW w:w="960" w:type="dxa"/>
            <w:noWrap/>
            <w:vAlign w:val="bottom"/>
          </w:tcPr>
          <w:p w14:paraId="0556F052" w14:textId="77777777" w:rsidR="00245CBF" w:rsidRPr="00870621" w:rsidRDefault="00245CBF" w:rsidP="00514011">
            <w:r>
              <w:rPr>
                <w:rFonts w:ascii="Calibri" w:hAnsi="Calibri" w:cs="Calibri"/>
                <w:color w:val="000000"/>
              </w:rPr>
              <w:t>0.45</w:t>
            </w:r>
          </w:p>
        </w:tc>
        <w:tc>
          <w:tcPr>
            <w:tcW w:w="960" w:type="dxa"/>
            <w:noWrap/>
            <w:vAlign w:val="bottom"/>
          </w:tcPr>
          <w:p w14:paraId="734E2698" w14:textId="77777777" w:rsidR="00245CBF" w:rsidRPr="00870621" w:rsidRDefault="00245CBF" w:rsidP="00514011">
            <w:r>
              <w:rPr>
                <w:rFonts w:ascii="Calibri" w:hAnsi="Calibri" w:cs="Calibri"/>
                <w:color w:val="000000"/>
              </w:rPr>
              <w:t>0.44</w:t>
            </w:r>
          </w:p>
        </w:tc>
        <w:tc>
          <w:tcPr>
            <w:tcW w:w="960" w:type="dxa"/>
            <w:noWrap/>
            <w:vAlign w:val="bottom"/>
          </w:tcPr>
          <w:p w14:paraId="182B86E3" w14:textId="77777777" w:rsidR="00245CBF" w:rsidRPr="00870621" w:rsidRDefault="00245CBF" w:rsidP="00514011">
            <w:r>
              <w:rPr>
                <w:rFonts w:ascii="Calibri" w:hAnsi="Calibri" w:cs="Calibri"/>
                <w:color w:val="000000"/>
              </w:rPr>
              <w:t>0.07</w:t>
            </w:r>
          </w:p>
        </w:tc>
        <w:tc>
          <w:tcPr>
            <w:tcW w:w="960" w:type="dxa"/>
            <w:noWrap/>
            <w:vAlign w:val="bottom"/>
          </w:tcPr>
          <w:p w14:paraId="58E27B12" w14:textId="77777777" w:rsidR="00245CBF" w:rsidRPr="00870621" w:rsidRDefault="00245CBF" w:rsidP="00514011">
            <w:r>
              <w:rPr>
                <w:rFonts w:ascii="Calibri" w:hAnsi="Calibri" w:cs="Calibri"/>
                <w:color w:val="000000"/>
              </w:rPr>
              <w:t>0.35</w:t>
            </w:r>
          </w:p>
        </w:tc>
        <w:tc>
          <w:tcPr>
            <w:tcW w:w="960" w:type="dxa"/>
            <w:noWrap/>
            <w:vAlign w:val="bottom"/>
          </w:tcPr>
          <w:p w14:paraId="03983BC2" w14:textId="77777777" w:rsidR="00245CBF" w:rsidRPr="00870621" w:rsidRDefault="00245CBF" w:rsidP="00514011">
            <w:r>
              <w:rPr>
                <w:rFonts w:ascii="Calibri" w:hAnsi="Calibri" w:cs="Calibri"/>
                <w:color w:val="000000"/>
              </w:rPr>
              <w:t>0.57</w:t>
            </w:r>
          </w:p>
        </w:tc>
        <w:tc>
          <w:tcPr>
            <w:tcW w:w="960" w:type="dxa"/>
            <w:noWrap/>
            <w:vAlign w:val="bottom"/>
          </w:tcPr>
          <w:p w14:paraId="02392945" w14:textId="77777777" w:rsidR="00245CBF" w:rsidRPr="00870621" w:rsidRDefault="00245CBF" w:rsidP="00514011">
            <w:r>
              <w:rPr>
                <w:rFonts w:ascii="Calibri" w:hAnsi="Calibri" w:cs="Calibri"/>
                <w:color w:val="000000"/>
              </w:rPr>
              <w:t>1.00</w:t>
            </w:r>
          </w:p>
        </w:tc>
        <w:tc>
          <w:tcPr>
            <w:tcW w:w="1008" w:type="dxa"/>
            <w:noWrap/>
            <w:vAlign w:val="bottom"/>
          </w:tcPr>
          <w:p w14:paraId="65F0DA7C" w14:textId="77777777" w:rsidR="00245CBF" w:rsidRPr="00870621" w:rsidRDefault="00245CBF" w:rsidP="00514011">
            <w:r>
              <w:rPr>
                <w:rFonts w:ascii="Calibri" w:hAnsi="Calibri" w:cs="Calibri"/>
                <w:color w:val="000000"/>
              </w:rPr>
              <w:t>3248.49</w:t>
            </w:r>
          </w:p>
        </w:tc>
        <w:tc>
          <w:tcPr>
            <w:tcW w:w="960" w:type="dxa"/>
            <w:noWrap/>
            <w:vAlign w:val="bottom"/>
          </w:tcPr>
          <w:p w14:paraId="63FABD82" w14:textId="77777777" w:rsidR="00245CBF" w:rsidRPr="00870621" w:rsidRDefault="00245CBF" w:rsidP="00514011">
            <w:pPr>
              <w:keepNext/>
            </w:pPr>
            <w:r>
              <w:rPr>
                <w:rFonts w:ascii="Calibri" w:hAnsi="Calibri" w:cs="Calibri"/>
                <w:color w:val="000000"/>
              </w:rPr>
              <w:t>2768.46</w:t>
            </w:r>
          </w:p>
        </w:tc>
      </w:tr>
    </w:tbl>
    <w:p w14:paraId="0C100CE1" w14:textId="77777777" w:rsidR="00245CBF" w:rsidRPr="00870621" w:rsidRDefault="00245CBF" w:rsidP="00245CBF">
      <w:pPr>
        <w:pStyle w:val="Caption"/>
      </w:pPr>
      <w:bookmarkStart w:id="76" w:name="_Ref94613081"/>
      <w:r>
        <w:t xml:space="preserve">Table </w:t>
      </w:r>
      <w:fldSimple w:instr=" SEQ Table \* ARABIC ">
        <w:r>
          <w:rPr>
            <w:noProof/>
          </w:rPr>
          <w:t>3</w:t>
        </w:r>
      </w:fldSimple>
      <w:bookmarkEnd w:id="76"/>
      <w:r>
        <w:t>: Summary of results for recruitment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30B6AB74" w14:textId="1132E5C4" w:rsidR="0021575D" w:rsidRDefault="0021575D" w:rsidP="00E92F0B">
      <w:r>
        <w:br w:type="page"/>
      </w:r>
    </w:p>
    <w:p w14:paraId="499CE184" w14:textId="05628C8D"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19737D5F">
            <wp:extent cx="2938668" cy="45737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rcRect l="1812" r="1812"/>
                    <a:stretch>
                      <a:fillRect/>
                    </a:stretch>
                  </pic:blipFill>
                  <pic:spPr bwMode="auto">
                    <a:xfrm>
                      <a:off x="0" y="0"/>
                      <a:ext cx="2938668" cy="4573783"/>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4A8D1746" w:rsidR="003E0B60" w:rsidRDefault="003E0B60" w:rsidP="008400A4">
      <w:pPr>
        <w:pStyle w:val="Caption"/>
      </w:pPr>
      <w:bookmarkStart w:id="77" w:name="_Ref94877166"/>
      <w:r>
        <w:t xml:space="preserve">Figure </w:t>
      </w:r>
      <w:fldSimple w:instr=" SEQ Figure \* ARABIC ">
        <w:r w:rsidR="006A10AA">
          <w:rPr>
            <w:noProof/>
          </w:rPr>
          <w:t>1</w:t>
        </w:r>
      </w:fldSimple>
      <w:bookmarkEnd w:id="77"/>
      <w:r>
        <w:t xml:space="preserve">: </w:t>
      </w:r>
      <w:r w:rsidR="00AF1B9C">
        <w:t>1,</w:t>
      </w:r>
      <w:r w:rsidR="005E185A">
        <w:t>221</w:t>
      </w:r>
      <w:r w:rsidR="00AF1B9C">
        <w:t xml:space="preserve"> Forest Inventory and Analysis (FIA) plots where </w:t>
      </w:r>
      <w:r w:rsidR="004769F7">
        <w:t xml:space="preserve">live </w:t>
      </w:r>
      <w:r w:rsidR="00AF1B9C">
        <w:t xml:space="preserve">sugar pine </w:t>
      </w:r>
      <w:r w:rsidR="004769F7">
        <w:t>was present at initial measurement (2001-20</w:t>
      </w:r>
      <w:r w:rsidR="005E185A">
        <w:t>09</w:t>
      </w:r>
      <w:r w:rsidR="004769F7">
        <w:t>)</w:t>
      </w:r>
      <w:r w:rsidR="00AF1B9C">
        <w:t xml:space="preserve"> </w:t>
      </w:r>
      <w:r w:rsidR="005E185A">
        <w:t xml:space="preserve">or remeasurement (2010-2019) </w:t>
      </w:r>
      <w:r w:rsidR="00AF1B9C">
        <w:t xml:space="preserve">with US state borders. Plot locations based on the nominal, rather than true, coordinates. </w:t>
      </w:r>
      <w:r>
        <w:t xml:space="preserve"> Inset shows position relative to North America</w:t>
      </w:r>
      <w:r w:rsidR="00AF1B9C">
        <w:t xml:space="preserve"> and national borders</w:t>
      </w:r>
      <w:r>
        <w:t>.</w:t>
      </w:r>
    </w:p>
    <w:p w14:paraId="26E01EDC" w14:textId="7F0CA301" w:rsidR="009D4174" w:rsidRDefault="009D4174">
      <w:r>
        <w:br w:type="page"/>
      </w:r>
    </w:p>
    <w:p w14:paraId="67A8FBA6" w14:textId="77777777" w:rsidR="006A10AA" w:rsidRDefault="006A10AA" w:rsidP="006A10AA">
      <w:pPr>
        <w:keepNext/>
      </w:pPr>
      <w:r>
        <w:rPr>
          <w:noProof/>
        </w:rPr>
        <w:lastRenderedPageBreak/>
        <w:drawing>
          <wp:inline distT="0" distB="0" distL="0" distR="0" wp14:anchorId="0E493D17" wp14:editId="491D7C4A">
            <wp:extent cx="5943612" cy="3657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58CAF6A1" w14:textId="36B8F7FB" w:rsidR="006A10AA" w:rsidRDefault="006A10AA" w:rsidP="006A10AA">
      <w:pPr>
        <w:pStyle w:val="Caption"/>
      </w:pPr>
      <w:bookmarkStart w:id="78" w:name="_Ref104988009"/>
      <w:r>
        <w:t xml:space="preserve">Figure </w:t>
      </w:r>
      <w:r w:rsidR="00585CCB">
        <w:fldChar w:fldCharType="begin"/>
      </w:r>
      <w:r w:rsidR="00585CCB">
        <w:instrText xml:space="preserve"> SEQ Figure \* ARABIC </w:instrText>
      </w:r>
      <w:r w:rsidR="00585CCB">
        <w:fldChar w:fldCharType="separate"/>
      </w:r>
      <w:r>
        <w:rPr>
          <w:noProof/>
        </w:rPr>
        <w:t>2</w:t>
      </w:r>
      <w:r w:rsidR="00585CCB">
        <w:rPr>
          <w:noProof/>
        </w:rPr>
        <w:fldChar w:fldCharType="end"/>
      </w:r>
      <w:bookmarkEnd w:id="78"/>
      <w:r>
        <w:t>: Changes in plot-level basal area and stems per hectare for</w:t>
      </w:r>
      <w:r w:rsidR="00E45F15">
        <w:t xml:space="preserve"> </w:t>
      </w:r>
      <w:r w:rsidR="007C34D3">
        <w:t>822</w:t>
      </w:r>
      <w:r>
        <w:t xml:space="preserve"> plots where sugar pine was present at initial measurement (20</w:t>
      </w:r>
      <w:r w:rsidR="00331DA8">
        <w:t>04</w:t>
      </w:r>
      <w:r>
        <w:t>-2009) or remeasurement (20</w:t>
      </w:r>
      <w:r w:rsidR="00331DA8">
        <w:t>14</w:t>
      </w:r>
      <w:r>
        <w:t>-2019)</w:t>
      </w:r>
      <w:r w:rsidR="007C34D3">
        <w:t xml:space="preserve"> and seedlings were consistently tallied</w:t>
      </w:r>
      <w:r>
        <w:t xml:space="preserve">. Points are means and error bars are +/- one standard error across </w:t>
      </w:r>
      <w:r w:rsidR="00E45F15">
        <w:t>plots.</w:t>
      </w:r>
      <w:r w:rsidR="00102552">
        <w:t xml:space="preserve"> Basal area totals include only stems greater than or equal to 2.54 cm DBH, while stem density includes all stems greater than </w:t>
      </w:r>
      <w:r w:rsidR="00A76BD8">
        <w:t xml:space="preserve">0.15 m height. </w:t>
      </w:r>
    </w:p>
    <w:p w14:paraId="4926421D" w14:textId="20E40BE4" w:rsidR="006A10AA" w:rsidRDefault="006A10AA">
      <w:r>
        <w:br w:type="page"/>
      </w:r>
    </w:p>
    <w:p w14:paraId="09AC7E5E" w14:textId="77777777" w:rsidR="009D4174" w:rsidRPr="009D4174" w:rsidRDefault="009D4174" w:rsidP="009D4174"/>
    <w:p w14:paraId="40E71624" w14:textId="77777777" w:rsidR="007E3804" w:rsidRDefault="007E3804" w:rsidP="008400A4">
      <w:pPr>
        <w:keepNext/>
      </w:pPr>
      <w:r>
        <w:rPr>
          <w:noProof/>
        </w:rPr>
        <w:drawing>
          <wp:inline distT="0" distB="0" distL="0" distR="0" wp14:anchorId="7E22CEF5" wp14:editId="1AAB24E2">
            <wp:extent cx="5682602" cy="69939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82602" cy="6993971"/>
                    </a:xfrm>
                    <a:prstGeom prst="rect">
                      <a:avLst/>
                    </a:prstGeom>
                  </pic:spPr>
                </pic:pic>
              </a:graphicData>
            </a:graphic>
          </wp:inline>
        </w:drawing>
      </w:r>
    </w:p>
    <w:p w14:paraId="7C4930ED" w14:textId="6051BD0F" w:rsidR="007E3804" w:rsidRDefault="007E3804" w:rsidP="007E3804">
      <w:pPr>
        <w:pStyle w:val="Caption"/>
        <w:rPr>
          <w:noProof/>
        </w:rPr>
      </w:pPr>
      <w:bookmarkStart w:id="79" w:name="_Ref93744929"/>
      <w:commentRangeStart w:id="80"/>
      <w:r>
        <w:t xml:space="preserve">Figure </w:t>
      </w:r>
      <w:fldSimple w:instr=" SEQ Figure \* ARABIC ">
        <w:r w:rsidR="006A10AA">
          <w:rPr>
            <w:noProof/>
          </w:rPr>
          <w:t>3</w:t>
        </w:r>
      </w:fldSimple>
      <w:bookmarkEnd w:id="79"/>
      <w:r w:rsidR="008400A4">
        <w:rPr>
          <w:noProof/>
        </w:rPr>
        <w:t xml:space="preserve">: </w:t>
      </w:r>
      <w:commentRangeEnd w:id="80"/>
      <w:r w:rsidR="00090276">
        <w:rPr>
          <w:rStyle w:val="CommentReference"/>
          <w:i w:val="0"/>
          <w:iCs w:val="0"/>
          <w:color w:val="auto"/>
        </w:rPr>
        <w:commentReference w:id="80"/>
      </w:r>
      <w:r w:rsidR="008400A4">
        <w:rPr>
          <w:noProof/>
        </w:rPr>
        <w:t xml:space="preserve">Fixed effects of initial DBH, fire, WPBR, neighborhood basal area, drought, and site dryness on survival. </w:t>
      </w:r>
      <w:r w:rsidR="00AC4853">
        <w:rPr>
          <w:noProof/>
        </w:rPr>
        <w:t xml:space="preserve">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Predictions were generated using the posterior samples for model </w:t>
      </w:r>
      <w:r w:rsidR="00AC4853">
        <w:rPr>
          <w:noProof/>
        </w:rPr>
        <w:lastRenderedPageBreak/>
        <w:t>parameters</w:t>
      </w:r>
      <w:r w:rsidR="00143E5F">
        <w:rPr>
          <w:noProof/>
        </w:rPr>
        <w:t>, resulting in a range of predicted survival for each set of explanatory variable values. Lines show the median predicted survival, darker ribbons show a 50% credible interval, and lighter ribbons show a 95% credible interval. Random effects were held at 0.</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r w:rsidR="00950212">
        <w:rPr>
          <w:noProof/>
        </w:rPr>
        <w:t>, resulting in relatively wide uncertainty about the survival of stems larger than 1.25m.</w:t>
      </w:r>
    </w:p>
    <w:p w14:paraId="3FB3925B" w14:textId="67028CE4" w:rsidR="00F365CE" w:rsidRDefault="00F365CE">
      <w:r>
        <w:br w:type="page"/>
      </w:r>
    </w:p>
    <w:p w14:paraId="67E3ECE1" w14:textId="77777777" w:rsidR="00F365CE" w:rsidRPr="00F365CE" w:rsidRDefault="00F365CE" w:rsidP="00F365CE"/>
    <w:p w14:paraId="5D348714" w14:textId="72487FFF" w:rsidR="007E3804" w:rsidRDefault="00143E5F" w:rsidP="008400A4">
      <w:pPr>
        <w:keepNext/>
      </w:pPr>
      <w:r>
        <w:rPr>
          <w:noProof/>
        </w:rPr>
        <w:t xml:space="preserve"> </w:t>
      </w:r>
      <w:commentRangeStart w:id="81"/>
      <w:commentRangeStart w:id="82"/>
      <w:r w:rsidR="007E3804">
        <w:rPr>
          <w:noProof/>
        </w:rPr>
        <w:drawing>
          <wp:inline distT="0" distB="0" distL="0" distR="0" wp14:anchorId="1515FA6E" wp14:editId="7EDD58FE">
            <wp:extent cx="5655068" cy="696008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5068" cy="6960085"/>
                    </a:xfrm>
                    <a:prstGeom prst="rect">
                      <a:avLst/>
                    </a:prstGeom>
                  </pic:spPr>
                </pic:pic>
              </a:graphicData>
            </a:graphic>
          </wp:inline>
        </w:drawing>
      </w:r>
      <w:commentRangeEnd w:id="81"/>
      <w:r w:rsidR="00D750DC">
        <w:rPr>
          <w:rStyle w:val="CommentReference"/>
        </w:rPr>
        <w:commentReference w:id="81"/>
      </w:r>
      <w:commentRangeEnd w:id="82"/>
      <w:r w:rsidR="00D750DC">
        <w:rPr>
          <w:rStyle w:val="CommentReference"/>
        </w:rPr>
        <w:commentReference w:id="82"/>
      </w:r>
    </w:p>
    <w:p w14:paraId="45744BE9" w14:textId="1036B518" w:rsidR="007E3804" w:rsidRDefault="007E3804" w:rsidP="007E3804">
      <w:pPr>
        <w:pStyle w:val="Caption"/>
        <w:rPr>
          <w:noProof/>
        </w:rPr>
      </w:pPr>
      <w:bookmarkStart w:id="83" w:name="_Ref94611931"/>
      <w:r>
        <w:t xml:space="preserve">Figure </w:t>
      </w:r>
      <w:fldSimple w:instr=" SEQ Figure \* ARABIC ">
        <w:r w:rsidR="006A10AA">
          <w:rPr>
            <w:noProof/>
          </w:rPr>
          <w:t>4</w:t>
        </w:r>
      </w:fldSimple>
      <w:bookmarkEnd w:id="83"/>
      <w:r w:rsidR="00DE4D0E">
        <w:rPr>
          <w:noProof/>
        </w:rPr>
        <w:t>:</w:t>
      </w:r>
      <w:r w:rsidR="00143E5F" w:rsidRPr="00143E5F">
        <w:rPr>
          <w:noProof/>
        </w:rPr>
        <w:t xml:space="preserve"> </w:t>
      </w:r>
      <w:r w:rsidR="00143E5F">
        <w:rPr>
          <w:noProof/>
        </w:rPr>
        <w:t xml:space="preserve">Fixed effects of initial DBH, fire, WPBR, neighborhood basal area, drought, and site dryness on growth. In the top left panel, DBH growth over the 10 years between censuses (Y-axis) is predicted for stems of various initial size (X-axis), holding other variables at “Absent” (for fire and WPBR) or 0 (scaled mean, for basal area, drought, and site dryness). In the other panels, growth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w:t>
      </w:r>
      <w:r w:rsidR="00143E5F">
        <w:rPr>
          <w:noProof/>
        </w:rPr>
        <w:lastRenderedPageBreak/>
        <w:t>the median predicted survival, darker ribbons show a 50% credible interval, and lighter ribbons show a 95% credible interval.</w:t>
      </w:r>
      <w:r w:rsidR="00F23E3D">
        <w:rPr>
          <w:noProof/>
        </w:rPr>
        <w:t xml:space="preserve"> Random effects were held at 0.</w:t>
      </w:r>
    </w:p>
    <w:p w14:paraId="69A252AD" w14:textId="134AA991" w:rsidR="00F365CE" w:rsidRDefault="00F365CE">
      <w:r>
        <w:br w:type="page"/>
      </w:r>
    </w:p>
    <w:p w14:paraId="3257D6AD" w14:textId="77777777" w:rsidR="00F365CE" w:rsidRPr="00F365CE" w:rsidRDefault="00F365CE" w:rsidP="00F365CE"/>
    <w:p w14:paraId="7A90CA33" w14:textId="77777777" w:rsidR="007E3804" w:rsidRDefault="007E3804" w:rsidP="008400A4">
      <w:pPr>
        <w:keepNext/>
      </w:pPr>
      <w:commentRangeStart w:id="84"/>
      <w:commentRangeStart w:id="85"/>
      <w:commentRangeStart w:id="86"/>
      <w:r>
        <w:rPr>
          <w:noProof/>
        </w:rPr>
        <w:drawing>
          <wp:inline distT="0" distB="0" distL="0" distR="0" wp14:anchorId="5BB37C55" wp14:editId="3D490A9C">
            <wp:extent cx="5637805" cy="693883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7805" cy="6938837"/>
                    </a:xfrm>
                    <a:prstGeom prst="rect">
                      <a:avLst/>
                    </a:prstGeom>
                  </pic:spPr>
                </pic:pic>
              </a:graphicData>
            </a:graphic>
          </wp:inline>
        </w:drawing>
      </w:r>
      <w:commentRangeEnd w:id="84"/>
      <w:r w:rsidR="00D750DC">
        <w:rPr>
          <w:rStyle w:val="CommentReference"/>
        </w:rPr>
        <w:commentReference w:id="84"/>
      </w:r>
      <w:commentRangeEnd w:id="85"/>
      <w:r w:rsidR="00D750DC">
        <w:rPr>
          <w:rStyle w:val="CommentReference"/>
        </w:rPr>
        <w:commentReference w:id="85"/>
      </w:r>
      <w:commentRangeEnd w:id="86"/>
      <w:r w:rsidR="00427DBC">
        <w:rPr>
          <w:rStyle w:val="CommentReference"/>
        </w:rPr>
        <w:commentReference w:id="86"/>
      </w:r>
    </w:p>
    <w:p w14:paraId="6DB62EB3" w14:textId="3297A5F2" w:rsidR="007E3804" w:rsidRDefault="007E3804" w:rsidP="007E3804">
      <w:pPr>
        <w:pStyle w:val="Caption"/>
        <w:rPr>
          <w:noProof/>
        </w:rPr>
      </w:pPr>
      <w:bookmarkStart w:id="87" w:name="_Ref94613276"/>
      <w:r>
        <w:t xml:space="preserve">Figure </w:t>
      </w:r>
      <w:fldSimple w:instr=" SEQ Figure \* ARABIC ">
        <w:r w:rsidR="006A10AA">
          <w:rPr>
            <w:noProof/>
          </w:rPr>
          <w:t>5</w:t>
        </w:r>
      </w:fldSimple>
      <w:bookmarkEnd w:id="87"/>
      <w:r w:rsidR="00DE4D0E">
        <w:rPr>
          <w:noProof/>
        </w:rPr>
        <w:t>:</w:t>
      </w:r>
      <w:r w:rsidR="00143E5F">
        <w:rPr>
          <w:noProof/>
        </w:rPr>
        <w:t xml:space="preserve"> Fixed effects of initial DBH, fire, WPBR, neighborhood basal area, drought, and site dryness on </w:t>
      </w:r>
      <w:r w:rsidR="00F23E3D">
        <w:rPr>
          <w:noProof/>
        </w:rPr>
        <w:t>fecundity</w:t>
      </w:r>
      <w:r w:rsidR="00143E5F">
        <w:rPr>
          <w:noProof/>
        </w:rPr>
        <w:t xml:space="preserve">. In the top left panel, </w:t>
      </w:r>
      <w:r w:rsidR="00F23E3D">
        <w:rPr>
          <w:noProof/>
        </w:rPr>
        <w:t xml:space="preserve">fecundity </w:t>
      </w:r>
      <w:r w:rsidR="00143E5F">
        <w:rPr>
          <w:noProof/>
        </w:rPr>
        <w:t xml:space="preserve">(Y-axis) is predicted for stems of various initial size (X-axis), holding other variables at “Absent” (for fire and WPBR) or 0 (scaled mean, for basal area, drought, and site dryness). In the other panels, </w:t>
      </w:r>
      <w:r w:rsidR="00F23E3D">
        <w:rPr>
          <w:noProof/>
        </w:rPr>
        <w:t>fecundity</w:t>
      </w:r>
      <w:r w:rsidR="00143E5F">
        <w:rPr>
          <w:noProof/>
        </w:rPr>
        <w:t xml:space="preserve">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w:t>
      </w:r>
      <w:r w:rsidR="00143E5F">
        <w:rPr>
          <w:noProof/>
        </w:rPr>
        <w:lastRenderedPageBreak/>
        <w:t>ribbons show a 50% credible interval, and lighter ribbons show a 95% credible interval.</w:t>
      </w:r>
      <w:r w:rsidR="00F23E3D">
        <w:rPr>
          <w:noProof/>
        </w:rPr>
        <w:t xml:space="preserve"> Random effects were held at 0.</w:t>
      </w:r>
      <w:r w:rsidR="008A7C78">
        <w:rPr>
          <w:noProof/>
        </w:rPr>
        <w:t xml:space="preserve"> Note the varying scales</w:t>
      </w:r>
      <w:r w:rsidR="00FD714B">
        <w:rPr>
          <w:noProof/>
        </w:rPr>
        <w:t xml:space="preserve"> and log</w:t>
      </w:r>
      <w:r w:rsidR="00FD714B" w:rsidRPr="00FD714B">
        <w:rPr>
          <w:noProof/>
          <w:vertAlign w:val="subscript"/>
        </w:rPr>
        <w:t>10</w:t>
      </w:r>
      <w:r w:rsidR="00FD714B">
        <w:rPr>
          <w:noProof/>
        </w:rPr>
        <w:t xml:space="preserve"> scaling </w:t>
      </w:r>
      <w:r w:rsidR="008A7C78">
        <w:rPr>
          <w:noProof/>
        </w:rPr>
        <w:t>on the Y-axis.</w:t>
      </w:r>
    </w:p>
    <w:p w14:paraId="39A0F6D6" w14:textId="6F2A5006" w:rsidR="00211000" w:rsidRDefault="00211000">
      <w:r>
        <w:br w:type="page"/>
      </w:r>
    </w:p>
    <w:p w14:paraId="454CDFAE" w14:textId="77777777" w:rsidR="00211000" w:rsidRPr="00211000" w:rsidRDefault="00211000" w:rsidP="00211000"/>
    <w:p w14:paraId="33A71862" w14:textId="77777777" w:rsidR="001161D9" w:rsidRDefault="001161D9" w:rsidP="001161D9">
      <w:pPr>
        <w:keepNext/>
      </w:pPr>
      <w:r>
        <w:rPr>
          <w:noProof/>
        </w:rPr>
        <w:drawing>
          <wp:inline distT="0" distB="0" distL="0" distR="0" wp14:anchorId="7CF0ADA3" wp14:editId="30E87773">
            <wp:extent cx="3169924" cy="5943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9924" cy="5943610"/>
                    </a:xfrm>
                    <a:prstGeom prst="rect">
                      <a:avLst/>
                    </a:prstGeom>
                  </pic:spPr>
                </pic:pic>
              </a:graphicData>
            </a:graphic>
          </wp:inline>
        </w:drawing>
      </w:r>
    </w:p>
    <w:p w14:paraId="2C5F2E8F" w14:textId="068DD948" w:rsidR="001161D9" w:rsidRDefault="001161D9" w:rsidP="001161D9">
      <w:pPr>
        <w:pStyle w:val="Caption"/>
      </w:pPr>
      <w:bookmarkStart w:id="88" w:name="_Ref94616225"/>
      <w:r>
        <w:t xml:space="preserve">Figure </w:t>
      </w:r>
      <w:fldSimple w:instr=" SEQ Figure \* ARABIC ">
        <w:r w:rsidR="006A10AA">
          <w:rPr>
            <w:noProof/>
          </w:rPr>
          <w:t>6</w:t>
        </w:r>
      </w:fldSimple>
      <w:bookmarkEnd w:id="88"/>
      <w:r>
        <w:t>: Posterior distribution of asymptotic population growth rate (</w:t>
      </w:r>
      <m:oMath>
        <m:r>
          <w:rPr>
            <w:rFonts w:ascii="Cambria Math" w:hAnsi="Cambria Math" w:cstheme="minorHAnsi"/>
          </w:rPr>
          <m:t>λ</m:t>
        </m:r>
      </m:oMath>
      <w:r>
        <w:t>) under a variety of hypothetical scenarios</w:t>
      </w:r>
      <w:r w:rsidR="00B41811">
        <w:t>, each corresponding to the presence or absence of a specific stressor.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w:t>
      </w:r>
      <w:r>
        <w:t>andom effect values are held at 0</w:t>
      </w:r>
      <w:r w:rsidR="00B41811">
        <w:t xml:space="preserve">, </w:t>
      </w:r>
      <w:r>
        <w:t>representing an average plot in an average ecoregion</w:t>
      </w:r>
      <w:r w:rsidR="00B41811">
        <w:t>. The bounds of the figure have been restricted for readability of scenarios other than “Low BA.”</w:t>
      </w:r>
    </w:p>
    <w:p w14:paraId="1FB33984" w14:textId="77777777" w:rsidR="00F94B8B" w:rsidRDefault="00F94B8B" w:rsidP="00F94B8B">
      <w:r>
        <w:br w:type="page"/>
      </w:r>
    </w:p>
    <w:p w14:paraId="4A917602" w14:textId="5FC06DA3" w:rsidR="008F25B6" w:rsidRDefault="008F25B6" w:rsidP="008F25B6">
      <w:pPr>
        <w:pStyle w:val="Heading1"/>
      </w:pPr>
      <w:bookmarkStart w:id="89" w:name="_Ref93658815"/>
      <w:r>
        <w:lastRenderedPageBreak/>
        <w:t>Supplementary Materials</w:t>
      </w:r>
      <w:bookmarkEnd w:id="89"/>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C355191">
            <wp:extent cx="4526721" cy="278567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6721" cy="2785674"/>
                    </a:xfrm>
                    <a:prstGeom prst="rect">
                      <a:avLst/>
                    </a:prstGeom>
                  </pic:spPr>
                </pic:pic>
              </a:graphicData>
            </a:graphic>
          </wp:inline>
        </w:drawing>
      </w:r>
    </w:p>
    <w:p w14:paraId="0877D86D" w14:textId="396345B3" w:rsidR="008F25B6" w:rsidRDefault="008F25B6" w:rsidP="008F25B6">
      <w:pPr>
        <w:pStyle w:val="Caption"/>
        <w:rPr>
          <w:rFonts w:eastAsiaTheme="minorEastAsia"/>
        </w:rPr>
      </w:pPr>
      <w:bookmarkStart w:id="90" w:name="_Ref93658573"/>
      <w:r>
        <w:t xml:space="preserve">Supplementary Figure </w:t>
      </w:r>
      <w:fldSimple w:instr=" SEQ Supplementary_Figure \* ARABIC ">
        <w:r w:rsidR="003E04A3">
          <w:rPr>
            <w:noProof/>
          </w:rPr>
          <w:t>1</w:t>
        </w:r>
      </w:fldSimple>
      <w:bookmarkEnd w:id="90"/>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1D2F9587">
            <wp:extent cx="4531765" cy="278877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31765" cy="2788778"/>
                    </a:xfrm>
                    <a:prstGeom prst="rect">
                      <a:avLst/>
                    </a:prstGeom>
                  </pic:spPr>
                </pic:pic>
              </a:graphicData>
            </a:graphic>
          </wp:inline>
        </w:drawing>
      </w:r>
    </w:p>
    <w:p w14:paraId="1EB7E987" w14:textId="699E8D73" w:rsidR="006144D6" w:rsidRDefault="006144D6" w:rsidP="006144D6">
      <w:pPr>
        <w:pStyle w:val="Caption"/>
      </w:pPr>
      <w:bookmarkStart w:id="91" w:name="_Ref93658580"/>
      <w:r>
        <w:t xml:space="preserve">Supplementary Figure </w:t>
      </w:r>
      <w:fldSimple w:instr=" SEQ Supplementary_Figure \* ARABIC ">
        <w:r w:rsidR="003E04A3">
          <w:rPr>
            <w:noProof/>
          </w:rPr>
          <w:t>2</w:t>
        </w:r>
      </w:fldSimple>
      <w:bookmarkEnd w:id="91"/>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7366D5AC">
            <wp:extent cx="4992063" cy="30720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92063" cy="3072038"/>
                    </a:xfrm>
                    <a:prstGeom prst="rect">
                      <a:avLst/>
                    </a:prstGeom>
                  </pic:spPr>
                </pic:pic>
              </a:graphicData>
            </a:graphic>
          </wp:inline>
        </w:drawing>
      </w:r>
    </w:p>
    <w:p w14:paraId="121401EB" w14:textId="59C57447" w:rsidR="006144D6" w:rsidRDefault="00166284" w:rsidP="00166284">
      <w:pPr>
        <w:pStyle w:val="Caption"/>
      </w:pPr>
      <w:bookmarkStart w:id="92" w:name="_Ref93658585"/>
      <w:r>
        <w:t xml:space="preserve">Supplementary Figure </w:t>
      </w:r>
      <w:fldSimple w:instr=" SEQ Supplementary_Figure \* ARABIC ">
        <w:r w:rsidR="003E04A3">
          <w:rPr>
            <w:noProof/>
          </w:rPr>
          <w:t>3</w:t>
        </w:r>
      </w:fldSimple>
      <w:bookmarkEnd w:id="92"/>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1EF8149D">
            <wp:extent cx="4716469" cy="290244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6469" cy="2902442"/>
                    </a:xfrm>
                    <a:prstGeom prst="rect">
                      <a:avLst/>
                    </a:prstGeom>
                  </pic:spPr>
                </pic:pic>
              </a:graphicData>
            </a:graphic>
          </wp:inline>
        </w:drawing>
      </w:r>
    </w:p>
    <w:p w14:paraId="13C04A4A" w14:textId="1C907B1F" w:rsidR="00166284" w:rsidRDefault="00166284" w:rsidP="00166284">
      <w:pPr>
        <w:pStyle w:val="Caption"/>
      </w:pPr>
      <w:bookmarkStart w:id="93" w:name="_Ref93658594"/>
      <w:r>
        <w:t xml:space="preserve">Supplementary Figure </w:t>
      </w:r>
      <w:fldSimple w:instr=" SEQ Supplementary_Figure \* ARABIC ">
        <w:r w:rsidR="003E04A3">
          <w:rPr>
            <w:noProof/>
          </w:rPr>
          <w:t>4</w:t>
        </w:r>
      </w:fldSimple>
      <w:bookmarkEnd w:id="93"/>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01002EA4">
            <wp:extent cx="4559389" cy="280577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9389" cy="2805777"/>
                    </a:xfrm>
                    <a:prstGeom prst="rect">
                      <a:avLst/>
                    </a:prstGeom>
                  </pic:spPr>
                </pic:pic>
              </a:graphicData>
            </a:graphic>
          </wp:inline>
        </w:drawing>
      </w:r>
    </w:p>
    <w:p w14:paraId="501B2DA9" w14:textId="046AB594" w:rsidR="00166284" w:rsidRDefault="00166284" w:rsidP="00166284">
      <w:pPr>
        <w:pStyle w:val="Caption"/>
      </w:pPr>
      <w:bookmarkStart w:id="94" w:name="_Ref93658597"/>
      <w:r>
        <w:t xml:space="preserve">Supplementary Figure </w:t>
      </w:r>
      <w:fldSimple w:instr=" SEQ Supplementary_Figure \* ARABIC ">
        <w:r w:rsidR="003E04A3">
          <w:rPr>
            <w:noProof/>
          </w:rPr>
          <w:t>5</w:t>
        </w:r>
      </w:fldSimple>
      <w:bookmarkEnd w:id="94"/>
      <w:r>
        <w:t>: Posterior distributions (black) against prior distributions (red) for the fixed effect coefficients affecting fecundity in the recruitment model.</w:t>
      </w:r>
    </w:p>
    <w:p w14:paraId="0051D5B8" w14:textId="77777777" w:rsidR="00C45A1A" w:rsidRDefault="00C45A1A" w:rsidP="00C45A1A">
      <w:pPr>
        <w:keepNext/>
      </w:pPr>
      <w:commentRangeStart w:id="95"/>
      <w:r>
        <w:rPr>
          <w:noProof/>
        </w:rPr>
        <w:drawing>
          <wp:inline distT="0" distB="0" distL="0" distR="0" wp14:anchorId="2242AF05" wp14:editId="01F0CAD3">
            <wp:extent cx="4422760" cy="272169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2760" cy="2721698"/>
                    </a:xfrm>
                    <a:prstGeom prst="rect">
                      <a:avLst/>
                    </a:prstGeom>
                  </pic:spPr>
                </pic:pic>
              </a:graphicData>
            </a:graphic>
          </wp:inline>
        </w:drawing>
      </w:r>
      <w:commentRangeEnd w:id="95"/>
      <w:r w:rsidR="001C02F2">
        <w:rPr>
          <w:rStyle w:val="CommentReference"/>
        </w:rPr>
        <w:commentReference w:id="95"/>
      </w:r>
    </w:p>
    <w:p w14:paraId="725CAA6F" w14:textId="633B505C" w:rsidR="00C45A1A" w:rsidRDefault="00C45A1A" w:rsidP="00C45A1A">
      <w:pPr>
        <w:pStyle w:val="Caption"/>
      </w:pPr>
      <w:bookmarkStart w:id="96" w:name="_Ref93658599"/>
      <w:r>
        <w:t xml:space="preserve">Supplementary Figure </w:t>
      </w:r>
      <w:fldSimple w:instr=" SEQ Supplementary_Figure \* ARABIC ">
        <w:r w:rsidR="003E04A3">
          <w:rPr>
            <w:noProof/>
          </w:rPr>
          <w:t>6</w:t>
        </w:r>
      </w:fldSimple>
      <w:bookmarkEnd w:id="96"/>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1C43B841">
            <wp:extent cx="5943010" cy="40586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324DC867" w14:textId="50F1F14E" w:rsidR="0027122B" w:rsidRDefault="0027122B" w:rsidP="0027122B">
      <w:pPr>
        <w:pStyle w:val="Caption"/>
      </w:pPr>
      <w:r>
        <w:t xml:space="preserve">Supplementary Figure </w:t>
      </w:r>
      <w:fldSimple w:instr=" SEQ Supplementary_Figure \* ARABIC ">
        <w:r w:rsidR="003E04A3">
          <w:rPr>
            <w:noProof/>
          </w:rPr>
          <w:t>7</w:t>
        </w:r>
      </w:fldSimple>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each individual,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623E6102">
            <wp:extent cx="5943600" cy="40590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059043"/>
                    </a:xfrm>
                    <a:prstGeom prst="rect">
                      <a:avLst/>
                    </a:prstGeom>
                  </pic:spPr>
                </pic:pic>
              </a:graphicData>
            </a:graphic>
          </wp:inline>
        </w:drawing>
      </w:r>
    </w:p>
    <w:p w14:paraId="4858AA0B" w14:textId="258F48DD" w:rsidR="004438A3" w:rsidRDefault="004438A3" w:rsidP="004438A3">
      <w:pPr>
        <w:pStyle w:val="Caption"/>
      </w:pPr>
      <w:r>
        <w:t xml:space="preserve">Supplementary Figure </w:t>
      </w:r>
      <w:fldSimple w:instr=" SEQ Supplementary_Figure \* ARABIC ">
        <w:r w:rsidR="003E04A3">
          <w:rPr>
            <w:noProof/>
          </w:rPr>
          <w:t>8</w:t>
        </w:r>
      </w:fldSimple>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i.e. perfect prediction. The gray ribbon gives a 95% credible interval for size at remeasurement as predicted by the model, and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6E82F1C7">
            <wp:extent cx="5943010" cy="405864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5131CEB9" w14:textId="25197612" w:rsidR="00422EF5" w:rsidRDefault="00422EF5" w:rsidP="00422EF5">
      <w:pPr>
        <w:pStyle w:val="Caption"/>
      </w:pPr>
      <w:r>
        <w:t xml:space="preserve">Supplementary Figure </w:t>
      </w:r>
      <w:fldSimple w:instr=" SEQ Supplementary_Figure \* ARABIC ">
        <w:r w:rsidR="003E04A3">
          <w:rPr>
            <w:noProof/>
          </w:rPr>
          <w:t>9</w:t>
        </w:r>
      </w:fldSimple>
      <w:r>
        <w:t xml:space="preserve">: </w:t>
      </w:r>
      <w:r w:rsidR="00807967">
        <w:t xml:space="preserve">Posterior retrodictions for the recruitment model. The black points show the observed count of untagged individuals (new recruits and preexisting small stems) on each subplot on the Y-axis, and the median predicted density on the X-axis. </w:t>
      </w:r>
      <w:r w:rsidR="006E6E45">
        <w:t>The blue line has slope 1 and intercept 0, i.e. perfect prediction. The bounds of the grey ribbon correspond to the 2.5</w:t>
      </w:r>
      <w:r w:rsidR="006E6E45" w:rsidRPr="006E6E45">
        <w:rPr>
          <w:vertAlign w:val="superscript"/>
        </w:rPr>
        <w:t>th</w:t>
      </w:r>
      <w:r w:rsidR="006E6E45">
        <w:t xml:space="preserve"> and 97.5</w:t>
      </w:r>
      <w:r w:rsidR="006E6E45" w:rsidRPr="006E6E45">
        <w:rPr>
          <w:vertAlign w:val="superscript"/>
        </w:rPr>
        <w:t>th</w:t>
      </w:r>
      <w:r w:rsidR="006E6E45">
        <w:t xml:space="preserve"> percentiles of simulated counts drawn from a negative binomial distribution with location parameter predicted from the posterior distribution of the model. The gray ribbon contains all the true values, indicating that all of the observed counts are consistent with the variability expected from the model.</w:t>
      </w:r>
    </w:p>
    <w:p w14:paraId="55C09F63" w14:textId="77777777" w:rsidR="00857BF9" w:rsidRDefault="00857BF9" w:rsidP="00857BF9">
      <w:pPr>
        <w:keepNext/>
      </w:pPr>
      <w:r>
        <w:rPr>
          <w:noProof/>
        </w:rPr>
        <w:lastRenderedPageBreak/>
        <w:drawing>
          <wp:inline distT="0" distB="0" distL="0" distR="0" wp14:anchorId="5DD8294E" wp14:editId="28C5DE78">
            <wp:extent cx="5943010" cy="405864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5617C7AB" w14:textId="557EC0F6" w:rsidR="0026626B" w:rsidRDefault="00857BF9" w:rsidP="00857BF9">
      <w:pPr>
        <w:pStyle w:val="Caption"/>
      </w:pPr>
      <w:r>
        <w:t xml:space="preserve">Supplementary Figure </w:t>
      </w:r>
      <w:fldSimple w:instr=" SEQ Supplementary_Figure \* ARABIC ">
        <w:r w:rsidR="003E04A3">
          <w:rPr>
            <w:noProof/>
          </w:rPr>
          <w:t>10</w:t>
        </w:r>
      </w:fldSimple>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each individual, with a gray ribbon showing a 95% credible interval for survival probability for each individual. </w:t>
      </w:r>
    </w:p>
    <w:p w14:paraId="5EF1ACF9" w14:textId="77777777" w:rsidR="00857BF9" w:rsidRDefault="00857BF9" w:rsidP="00857BF9">
      <w:pPr>
        <w:keepNext/>
      </w:pPr>
      <w:r>
        <w:rPr>
          <w:noProof/>
        </w:rPr>
        <w:lastRenderedPageBreak/>
        <w:drawing>
          <wp:inline distT="0" distB="0" distL="0" distR="0" wp14:anchorId="4C51AD53" wp14:editId="2C93ECC6">
            <wp:extent cx="5943010" cy="405864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472115B4" w14:textId="1514AEB3" w:rsidR="00857BF9" w:rsidRDefault="00857BF9" w:rsidP="00857BF9">
      <w:pPr>
        <w:pStyle w:val="Caption"/>
      </w:pPr>
      <w:r>
        <w:t xml:space="preserve">Supplementary Figure </w:t>
      </w:r>
      <w:fldSimple w:instr=" SEQ Supplementary_Figure \* ARABIC ">
        <w:r w:rsidR="003E04A3">
          <w:rPr>
            <w:noProof/>
          </w:rPr>
          <w:t>11</w:t>
        </w:r>
      </w:fldSimple>
      <w:r w:rsidR="000B07C3">
        <w:rPr>
          <w:noProof/>
        </w:rPr>
        <w:t>:</w:t>
      </w:r>
      <w:r w:rsidRPr="00857BF9">
        <w:t xml:space="preserve"> </w:t>
      </w:r>
      <w:r>
        <w:t>Posterior retrodictions 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i.e. perfect prediction. The gray ribbon gives a 95% credible interval for size at remeasurement as predicted by the model, and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1B3435EC">
            <wp:extent cx="5943600" cy="40590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059043"/>
                    </a:xfrm>
                    <a:prstGeom prst="rect">
                      <a:avLst/>
                    </a:prstGeom>
                  </pic:spPr>
                </pic:pic>
              </a:graphicData>
            </a:graphic>
          </wp:inline>
        </w:drawing>
      </w:r>
    </w:p>
    <w:p w14:paraId="64348548" w14:textId="312FE298" w:rsidR="003E04A3" w:rsidRDefault="003E04A3" w:rsidP="003E04A3">
      <w:pPr>
        <w:pStyle w:val="Caption"/>
      </w:pPr>
      <w:r>
        <w:t xml:space="preserve">Supplementary Figure </w:t>
      </w:r>
      <w:fldSimple w:instr=" SEQ Supplementary_Figure \* ARABIC ">
        <w:r>
          <w:rPr>
            <w:noProof/>
          </w:rPr>
          <w:t>12</w:t>
        </w:r>
      </w:fldSimple>
      <w:r w:rsidR="000B07C3">
        <w:rPr>
          <w:noProof/>
        </w:rPr>
        <w:t>:</w:t>
      </w:r>
      <w:r>
        <w:t xml:space="preserve"> Posterior predictions for the recruitment model, using the out-of-sample validation data. The black points show the observed count of untagged individuals (new recruits and preexisting small stems) on each subplot on the Y-axis, and the median predicted density on the X-axis. The blue line has slope 1 and intercept 0, i.e. perfect prediction. The bounds of the grey ribbon correspond to the 2.5</w:t>
      </w:r>
      <w:r w:rsidRPr="006E6E45">
        <w:rPr>
          <w:vertAlign w:val="superscript"/>
        </w:rPr>
        <w:t>th</w:t>
      </w:r>
      <w:r>
        <w:t xml:space="preserve"> and 97.5</w:t>
      </w:r>
      <w:r w:rsidRPr="006E6E45">
        <w:rPr>
          <w:vertAlign w:val="superscript"/>
        </w:rPr>
        <w:t>th</w:t>
      </w:r>
      <w:r>
        <w:t xml:space="preserve"> percentiles of simulated counts drawn from a negative binomial distribution with location parameter predicted from the posterior distribution of the model. The gray ribbon contains all the true values, indicating that all the observed counts are consistent with the variability expected from the model.</w:t>
      </w:r>
    </w:p>
    <w:p w14:paraId="484F3304" w14:textId="3D656DCB" w:rsidR="000B07C3" w:rsidRDefault="000B07C3">
      <w:r>
        <w:br w:type="page"/>
      </w:r>
    </w:p>
    <w:p w14:paraId="7F26ABAD" w14:textId="5204CE27" w:rsidR="00E16782" w:rsidRDefault="00E16782">
      <w:r>
        <w:lastRenderedPageBreak/>
        <w:br w:type="page"/>
      </w:r>
    </w:p>
    <w:p w14:paraId="1D65920D" w14:textId="77777777" w:rsidR="00E16782" w:rsidRPr="00E16782" w:rsidRDefault="00E16782" w:rsidP="00E16782"/>
    <w:p w14:paraId="1C4F3DCC" w14:textId="77777777" w:rsidR="00E16782" w:rsidRPr="00E16782" w:rsidRDefault="00E16782" w:rsidP="00E16782"/>
    <w:p w14:paraId="525D7C3E" w14:textId="7CD99F83" w:rsidR="00870621" w:rsidRDefault="00870621" w:rsidP="00870621">
      <w:pPr>
        <w:pStyle w:val="Caption"/>
      </w:pPr>
    </w:p>
    <w:tbl>
      <w:tblPr>
        <w:tblStyle w:val="TableGrid"/>
        <w:tblW w:w="0" w:type="auto"/>
        <w:tblLook w:val="04A0" w:firstRow="1" w:lastRow="0" w:firstColumn="1" w:lastColumn="0" w:noHBand="0" w:noVBand="1"/>
      </w:tblPr>
      <w:tblGrid>
        <w:gridCol w:w="1480"/>
        <w:gridCol w:w="1155"/>
        <w:gridCol w:w="1208"/>
        <w:gridCol w:w="1208"/>
      </w:tblGrid>
      <w:tr w:rsidR="002D364A" w:rsidRPr="002D364A" w14:paraId="31437CDC" w14:textId="77777777" w:rsidTr="001545DE">
        <w:trPr>
          <w:trHeight w:val="288"/>
        </w:trPr>
        <w:tc>
          <w:tcPr>
            <w:tcW w:w="1480" w:type="dxa"/>
            <w:noWrap/>
            <w:hideMark/>
          </w:tcPr>
          <w:p w14:paraId="410325F6" w14:textId="5DFEAC07" w:rsidR="002D364A" w:rsidRPr="002D364A" w:rsidRDefault="002D364A">
            <w:pPr>
              <w:rPr>
                <w:b/>
                <w:bCs/>
              </w:rPr>
            </w:pPr>
            <w:r w:rsidRPr="002D364A">
              <w:rPr>
                <w:b/>
                <w:bCs/>
              </w:rPr>
              <w:t>Scenario</w:t>
            </w:r>
          </w:p>
        </w:tc>
        <w:tc>
          <w:tcPr>
            <w:tcW w:w="1155" w:type="dxa"/>
            <w:noWrap/>
            <w:hideMark/>
          </w:tcPr>
          <w:p w14:paraId="30D42E34" w14:textId="5BB4AEEC" w:rsidR="002D364A" w:rsidRPr="002D364A" w:rsidRDefault="002D364A">
            <w:pPr>
              <w:rPr>
                <w:b/>
                <w:bCs/>
              </w:rPr>
            </w:pPr>
            <w:r w:rsidRPr="002D364A">
              <w:rPr>
                <w:b/>
                <w:bCs/>
              </w:rPr>
              <w:t>Lambda (median)</w:t>
            </w:r>
          </w:p>
        </w:tc>
        <w:tc>
          <w:tcPr>
            <w:tcW w:w="1208" w:type="dxa"/>
            <w:noWrap/>
            <w:hideMark/>
          </w:tcPr>
          <w:p w14:paraId="56FD4094" w14:textId="43EB2568" w:rsidR="002D364A" w:rsidRPr="002D364A" w:rsidRDefault="002D364A">
            <w:pPr>
              <w:rPr>
                <w:b/>
                <w:bCs/>
              </w:rPr>
            </w:pPr>
            <w:r w:rsidRPr="002D364A">
              <w:rPr>
                <w:b/>
                <w:bCs/>
              </w:rPr>
              <w:t>Lambda (5</w:t>
            </w:r>
            <w:r w:rsidRPr="002D364A">
              <w:rPr>
                <w:b/>
                <w:bCs/>
                <w:vertAlign w:val="superscript"/>
              </w:rPr>
              <w:t>th</w:t>
            </w:r>
            <w:r w:rsidRPr="002D364A">
              <w:rPr>
                <w:b/>
                <w:bCs/>
              </w:rPr>
              <w:t xml:space="preserve"> percentile)</w:t>
            </w:r>
          </w:p>
        </w:tc>
        <w:tc>
          <w:tcPr>
            <w:tcW w:w="1208" w:type="dxa"/>
            <w:noWrap/>
            <w:hideMark/>
          </w:tcPr>
          <w:p w14:paraId="4CA356BD" w14:textId="3493B491" w:rsidR="002D364A" w:rsidRPr="002D364A" w:rsidRDefault="002D364A">
            <w:pPr>
              <w:rPr>
                <w:b/>
                <w:bCs/>
              </w:rPr>
            </w:pPr>
            <w:r w:rsidRPr="002D364A">
              <w:rPr>
                <w:b/>
                <w:bCs/>
              </w:rPr>
              <w:t>Lambda (95</w:t>
            </w:r>
            <w:r w:rsidRPr="002D364A">
              <w:rPr>
                <w:b/>
                <w:bCs/>
                <w:vertAlign w:val="superscript"/>
              </w:rPr>
              <w:t>th</w:t>
            </w:r>
            <w:r w:rsidRPr="002D364A">
              <w:rPr>
                <w:b/>
                <w:bCs/>
              </w:rPr>
              <w:t xml:space="preserve"> percentile)</w:t>
            </w:r>
          </w:p>
        </w:tc>
      </w:tr>
      <w:tr w:rsidR="00894D9E" w:rsidRPr="002D364A" w14:paraId="27D99596" w14:textId="77777777" w:rsidTr="001545DE">
        <w:trPr>
          <w:trHeight w:val="288"/>
        </w:trPr>
        <w:tc>
          <w:tcPr>
            <w:tcW w:w="1480" w:type="dxa"/>
            <w:noWrap/>
            <w:hideMark/>
          </w:tcPr>
          <w:p w14:paraId="0519C27E" w14:textId="77777777" w:rsidR="00894D9E" w:rsidRPr="002D364A" w:rsidRDefault="00894D9E" w:rsidP="00894D9E">
            <w:pPr>
              <w:rPr>
                <w:b/>
                <w:bCs/>
              </w:rPr>
            </w:pPr>
            <w:r w:rsidRPr="002D364A">
              <w:rPr>
                <w:b/>
                <w:bCs/>
              </w:rPr>
              <w:t>Undisturbed</w:t>
            </w:r>
          </w:p>
        </w:tc>
        <w:tc>
          <w:tcPr>
            <w:tcW w:w="1155" w:type="dxa"/>
            <w:noWrap/>
            <w:vAlign w:val="bottom"/>
            <w:hideMark/>
          </w:tcPr>
          <w:p w14:paraId="48470296" w14:textId="4B017B96" w:rsidR="00894D9E" w:rsidRPr="002D364A" w:rsidRDefault="00894D9E" w:rsidP="00894D9E">
            <w:r>
              <w:rPr>
                <w:rFonts w:ascii="Calibri" w:hAnsi="Calibri" w:cs="Calibri"/>
                <w:color w:val="000000"/>
              </w:rPr>
              <w:t>1.04</w:t>
            </w:r>
          </w:p>
        </w:tc>
        <w:tc>
          <w:tcPr>
            <w:tcW w:w="1208" w:type="dxa"/>
            <w:noWrap/>
            <w:vAlign w:val="bottom"/>
            <w:hideMark/>
          </w:tcPr>
          <w:p w14:paraId="673B11C7" w14:textId="12EEF865" w:rsidR="00894D9E" w:rsidRPr="002D364A" w:rsidRDefault="00894D9E" w:rsidP="00894D9E">
            <w:r>
              <w:rPr>
                <w:rFonts w:ascii="Calibri" w:hAnsi="Calibri" w:cs="Calibri"/>
                <w:color w:val="000000"/>
              </w:rPr>
              <w:t>1.01</w:t>
            </w:r>
          </w:p>
        </w:tc>
        <w:tc>
          <w:tcPr>
            <w:tcW w:w="1208" w:type="dxa"/>
            <w:noWrap/>
            <w:vAlign w:val="bottom"/>
            <w:hideMark/>
          </w:tcPr>
          <w:p w14:paraId="6025DE9A" w14:textId="74BBF86E" w:rsidR="00894D9E" w:rsidRPr="002D364A" w:rsidRDefault="00894D9E" w:rsidP="00894D9E">
            <w:r>
              <w:rPr>
                <w:rFonts w:ascii="Calibri" w:hAnsi="Calibri" w:cs="Calibri"/>
                <w:color w:val="000000"/>
              </w:rPr>
              <w:t>1.07</w:t>
            </w:r>
          </w:p>
        </w:tc>
      </w:tr>
      <w:tr w:rsidR="00894D9E" w:rsidRPr="002D364A" w14:paraId="4F85A7D7" w14:textId="77777777" w:rsidTr="001545DE">
        <w:trPr>
          <w:trHeight w:val="288"/>
        </w:trPr>
        <w:tc>
          <w:tcPr>
            <w:tcW w:w="1480" w:type="dxa"/>
            <w:noWrap/>
            <w:hideMark/>
          </w:tcPr>
          <w:p w14:paraId="614C5496" w14:textId="77777777" w:rsidR="00894D9E" w:rsidRPr="002D364A" w:rsidRDefault="00894D9E" w:rsidP="00894D9E">
            <w:pPr>
              <w:rPr>
                <w:b/>
                <w:bCs/>
              </w:rPr>
            </w:pPr>
            <w:r w:rsidRPr="002D364A">
              <w:rPr>
                <w:b/>
                <w:bCs/>
              </w:rPr>
              <w:t>Fire</w:t>
            </w:r>
          </w:p>
        </w:tc>
        <w:tc>
          <w:tcPr>
            <w:tcW w:w="1155" w:type="dxa"/>
            <w:noWrap/>
            <w:vAlign w:val="bottom"/>
            <w:hideMark/>
          </w:tcPr>
          <w:p w14:paraId="4855E811" w14:textId="6A368793" w:rsidR="00894D9E" w:rsidRPr="002D364A" w:rsidRDefault="00894D9E" w:rsidP="00894D9E">
            <w:r>
              <w:rPr>
                <w:rFonts w:ascii="Calibri" w:hAnsi="Calibri" w:cs="Calibri"/>
                <w:color w:val="000000"/>
              </w:rPr>
              <w:t>0.61</w:t>
            </w:r>
          </w:p>
        </w:tc>
        <w:tc>
          <w:tcPr>
            <w:tcW w:w="1208" w:type="dxa"/>
            <w:noWrap/>
            <w:vAlign w:val="bottom"/>
            <w:hideMark/>
          </w:tcPr>
          <w:p w14:paraId="22B4AB65" w14:textId="48FBF6BB" w:rsidR="00894D9E" w:rsidRPr="002D364A" w:rsidRDefault="00894D9E" w:rsidP="00894D9E">
            <w:r>
              <w:rPr>
                <w:rFonts w:ascii="Calibri" w:hAnsi="Calibri" w:cs="Calibri"/>
                <w:color w:val="000000"/>
              </w:rPr>
              <w:t>0.51</w:t>
            </w:r>
          </w:p>
        </w:tc>
        <w:tc>
          <w:tcPr>
            <w:tcW w:w="1208" w:type="dxa"/>
            <w:noWrap/>
            <w:vAlign w:val="bottom"/>
            <w:hideMark/>
          </w:tcPr>
          <w:p w14:paraId="082005A8" w14:textId="05354618" w:rsidR="00894D9E" w:rsidRPr="002D364A" w:rsidRDefault="00894D9E" w:rsidP="00894D9E">
            <w:r>
              <w:rPr>
                <w:rFonts w:ascii="Calibri" w:hAnsi="Calibri" w:cs="Calibri"/>
                <w:color w:val="000000"/>
              </w:rPr>
              <w:t>0.70</w:t>
            </w:r>
          </w:p>
        </w:tc>
      </w:tr>
      <w:tr w:rsidR="00894D9E" w:rsidRPr="002D364A" w14:paraId="57510B6D" w14:textId="77777777" w:rsidTr="001545DE">
        <w:trPr>
          <w:trHeight w:val="288"/>
        </w:trPr>
        <w:tc>
          <w:tcPr>
            <w:tcW w:w="1480" w:type="dxa"/>
            <w:noWrap/>
            <w:hideMark/>
          </w:tcPr>
          <w:p w14:paraId="5584CA95" w14:textId="77777777" w:rsidR="00894D9E" w:rsidRPr="002D364A" w:rsidRDefault="00894D9E" w:rsidP="00894D9E">
            <w:pPr>
              <w:rPr>
                <w:b/>
                <w:bCs/>
              </w:rPr>
            </w:pPr>
            <w:r w:rsidRPr="002D364A">
              <w:rPr>
                <w:b/>
                <w:bCs/>
              </w:rPr>
              <w:t>WPBR</w:t>
            </w:r>
          </w:p>
        </w:tc>
        <w:tc>
          <w:tcPr>
            <w:tcW w:w="1155" w:type="dxa"/>
            <w:noWrap/>
            <w:vAlign w:val="bottom"/>
            <w:hideMark/>
          </w:tcPr>
          <w:p w14:paraId="625C8A0C" w14:textId="67CEB83F" w:rsidR="00894D9E" w:rsidRPr="002D364A" w:rsidRDefault="00894D9E" w:rsidP="00894D9E">
            <w:r>
              <w:rPr>
                <w:rFonts w:ascii="Calibri" w:hAnsi="Calibri" w:cs="Calibri"/>
                <w:color w:val="000000"/>
              </w:rPr>
              <w:t>0.99</w:t>
            </w:r>
          </w:p>
        </w:tc>
        <w:tc>
          <w:tcPr>
            <w:tcW w:w="1208" w:type="dxa"/>
            <w:noWrap/>
            <w:vAlign w:val="bottom"/>
            <w:hideMark/>
          </w:tcPr>
          <w:p w14:paraId="1328D8FC" w14:textId="007F2534" w:rsidR="00894D9E" w:rsidRPr="002D364A" w:rsidRDefault="00894D9E" w:rsidP="00894D9E">
            <w:r>
              <w:rPr>
                <w:rFonts w:ascii="Calibri" w:hAnsi="Calibri" w:cs="Calibri"/>
                <w:color w:val="000000"/>
              </w:rPr>
              <w:t>0.90</w:t>
            </w:r>
          </w:p>
        </w:tc>
        <w:tc>
          <w:tcPr>
            <w:tcW w:w="1208" w:type="dxa"/>
            <w:noWrap/>
            <w:vAlign w:val="bottom"/>
            <w:hideMark/>
          </w:tcPr>
          <w:p w14:paraId="2119013B" w14:textId="28C2E6FA" w:rsidR="00894D9E" w:rsidRPr="002D364A" w:rsidRDefault="00894D9E" w:rsidP="00894D9E">
            <w:r>
              <w:rPr>
                <w:rFonts w:ascii="Calibri" w:hAnsi="Calibri" w:cs="Calibri"/>
                <w:color w:val="000000"/>
              </w:rPr>
              <w:t>1.06</w:t>
            </w:r>
          </w:p>
        </w:tc>
      </w:tr>
      <w:tr w:rsidR="00894D9E" w:rsidRPr="002D364A" w14:paraId="7447A570" w14:textId="77777777" w:rsidTr="001545DE">
        <w:trPr>
          <w:trHeight w:val="288"/>
        </w:trPr>
        <w:tc>
          <w:tcPr>
            <w:tcW w:w="1480" w:type="dxa"/>
            <w:noWrap/>
            <w:hideMark/>
          </w:tcPr>
          <w:p w14:paraId="5B302A04" w14:textId="77777777" w:rsidR="00894D9E" w:rsidRPr="002D364A" w:rsidRDefault="00894D9E" w:rsidP="00894D9E">
            <w:pPr>
              <w:rPr>
                <w:b/>
                <w:bCs/>
              </w:rPr>
            </w:pPr>
            <w:r w:rsidRPr="002D364A">
              <w:rPr>
                <w:b/>
                <w:bCs/>
              </w:rPr>
              <w:t>Low BA</w:t>
            </w:r>
          </w:p>
        </w:tc>
        <w:tc>
          <w:tcPr>
            <w:tcW w:w="1155" w:type="dxa"/>
            <w:noWrap/>
            <w:vAlign w:val="bottom"/>
            <w:hideMark/>
          </w:tcPr>
          <w:p w14:paraId="61C8B7FD" w14:textId="5823C94E" w:rsidR="00894D9E" w:rsidRPr="002D364A" w:rsidRDefault="00894D9E" w:rsidP="00894D9E">
            <w:r>
              <w:rPr>
                <w:rFonts w:ascii="Calibri" w:hAnsi="Calibri" w:cs="Calibri"/>
                <w:color w:val="000000"/>
              </w:rPr>
              <w:t>1.09</w:t>
            </w:r>
          </w:p>
        </w:tc>
        <w:tc>
          <w:tcPr>
            <w:tcW w:w="1208" w:type="dxa"/>
            <w:noWrap/>
            <w:vAlign w:val="bottom"/>
            <w:hideMark/>
          </w:tcPr>
          <w:p w14:paraId="6C474B43" w14:textId="6FEE9B6C" w:rsidR="00894D9E" w:rsidRPr="002D364A" w:rsidRDefault="00894D9E" w:rsidP="00894D9E">
            <w:r>
              <w:rPr>
                <w:rFonts w:ascii="Calibri" w:hAnsi="Calibri" w:cs="Calibri"/>
                <w:color w:val="000000"/>
              </w:rPr>
              <w:t>1.06</w:t>
            </w:r>
          </w:p>
        </w:tc>
        <w:tc>
          <w:tcPr>
            <w:tcW w:w="1208" w:type="dxa"/>
            <w:noWrap/>
            <w:vAlign w:val="bottom"/>
            <w:hideMark/>
          </w:tcPr>
          <w:p w14:paraId="061F27D4" w14:textId="2FCD7DEA" w:rsidR="00894D9E" w:rsidRPr="002D364A" w:rsidRDefault="00894D9E" w:rsidP="00894D9E">
            <w:r>
              <w:rPr>
                <w:rFonts w:ascii="Calibri" w:hAnsi="Calibri" w:cs="Calibri"/>
                <w:color w:val="000000"/>
              </w:rPr>
              <w:t>1.13</w:t>
            </w:r>
          </w:p>
        </w:tc>
      </w:tr>
      <w:tr w:rsidR="00894D9E" w:rsidRPr="002D364A" w14:paraId="060C0E1D" w14:textId="77777777" w:rsidTr="001545DE">
        <w:trPr>
          <w:trHeight w:val="288"/>
        </w:trPr>
        <w:tc>
          <w:tcPr>
            <w:tcW w:w="1480" w:type="dxa"/>
            <w:noWrap/>
            <w:hideMark/>
          </w:tcPr>
          <w:p w14:paraId="7BA2A714" w14:textId="77777777" w:rsidR="00894D9E" w:rsidRPr="002D364A" w:rsidRDefault="00894D9E" w:rsidP="00894D9E">
            <w:pPr>
              <w:rPr>
                <w:b/>
                <w:bCs/>
              </w:rPr>
            </w:pPr>
            <w:r w:rsidRPr="002D364A">
              <w:rPr>
                <w:b/>
                <w:bCs/>
              </w:rPr>
              <w:t>High BA</w:t>
            </w:r>
          </w:p>
        </w:tc>
        <w:tc>
          <w:tcPr>
            <w:tcW w:w="1155" w:type="dxa"/>
            <w:noWrap/>
            <w:vAlign w:val="bottom"/>
            <w:hideMark/>
          </w:tcPr>
          <w:p w14:paraId="29F0B1F6" w14:textId="79644143" w:rsidR="00894D9E" w:rsidRPr="002D364A" w:rsidRDefault="00894D9E" w:rsidP="00894D9E">
            <w:r>
              <w:rPr>
                <w:rFonts w:ascii="Calibri" w:hAnsi="Calibri" w:cs="Calibri"/>
                <w:color w:val="000000"/>
              </w:rPr>
              <w:t>0.98</w:t>
            </w:r>
          </w:p>
        </w:tc>
        <w:tc>
          <w:tcPr>
            <w:tcW w:w="1208" w:type="dxa"/>
            <w:noWrap/>
            <w:vAlign w:val="bottom"/>
            <w:hideMark/>
          </w:tcPr>
          <w:p w14:paraId="11E80269" w14:textId="16289D94" w:rsidR="00894D9E" w:rsidRPr="002D364A" w:rsidRDefault="00894D9E" w:rsidP="00894D9E">
            <w:r>
              <w:rPr>
                <w:rFonts w:ascii="Calibri" w:hAnsi="Calibri" w:cs="Calibri"/>
                <w:color w:val="000000"/>
              </w:rPr>
              <w:t>0.94</w:t>
            </w:r>
          </w:p>
        </w:tc>
        <w:tc>
          <w:tcPr>
            <w:tcW w:w="1208" w:type="dxa"/>
            <w:noWrap/>
            <w:vAlign w:val="bottom"/>
            <w:hideMark/>
          </w:tcPr>
          <w:p w14:paraId="0CB13A08" w14:textId="2F320285" w:rsidR="00894D9E" w:rsidRPr="002D364A" w:rsidRDefault="00894D9E" w:rsidP="00894D9E">
            <w:r>
              <w:rPr>
                <w:rFonts w:ascii="Calibri" w:hAnsi="Calibri" w:cs="Calibri"/>
                <w:color w:val="000000"/>
              </w:rPr>
              <w:t>1.02</w:t>
            </w:r>
          </w:p>
        </w:tc>
      </w:tr>
      <w:tr w:rsidR="00894D9E" w:rsidRPr="002D364A" w14:paraId="794CAA99" w14:textId="77777777" w:rsidTr="001545DE">
        <w:trPr>
          <w:trHeight w:val="288"/>
        </w:trPr>
        <w:tc>
          <w:tcPr>
            <w:tcW w:w="1480" w:type="dxa"/>
            <w:noWrap/>
            <w:hideMark/>
          </w:tcPr>
          <w:p w14:paraId="178633C6" w14:textId="77777777" w:rsidR="00894D9E" w:rsidRPr="002D364A" w:rsidRDefault="00894D9E" w:rsidP="00894D9E">
            <w:pPr>
              <w:rPr>
                <w:b/>
                <w:bCs/>
              </w:rPr>
            </w:pPr>
            <w:r w:rsidRPr="002D364A">
              <w:rPr>
                <w:b/>
                <w:bCs/>
              </w:rPr>
              <w:t>Low Drought</w:t>
            </w:r>
          </w:p>
        </w:tc>
        <w:tc>
          <w:tcPr>
            <w:tcW w:w="1155" w:type="dxa"/>
            <w:noWrap/>
            <w:vAlign w:val="bottom"/>
            <w:hideMark/>
          </w:tcPr>
          <w:p w14:paraId="127CE01D" w14:textId="2C97744C" w:rsidR="00894D9E" w:rsidRPr="002D364A" w:rsidRDefault="00894D9E" w:rsidP="00894D9E">
            <w:r>
              <w:rPr>
                <w:rFonts w:ascii="Calibri" w:hAnsi="Calibri" w:cs="Calibri"/>
                <w:color w:val="000000"/>
              </w:rPr>
              <w:t>1.05</w:t>
            </w:r>
          </w:p>
        </w:tc>
        <w:tc>
          <w:tcPr>
            <w:tcW w:w="1208" w:type="dxa"/>
            <w:noWrap/>
            <w:vAlign w:val="bottom"/>
            <w:hideMark/>
          </w:tcPr>
          <w:p w14:paraId="5BAE8051" w14:textId="49554221" w:rsidR="00894D9E" w:rsidRPr="002D364A" w:rsidRDefault="00894D9E" w:rsidP="00894D9E">
            <w:r>
              <w:rPr>
                <w:rFonts w:ascii="Calibri" w:hAnsi="Calibri" w:cs="Calibri"/>
                <w:color w:val="000000"/>
              </w:rPr>
              <w:t>1.01</w:t>
            </w:r>
          </w:p>
        </w:tc>
        <w:tc>
          <w:tcPr>
            <w:tcW w:w="1208" w:type="dxa"/>
            <w:noWrap/>
            <w:vAlign w:val="bottom"/>
            <w:hideMark/>
          </w:tcPr>
          <w:p w14:paraId="507D7DB7" w14:textId="66D6C081" w:rsidR="00894D9E" w:rsidRPr="002D364A" w:rsidRDefault="00894D9E" w:rsidP="00894D9E">
            <w:r>
              <w:rPr>
                <w:rFonts w:ascii="Calibri" w:hAnsi="Calibri" w:cs="Calibri"/>
                <w:color w:val="000000"/>
              </w:rPr>
              <w:t>1.08</w:t>
            </w:r>
          </w:p>
        </w:tc>
      </w:tr>
      <w:tr w:rsidR="00894D9E" w:rsidRPr="002D364A" w14:paraId="27FE14C2" w14:textId="77777777" w:rsidTr="001545DE">
        <w:trPr>
          <w:trHeight w:val="288"/>
        </w:trPr>
        <w:tc>
          <w:tcPr>
            <w:tcW w:w="1480" w:type="dxa"/>
            <w:noWrap/>
            <w:hideMark/>
          </w:tcPr>
          <w:p w14:paraId="0D39969D" w14:textId="77777777" w:rsidR="00894D9E" w:rsidRPr="002D364A" w:rsidRDefault="00894D9E" w:rsidP="00894D9E">
            <w:pPr>
              <w:rPr>
                <w:b/>
                <w:bCs/>
              </w:rPr>
            </w:pPr>
            <w:r w:rsidRPr="002D364A">
              <w:rPr>
                <w:b/>
                <w:bCs/>
              </w:rPr>
              <w:t>High Drought</w:t>
            </w:r>
          </w:p>
        </w:tc>
        <w:tc>
          <w:tcPr>
            <w:tcW w:w="1155" w:type="dxa"/>
            <w:noWrap/>
            <w:vAlign w:val="bottom"/>
            <w:hideMark/>
          </w:tcPr>
          <w:p w14:paraId="7553AF38" w14:textId="57A410DE" w:rsidR="00894D9E" w:rsidRPr="002D364A" w:rsidRDefault="00894D9E" w:rsidP="00894D9E">
            <w:r>
              <w:rPr>
                <w:rFonts w:ascii="Calibri" w:hAnsi="Calibri" w:cs="Calibri"/>
                <w:color w:val="000000"/>
              </w:rPr>
              <w:t>1.03</w:t>
            </w:r>
          </w:p>
        </w:tc>
        <w:tc>
          <w:tcPr>
            <w:tcW w:w="1208" w:type="dxa"/>
            <w:noWrap/>
            <w:vAlign w:val="bottom"/>
            <w:hideMark/>
          </w:tcPr>
          <w:p w14:paraId="2675DB4D" w14:textId="4C280617" w:rsidR="00894D9E" w:rsidRPr="002D364A" w:rsidRDefault="00894D9E" w:rsidP="00894D9E">
            <w:r>
              <w:rPr>
                <w:rFonts w:ascii="Calibri" w:hAnsi="Calibri" w:cs="Calibri"/>
                <w:color w:val="000000"/>
              </w:rPr>
              <w:t>0.99</w:t>
            </w:r>
          </w:p>
        </w:tc>
        <w:tc>
          <w:tcPr>
            <w:tcW w:w="1208" w:type="dxa"/>
            <w:noWrap/>
            <w:vAlign w:val="bottom"/>
            <w:hideMark/>
          </w:tcPr>
          <w:p w14:paraId="126AD871" w14:textId="367E7A58" w:rsidR="00894D9E" w:rsidRPr="002D364A" w:rsidRDefault="00894D9E" w:rsidP="00894D9E">
            <w:r>
              <w:rPr>
                <w:rFonts w:ascii="Calibri" w:hAnsi="Calibri" w:cs="Calibri"/>
                <w:color w:val="000000"/>
              </w:rPr>
              <w:t>1.08</w:t>
            </w:r>
          </w:p>
        </w:tc>
      </w:tr>
      <w:tr w:rsidR="00894D9E" w:rsidRPr="002D364A" w14:paraId="07158831" w14:textId="77777777" w:rsidTr="001545DE">
        <w:trPr>
          <w:trHeight w:val="288"/>
        </w:trPr>
        <w:tc>
          <w:tcPr>
            <w:tcW w:w="1480" w:type="dxa"/>
            <w:noWrap/>
            <w:hideMark/>
          </w:tcPr>
          <w:p w14:paraId="596F28AC" w14:textId="77777777" w:rsidR="00894D9E" w:rsidRPr="002D364A" w:rsidRDefault="00894D9E" w:rsidP="00894D9E">
            <w:pPr>
              <w:rPr>
                <w:b/>
                <w:bCs/>
              </w:rPr>
            </w:pPr>
            <w:r w:rsidRPr="002D364A">
              <w:rPr>
                <w:b/>
                <w:bCs/>
              </w:rPr>
              <w:t>Wet Site</w:t>
            </w:r>
          </w:p>
        </w:tc>
        <w:tc>
          <w:tcPr>
            <w:tcW w:w="1155" w:type="dxa"/>
            <w:noWrap/>
            <w:vAlign w:val="bottom"/>
            <w:hideMark/>
          </w:tcPr>
          <w:p w14:paraId="1878324B" w14:textId="2D286194" w:rsidR="00894D9E" w:rsidRPr="002D364A" w:rsidRDefault="00894D9E" w:rsidP="00894D9E">
            <w:r>
              <w:rPr>
                <w:rFonts w:ascii="Calibri" w:hAnsi="Calibri" w:cs="Calibri"/>
                <w:color w:val="000000"/>
              </w:rPr>
              <w:t>1.05</w:t>
            </w:r>
          </w:p>
        </w:tc>
        <w:tc>
          <w:tcPr>
            <w:tcW w:w="1208" w:type="dxa"/>
            <w:noWrap/>
            <w:vAlign w:val="bottom"/>
            <w:hideMark/>
          </w:tcPr>
          <w:p w14:paraId="562E189F" w14:textId="01343BEB" w:rsidR="00894D9E" w:rsidRPr="002D364A" w:rsidRDefault="00894D9E" w:rsidP="00894D9E">
            <w:r>
              <w:rPr>
                <w:rFonts w:ascii="Calibri" w:hAnsi="Calibri" w:cs="Calibri"/>
                <w:color w:val="000000"/>
              </w:rPr>
              <w:t>1.02</w:t>
            </w:r>
          </w:p>
        </w:tc>
        <w:tc>
          <w:tcPr>
            <w:tcW w:w="1208" w:type="dxa"/>
            <w:noWrap/>
            <w:vAlign w:val="bottom"/>
            <w:hideMark/>
          </w:tcPr>
          <w:p w14:paraId="41738080" w14:textId="4BEB4EFB" w:rsidR="00894D9E" w:rsidRPr="002D364A" w:rsidRDefault="00894D9E" w:rsidP="00894D9E">
            <w:r>
              <w:rPr>
                <w:rFonts w:ascii="Calibri" w:hAnsi="Calibri" w:cs="Calibri"/>
                <w:color w:val="000000"/>
              </w:rPr>
              <w:t>1.08</w:t>
            </w:r>
          </w:p>
        </w:tc>
      </w:tr>
      <w:tr w:rsidR="00F30BF0" w:rsidRPr="002D364A" w14:paraId="6DC08BBB" w14:textId="77777777" w:rsidTr="001545DE">
        <w:trPr>
          <w:trHeight w:val="288"/>
        </w:trPr>
        <w:tc>
          <w:tcPr>
            <w:tcW w:w="1480" w:type="dxa"/>
            <w:noWrap/>
            <w:hideMark/>
          </w:tcPr>
          <w:p w14:paraId="60168389" w14:textId="77777777" w:rsidR="00F30BF0" w:rsidRPr="002D364A" w:rsidRDefault="00F30BF0" w:rsidP="00F30BF0">
            <w:pPr>
              <w:rPr>
                <w:b/>
                <w:bCs/>
              </w:rPr>
            </w:pPr>
            <w:r w:rsidRPr="002D364A">
              <w:rPr>
                <w:b/>
                <w:bCs/>
              </w:rPr>
              <w:t>Dry Site</w:t>
            </w:r>
          </w:p>
        </w:tc>
        <w:tc>
          <w:tcPr>
            <w:tcW w:w="1155" w:type="dxa"/>
            <w:noWrap/>
            <w:vAlign w:val="bottom"/>
            <w:hideMark/>
          </w:tcPr>
          <w:p w14:paraId="5AC10066" w14:textId="3CACB9F8" w:rsidR="00F30BF0" w:rsidRPr="002D364A" w:rsidRDefault="00F30BF0" w:rsidP="00F30BF0">
            <w:r>
              <w:rPr>
                <w:rFonts w:ascii="Calibri" w:hAnsi="Calibri" w:cs="Calibri"/>
                <w:color w:val="000000"/>
              </w:rPr>
              <w:t>1.14</w:t>
            </w:r>
          </w:p>
        </w:tc>
        <w:tc>
          <w:tcPr>
            <w:tcW w:w="1208" w:type="dxa"/>
            <w:noWrap/>
            <w:vAlign w:val="bottom"/>
            <w:hideMark/>
          </w:tcPr>
          <w:p w14:paraId="39393CE5" w14:textId="19338CA9" w:rsidR="00F30BF0" w:rsidRPr="002D364A" w:rsidRDefault="00F30BF0" w:rsidP="00F30BF0">
            <w:r>
              <w:rPr>
                <w:rFonts w:ascii="Calibri" w:hAnsi="Calibri" w:cs="Calibri"/>
                <w:color w:val="000000"/>
              </w:rPr>
              <w:t>1.02</w:t>
            </w:r>
          </w:p>
        </w:tc>
        <w:tc>
          <w:tcPr>
            <w:tcW w:w="1208" w:type="dxa"/>
            <w:noWrap/>
            <w:vAlign w:val="bottom"/>
            <w:hideMark/>
          </w:tcPr>
          <w:p w14:paraId="63E1EFFC" w14:textId="6B8E95F6" w:rsidR="00F30BF0" w:rsidRPr="002D364A" w:rsidRDefault="00F30BF0" w:rsidP="00F30BF0">
            <w:pPr>
              <w:keepNext/>
            </w:pPr>
            <w:r>
              <w:rPr>
                <w:rFonts w:ascii="Calibri" w:hAnsi="Calibri" w:cs="Calibri"/>
                <w:color w:val="000000"/>
              </w:rPr>
              <w:t>1.38</w:t>
            </w:r>
          </w:p>
        </w:tc>
      </w:tr>
    </w:tbl>
    <w:p w14:paraId="43C96B16" w14:textId="349B66E5" w:rsidR="002D364A" w:rsidRPr="002D364A" w:rsidRDefault="007E7CA6" w:rsidP="002D364A">
      <w:pPr>
        <w:pStyle w:val="Caption"/>
      </w:pPr>
      <w:bookmarkStart w:id="97" w:name="_Ref94619410"/>
      <w:r>
        <w:t xml:space="preserve">Supplementary </w:t>
      </w:r>
      <w:r w:rsidR="00245CBF">
        <w:t>Table</w:t>
      </w:r>
      <w:r w:rsidR="002D364A">
        <w:t xml:space="preserve"> </w:t>
      </w:r>
      <w:bookmarkEnd w:id="97"/>
      <w:r>
        <w:t>1</w:t>
      </w:r>
      <w:r w:rsidR="002D364A">
        <w:t>: Summary of posterior distributions of population asymptotic growth rate (</w:t>
      </w:r>
      <m:oMath>
        <m:r>
          <w:rPr>
            <w:rFonts w:ascii="Cambria Math" w:hAnsi="Cambria Math" w:cstheme="minorHAnsi"/>
          </w:rPr>
          <m:t>λ</m:t>
        </m:r>
      </m:oMath>
      <w:r w:rsidR="002D364A">
        <w:t>) under a variety of idealized scenarios. In each scenario, the relevant stressor is either present (for fire and WPBR), elevated (</w:t>
      </w:r>
      <w:r w:rsidR="00B05195">
        <w:t>BA, drought, and site dryness), or depressed (BA, drought, and site dryness), while other stressors are held at absent (fire and WPBR) or their mean value (BA, drought, and site dryness).</w:t>
      </w:r>
      <w:r w:rsidR="00DD37D1" w:rsidRPr="00DD37D1">
        <w:rPr>
          <w:rFonts w:ascii="Cambria Math" w:hAnsi="Cambria Math" w:cstheme="minorHAnsi"/>
          <w:i w:val="0"/>
        </w:rPr>
        <w:t xml:space="preserve"> </w:t>
      </w:r>
      <m:oMath>
        <m:r>
          <w:rPr>
            <w:rFonts w:ascii="Cambria Math" w:hAnsi="Cambria Math" w:cstheme="minorHAnsi"/>
          </w:rPr>
          <m:t>λ</m:t>
        </m:r>
      </m:oMath>
      <w:r w:rsidR="00DD37D1">
        <w:rPr>
          <w:rFonts w:cstheme="minorHAnsi"/>
        </w:rPr>
        <w:t xml:space="preserve"> </w:t>
      </w:r>
      <w:r w:rsidR="00B05195">
        <w:t>was estimated for each posterior sample by constructing a transition matrix using the posterior sample parameters and the vital rate as described in the methods, and taking the dominant eigenvalue of the transition matrix.</w:t>
      </w:r>
    </w:p>
    <w:sectPr w:rsidR="002D364A" w:rsidRPr="002D364A">
      <w:headerReference w:type="default" r:id="rId3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 Foster" w:date="2022-02-15T12:20:00Z" w:initials="DF">
    <w:p w14:paraId="636E9554" w14:textId="01EABD3E" w:rsidR="000B15A1" w:rsidRDefault="000B15A1">
      <w:pPr>
        <w:pStyle w:val="CommentText"/>
      </w:pPr>
      <w:r>
        <w:rPr>
          <w:rStyle w:val="CommentReference"/>
        </w:rPr>
        <w:annotationRef/>
      </w:r>
      <w:r>
        <w:t>JJB: need to better make the case that PILA is in trouble; fig 7  / FSI / spp comparison useful</w:t>
      </w:r>
    </w:p>
  </w:comment>
  <w:comment w:id="1" w:author="j battles" w:date="2022-02-14T04:48:00Z" w:initials="jjb">
    <w:p w14:paraId="7FE583B2" w14:textId="77777777" w:rsidR="00A95BB0" w:rsidRDefault="00A95BB0" w:rsidP="00EA5F23">
      <w:pPr>
        <w:pStyle w:val="CommentText"/>
      </w:pPr>
      <w:r>
        <w:rPr>
          <w:rStyle w:val="CommentReference"/>
        </w:rPr>
        <w:annotationRef/>
      </w:r>
      <w:r>
        <w:t xml:space="preserve">Try to start with a wider context. Sugar pine is an example of what process exactly? </w:t>
      </w:r>
    </w:p>
  </w:comment>
  <w:comment w:id="2" w:author="j battles" w:date="2022-02-14T04:48:00Z" w:initials="jjb">
    <w:p w14:paraId="7D74136D" w14:textId="77777777" w:rsidR="00D070A9" w:rsidRDefault="00D070A9" w:rsidP="00D070A9">
      <w:pPr>
        <w:pStyle w:val="CommentText"/>
      </w:pPr>
      <w:r>
        <w:rPr>
          <w:rStyle w:val="CommentReference"/>
        </w:rPr>
        <w:annotationRef/>
      </w:r>
      <w:r>
        <w:t xml:space="preserve">Lead with this idea. </w:t>
      </w:r>
    </w:p>
  </w:comment>
  <w:comment w:id="3" w:author="Daniel Foster" w:date="2022-02-15T11:53:00Z" w:initials="DF">
    <w:p w14:paraId="1887F201" w14:textId="4E2295B8" w:rsidR="00105668" w:rsidRDefault="00105668">
      <w:pPr>
        <w:pStyle w:val="CommentText"/>
      </w:pPr>
      <w:r>
        <w:rPr>
          <w:rStyle w:val="CommentReference"/>
        </w:rPr>
        <w:annotationRef/>
      </w:r>
      <w:r>
        <w:t>SS: break into 2 sents</w:t>
      </w:r>
    </w:p>
  </w:comment>
  <w:comment w:id="4" w:author="j battles" w:date="2022-02-14T04:47:00Z" w:initials="jjb">
    <w:p w14:paraId="1E38F6F8" w14:textId="22FA3063" w:rsidR="00A95BB0" w:rsidRDefault="00A95BB0" w:rsidP="003F5D21">
      <w:pPr>
        <w:pStyle w:val="CommentText"/>
      </w:pPr>
      <w:r>
        <w:rPr>
          <w:rStyle w:val="CommentReference"/>
        </w:rPr>
        <w:annotationRef/>
      </w:r>
      <w:r>
        <w:t xml:space="preserve">Forestry term; heart of its range? </w:t>
      </w:r>
    </w:p>
  </w:comment>
  <w:comment w:id="5" w:author="Daniel Foster" w:date="2022-02-15T12:23:00Z" w:initials="DF">
    <w:p w14:paraId="29B2D88F" w14:textId="1F95337F" w:rsidR="002626E1" w:rsidRDefault="002626E1">
      <w:pPr>
        <w:pStyle w:val="CommentText"/>
      </w:pPr>
      <w:r>
        <w:rPr>
          <w:rStyle w:val="CommentReference"/>
        </w:rPr>
        <w:annotationRef/>
      </w:r>
      <w:r>
        <w:t>TS: provide example / more specifics about what this key role is</w:t>
      </w:r>
    </w:p>
  </w:comment>
  <w:comment w:id="6" w:author="Daniel Foster" w:date="2022-02-15T11:55:00Z" w:initials="DF">
    <w:p w14:paraId="5289D00C" w14:textId="3F6B9717" w:rsidR="00105668" w:rsidRDefault="00105668">
      <w:pPr>
        <w:pStyle w:val="CommentText"/>
      </w:pPr>
      <w:r>
        <w:rPr>
          <w:rStyle w:val="CommentReference"/>
        </w:rPr>
        <w:annotationRef/>
      </w:r>
      <w:r>
        <w:t>SS: need to set up the 1</w:t>
      </w:r>
      <w:r w:rsidRPr="00105668">
        <w:rPr>
          <w:vertAlign w:val="superscript"/>
        </w:rPr>
        <w:t>st</w:t>
      </w:r>
      <w:r>
        <w:t xml:space="preserve"> 2</w:t>
      </w:r>
      <w:r w:rsidRPr="00105668">
        <w:rPr>
          <w:vertAlign w:val="superscript"/>
        </w:rPr>
        <w:t>nd</w:t>
      </w:r>
      <w:r>
        <w:t xml:space="preserve"> 3</w:t>
      </w:r>
      <w:r w:rsidRPr="00105668">
        <w:rPr>
          <w:vertAlign w:val="superscript"/>
        </w:rPr>
        <w:t>rd</w:t>
      </w:r>
      <w:r>
        <w:t xml:space="preserve"> by describing the things I’m gonna list</w:t>
      </w:r>
    </w:p>
  </w:comment>
  <w:comment w:id="7" w:author="Daniel Foster" w:date="2022-02-15T12:25:00Z" w:initials="DF">
    <w:p w14:paraId="1740E1C3" w14:textId="715FE01A" w:rsidR="002626E1" w:rsidRDefault="002626E1">
      <w:pPr>
        <w:pStyle w:val="CommentText"/>
      </w:pPr>
      <w:r>
        <w:rPr>
          <w:rStyle w:val="CommentReference"/>
        </w:rPr>
        <w:annotationRef/>
      </w:r>
      <w:r>
        <w:t>Does this fungal pathogen also interact with the stressor of a warming climate? You mention the interactions between fire regime X climate change and forest structure X other stressors- I’m curious if drought stress makes these trees more vulnerable to WPBR (similar to drought’s exacerbation of bark beetle impacts)</w:t>
      </w:r>
    </w:p>
  </w:comment>
  <w:comment w:id="8" w:author="j battles" w:date="2022-02-14T04:52:00Z" w:initials="jjb">
    <w:p w14:paraId="1DA08E0E" w14:textId="77777777" w:rsidR="00A95BB0" w:rsidRDefault="00A95BB0" w:rsidP="00897BB4">
      <w:pPr>
        <w:pStyle w:val="CommentText"/>
      </w:pPr>
      <w:r>
        <w:rPr>
          <w:rStyle w:val="CommentReference"/>
        </w:rPr>
        <w:annotationRef/>
      </w:r>
      <w:r>
        <w:t xml:space="preserve">Relevance? </w:t>
      </w:r>
    </w:p>
  </w:comment>
  <w:comment w:id="9" w:author="j battles" w:date="2022-02-14T04:54:00Z" w:initials="jjb">
    <w:p w14:paraId="18B30F1A" w14:textId="77777777" w:rsidR="00A95BB0" w:rsidRDefault="00A95BB0" w:rsidP="00E24FC6">
      <w:pPr>
        <w:pStyle w:val="CommentText"/>
      </w:pPr>
      <w:r>
        <w:rPr>
          <w:rStyle w:val="CommentReference"/>
        </w:rPr>
        <w:annotationRef/>
      </w:r>
      <w:r>
        <w:t>Seems like this driver is just a consequence of the fire regime change</w:t>
      </w:r>
    </w:p>
  </w:comment>
  <w:comment w:id="10" w:author="Daniel Foster" w:date="2022-02-15T12:02:00Z" w:initials="DF">
    <w:p w14:paraId="59E7DADC" w14:textId="1B31BD74" w:rsidR="00105668" w:rsidRDefault="00105668">
      <w:pPr>
        <w:pStyle w:val="CommentText"/>
      </w:pPr>
      <w:r>
        <w:rPr>
          <w:rStyle w:val="CommentReference"/>
        </w:rPr>
        <w:annotationRef/>
      </w:r>
      <w:r>
        <w:t>SS: cite North 2021 (not sure which one? Pyrosilv?)</w:t>
      </w:r>
    </w:p>
  </w:comment>
  <w:comment w:id="11" w:author="Daniel Foster" w:date="2022-05-13T12:03:00Z" w:initials="DF">
    <w:p w14:paraId="7E316F93" w14:textId="77777777" w:rsidR="002F78E4" w:rsidRDefault="002F78E4" w:rsidP="00AD7BB1">
      <w:pPr>
        <w:pStyle w:val="CommentText"/>
      </w:pPr>
      <w:r>
        <w:rPr>
          <w:rStyle w:val="CommentReference"/>
        </w:rPr>
        <w:annotationRef/>
      </w:r>
      <w:r>
        <w:t>Cite the SDI paper</w:t>
      </w:r>
    </w:p>
  </w:comment>
  <w:comment w:id="12" w:author="j battles" w:date="2022-02-14T05:10:00Z" w:initials="jjb">
    <w:p w14:paraId="7BF5FE4C" w14:textId="499265C5" w:rsidR="00BD0EC9" w:rsidRDefault="00BD0EC9">
      <w:pPr>
        <w:pStyle w:val="CommentText"/>
      </w:pPr>
      <w:r>
        <w:rPr>
          <w:rStyle w:val="CommentReference"/>
        </w:rPr>
        <w:annotationRef/>
      </w:r>
      <w:r>
        <w:t xml:space="preserve">Joan's work is relevant here. </w:t>
      </w:r>
    </w:p>
    <w:p w14:paraId="27299236" w14:textId="77777777" w:rsidR="00BD0EC9" w:rsidRDefault="00BD0EC9" w:rsidP="008532C6">
      <w:pPr>
        <w:pStyle w:val="CommentText"/>
      </w:pPr>
      <w:r>
        <w:t xml:space="preserve">Dudney, J., Willing, C.E., Das, A.J., Latimer, A.M., Nesmith, J.C. and Battles, J.J., 2021. Nonlinear shifts in infectious rust disease due to climate change. </w:t>
      </w:r>
      <w:r>
        <w:rPr>
          <w:i/>
          <w:iCs/>
        </w:rPr>
        <w:t xml:space="preserve">Nature communications, 12(1), pp.1-13. </w:t>
      </w:r>
    </w:p>
  </w:comment>
  <w:comment w:id="13" w:author="Daniel Foster" w:date="2022-02-15T12:02:00Z" w:initials="DF">
    <w:p w14:paraId="060D81E0" w14:textId="5EB37470" w:rsidR="007108F6" w:rsidRDefault="007108F6">
      <w:pPr>
        <w:pStyle w:val="CommentText"/>
      </w:pPr>
      <w:r>
        <w:rPr>
          <w:rStyle w:val="CommentReference"/>
        </w:rPr>
        <w:annotationRef/>
      </w:r>
      <w:r>
        <w:t xml:space="preserve">SS: </w:t>
      </w:r>
      <w:r w:rsidRPr="00626734">
        <w:t>Stephens, S.L., J.J. Moghaddas, C. Ediminster, C.E. Fiedler, S. Hasse, M.Harrington, J.E. Keeley, J.D. McIver, K. Metlen, C.N. Skinner, and A.Youngblood. 2009. Fire treatment effects on vegetation structure, fuels, and potential fire severity in western U.S. forests.   Ecological Applications 19: 305-320.</w:t>
      </w:r>
    </w:p>
  </w:comment>
  <w:comment w:id="14" w:author="Daniel Foster" w:date="2022-02-15T12:26:00Z" w:initials="DF">
    <w:p w14:paraId="2A6403CB" w14:textId="26F3D144" w:rsidR="002626E1" w:rsidRDefault="002626E1">
      <w:pPr>
        <w:pStyle w:val="CommentText"/>
      </w:pPr>
      <w:r>
        <w:rPr>
          <w:rStyle w:val="CommentReference"/>
        </w:rPr>
        <w:annotationRef/>
      </w:r>
      <w:r>
        <w:t>TS: In terms of management, what is the justification to approach conservation at the species level instead of approaching it as an ecosystem type, i.e. status/outlook of mixed conifer forest type rather than just sugar pine? Might be beyond scope of paper, but it was a question that naturally arose for me when reading the intro.</w:t>
      </w:r>
    </w:p>
  </w:comment>
  <w:comment w:id="15" w:author="Daniel Foster" w:date="2022-02-15T12:18:00Z" w:initials="DF">
    <w:p w14:paraId="6866659D" w14:textId="202FF684" w:rsidR="000B15A1" w:rsidRDefault="000B15A1">
      <w:pPr>
        <w:pStyle w:val="CommentText"/>
      </w:pPr>
      <w:r>
        <w:rPr>
          <w:rStyle w:val="CommentReference"/>
        </w:rPr>
        <w:annotationRef/>
      </w:r>
      <w:r>
        <w:t>JJB: make temporal window clear</w:t>
      </w:r>
    </w:p>
  </w:comment>
  <w:comment w:id="16" w:author="Daniel Foster" w:date="2022-02-15T12:18:00Z" w:initials="DF">
    <w:p w14:paraId="21E219BD" w14:textId="07AA53D9" w:rsidR="000B15A1" w:rsidRDefault="000B15A1">
      <w:pPr>
        <w:pStyle w:val="CommentText"/>
      </w:pPr>
      <w:r>
        <w:rPr>
          <w:rStyle w:val="CommentReference"/>
        </w:rPr>
        <w:annotationRef/>
      </w:r>
      <w:r>
        <w:t>Make sure to make special fecundity window clear</w:t>
      </w:r>
    </w:p>
  </w:comment>
  <w:comment w:id="17" w:author="Daniel Foster" w:date="2022-02-15T12:18:00Z" w:initials="DF">
    <w:p w14:paraId="4AB51EEC" w14:textId="45F87322" w:rsidR="000B15A1" w:rsidRDefault="000B15A1">
      <w:pPr>
        <w:pStyle w:val="CommentText"/>
      </w:pPr>
      <w:r>
        <w:rPr>
          <w:rStyle w:val="CommentReference"/>
        </w:rPr>
        <w:annotationRef/>
      </w:r>
      <w:r>
        <w:t>JJB: document the interval distributrion, # of samples (# of samples in each exp var?), etc. more info about explanatory data</w:t>
      </w:r>
    </w:p>
  </w:comment>
  <w:comment w:id="18" w:author="Daniel Foster" w:date="2022-05-16T11:33:00Z" w:initials="DF">
    <w:p w14:paraId="35ABCFF4" w14:textId="77777777" w:rsidR="00BD15C5" w:rsidRDefault="00BD15C5">
      <w:pPr>
        <w:pStyle w:val="CommentText"/>
      </w:pPr>
      <w:r>
        <w:rPr>
          <w:rStyle w:val="CommentReference"/>
        </w:rPr>
        <w:annotationRef/>
      </w:r>
      <w:r>
        <w:t xml:space="preserve">Interval distribution: </w:t>
      </w:r>
    </w:p>
    <w:p w14:paraId="1B558368" w14:textId="77777777" w:rsidR="00BD15C5" w:rsidRDefault="00BD15C5">
      <w:pPr>
        <w:pStyle w:val="CommentText"/>
      </w:pPr>
      <w:r>
        <w:t>- min: 7.9</w:t>
      </w:r>
    </w:p>
    <w:p w14:paraId="3A9EF65D" w14:textId="77777777" w:rsidR="00BD15C5" w:rsidRDefault="00BD15C5">
      <w:pPr>
        <w:pStyle w:val="CommentText"/>
      </w:pPr>
      <w:r>
        <w:t>- 5%: 9.5</w:t>
      </w:r>
    </w:p>
    <w:p w14:paraId="7F5E0F7E" w14:textId="77777777" w:rsidR="00BD15C5" w:rsidRDefault="00BD15C5">
      <w:pPr>
        <w:pStyle w:val="CommentText"/>
      </w:pPr>
      <w:r>
        <w:t>- 50%: 10</w:t>
      </w:r>
    </w:p>
    <w:p w14:paraId="56856070" w14:textId="77777777" w:rsidR="00BD15C5" w:rsidRDefault="00BD15C5">
      <w:pPr>
        <w:pStyle w:val="CommentText"/>
      </w:pPr>
      <w:r>
        <w:t>- Mean: 10</w:t>
      </w:r>
    </w:p>
    <w:p w14:paraId="55D198B4" w14:textId="77777777" w:rsidR="00BD15C5" w:rsidRDefault="00BD15C5">
      <w:pPr>
        <w:pStyle w:val="CommentText"/>
      </w:pPr>
      <w:r>
        <w:t>- 95%: 10.4</w:t>
      </w:r>
    </w:p>
    <w:p w14:paraId="64DC206F" w14:textId="77777777" w:rsidR="00BD15C5" w:rsidRDefault="00BD15C5" w:rsidP="00052197">
      <w:pPr>
        <w:pStyle w:val="CommentText"/>
      </w:pPr>
      <w:r>
        <w:t>- max: 12.3</w:t>
      </w:r>
    </w:p>
  </w:comment>
  <w:comment w:id="19" w:author="Daniel Foster" w:date="2022-05-24T14:04:00Z" w:initials="DF">
    <w:p w14:paraId="011023D5" w14:textId="77777777" w:rsidR="009E5157" w:rsidRDefault="009E5157" w:rsidP="006D3D82">
      <w:pPr>
        <w:pStyle w:val="CommentText"/>
      </w:pPr>
      <w:r>
        <w:rPr>
          <w:rStyle w:val="CommentReference"/>
        </w:rPr>
        <w:annotationRef/>
      </w:r>
      <w:r>
        <w:t>Make FIA version number clear</w:t>
      </w:r>
    </w:p>
  </w:comment>
  <w:comment w:id="20" w:author="Daniel Foster" w:date="2022-05-24T14:04:00Z" w:initials="DF">
    <w:p w14:paraId="0674A2C4" w14:textId="77777777" w:rsidR="009E5157" w:rsidRDefault="009E5157" w:rsidP="00087427">
      <w:pPr>
        <w:pStyle w:val="CommentText"/>
      </w:pPr>
      <w:r>
        <w:rPr>
          <w:rStyle w:val="CommentReference"/>
        </w:rPr>
        <w:annotationRef/>
      </w:r>
      <w:r>
        <w:t>Make sure I clarify that I included harvests as mortalities</w:t>
      </w:r>
    </w:p>
  </w:comment>
  <w:comment w:id="21" w:author="j battles" w:date="2022-02-14T05:28:00Z" w:initials="jjb">
    <w:p w14:paraId="7920D9D5" w14:textId="4394E842" w:rsidR="001854A2" w:rsidRDefault="001854A2" w:rsidP="008303C5">
      <w:pPr>
        <w:pStyle w:val="CommentText"/>
      </w:pPr>
      <w:r>
        <w:rPr>
          <w:rStyle w:val="CommentReference"/>
        </w:rPr>
        <w:annotationRef/>
      </w:r>
      <w:r>
        <w:t>Relevance?</w:t>
      </w:r>
    </w:p>
  </w:comment>
  <w:comment w:id="22" w:author="j battles" w:date="2022-02-14T05:29:00Z" w:initials="jjb">
    <w:p w14:paraId="28858193" w14:textId="77777777" w:rsidR="001854A2" w:rsidRDefault="001854A2" w:rsidP="00687573">
      <w:pPr>
        <w:pStyle w:val="CommentText"/>
      </w:pPr>
      <w:r>
        <w:rPr>
          <w:rStyle w:val="CommentReference"/>
        </w:rPr>
        <w:annotationRef/>
      </w:r>
      <w:r>
        <w:t xml:space="preserve">Difference? </w:t>
      </w:r>
    </w:p>
  </w:comment>
  <w:comment w:id="23" w:author="Daniel Foster" w:date="2022-02-15T12:28:00Z" w:initials="DF">
    <w:p w14:paraId="54BCD148" w14:textId="09EDD86D" w:rsidR="002626E1" w:rsidRDefault="002626E1">
      <w:pPr>
        <w:pStyle w:val="CommentText"/>
      </w:pPr>
      <w:r>
        <w:rPr>
          <w:rStyle w:val="CommentReference"/>
        </w:rPr>
        <w:annotationRef/>
      </w:r>
      <w:r>
        <w:t>TS: define this term at first introduction</w:t>
      </w:r>
    </w:p>
  </w:comment>
  <w:comment w:id="24" w:author="j battles" w:date="2022-02-14T05:39:00Z" w:initials="jjb">
    <w:p w14:paraId="31782CEE" w14:textId="77777777" w:rsidR="00565CA7" w:rsidRDefault="00565CA7" w:rsidP="00CA62A1">
      <w:pPr>
        <w:pStyle w:val="CommentText"/>
      </w:pPr>
      <w:r>
        <w:rPr>
          <w:rStyle w:val="CommentReference"/>
        </w:rPr>
        <w:annotationRef/>
      </w:r>
      <w:r>
        <w:t>Need to explain</w:t>
      </w:r>
    </w:p>
  </w:comment>
  <w:comment w:id="25" w:author="j battles" w:date="2022-02-14T06:08:00Z" w:initials="jjb">
    <w:p w14:paraId="484A4806" w14:textId="77777777" w:rsidR="00FE1095" w:rsidRDefault="00FE1095" w:rsidP="00D37C5E">
      <w:pPr>
        <w:pStyle w:val="CommentText"/>
      </w:pPr>
      <w:r>
        <w:rPr>
          <w:rStyle w:val="CommentReference"/>
        </w:rPr>
        <w:annotationRef/>
      </w:r>
      <w:r>
        <w:t xml:space="preserve">This section has the details but I think most should go into a supplement. What is relevant is the underlying logic and explanation.  </w:t>
      </w:r>
    </w:p>
  </w:comment>
  <w:comment w:id="26" w:author="Daniel Foster" w:date="2022-05-31T14:43:00Z" w:initials="DF">
    <w:p w14:paraId="185E502C" w14:textId="77777777" w:rsidR="00545F95" w:rsidRDefault="00545F95" w:rsidP="004E4139">
      <w:pPr>
        <w:pStyle w:val="CommentText"/>
      </w:pPr>
      <w:r>
        <w:rPr>
          <w:rStyle w:val="CommentReference"/>
        </w:rPr>
        <w:annotationRef/>
      </w:r>
      <w:r>
        <w:t>Perry thought I should make this section more self-contained, not less</w:t>
      </w:r>
    </w:p>
  </w:comment>
  <w:comment w:id="27" w:author="Daniel Foster" w:date="2022-04-14T16:45:00Z" w:initials="DF">
    <w:p w14:paraId="4EA188E8" w14:textId="77777777" w:rsidR="0090133B" w:rsidRDefault="0090133B" w:rsidP="0090133B">
      <w:pPr>
        <w:pStyle w:val="CommentText"/>
      </w:pPr>
      <w:r>
        <w:rPr>
          <w:rStyle w:val="CommentReference"/>
        </w:rPr>
        <w:annotationRef/>
      </w:r>
      <w:r>
        <w:t>PdV: Yes, this was confusing as noted in my comments above.  Perhaps at the outset make clear what the connections are among the sub models, especially the last one which sounded separate the way it was introduced at first, as I read it anyway.</w:t>
      </w:r>
    </w:p>
  </w:comment>
  <w:comment w:id="30" w:author="j battles" w:date="2022-02-14T08:10:00Z" w:initials="jjb">
    <w:p w14:paraId="43179952" w14:textId="26EEA1C0" w:rsidR="00A22F02" w:rsidRDefault="00A22F02" w:rsidP="00461425">
      <w:pPr>
        <w:pStyle w:val="CommentText"/>
      </w:pPr>
      <w:r>
        <w:rPr>
          <w:rStyle w:val="CommentReference"/>
        </w:rPr>
        <w:annotationRef/>
      </w:r>
      <w:r>
        <w:t xml:space="preserve">So if we were specifically interested in ecoregion responses, would we make it a fixed effect in the model? </w:t>
      </w:r>
    </w:p>
  </w:comment>
  <w:comment w:id="33" w:author="j battles" w:date="2022-02-14T05:48:00Z" w:initials="jjb">
    <w:p w14:paraId="4F850460" w14:textId="7B61C48A" w:rsidR="00DF0297" w:rsidRDefault="00DF0297" w:rsidP="00BC4D3D">
      <w:pPr>
        <w:pStyle w:val="CommentText"/>
      </w:pPr>
      <w:r>
        <w:rPr>
          <w:rStyle w:val="CommentReference"/>
        </w:rPr>
        <w:annotationRef/>
      </w:r>
      <w:r>
        <w:t xml:space="preserve">Introducing a necessary bias here, I think. You are truncating the low outliers (negative growth) but not the large outliers. </w:t>
      </w:r>
    </w:p>
  </w:comment>
  <w:comment w:id="34" w:author="Daniel Foster" w:date="2022-02-15T12:05:00Z" w:initials="DF">
    <w:p w14:paraId="023A6CC2" w14:textId="6DC54605" w:rsidR="007108F6" w:rsidRDefault="007108F6">
      <w:pPr>
        <w:pStyle w:val="CommentText"/>
      </w:pPr>
      <w:r>
        <w:rPr>
          <w:rStyle w:val="CommentReference"/>
        </w:rPr>
        <w:annotationRef/>
      </w:r>
      <w:r>
        <w:t>Reformat to be nicer inline</w:t>
      </w:r>
    </w:p>
  </w:comment>
  <w:comment w:id="35" w:author="Daniel Foster" w:date="2022-05-24T16:47:00Z" w:initials="DF">
    <w:p w14:paraId="65CB9711" w14:textId="77777777" w:rsidR="005D2253" w:rsidRDefault="005D2253" w:rsidP="008C5EA3">
      <w:pPr>
        <w:pStyle w:val="CommentText"/>
      </w:pPr>
      <w:r>
        <w:rPr>
          <w:rStyle w:val="CommentReference"/>
        </w:rPr>
        <w:annotationRef/>
      </w:r>
      <w:r>
        <w:t>Start here: it's really n'_i[1], the first element in a size distribution vector</w:t>
      </w:r>
    </w:p>
  </w:comment>
  <w:comment w:id="36" w:author="Daniel Foster" w:date="2022-04-14T16:38:00Z" w:initials="DF">
    <w:p w14:paraId="56583A44" w14:textId="77777777" w:rsidR="00DA5840" w:rsidRDefault="00DA5840">
      <w:pPr>
        <w:pStyle w:val="CommentText"/>
      </w:pPr>
      <w:r>
        <w:rPr>
          <w:rStyle w:val="CommentReference"/>
        </w:rPr>
        <w:annotationRef/>
      </w:r>
      <w:r>
        <w:t xml:space="preserve">PdV:A lot starts to get confusing here.  Your notation has l,t subscripts. You are replacing those with u,v for elements of an A_l,t matrix.  I see the sentence explaining that at the end of the paragraph, but the notation is still problematic because it is really A_{first index, second index}.  Choice of variable label for first index or second index should not change the meaning of the notation, ideally.  </w:t>
      </w:r>
    </w:p>
    <w:p w14:paraId="11C02769" w14:textId="77777777" w:rsidR="00DA5840" w:rsidRDefault="00DA5840">
      <w:pPr>
        <w:pStyle w:val="CommentText"/>
      </w:pPr>
    </w:p>
    <w:p w14:paraId="13B49F6B" w14:textId="77777777" w:rsidR="00DA5840" w:rsidRDefault="00DA5840">
      <w:pPr>
        <w:pStyle w:val="CommentText"/>
      </w:pPr>
      <w:r>
        <w:t xml:space="preserve">Also if I follow the g_u,1 is really g_u,v for v = 1, but v is not always 1, so I think this doesn’t work notation-wise for saying what I think you are trying to say, which I could be wrong about. Ditto for s1. </w:t>
      </w:r>
    </w:p>
    <w:p w14:paraId="13548F29" w14:textId="77777777" w:rsidR="00DA5840" w:rsidRDefault="00DA5840">
      <w:pPr>
        <w:pStyle w:val="CommentText"/>
      </w:pPr>
    </w:p>
    <w:p w14:paraId="2E04CFB8" w14:textId="77777777" w:rsidR="00DA5840" w:rsidRDefault="00DA5840">
      <w:pPr>
        <w:pStyle w:val="CommentText"/>
      </w:pPr>
      <w:r>
        <w:t>Also “from the smallest into the smallest two size classes” is hard for me to make sense of.</w:t>
      </w:r>
    </w:p>
    <w:p w14:paraId="09A185B0" w14:textId="77777777" w:rsidR="00DA5840" w:rsidRDefault="00DA5840">
      <w:pPr>
        <w:pStyle w:val="CommentText"/>
      </w:pPr>
    </w:p>
    <w:p w14:paraId="14925B20" w14:textId="77777777" w:rsidR="00DA5840" w:rsidRDefault="00DA5840">
      <w:pPr>
        <w:pStyle w:val="CommentText"/>
      </w:pPr>
      <w:r>
        <w:t>Also I wondering if the growth model here is parametrically linked to the growth model of larger individuals, or if it is toally separate.</w:t>
      </w:r>
    </w:p>
    <w:p w14:paraId="4DBE9837" w14:textId="77777777" w:rsidR="00DA5840" w:rsidRDefault="00DA5840">
      <w:pPr>
        <w:pStyle w:val="CommentText"/>
      </w:pPr>
    </w:p>
    <w:p w14:paraId="23E25BA9" w14:textId="77777777" w:rsidR="00DA5840" w:rsidRDefault="00DA5840">
      <w:pPr>
        <w:pStyle w:val="CommentText"/>
      </w:pPr>
      <w:r>
        <w:t>Also this is starting to seem like a lot to hope to estimate from two time points, but I could be wrong.</w:t>
      </w:r>
    </w:p>
    <w:p w14:paraId="3DE32887" w14:textId="77777777" w:rsidR="00DA5840" w:rsidRDefault="00DA5840">
      <w:pPr>
        <w:pStyle w:val="CommentText"/>
      </w:pPr>
    </w:p>
    <w:p w14:paraId="4E969D7B" w14:textId="77777777" w:rsidR="00DA5840" w:rsidRDefault="00DA5840">
      <w:pPr>
        <w:pStyle w:val="CommentText"/>
      </w:pPr>
      <w:r>
        <w:t>Summary: I put a lot of comments on this spot, but basically this part of the model I feel could benefit from clearer explanation.</w:t>
      </w:r>
    </w:p>
    <w:p w14:paraId="03245ABE" w14:textId="77777777" w:rsidR="00DA5840" w:rsidRDefault="00DA5840">
      <w:pPr>
        <w:pStyle w:val="CommentText"/>
      </w:pPr>
    </w:p>
    <w:p w14:paraId="24B9E372" w14:textId="77777777" w:rsidR="00DA5840" w:rsidRDefault="00DA5840">
      <w:pPr>
        <w:pStyle w:val="CommentText"/>
      </w:pPr>
      <w:r>
        <w:t>Also Equation 6 starts out of nowhere and “Where…” is not a sentence.</w:t>
      </w:r>
    </w:p>
    <w:p w14:paraId="0A575DA4" w14:textId="77777777" w:rsidR="00DA5840" w:rsidRDefault="00DA5840">
      <w:pPr>
        <w:pStyle w:val="CommentText"/>
      </w:pPr>
    </w:p>
    <w:p w14:paraId="54B02329" w14:textId="77777777" w:rsidR="00DA5840" w:rsidRDefault="00DA5840">
      <w:pPr>
        <w:pStyle w:val="CommentText"/>
      </w:pPr>
      <w:r>
        <w:t xml:space="preserve">Also I am confused about what is data vs latent state in equation 6.  I think all the elements of n_l,t are known (data), but do the smallest elements correspond to the c_l, t+1?  </w:t>
      </w:r>
    </w:p>
    <w:p w14:paraId="0441B9C9" w14:textId="77777777" w:rsidR="00DA5840" w:rsidRDefault="00DA5840">
      <w:pPr>
        <w:pStyle w:val="CommentText"/>
      </w:pPr>
    </w:p>
    <w:p w14:paraId="6880F7FC" w14:textId="77777777" w:rsidR="00DA5840" w:rsidRDefault="00DA5840" w:rsidP="007C579F">
      <w:pPr>
        <w:pStyle w:val="CommentText"/>
      </w:pPr>
      <w:r>
        <w:t>I know you refer readers to Shriver et al, and to some degree that’s fine, but I feel your write-up should be a notch or two higher on the self-contained scale.</w:t>
      </w:r>
    </w:p>
  </w:comment>
  <w:comment w:id="37" w:author="j battles" w:date="2022-02-14T06:06:00Z" w:initials="jjb">
    <w:p w14:paraId="01E2B449" w14:textId="36B65F94" w:rsidR="00FE1095" w:rsidRDefault="00FE1095" w:rsidP="00BF6BFE">
      <w:pPr>
        <w:pStyle w:val="CommentText"/>
      </w:pPr>
      <w:r>
        <w:rPr>
          <w:rStyle w:val="CommentReference"/>
        </w:rPr>
        <w:annotationRef/>
      </w:r>
      <w:r>
        <w:t>Can all size classes reproduce?</w:t>
      </w:r>
    </w:p>
  </w:comment>
  <w:comment w:id="39" w:author="j battles" w:date="2022-02-14T06:09:00Z" w:initials="jjb">
    <w:p w14:paraId="524881A6" w14:textId="77777777" w:rsidR="00FE1095" w:rsidRDefault="00FE1095" w:rsidP="000F5A37">
      <w:pPr>
        <w:pStyle w:val="CommentText"/>
      </w:pPr>
      <w:r>
        <w:rPr>
          <w:rStyle w:val="CommentReference"/>
        </w:rPr>
        <w:annotationRef/>
      </w:r>
      <w:r>
        <w:t xml:space="preserve">I am lost here in this sequence of equations. </w:t>
      </w:r>
    </w:p>
  </w:comment>
  <w:comment w:id="40" w:author="Daniel Foster" w:date="2022-04-14T16:39:00Z" w:initials="DF">
    <w:p w14:paraId="64B4D400" w14:textId="77777777" w:rsidR="00DA5840" w:rsidRDefault="00DA5840">
      <w:pPr>
        <w:pStyle w:val="CommentText"/>
      </w:pPr>
      <w:r>
        <w:rPr>
          <w:rStyle w:val="CommentReference"/>
        </w:rPr>
        <w:annotationRef/>
      </w:r>
      <w:r>
        <w:t>PdV: I recommend not starting a paragraph with an equation.  An equation can be thought of as part of a sentence, and then the “where” would be lower-case, to avoid having a sentence fragment (i.e., non-sentence).</w:t>
      </w:r>
    </w:p>
    <w:p w14:paraId="0836033B" w14:textId="77777777" w:rsidR="00DA5840" w:rsidRDefault="00DA5840">
      <w:pPr>
        <w:pStyle w:val="CommentText"/>
      </w:pPr>
    </w:p>
    <w:p w14:paraId="1B26B23F" w14:textId="77777777" w:rsidR="00DA5840" w:rsidRDefault="00DA5840">
      <w:pPr>
        <w:pStyle w:val="CommentText"/>
      </w:pPr>
      <w:r>
        <w:t>The equation has mu_l, but the paragraph refers to mu.  Are those the same?</w:t>
      </w:r>
    </w:p>
    <w:p w14:paraId="3690DD20" w14:textId="77777777" w:rsidR="00DA5840" w:rsidRDefault="00DA5840">
      <w:pPr>
        <w:pStyle w:val="CommentText"/>
      </w:pPr>
    </w:p>
    <w:p w14:paraId="6E7FDDFA" w14:textId="77777777" w:rsidR="00DA5840" w:rsidRDefault="00DA5840">
      <w:pPr>
        <w:pStyle w:val="CommentText"/>
      </w:pPr>
      <w:r>
        <w:t>Does this equation mean that equation 4 is also used for equation 7?  That feels confusing because equations 5-7 were introduced as a separate (I thought) IPM for recruitment, but maybe not really separate?  Are they “itself an integral projection model” or really part of a single model with the larger trees?</w:t>
      </w:r>
    </w:p>
    <w:p w14:paraId="3A73B95B" w14:textId="77777777" w:rsidR="00DA5840" w:rsidRDefault="00DA5840">
      <w:pPr>
        <w:pStyle w:val="CommentText"/>
      </w:pPr>
    </w:p>
    <w:p w14:paraId="049AA384" w14:textId="77777777" w:rsidR="00DA5840" w:rsidRDefault="00DA5840" w:rsidP="00686AA4">
      <w:pPr>
        <w:pStyle w:val="CommentText"/>
      </w:pPr>
      <w:r>
        <w:t>Can you state the interpretation of this equation?</w:t>
      </w:r>
    </w:p>
  </w:comment>
  <w:comment w:id="41" w:author="Daniel Foster" w:date="2022-02-15T12:06:00Z" w:initials="DF">
    <w:p w14:paraId="2F6B9171" w14:textId="3B7FAF0F" w:rsidR="007108F6" w:rsidRDefault="007108F6">
      <w:pPr>
        <w:pStyle w:val="CommentText"/>
      </w:pPr>
      <w:r>
        <w:rPr>
          <w:rStyle w:val="CommentReference"/>
        </w:rPr>
        <w:annotationRef/>
      </w:r>
      <w:r>
        <w:t>Add year</w:t>
      </w:r>
    </w:p>
  </w:comment>
  <w:comment w:id="42" w:author="Daniel Foster" w:date="2022-04-14T16:41:00Z" w:initials="DF">
    <w:p w14:paraId="0BB07E8F" w14:textId="77777777" w:rsidR="00DA5840" w:rsidRDefault="00DA5840" w:rsidP="00BB7264">
      <w:pPr>
        <w:pStyle w:val="CommentText"/>
      </w:pPr>
      <w:r>
        <w:rPr>
          <w:rStyle w:val="CommentReference"/>
        </w:rPr>
        <w:annotationRef/>
      </w:r>
      <w:r>
        <w:t>PdV: Is this described in the literature as a basis for determining that something can’t be estimated (what you’ve called non-identifiability?).  I often see people think that bad MCMC mixing means the model is bad, and that is incorrect reasoning.</w:t>
      </w:r>
    </w:p>
  </w:comment>
  <w:comment w:id="43" w:author="Daniel Foster" w:date="2022-04-14T16:43:00Z" w:initials="DF">
    <w:p w14:paraId="547F0D74" w14:textId="77777777" w:rsidR="00DA5840" w:rsidRDefault="00DA5840" w:rsidP="00611030">
      <w:pPr>
        <w:pStyle w:val="CommentText"/>
      </w:pPr>
      <w:r>
        <w:rPr>
          <w:rStyle w:val="CommentReference"/>
        </w:rPr>
        <w:annotationRef/>
      </w:r>
      <w:r>
        <w:t>PdV: I think in terms of IPM and stats methodology, the recruitment part of this endeavor is the hardest and perhaps most nebulous.  Separating fecundity from survival for untagged individuals that could be really entering each year in the entire 10-year interval seems like it can only be coarse and approximate.  Am I missing some intuition on why it should work?</w:t>
      </w:r>
    </w:p>
  </w:comment>
  <w:comment w:id="45" w:author="j battles" w:date="2022-02-14T06:54:00Z" w:initials="jjb">
    <w:p w14:paraId="5B58A15D" w14:textId="3E611DF8" w:rsidR="005A03F5" w:rsidRDefault="005A03F5" w:rsidP="002114DB">
      <w:pPr>
        <w:pStyle w:val="CommentText"/>
      </w:pPr>
      <w:r>
        <w:rPr>
          <w:rStyle w:val="CommentReference"/>
        </w:rPr>
        <w:annotationRef/>
      </w:r>
      <w:r>
        <w:t>Packages require citations I think</w:t>
      </w:r>
    </w:p>
  </w:comment>
  <w:comment w:id="46" w:author="Daniel Foster" w:date="2022-04-14T16:46:00Z" w:initials="DF">
    <w:p w14:paraId="28859AF8" w14:textId="77777777" w:rsidR="00907D59" w:rsidRDefault="00907D59" w:rsidP="009127D2">
      <w:pPr>
        <w:pStyle w:val="CommentText"/>
      </w:pPr>
      <w:r>
        <w:rPr>
          <w:rStyle w:val="CommentReference"/>
        </w:rPr>
        <w:annotationRef/>
      </w:r>
      <w:r>
        <w:t>PdV: Some would say it would be worth trying smaller bins and computing longer to check the sensitivity to bin width.  Depends on programmatically your code is set up whether that would be easy or hard to do.</w:t>
      </w:r>
    </w:p>
  </w:comment>
  <w:comment w:id="47" w:author="j battles" w:date="2022-02-14T06:55:00Z" w:initials="jjb">
    <w:p w14:paraId="57FF6C4B" w14:textId="2896D318" w:rsidR="005A03F5" w:rsidRDefault="005A03F5" w:rsidP="007F5BF6">
      <w:pPr>
        <w:pStyle w:val="CommentText"/>
      </w:pPr>
      <w:r>
        <w:rPr>
          <w:rStyle w:val="CommentReference"/>
        </w:rPr>
        <w:annotationRef/>
      </w:r>
      <w:r>
        <w:t>Seems like you are going halfway here. Either full description/citation or include in supplement.</w:t>
      </w:r>
    </w:p>
  </w:comment>
  <w:comment w:id="48" w:author="Daniel Foster" w:date="2022-02-15T12:22:00Z" w:initials="DF">
    <w:p w14:paraId="74072166" w14:textId="0F279BE8" w:rsidR="000B15A1" w:rsidRDefault="000B15A1">
      <w:pPr>
        <w:pStyle w:val="CommentText"/>
      </w:pPr>
      <w:r>
        <w:rPr>
          <w:rStyle w:val="CommentReference"/>
        </w:rPr>
        <w:annotationRef/>
      </w:r>
      <w:r>
        <w:t>JJB: need to define rhat</w:t>
      </w:r>
    </w:p>
  </w:comment>
  <w:comment w:id="49" w:author="j battles" w:date="2022-02-14T07:34:00Z" w:initials="jjb">
    <w:p w14:paraId="504CE0B5" w14:textId="6A8FE301" w:rsidR="00A128BA" w:rsidRDefault="00A128BA" w:rsidP="00751A10">
      <w:pPr>
        <w:pStyle w:val="CommentText"/>
      </w:pPr>
      <w:r>
        <w:rPr>
          <w:rStyle w:val="CommentReference"/>
        </w:rPr>
        <w:annotationRef/>
      </w:r>
      <w:r>
        <w:t>Info out of order</w:t>
      </w:r>
    </w:p>
  </w:comment>
  <w:comment w:id="50" w:author="j battles" w:date="2022-02-14T07:47:00Z" w:initials="jjb">
    <w:p w14:paraId="31D20EEB" w14:textId="77777777" w:rsidR="004C5044" w:rsidRDefault="004C5044" w:rsidP="00E97A29">
      <w:pPr>
        <w:pStyle w:val="CommentText"/>
      </w:pPr>
      <w:r>
        <w:rPr>
          <w:rStyle w:val="CommentReference"/>
        </w:rPr>
        <w:annotationRef/>
      </w:r>
      <w:r>
        <w:t>Word choice?</w:t>
      </w:r>
    </w:p>
  </w:comment>
  <w:comment w:id="51" w:author="Daniel Foster" w:date="2022-04-14T16:52:00Z" w:initials="DF">
    <w:p w14:paraId="4B388982" w14:textId="77777777" w:rsidR="006B7651" w:rsidRDefault="006B7651" w:rsidP="000D377C">
      <w:pPr>
        <w:pStyle w:val="CommentText"/>
      </w:pPr>
      <w:r>
        <w:rPr>
          <w:rStyle w:val="CommentReference"/>
        </w:rPr>
        <w:annotationRef/>
      </w:r>
      <w:r>
        <w:t>PdV: These are really well done.  See comment there.  Nice job on these!</w:t>
      </w:r>
    </w:p>
  </w:comment>
  <w:comment w:id="53" w:author="Daniel Foster" w:date="2022-04-14T17:02:00Z" w:initials="DF">
    <w:p w14:paraId="1076B911" w14:textId="77777777" w:rsidR="00B95CE0" w:rsidRDefault="00B95CE0" w:rsidP="009C530B">
      <w:pPr>
        <w:pStyle w:val="CommentText"/>
      </w:pPr>
      <w:r>
        <w:rPr>
          <w:rStyle w:val="CommentReference"/>
        </w:rPr>
        <w:annotationRef/>
      </w:r>
      <w:r>
        <w:t>PdV: See above comments about your A notation.  You could use A_u,v(c, d), for example.</w:t>
      </w:r>
    </w:p>
  </w:comment>
  <w:comment w:id="54" w:author="Daniel Foster" w:date="2022-04-14T17:02:00Z" w:initials="DF">
    <w:p w14:paraId="7F29A7A3" w14:textId="77777777" w:rsidR="00B95CE0" w:rsidRDefault="00B95CE0" w:rsidP="00E503F7">
      <w:pPr>
        <w:pStyle w:val="CommentText"/>
      </w:pPr>
      <w:r>
        <w:rPr>
          <w:rStyle w:val="CommentReference"/>
        </w:rPr>
        <w:annotationRef/>
      </w:r>
      <w:r>
        <w:t>asymptotic</w:t>
      </w:r>
    </w:p>
  </w:comment>
  <w:comment w:id="55" w:author="Daniel Foster" w:date="2022-04-14T17:01:00Z" w:initials="DF">
    <w:p w14:paraId="55ACDD77" w14:textId="7C111471" w:rsidR="00B95CE0" w:rsidRDefault="00B95CE0" w:rsidP="00F87982">
      <w:pPr>
        <w:pStyle w:val="CommentText"/>
      </w:pPr>
      <w:r>
        <w:rPr>
          <w:rStyle w:val="CommentReference"/>
        </w:rPr>
        <w:annotationRef/>
      </w:r>
      <w:r>
        <w:t>PdV: Paragraph break here.</w:t>
      </w:r>
    </w:p>
  </w:comment>
  <w:comment w:id="56" w:author="Daniel Foster" w:date="2022-02-15T12:19:00Z" w:initials="DF">
    <w:p w14:paraId="53C8D511" w14:textId="63B913CB" w:rsidR="000B15A1" w:rsidRDefault="000B15A1">
      <w:pPr>
        <w:pStyle w:val="CommentText"/>
      </w:pPr>
      <w:r>
        <w:rPr>
          <w:rStyle w:val="CommentReference"/>
        </w:rPr>
        <w:annotationRef/>
      </w:r>
      <w:r>
        <w:t>JJB: results are all in 10-year-interval-land, need to map them to annual values</w:t>
      </w:r>
    </w:p>
  </w:comment>
  <w:comment w:id="57" w:author="Daniel Foster" w:date="2022-02-15T12:20:00Z" w:initials="DF">
    <w:p w14:paraId="2B53ED64" w14:textId="336CC8AC" w:rsidR="000B15A1" w:rsidRDefault="000B15A1">
      <w:pPr>
        <w:pStyle w:val="CommentText"/>
      </w:pPr>
      <w:r>
        <w:rPr>
          <w:rStyle w:val="CommentReference"/>
        </w:rPr>
        <w:annotationRef/>
      </w:r>
      <w:r>
        <w:t>Jjb: easy way is to just provide more info about what a census interval is (distribution of intervals)</w:t>
      </w:r>
    </w:p>
  </w:comment>
  <w:comment w:id="58" w:author="Daniel Foster" w:date="2022-04-14T17:02:00Z" w:initials="DF">
    <w:p w14:paraId="711AC4A4" w14:textId="77777777" w:rsidR="00B95CE0" w:rsidRDefault="00B95CE0" w:rsidP="003A3D10">
      <w:pPr>
        <w:pStyle w:val="CommentText"/>
      </w:pPr>
      <w:r>
        <w:rPr>
          <w:rStyle w:val="CommentReference"/>
        </w:rPr>
        <w:annotationRef/>
      </w:r>
      <w:r>
        <w:t>See comments above: I don’t know what this all means very clearly.</w:t>
      </w:r>
    </w:p>
  </w:comment>
  <w:comment w:id="59" w:author="j battles" w:date="2022-02-14T07:50:00Z" w:initials="jjb">
    <w:p w14:paraId="14DD7EF8" w14:textId="2AF6B354" w:rsidR="004C5044" w:rsidRDefault="004C5044" w:rsidP="00EB16E5">
      <w:pPr>
        <w:pStyle w:val="CommentText"/>
      </w:pPr>
      <w:r>
        <w:rPr>
          <w:rStyle w:val="CommentReference"/>
        </w:rPr>
        <w:annotationRef/>
      </w:r>
      <w:r>
        <w:t>So validation is just a yes/no type response? How good is the model?</w:t>
      </w:r>
    </w:p>
  </w:comment>
  <w:comment w:id="60" w:author="j battles" w:date="2022-02-14T08:03:00Z" w:initials="jjb">
    <w:p w14:paraId="3C23C491" w14:textId="77777777" w:rsidR="00A22F02" w:rsidRDefault="001C02F2" w:rsidP="000F1741">
      <w:pPr>
        <w:pStyle w:val="CommentText"/>
      </w:pPr>
      <w:r>
        <w:rPr>
          <w:rStyle w:val="CommentReference"/>
        </w:rPr>
        <w:annotationRef/>
      </w:r>
      <w:r w:rsidR="00A22F02">
        <w:t>The appropriate metric for growth is always an issue. DBH has a scale problem, but then again size is in the model. So the stats are OK but the interpretation lends itself to misinterpretation. Big trees grew faster at a rate proportional to the square of the DBH.</w:t>
      </w:r>
    </w:p>
  </w:comment>
  <w:comment w:id="61" w:author="Daniel Foster" w:date="2022-04-14T17:04:00Z" w:initials="DF">
    <w:p w14:paraId="73D3D6EC" w14:textId="77777777" w:rsidR="00B95CE0" w:rsidRDefault="00B95CE0" w:rsidP="00134424">
      <w:pPr>
        <w:pStyle w:val="CommentText"/>
      </w:pPr>
      <w:r>
        <w:rPr>
          <w:rStyle w:val="CommentReference"/>
        </w:rPr>
        <w:annotationRef/>
      </w:r>
      <w:r>
        <w:t>PdV: BTW, another term if you want something less arcane would be “long-term”, just noting that.</w:t>
      </w:r>
    </w:p>
  </w:comment>
  <w:comment w:id="62" w:author="Daniel Foster" w:date="2022-04-14T17:04:00Z" w:initials="DF">
    <w:p w14:paraId="1DCA23AA" w14:textId="14595BC0" w:rsidR="00B95CE0" w:rsidRDefault="00B95CE0" w:rsidP="00297E89">
      <w:pPr>
        <w:pStyle w:val="CommentText"/>
      </w:pPr>
      <w:r>
        <w:rPr>
          <w:rStyle w:val="CommentReference"/>
        </w:rPr>
        <w:annotationRef/>
      </w:r>
      <w:r>
        <w:t>PdV: I only skimmed this.</w:t>
      </w:r>
    </w:p>
  </w:comment>
  <w:comment w:id="63" w:author="j battles" w:date="2022-02-14T08:19:00Z" w:initials="jjb">
    <w:p w14:paraId="00FAAEC5" w14:textId="6EC6F7F0" w:rsidR="008A2F91" w:rsidRDefault="008A2F91">
      <w:pPr>
        <w:pStyle w:val="CommentText"/>
      </w:pPr>
      <w:r>
        <w:rPr>
          <w:rStyle w:val="CommentReference"/>
        </w:rPr>
        <w:annotationRef/>
      </w:r>
      <w:r>
        <w:t xml:space="preserve">Not your first question. Answer them in the order posed: </w:t>
      </w:r>
    </w:p>
    <w:p w14:paraId="2C0F7CD5" w14:textId="77777777" w:rsidR="008A2F91" w:rsidRDefault="008A2F91">
      <w:pPr>
        <w:pStyle w:val="CommentText"/>
      </w:pPr>
      <w:r>
        <w:t>What is the current status and trajectory of the ensemble of sugar pine populations across its range?</w:t>
      </w:r>
    </w:p>
    <w:p w14:paraId="6934B2DF" w14:textId="77777777" w:rsidR="008A2F91" w:rsidRDefault="008A2F91" w:rsidP="0089566E">
      <w:pPr>
        <w:pStyle w:val="CommentText"/>
      </w:pPr>
      <w:r>
        <w:t>What is the relative importance of the various stressors acting on sugar pine?</w:t>
      </w:r>
    </w:p>
  </w:comment>
  <w:comment w:id="64" w:author="j battles" w:date="2022-02-14T08:19:00Z" w:initials="jjb">
    <w:p w14:paraId="1E7BE88B" w14:textId="77777777" w:rsidR="008A2F91" w:rsidRDefault="008A2F91" w:rsidP="003F49B7">
      <w:pPr>
        <w:pStyle w:val="CommentText"/>
      </w:pPr>
      <w:r>
        <w:rPr>
          <w:rStyle w:val="CommentReference"/>
        </w:rPr>
        <w:annotationRef/>
      </w:r>
      <w:r>
        <w:t>Can you do a demographic sensitivity analysis?</w:t>
      </w:r>
    </w:p>
  </w:comment>
  <w:comment w:id="65" w:author="j battles" w:date="2022-02-14T08:23:00Z" w:initials="jjb">
    <w:p w14:paraId="25C3DF89" w14:textId="77777777" w:rsidR="00A47588" w:rsidRDefault="00A47588" w:rsidP="002F1C58">
      <w:pPr>
        <w:pStyle w:val="CommentText"/>
      </w:pPr>
      <w:r>
        <w:rPr>
          <w:rStyle w:val="CommentReference"/>
        </w:rPr>
        <w:annotationRef/>
      </w:r>
      <w:r>
        <w:t>Not sure what you mean by temporary. Do you mean it is an one-time disturbance and not a chronic stressor?</w:t>
      </w:r>
    </w:p>
  </w:comment>
  <w:comment w:id="66" w:author="j battles" w:date="2022-02-14T08:25:00Z" w:initials="jjb">
    <w:p w14:paraId="2CE9BFA9" w14:textId="77777777" w:rsidR="00A47588" w:rsidRDefault="00A47588" w:rsidP="00CF6252">
      <w:pPr>
        <w:pStyle w:val="CommentText"/>
      </w:pPr>
      <w:r>
        <w:rPr>
          <w:rStyle w:val="CommentReference"/>
        </w:rPr>
        <w:annotationRef/>
      </w:r>
      <w:r>
        <w:t>Relevance?</w:t>
      </w:r>
    </w:p>
  </w:comment>
  <w:comment w:id="67" w:author="j battles" w:date="2022-02-14T08:30:00Z" w:initials="jjb">
    <w:p w14:paraId="28535D48" w14:textId="77777777" w:rsidR="00A47588" w:rsidRDefault="00A47588" w:rsidP="005563B4">
      <w:pPr>
        <w:pStyle w:val="CommentText"/>
      </w:pPr>
      <w:r>
        <w:rPr>
          <w:rStyle w:val="CommentReference"/>
        </w:rPr>
        <w:annotationRef/>
      </w:r>
      <w:r>
        <w:t xml:space="preserve">Yes but consider the timing. What 10 year interval did you sample? </w:t>
      </w:r>
    </w:p>
  </w:comment>
  <w:comment w:id="69" w:author="Daniel Foster" w:date="2022-02-15T12:30:00Z" w:initials="DF">
    <w:p w14:paraId="6DD3F7DE" w14:textId="37D10956" w:rsidR="002626E1" w:rsidRDefault="002626E1">
      <w:pPr>
        <w:pStyle w:val="CommentText"/>
      </w:pPr>
      <w:r>
        <w:rPr>
          <w:rStyle w:val="CommentReference"/>
        </w:rPr>
        <w:annotationRef/>
      </w:r>
      <w:r>
        <w:t>TS: This is very interesting- can you provide a more specific example or theoretical scenario similar to the examples provided above this?</w:t>
      </w:r>
    </w:p>
  </w:comment>
  <w:comment w:id="68" w:author="j battles" w:date="2022-02-14T08:35:00Z" w:initials="jjb">
    <w:p w14:paraId="792E6663" w14:textId="77777777" w:rsidR="00832E90" w:rsidRDefault="00832E90" w:rsidP="004215BA">
      <w:pPr>
        <w:pStyle w:val="CommentText"/>
      </w:pPr>
      <w:r>
        <w:rPr>
          <w:rStyle w:val="CommentReference"/>
        </w:rPr>
        <w:annotationRef/>
      </w:r>
      <w:r>
        <w:t>Important point. Develop.</w:t>
      </w:r>
    </w:p>
  </w:comment>
  <w:comment w:id="70" w:author="Daniel Foster" w:date="2022-02-15T12:14:00Z" w:initials="DF">
    <w:p w14:paraId="1549214D" w14:textId="7BCD5C98" w:rsidR="00B13331" w:rsidRDefault="00B13331">
      <w:pPr>
        <w:pStyle w:val="CommentText"/>
      </w:pPr>
      <w:r>
        <w:rPr>
          <w:rStyle w:val="CommentReference"/>
        </w:rPr>
        <w:annotationRef/>
      </w:r>
      <w:r>
        <w:t>Ss: add cite for stephens 2005</w:t>
      </w:r>
    </w:p>
  </w:comment>
  <w:comment w:id="71" w:author="j battles" w:date="2022-02-14T08:42:00Z" w:initials="jjb">
    <w:p w14:paraId="27EAFBC6" w14:textId="77777777" w:rsidR="00832E90" w:rsidRDefault="00832E90" w:rsidP="004D63AB">
      <w:pPr>
        <w:pStyle w:val="CommentText"/>
      </w:pPr>
      <w:r>
        <w:rPr>
          <w:rStyle w:val="CommentReference"/>
        </w:rPr>
        <w:annotationRef/>
      </w:r>
      <w:r>
        <w:t>Huh?</w:t>
      </w:r>
    </w:p>
  </w:comment>
  <w:comment w:id="73" w:author="j battles" w:date="2022-02-14T08:42:00Z" w:initials="jjb">
    <w:p w14:paraId="0B0CAB76" w14:textId="77777777" w:rsidR="00832E90" w:rsidRDefault="00832E90" w:rsidP="00A20768">
      <w:pPr>
        <w:pStyle w:val="CommentText"/>
      </w:pPr>
      <w:r>
        <w:rPr>
          <w:rStyle w:val="CommentReference"/>
        </w:rPr>
        <w:annotationRef/>
      </w:r>
      <w:r>
        <w:t xml:space="preserve">Need to set-up these management recommendations. </w:t>
      </w:r>
    </w:p>
  </w:comment>
  <w:comment w:id="72" w:author="Daniel Foster" w:date="2022-02-15T12:30:00Z" w:initials="DF">
    <w:p w14:paraId="0F91713B" w14:textId="4198F13E" w:rsidR="002626E1" w:rsidRDefault="002626E1">
      <w:pPr>
        <w:pStyle w:val="CommentText"/>
      </w:pPr>
      <w:r>
        <w:rPr>
          <w:rStyle w:val="CommentReference"/>
        </w:rPr>
        <w:annotationRef/>
      </w:r>
      <w:r>
        <w:t>TS: Such a great results section! You provided fantastic context for your results and help the reader understand the significance of all your modeling, etc. Really well done. My one question which I’ll bring up in lab meeting is about disentangling CWD from fire risk just as a general conceptual premise. If CWD contributes to fire risk, whats the best approach to acknowledging that while also presenting an analysis that isolates the two. Overall, you should be really proud of your work!</w:t>
      </w:r>
    </w:p>
  </w:comment>
  <w:comment w:id="80" w:author="Daniel Foster" w:date="2022-04-14T16:54:00Z" w:initials="DF">
    <w:p w14:paraId="30648AA3" w14:textId="77777777" w:rsidR="00090276" w:rsidRDefault="00090276" w:rsidP="007D5C0E">
      <w:pPr>
        <w:pStyle w:val="CommentText"/>
      </w:pPr>
      <w:r>
        <w:rPr>
          <w:rStyle w:val="CommentReference"/>
        </w:rPr>
        <w:annotationRef/>
      </w:r>
      <w:r>
        <w:t>PdV: This is very nicely done.  I’ve seen so many derived posterior results figures that are hard to make sense and use poor graphical choices.  Nice job.</w:t>
      </w:r>
    </w:p>
  </w:comment>
  <w:comment w:id="81" w:author="Daniel Foster" w:date="2022-06-01T09:54:00Z" w:initials="DF">
    <w:p w14:paraId="303A7E9A" w14:textId="77777777" w:rsidR="00D750DC" w:rsidRDefault="00D750DC" w:rsidP="00C639FA">
      <w:pPr>
        <w:pStyle w:val="CommentText"/>
      </w:pPr>
      <w:r>
        <w:rPr>
          <w:rStyle w:val="CommentReference"/>
        </w:rPr>
        <w:annotationRef/>
      </w:r>
      <w:r>
        <w:t>This is actually a growth rate</w:t>
      </w:r>
    </w:p>
  </w:comment>
  <w:comment w:id="82" w:author="Daniel Foster" w:date="2022-06-01T09:55:00Z" w:initials="DF">
    <w:p w14:paraId="121FC835" w14:textId="77777777" w:rsidR="00D750DC" w:rsidRDefault="00D750DC" w:rsidP="000D10CD">
      <w:pPr>
        <w:pStyle w:val="CommentText"/>
      </w:pPr>
      <w:r>
        <w:rPr>
          <w:rStyle w:val="CommentReference"/>
        </w:rPr>
        <w:annotationRef/>
      </w:r>
      <w:r>
        <w:t>Way to think about this is in relative comparative terms, in the text convert to real terms</w:t>
      </w:r>
    </w:p>
  </w:comment>
  <w:comment w:id="84" w:author="Daniel Foster" w:date="2022-06-01T09:51:00Z" w:initials="DF">
    <w:p w14:paraId="3464CB31" w14:textId="68505784" w:rsidR="00D750DC" w:rsidRDefault="00D750DC" w:rsidP="005C5735">
      <w:pPr>
        <w:pStyle w:val="CommentText"/>
      </w:pPr>
      <w:r>
        <w:rPr>
          <w:rStyle w:val="CommentReference"/>
        </w:rPr>
        <w:annotationRef/>
      </w:r>
      <w:r>
        <w:t>Standardize scales</w:t>
      </w:r>
    </w:p>
  </w:comment>
  <w:comment w:id="85" w:author="Daniel Foster" w:date="2022-06-01T09:55:00Z" w:initials="DF">
    <w:p w14:paraId="3BEAB2E0" w14:textId="77777777" w:rsidR="00D750DC" w:rsidRDefault="00D750DC" w:rsidP="00F4286A">
      <w:pPr>
        <w:pStyle w:val="CommentText"/>
      </w:pPr>
      <w:r>
        <w:rPr>
          <w:rStyle w:val="CommentReference"/>
        </w:rPr>
        <w:annotationRef/>
      </w:r>
      <w:r>
        <w:t>Per capita replacement rate over a decade</w:t>
      </w:r>
    </w:p>
  </w:comment>
  <w:comment w:id="86" w:author="Daniel Foster" w:date="2022-06-01T09:58:00Z" w:initials="DF">
    <w:p w14:paraId="144835F8" w14:textId="77777777" w:rsidR="00427DBC" w:rsidRDefault="00427DBC" w:rsidP="00DA39B1">
      <w:pPr>
        <w:pStyle w:val="CommentText"/>
      </w:pPr>
      <w:r>
        <w:rPr>
          <w:rStyle w:val="CommentReference"/>
        </w:rPr>
        <w:annotationRef/>
      </w:r>
      <w:r>
        <w:t>Repeatedly interpret rates for a small (20cm) and a big (100cm) tree</w:t>
      </w:r>
    </w:p>
  </w:comment>
  <w:comment w:id="95" w:author="j battles" w:date="2022-02-14T07:57:00Z" w:initials="jjb">
    <w:p w14:paraId="7A77AEE1" w14:textId="314B15A7" w:rsidR="001C02F2" w:rsidRDefault="001C02F2" w:rsidP="00965CD0">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6E9554" w15:done="0"/>
  <w15:commentEx w15:paraId="7FE583B2" w15:done="1"/>
  <w15:commentEx w15:paraId="7D74136D" w15:done="1"/>
  <w15:commentEx w15:paraId="1887F201" w15:done="1"/>
  <w15:commentEx w15:paraId="1E38F6F8" w15:done="1"/>
  <w15:commentEx w15:paraId="29B2D88F" w15:done="0"/>
  <w15:commentEx w15:paraId="5289D00C" w15:done="1"/>
  <w15:commentEx w15:paraId="1740E1C3" w15:done="1"/>
  <w15:commentEx w15:paraId="1DA08E0E" w15:done="1"/>
  <w15:commentEx w15:paraId="18B30F1A" w15:done="1"/>
  <w15:commentEx w15:paraId="59E7DADC" w15:done="1"/>
  <w15:commentEx w15:paraId="7E316F93" w15:paraIdParent="59E7DADC" w15:done="1"/>
  <w15:commentEx w15:paraId="27299236" w15:done="1"/>
  <w15:commentEx w15:paraId="060D81E0" w15:done="1"/>
  <w15:commentEx w15:paraId="2A6403CB" w15:done="1"/>
  <w15:commentEx w15:paraId="6866659D" w15:done="1"/>
  <w15:commentEx w15:paraId="21E219BD" w15:paraIdParent="6866659D" w15:done="1"/>
  <w15:commentEx w15:paraId="4AB51EEC" w15:done="1"/>
  <w15:commentEx w15:paraId="64DC206F" w15:paraIdParent="4AB51EEC" w15:done="1"/>
  <w15:commentEx w15:paraId="011023D5" w15:done="1"/>
  <w15:commentEx w15:paraId="0674A2C4" w15:done="1"/>
  <w15:commentEx w15:paraId="7920D9D5" w15:done="1"/>
  <w15:commentEx w15:paraId="28858193" w15:done="1"/>
  <w15:commentEx w15:paraId="54BCD148" w15:done="1"/>
  <w15:commentEx w15:paraId="31782CEE" w15:done="0"/>
  <w15:commentEx w15:paraId="484A4806" w15:done="1"/>
  <w15:commentEx w15:paraId="185E502C" w15:paraIdParent="484A4806" w15:done="1"/>
  <w15:commentEx w15:paraId="4EA188E8" w15:done="1"/>
  <w15:commentEx w15:paraId="43179952" w15:done="0"/>
  <w15:commentEx w15:paraId="4F850460" w15:done="1"/>
  <w15:commentEx w15:paraId="023A6CC2" w15:done="1"/>
  <w15:commentEx w15:paraId="65CB9711" w15:done="1"/>
  <w15:commentEx w15:paraId="6880F7FC" w15:done="1"/>
  <w15:commentEx w15:paraId="01E2B449" w15:done="1"/>
  <w15:commentEx w15:paraId="524881A6" w15:done="1"/>
  <w15:commentEx w15:paraId="049AA384" w15:done="1"/>
  <w15:commentEx w15:paraId="2F6B9171" w15:done="1"/>
  <w15:commentEx w15:paraId="0BB07E8F" w15:done="1"/>
  <w15:commentEx w15:paraId="547F0D74" w15:done="1"/>
  <w15:commentEx w15:paraId="5B58A15D" w15:done="0"/>
  <w15:commentEx w15:paraId="28859AF8" w15:done="1"/>
  <w15:commentEx w15:paraId="57FF6C4B" w15:done="0"/>
  <w15:commentEx w15:paraId="74072166" w15:done="0"/>
  <w15:commentEx w15:paraId="504CE0B5" w15:done="1"/>
  <w15:commentEx w15:paraId="31D20EEB" w15:done="1"/>
  <w15:commentEx w15:paraId="4B388982" w15:done="1"/>
  <w15:commentEx w15:paraId="1076B911" w15:done="1"/>
  <w15:commentEx w15:paraId="7F29A7A3" w15:done="1"/>
  <w15:commentEx w15:paraId="55ACDD77" w15:done="1"/>
  <w15:commentEx w15:paraId="53C8D511" w15:done="1"/>
  <w15:commentEx w15:paraId="2B53ED64" w15:paraIdParent="53C8D511" w15:done="1"/>
  <w15:commentEx w15:paraId="711AC4A4" w15:done="1"/>
  <w15:commentEx w15:paraId="14DD7EF8" w15:done="1"/>
  <w15:commentEx w15:paraId="3C23C491" w15:done="1"/>
  <w15:commentEx w15:paraId="73D3D6EC" w15:done="1"/>
  <w15:commentEx w15:paraId="1DCA23AA" w15:done="1"/>
  <w15:commentEx w15:paraId="6934B2DF" w15:done="1"/>
  <w15:commentEx w15:paraId="1E7BE88B" w15:done="1"/>
  <w15:commentEx w15:paraId="25C3DF89" w15:done="1"/>
  <w15:commentEx w15:paraId="2CE9BFA9" w15:done="1"/>
  <w15:commentEx w15:paraId="28535D48" w15:done="1"/>
  <w15:commentEx w15:paraId="6DD3F7DE" w15:done="1"/>
  <w15:commentEx w15:paraId="792E6663" w15:done="1"/>
  <w15:commentEx w15:paraId="1549214D" w15:done="1"/>
  <w15:commentEx w15:paraId="27EAFBC6" w15:done="1"/>
  <w15:commentEx w15:paraId="0B0CAB76" w15:done="1"/>
  <w15:commentEx w15:paraId="0F91713B" w15:done="1"/>
  <w15:commentEx w15:paraId="30648AA3" w15:done="1"/>
  <w15:commentEx w15:paraId="303A7E9A" w15:done="0"/>
  <w15:commentEx w15:paraId="121FC835" w15:paraIdParent="303A7E9A" w15:done="0"/>
  <w15:commentEx w15:paraId="3464CB31" w15:done="0"/>
  <w15:commentEx w15:paraId="3BEAB2E0" w15:paraIdParent="3464CB31" w15:done="0"/>
  <w15:commentEx w15:paraId="144835F8" w15:paraIdParent="3464CB31" w15:done="0"/>
  <w15:commentEx w15:paraId="7A77AE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61921" w16cex:dateUtc="2022-02-15T20:20:00Z"/>
  <w16cex:commentExtensible w16cex:durableId="25B45D95" w16cex:dateUtc="2022-02-14T12:48:00Z"/>
  <w16cex:commentExtensible w16cex:durableId="25B45DB5" w16cex:dateUtc="2022-02-14T12:48:00Z"/>
  <w16cex:commentExtensible w16cex:durableId="25B612CF" w16cex:dateUtc="2022-02-15T19:53:00Z"/>
  <w16cex:commentExtensible w16cex:durableId="25B45D59" w16cex:dateUtc="2022-02-14T12:47:00Z"/>
  <w16cex:commentExtensible w16cex:durableId="25B619D9" w16cex:dateUtc="2022-02-15T20:23:00Z"/>
  <w16cex:commentExtensible w16cex:durableId="25B6132A" w16cex:dateUtc="2022-02-15T19:55:00Z"/>
  <w16cex:commentExtensible w16cex:durableId="25B61A3F" w16cex:dateUtc="2022-02-15T20:25:00Z"/>
  <w16cex:commentExtensible w16cex:durableId="25B45E87" w16cex:dateUtc="2022-02-14T12:52:00Z"/>
  <w16cex:commentExtensible w16cex:durableId="25B45EED" w16cex:dateUtc="2022-02-14T12:54:00Z"/>
  <w16cex:commentExtensible w16cex:durableId="25B614BB" w16cex:dateUtc="2022-02-15T20:02:00Z"/>
  <w16cex:commentExtensible w16cex:durableId="2628C774" w16cex:dateUtc="2022-05-13T19:03:00Z"/>
  <w16cex:commentExtensible w16cex:durableId="25B462DB" w16cex:dateUtc="2022-02-14T13:10:00Z"/>
  <w16cex:commentExtensible w16cex:durableId="25B614EA" w16cex:dateUtc="2022-02-15T20:02:00Z"/>
  <w16cex:commentExtensible w16cex:durableId="25B61A64" w16cex:dateUtc="2022-02-15T20:26:00Z"/>
  <w16cex:commentExtensible w16cex:durableId="25B61880" w16cex:dateUtc="2022-02-15T20:18:00Z"/>
  <w16cex:commentExtensible w16cex:durableId="25B61891" w16cex:dateUtc="2022-02-15T20:18:00Z"/>
  <w16cex:commentExtensible w16cex:durableId="25B6188C" w16cex:dateUtc="2022-02-15T20:18:00Z"/>
  <w16cex:commentExtensible w16cex:durableId="262CB50D" w16cex:dateUtc="2022-05-16T18:33:00Z"/>
  <w16cex:commentExtensible w16cex:durableId="26376458" w16cex:dateUtc="2022-05-24T21:04:00Z"/>
  <w16cex:commentExtensible w16cex:durableId="26376469" w16cex:dateUtc="2022-05-24T21:04:00Z"/>
  <w16cex:commentExtensible w16cex:durableId="25B4671A" w16cex:dateUtc="2022-02-14T13:28:00Z"/>
  <w16cex:commentExtensible w16cex:durableId="25B46747" w16cex:dateUtc="2022-02-14T13:29:00Z"/>
  <w16cex:commentExtensible w16cex:durableId="25B61AFB" w16cex:dateUtc="2022-02-15T20:28:00Z"/>
  <w16cex:commentExtensible w16cex:durableId="25B469A1" w16cex:dateUtc="2022-02-14T13:39:00Z"/>
  <w16cex:commentExtensible w16cex:durableId="25B47054" w16cex:dateUtc="2022-02-14T14:08:00Z"/>
  <w16cex:commentExtensible w16cex:durableId="2640A800" w16cex:dateUtc="2022-05-31T21:43:00Z"/>
  <w16cex:commentExtensible w16cex:durableId="263883CB" w16cex:dateUtc="2022-04-14T23:45:00Z"/>
  <w16cex:commentExtensible w16cex:durableId="25B48CEE" w16cex:dateUtc="2022-02-14T16:10:00Z"/>
  <w16cex:commentExtensible w16cex:durableId="25B46BBF" w16cex:dateUtc="2022-02-14T13:48:00Z"/>
  <w16cex:commentExtensible w16cex:durableId="25B6157D" w16cex:dateUtc="2022-02-15T20:05:00Z"/>
  <w16cex:commentExtensible w16cex:durableId="26378AB8" w16cex:dateUtc="2022-05-24T23:47:00Z"/>
  <w16cex:commentExtensible w16cex:durableId="2602CCA3" w16cex:dateUtc="2022-04-14T23:38:00Z"/>
  <w16cex:commentExtensible w16cex:durableId="25B46FD4" w16cex:dateUtc="2022-02-14T14:06:00Z"/>
  <w16cex:commentExtensible w16cex:durableId="25B47093" w16cex:dateUtc="2022-02-14T14:09:00Z"/>
  <w16cex:commentExtensible w16cex:durableId="2602CCB5" w16cex:dateUtc="2022-04-14T23:39:00Z"/>
  <w16cex:commentExtensible w16cex:durableId="25B615DD" w16cex:dateUtc="2022-02-15T20:06:00Z"/>
  <w16cex:commentExtensible w16cex:durableId="2602CD22" w16cex:dateUtc="2022-04-14T23:41:00Z"/>
  <w16cex:commentExtensible w16cex:durableId="2602CDA6" w16cex:dateUtc="2022-04-14T23:43:00Z"/>
  <w16cex:commentExtensible w16cex:durableId="25B47B18" w16cex:dateUtc="2022-02-14T14:54:00Z"/>
  <w16cex:commentExtensible w16cex:durableId="2602CE6D" w16cex:dateUtc="2022-04-14T23:46:00Z"/>
  <w16cex:commentExtensible w16cex:durableId="25B47B7A" w16cex:dateUtc="2022-02-14T14:55:00Z"/>
  <w16cex:commentExtensible w16cex:durableId="25B6198C" w16cex:dateUtc="2022-02-15T20:22:00Z"/>
  <w16cex:commentExtensible w16cex:durableId="25B4847C" w16cex:dateUtc="2022-02-14T15:34:00Z"/>
  <w16cex:commentExtensible w16cex:durableId="25B487AD" w16cex:dateUtc="2022-02-14T15:47:00Z"/>
  <w16cex:commentExtensible w16cex:durableId="2602CFEA" w16cex:dateUtc="2022-04-14T23:52:00Z"/>
  <w16cex:commentExtensible w16cex:durableId="2602D211" w16cex:dateUtc="2022-04-15T00:02:00Z"/>
  <w16cex:commentExtensible w16cex:durableId="2602D224" w16cex:dateUtc="2022-04-15T00:02:00Z"/>
  <w16cex:commentExtensible w16cex:durableId="2602D1FE" w16cex:dateUtc="2022-04-15T00:01:00Z"/>
  <w16cex:commentExtensible w16cex:durableId="25B618E6" w16cex:dateUtc="2022-02-15T20:19:00Z"/>
  <w16cex:commentExtensible w16cex:durableId="25B61902" w16cex:dateUtc="2022-02-15T20:20:00Z"/>
  <w16cex:commentExtensible w16cex:durableId="2602D23C" w16cex:dateUtc="2022-04-15T00:02:00Z"/>
  <w16cex:commentExtensible w16cex:durableId="25B4882E" w16cex:dateUtc="2022-02-14T15:50:00Z"/>
  <w16cex:commentExtensible w16cex:durableId="25B48B42" w16cex:dateUtc="2022-02-14T16:03:00Z"/>
  <w16cex:commentExtensible w16cex:durableId="2602D284" w16cex:dateUtc="2022-04-15T00:04:00Z"/>
  <w16cex:commentExtensible w16cex:durableId="2602D298" w16cex:dateUtc="2022-04-15T00:04:00Z"/>
  <w16cex:commentExtensible w16cex:durableId="25B48F0D" w16cex:dateUtc="2022-02-14T16:19:00Z"/>
  <w16cex:commentExtensible w16cex:durableId="25B48F1F" w16cex:dateUtc="2022-02-14T16:19:00Z"/>
  <w16cex:commentExtensible w16cex:durableId="25B4900F" w16cex:dateUtc="2022-02-14T16:23:00Z"/>
  <w16cex:commentExtensible w16cex:durableId="25B49064" w16cex:dateUtc="2022-02-14T16:25:00Z"/>
  <w16cex:commentExtensible w16cex:durableId="25B4919E" w16cex:dateUtc="2022-02-14T16:30:00Z"/>
  <w16cex:commentExtensible w16cex:durableId="25B61B48" w16cex:dateUtc="2022-02-15T20:30:00Z"/>
  <w16cex:commentExtensible w16cex:durableId="25B492E6" w16cex:dateUtc="2022-02-14T16:35:00Z"/>
  <w16cex:commentExtensible w16cex:durableId="25B61792" w16cex:dateUtc="2022-02-15T20:14:00Z"/>
  <w16cex:commentExtensible w16cex:durableId="25B49462" w16cex:dateUtc="2022-02-14T16:42:00Z"/>
  <w16cex:commentExtensible w16cex:durableId="25B49487" w16cex:dateUtc="2022-02-14T16:42:00Z"/>
  <w16cex:commentExtensible w16cex:durableId="25B61B76" w16cex:dateUtc="2022-02-15T20:30:00Z"/>
  <w16cex:commentExtensible w16cex:durableId="2602D061" w16cex:dateUtc="2022-04-14T23:54:00Z"/>
  <w16cex:commentExtensible w16cex:durableId="2641B5C1" w16cex:dateUtc="2022-06-01T16:54:00Z"/>
  <w16cex:commentExtensible w16cex:durableId="2641B5F7" w16cex:dateUtc="2022-06-01T16:55:00Z"/>
  <w16cex:commentExtensible w16cex:durableId="2641B507" w16cex:dateUtc="2022-06-01T16:51:00Z"/>
  <w16cex:commentExtensible w16cex:durableId="2641B608" w16cex:dateUtc="2022-06-01T16:55:00Z"/>
  <w16cex:commentExtensible w16cex:durableId="2641B6C9" w16cex:dateUtc="2022-06-01T16:58:00Z"/>
  <w16cex:commentExtensible w16cex:durableId="25B489F7" w16cex:dateUtc="2022-02-14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6E9554" w16cid:durableId="25B61921"/>
  <w16cid:commentId w16cid:paraId="7FE583B2" w16cid:durableId="25B45D95"/>
  <w16cid:commentId w16cid:paraId="7D74136D" w16cid:durableId="25B45DB5"/>
  <w16cid:commentId w16cid:paraId="1887F201" w16cid:durableId="25B612CF"/>
  <w16cid:commentId w16cid:paraId="1E38F6F8" w16cid:durableId="25B45D59"/>
  <w16cid:commentId w16cid:paraId="29B2D88F" w16cid:durableId="25B619D9"/>
  <w16cid:commentId w16cid:paraId="5289D00C" w16cid:durableId="25B6132A"/>
  <w16cid:commentId w16cid:paraId="1740E1C3" w16cid:durableId="25B61A3F"/>
  <w16cid:commentId w16cid:paraId="1DA08E0E" w16cid:durableId="25B45E87"/>
  <w16cid:commentId w16cid:paraId="18B30F1A" w16cid:durableId="25B45EED"/>
  <w16cid:commentId w16cid:paraId="59E7DADC" w16cid:durableId="25B614BB"/>
  <w16cid:commentId w16cid:paraId="7E316F93" w16cid:durableId="2628C774"/>
  <w16cid:commentId w16cid:paraId="27299236" w16cid:durableId="25B462DB"/>
  <w16cid:commentId w16cid:paraId="060D81E0" w16cid:durableId="25B614EA"/>
  <w16cid:commentId w16cid:paraId="2A6403CB" w16cid:durableId="25B61A64"/>
  <w16cid:commentId w16cid:paraId="6866659D" w16cid:durableId="25B61880"/>
  <w16cid:commentId w16cid:paraId="21E219BD" w16cid:durableId="25B61891"/>
  <w16cid:commentId w16cid:paraId="4AB51EEC" w16cid:durableId="25B6188C"/>
  <w16cid:commentId w16cid:paraId="64DC206F" w16cid:durableId="262CB50D"/>
  <w16cid:commentId w16cid:paraId="011023D5" w16cid:durableId="26376458"/>
  <w16cid:commentId w16cid:paraId="0674A2C4" w16cid:durableId="26376469"/>
  <w16cid:commentId w16cid:paraId="7920D9D5" w16cid:durableId="25B4671A"/>
  <w16cid:commentId w16cid:paraId="28858193" w16cid:durableId="25B46747"/>
  <w16cid:commentId w16cid:paraId="54BCD148" w16cid:durableId="25B61AFB"/>
  <w16cid:commentId w16cid:paraId="31782CEE" w16cid:durableId="25B469A1"/>
  <w16cid:commentId w16cid:paraId="484A4806" w16cid:durableId="25B47054"/>
  <w16cid:commentId w16cid:paraId="185E502C" w16cid:durableId="2640A800"/>
  <w16cid:commentId w16cid:paraId="4EA188E8" w16cid:durableId="263883CB"/>
  <w16cid:commentId w16cid:paraId="43179952" w16cid:durableId="25B48CEE"/>
  <w16cid:commentId w16cid:paraId="4F850460" w16cid:durableId="25B46BBF"/>
  <w16cid:commentId w16cid:paraId="023A6CC2" w16cid:durableId="25B6157D"/>
  <w16cid:commentId w16cid:paraId="65CB9711" w16cid:durableId="26378AB8"/>
  <w16cid:commentId w16cid:paraId="6880F7FC" w16cid:durableId="2602CCA3"/>
  <w16cid:commentId w16cid:paraId="01E2B449" w16cid:durableId="25B46FD4"/>
  <w16cid:commentId w16cid:paraId="524881A6" w16cid:durableId="25B47093"/>
  <w16cid:commentId w16cid:paraId="049AA384" w16cid:durableId="2602CCB5"/>
  <w16cid:commentId w16cid:paraId="2F6B9171" w16cid:durableId="25B615DD"/>
  <w16cid:commentId w16cid:paraId="0BB07E8F" w16cid:durableId="2602CD22"/>
  <w16cid:commentId w16cid:paraId="547F0D74" w16cid:durableId="2602CDA6"/>
  <w16cid:commentId w16cid:paraId="5B58A15D" w16cid:durableId="25B47B18"/>
  <w16cid:commentId w16cid:paraId="28859AF8" w16cid:durableId="2602CE6D"/>
  <w16cid:commentId w16cid:paraId="57FF6C4B" w16cid:durableId="25B47B7A"/>
  <w16cid:commentId w16cid:paraId="74072166" w16cid:durableId="25B6198C"/>
  <w16cid:commentId w16cid:paraId="504CE0B5" w16cid:durableId="25B4847C"/>
  <w16cid:commentId w16cid:paraId="31D20EEB" w16cid:durableId="25B487AD"/>
  <w16cid:commentId w16cid:paraId="4B388982" w16cid:durableId="2602CFEA"/>
  <w16cid:commentId w16cid:paraId="1076B911" w16cid:durableId="2602D211"/>
  <w16cid:commentId w16cid:paraId="7F29A7A3" w16cid:durableId="2602D224"/>
  <w16cid:commentId w16cid:paraId="55ACDD77" w16cid:durableId="2602D1FE"/>
  <w16cid:commentId w16cid:paraId="53C8D511" w16cid:durableId="25B618E6"/>
  <w16cid:commentId w16cid:paraId="2B53ED64" w16cid:durableId="25B61902"/>
  <w16cid:commentId w16cid:paraId="711AC4A4" w16cid:durableId="2602D23C"/>
  <w16cid:commentId w16cid:paraId="14DD7EF8" w16cid:durableId="25B4882E"/>
  <w16cid:commentId w16cid:paraId="3C23C491" w16cid:durableId="25B48B42"/>
  <w16cid:commentId w16cid:paraId="73D3D6EC" w16cid:durableId="2602D284"/>
  <w16cid:commentId w16cid:paraId="1DCA23AA" w16cid:durableId="2602D298"/>
  <w16cid:commentId w16cid:paraId="6934B2DF" w16cid:durableId="25B48F0D"/>
  <w16cid:commentId w16cid:paraId="1E7BE88B" w16cid:durableId="25B48F1F"/>
  <w16cid:commentId w16cid:paraId="25C3DF89" w16cid:durableId="25B4900F"/>
  <w16cid:commentId w16cid:paraId="2CE9BFA9" w16cid:durableId="25B49064"/>
  <w16cid:commentId w16cid:paraId="28535D48" w16cid:durableId="25B4919E"/>
  <w16cid:commentId w16cid:paraId="6DD3F7DE" w16cid:durableId="25B61B48"/>
  <w16cid:commentId w16cid:paraId="792E6663" w16cid:durableId="25B492E6"/>
  <w16cid:commentId w16cid:paraId="1549214D" w16cid:durableId="25B61792"/>
  <w16cid:commentId w16cid:paraId="27EAFBC6" w16cid:durableId="25B49462"/>
  <w16cid:commentId w16cid:paraId="0B0CAB76" w16cid:durableId="25B49487"/>
  <w16cid:commentId w16cid:paraId="0F91713B" w16cid:durableId="25B61B76"/>
  <w16cid:commentId w16cid:paraId="30648AA3" w16cid:durableId="2602D061"/>
  <w16cid:commentId w16cid:paraId="303A7E9A" w16cid:durableId="2641B5C1"/>
  <w16cid:commentId w16cid:paraId="121FC835" w16cid:durableId="2641B5F7"/>
  <w16cid:commentId w16cid:paraId="3464CB31" w16cid:durableId="2641B507"/>
  <w16cid:commentId w16cid:paraId="3BEAB2E0" w16cid:durableId="2641B608"/>
  <w16cid:commentId w16cid:paraId="144835F8" w16cid:durableId="2641B6C9"/>
  <w16cid:commentId w16cid:paraId="7A77AEE1" w16cid:durableId="25B489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8CF93" w14:textId="77777777" w:rsidR="00585CCB" w:rsidRDefault="00585CCB" w:rsidP="00912F9C">
      <w:pPr>
        <w:spacing w:after="0" w:line="240" w:lineRule="auto"/>
      </w:pPr>
      <w:r>
        <w:separator/>
      </w:r>
    </w:p>
  </w:endnote>
  <w:endnote w:type="continuationSeparator" w:id="0">
    <w:p w14:paraId="4F8A6DA5" w14:textId="77777777" w:rsidR="00585CCB" w:rsidRDefault="00585CCB"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C9138" w14:textId="77777777" w:rsidR="00585CCB" w:rsidRDefault="00585CCB" w:rsidP="00912F9C">
      <w:pPr>
        <w:spacing w:after="0" w:line="240" w:lineRule="auto"/>
      </w:pPr>
      <w:r>
        <w:separator/>
      </w:r>
    </w:p>
  </w:footnote>
  <w:footnote w:type="continuationSeparator" w:id="0">
    <w:p w14:paraId="2203B929" w14:textId="77777777" w:rsidR="00585CCB" w:rsidRDefault="00585CCB"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63212"/>
    <w:multiLevelType w:val="hybridMultilevel"/>
    <w:tmpl w:val="E5E07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62D00"/>
    <w:multiLevelType w:val="hybridMultilevel"/>
    <w:tmpl w:val="A9A0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56C92A18"/>
    <w:multiLevelType w:val="hybridMultilevel"/>
    <w:tmpl w:val="E222B5EC"/>
    <w:lvl w:ilvl="0" w:tplc="BF64FF6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A7768E"/>
    <w:multiLevelType w:val="hybridMultilevel"/>
    <w:tmpl w:val="A698BCD0"/>
    <w:lvl w:ilvl="0" w:tplc="A950E3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4B3044"/>
    <w:multiLevelType w:val="hybridMultilevel"/>
    <w:tmpl w:val="467EB82E"/>
    <w:lvl w:ilvl="0" w:tplc="F93AD0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817092"/>
    <w:multiLevelType w:val="hybridMultilevel"/>
    <w:tmpl w:val="2CDC4968"/>
    <w:lvl w:ilvl="0" w:tplc="5446764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D954EA"/>
    <w:multiLevelType w:val="hybridMultilevel"/>
    <w:tmpl w:val="5DC2582C"/>
    <w:lvl w:ilvl="0" w:tplc="1E18E4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1521822">
    <w:abstractNumId w:val="4"/>
  </w:num>
  <w:num w:numId="2" w16cid:durableId="535853427">
    <w:abstractNumId w:val="0"/>
  </w:num>
  <w:num w:numId="3" w16cid:durableId="1224759816">
    <w:abstractNumId w:val="1"/>
  </w:num>
  <w:num w:numId="4" w16cid:durableId="146164939">
    <w:abstractNumId w:val="9"/>
  </w:num>
  <w:num w:numId="5" w16cid:durableId="2124759403">
    <w:abstractNumId w:val="7"/>
  </w:num>
  <w:num w:numId="6" w16cid:durableId="1684821424">
    <w:abstractNumId w:val="2"/>
  </w:num>
  <w:num w:numId="7" w16cid:durableId="955671046">
    <w:abstractNumId w:val="3"/>
  </w:num>
  <w:num w:numId="8" w16cid:durableId="1801654202">
    <w:abstractNumId w:val="8"/>
  </w:num>
  <w:num w:numId="9" w16cid:durableId="2135710911">
    <w:abstractNumId w:val="5"/>
  </w:num>
  <w:num w:numId="10" w16cid:durableId="65464940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Foster">
    <w15:presenceInfo w15:providerId="None" w15:userId="Daniel Foster"/>
  </w15:person>
  <w15:person w15:author="j battles">
    <w15:presenceInfo w15:providerId="None" w15:userId="j batt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2AF5"/>
    <w:rsid w:val="00005093"/>
    <w:rsid w:val="000144C2"/>
    <w:rsid w:val="0002014E"/>
    <w:rsid w:val="00021D10"/>
    <w:rsid w:val="00022E40"/>
    <w:rsid w:val="00030856"/>
    <w:rsid w:val="00035CCB"/>
    <w:rsid w:val="00036010"/>
    <w:rsid w:val="000451DF"/>
    <w:rsid w:val="00047C53"/>
    <w:rsid w:val="00052104"/>
    <w:rsid w:val="00054C5F"/>
    <w:rsid w:val="000624D9"/>
    <w:rsid w:val="00065C38"/>
    <w:rsid w:val="00070BD5"/>
    <w:rsid w:val="000711D9"/>
    <w:rsid w:val="0007640A"/>
    <w:rsid w:val="00090276"/>
    <w:rsid w:val="00092713"/>
    <w:rsid w:val="00093900"/>
    <w:rsid w:val="00093A54"/>
    <w:rsid w:val="000948BA"/>
    <w:rsid w:val="00097CE1"/>
    <w:rsid w:val="00097D16"/>
    <w:rsid w:val="000A0F76"/>
    <w:rsid w:val="000A5484"/>
    <w:rsid w:val="000B07C3"/>
    <w:rsid w:val="000B15A1"/>
    <w:rsid w:val="000B2974"/>
    <w:rsid w:val="000B37E1"/>
    <w:rsid w:val="000B464D"/>
    <w:rsid w:val="000B4F67"/>
    <w:rsid w:val="000C0834"/>
    <w:rsid w:val="000C08B9"/>
    <w:rsid w:val="000D023F"/>
    <w:rsid w:val="000D09FA"/>
    <w:rsid w:val="000D3AD8"/>
    <w:rsid w:val="000E59FA"/>
    <w:rsid w:val="000E66BE"/>
    <w:rsid w:val="00101105"/>
    <w:rsid w:val="00102552"/>
    <w:rsid w:val="00105668"/>
    <w:rsid w:val="001161D9"/>
    <w:rsid w:val="00120798"/>
    <w:rsid w:val="00123CAC"/>
    <w:rsid w:val="00134157"/>
    <w:rsid w:val="0013741A"/>
    <w:rsid w:val="00143E5F"/>
    <w:rsid w:val="001545DE"/>
    <w:rsid w:val="00161CA5"/>
    <w:rsid w:val="00165CBF"/>
    <w:rsid w:val="00166284"/>
    <w:rsid w:val="00171F10"/>
    <w:rsid w:val="001854A2"/>
    <w:rsid w:val="00187B04"/>
    <w:rsid w:val="00191A72"/>
    <w:rsid w:val="0019268D"/>
    <w:rsid w:val="00192E71"/>
    <w:rsid w:val="001957F1"/>
    <w:rsid w:val="00197ED8"/>
    <w:rsid w:val="001A3E0B"/>
    <w:rsid w:val="001A40BC"/>
    <w:rsid w:val="001A4E05"/>
    <w:rsid w:val="001C02F2"/>
    <w:rsid w:val="001C27C2"/>
    <w:rsid w:val="001C4973"/>
    <w:rsid w:val="001C6B0E"/>
    <w:rsid w:val="001D0752"/>
    <w:rsid w:val="001D3356"/>
    <w:rsid w:val="001E0490"/>
    <w:rsid w:val="001E1A16"/>
    <w:rsid w:val="001E3443"/>
    <w:rsid w:val="001E52DB"/>
    <w:rsid w:val="001F3219"/>
    <w:rsid w:val="001F3ED4"/>
    <w:rsid w:val="001F58D0"/>
    <w:rsid w:val="001F5EDA"/>
    <w:rsid w:val="001F6D70"/>
    <w:rsid w:val="0020010E"/>
    <w:rsid w:val="0020245B"/>
    <w:rsid w:val="00206D93"/>
    <w:rsid w:val="00211000"/>
    <w:rsid w:val="0021304E"/>
    <w:rsid w:val="00213912"/>
    <w:rsid w:val="00213CB6"/>
    <w:rsid w:val="0021575D"/>
    <w:rsid w:val="002212B2"/>
    <w:rsid w:val="00222543"/>
    <w:rsid w:val="00226C3F"/>
    <w:rsid w:val="002352A0"/>
    <w:rsid w:val="00237E63"/>
    <w:rsid w:val="002435DE"/>
    <w:rsid w:val="00243B4B"/>
    <w:rsid w:val="00245CBF"/>
    <w:rsid w:val="00251274"/>
    <w:rsid w:val="002535C7"/>
    <w:rsid w:val="002626E1"/>
    <w:rsid w:val="0026626B"/>
    <w:rsid w:val="002666E7"/>
    <w:rsid w:val="0027112C"/>
    <w:rsid w:val="0027122B"/>
    <w:rsid w:val="00272B03"/>
    <w:rsid w:val="002739B1"/>
    <w:rsid w:val="00276327"/>
    <w:rsid w:val="00277C16"/>
    <w:rsid w:val="00277ED1"/>
    <w:rsid w:val="002821CE"/>
    <w:rsid w:val="00283D34"/>
    <w:rsid w:val="0029268F"/>
    <w:rsid w:val="00293491"/>
    <w:rsid w:val="00296C3D"/>
    <w:rsid w:val="002A29BB"/>
    <w:rsid w:val="002B0C18"/>
    <w:rsid w:val="002B625B"/>
    <w:rsid w:val="002B6328"/>
    <w:rsid w:val="002C19B3"/>
    <w:rsid w:val="002C7D13"/>
    <w:rsid w:val="002D072E"/>
    <w:rsid w:val="002D364A"/>
    <w:rsid w:val="002F38CC"/>
    <w:rsid w:val="002F78E4"/>
    <w:rsid w:val="00304447"/>
    <w:rsid w:val="0030686A"/>
    <w:rsid w:val="00307D27"/>
    <w:rsid w:val="00307FC1"/>
    <w:rsid w:val="003103FA"/>
    <w:rsid w:val="00311911"/>
    <w:rsid w:val="00312174"/>
    <w:rsid w:val="003204E3"/>
    <w:rsid w:val="00323628"/>
    <w:rsid w:val="00323FA0"/>
    <w:rsid w:val="00331DA8"/>
    <w:rsid w:val="00334F13"/>
    <w:rsid w:val="0033554D"/>
    <w:rsid w:val="00342BA1"/>
    <w:rsid w:val="00346542"/>
    <w:rsid w:val="003502A0"/>
    <w:rsid w:val="0035131C"/>
    <w:rsid w:val="00353F3B"/>
    <w:rsid w:val="00356D90"/>
    <w:rsid w:val="00361DD5"/>
    <w:rsid w:val="00362541"/>
    <w:rsid w:val="00364352"/>
    <w:rsid w:val="0036501F"/>
    <w:rsid w:val="003658FD"/>
    <w:rsid w:val="00366F92"/>
    <w:rsid w:val="00371AC7"/>
    <w:rsid w:val="003735F2"/>
    <w:rsid w:val="00374BD9"/>
    <w:rsid w:val="0038352F"/>
    <w:rsid w:val="003B1739"/>
    <w:rsid w:val="003B43A0"/>
    <w:rsid w:val="003B4431"/>
    <w:rsid w:val="003B72CD"/>
    <w:rsid w:val="003C1D45"/>
    <w:rsid w:val="003C2EB4"/>
    <w:rsid w:val="003D3B95"/>
    <w:rsid w:val="003D564A"/>
    <w:rsid w:val="003E04A3"/>
    <w:rsid w:val="003E0B60"/>
    <w:rsid w:val="003E41BD"/>
    <w:rsid w:val="003E5D44"/>
    <w:rsid w:val="003E6FCE"/>
    <w:rsid w:val="003F0D40"/>
    <w:rsid w:val="003F5372"/>
    <w:rsid w:val="00400795"/>
    <w:rsid w:val="00403C76"/>
    <w:rsid w:val="00407119"/>
    <w:rsid w:val="00420927"/>
    <w:rsid w:val="00422EF5"/>
    <w:rsid w:val="004230C7"/>
    <w:rsid w:val="00427DBC"/>
    <w:rsid w:val="00430D45"/>
    <w:rsid w:val="00433AEF"/>
    <w:rsid w:val="0044137D"/>
    <w:rsid w:val="004438A3"/>
    <w:rsid w:val="00445077"/>
    <w:rsid w:val="004501B5"/>
    <w:rsid w:val="00461C54"/>
    <w:rsid w:val="0046219E"/>
    <w:rsid w:val="00462B96"/>
    <w:rsid w:val="004639A9"/>
    <w:rsid w:val="0047208D"/>
    <w:rsid w:val="004769F7"/>
    <w:rsid w:val="00477228"/>
    <w:rsid w:val="004776E6"/>
    <w:rsid w:val="00481C21"/>
    <w:rsid w:val="00481D04"/>
    <w:rsid w:val="00483267"/>
    <w:rsid w:val="00485321"/>
    <w:rsid w:val="00486861"/>
    <w:rsid w:val="004900A0"/>
    <w:rsid w:val="004940F9"/>
    <w:rsid w:val="0049671D"/>
    <w:rsid w:val="004A222B"/>
    <w:rsid w:val="004A6BFC"/>
    <w:rsid w:val="004A7549"/>
    <w:rsid w:val="004C0B8F"/>
    <w:rsid w:val="004C5044"/>
    <w:rsid w:val="004D47AC"/>
    <w:rsid w:val="004D614E"/>
    <w:rsid w:val="004E6FBC"/>
    <w:rsid w:val="004F00F1"/>
    <w:rsid w:val="004F3A49"/>
    <w:rsid w:val="004F672B"/>
    <w:rsid w:val="004F6CE4"/>
    <w:rsid w:val="00504371"/>
    <w:rsid w:val="00512388"/>
    <w:rsid w:val="00513781"/>
    <w:rsid w:val="00517F42"/>
    <w:rsid w:val="0052071A"/>
    <w:rsid w:val="00522FF0"/>
    <w:rsid w:val="0052326E"/>
    <w:rsid w:val="00533EAF"/>
    <w:rsid w:val="005400AE"/>
    <w:rsid w:val="00540755"/>
    <w:rsid w:val="00542DB6"/>
    <w:rsid w:val="005441D3"/>
    <w:rsid w:val="00545F95"/>
    <w:rsid w:val="00561760"/>
    <w:rsid w:val="00565CA7"/>
    <w:rsid w:val="00566DC3"/>
    <w:rsid w:val="00573E2C"/>
    <w:rsid w:val="00574C47"/>
    <w:rsid w:val="00581B9B"/>
    <w:rsid w:val="00582802"/>
    <w:rsid w:val="00583A63"/>
    <w:rsid w:val="00584886"/>
    <w:rsid w:val="00585CCB"/>
    <w:rsid w:val="0058771A"/>
    <w:rsid w:val="00592F89"/>
    <w:rsid w:val="005A03F5"/>
    <w:rsid w:val="005A35BD"/>
    <w:rsid w:val="005A4789"/>
    <w:rsid w:val="005B06F2"/>
    <w:rsid w:val="005B0749"/>
    <w:rsid w:val="005B1295"/>
    <w:rsid w:val="005B4308"/>
    <w:rsid w:val="005C0FDC"/>
    <w:rsid w:val="005C39DA"/>
    <w:rsid w:val="005C7999"/>
    <w:rsid w:val="005D154F"/>
    <w:rsid w:val="005D180E"/>
    <w:rsid w:val="005D2253"/>
    <w:rsid w:val="005E185A"/>
    <w:rsid w:val="005E7ECB"/>
    <w:rsid w:val="005F02B2"/>
    <w:rsid w:val="005F1EF2"/>
    <w:rsid w:val="005F4623"/>
    <w:rsid w:val="0061208B"/>
    <w:rsid w:val="00613A4B"/>
    <w:rsid w:val="006144D6"/>
    <w:rsid w:val="006152D3"/>
    <w:rsid w:val="00620936"/>
    <w:rsid w:val="00625B40"/>
    <w:rsid w:val="006271C9"/>
    <w:rsid w:val="006456A1"/>
    <w:rsid w:val="00675AA0"/>
    <w:rsid w:val="00677CDB"/>
    <w:rsid w:val="006807F0"/>
    <w:rsid w:val="006838F2"/>
    <w:rsid w:val="006A10AA"/>
    <w:rsid w:val="006A2B6F"/>
    <w:rsid w:val="006B3BFA"/>
    <w:rsid w:val="006B6761"/>
    <w:rsid w:val="006B7651"/>
    <w:rsid w:val="006C7CA9"/>
    <w:rsid w:val="006D25A7"/>
    <w:rsid w:val="006E0CA4"/>
    <w:rsid w:val="006E230D"/>
    <w:rsid w:val="006E2387"/>
    <w:rsid w:val="006E26D2"/>
    <w:rsid w:val="006E2D9F"/>
    <w:rsid w:val="006E6E45"/>
    <w:rsid w:val="006E754A"/>
    <w:rsid w:val="006F2ABD"/>
    <w:rsid w:val="006F5254"/>
    <w:rsid w:val="006F5E9A"/>
    <w:rsid w:val="007108F6"/>
    <w:rsid w:val="00714833"/>
    <w:rsid w:val="0071532B"/>
    <w:rsid w:val="00715CFB"/>
    <w:rsid w:val="00717725"/>
    <w:rsid w:val="00725975"/>
    <w:rsid w:val="007314F1"/>
    <w:rsid w:val="00737989"/>
    <w:rsid w:val="007411CB"/>
    <w:rsid w:val="00750468"/>
    <w:rsid w:val="00752208"/>
    <w:rsid w:val="007553FB"/>
    <w:rsid w:val="00766541"/>
    <w:rsid w:val="00771B14"/>
    <w:rsid w:val="007847A0"/>
    <w:rsid w:val="0078488A"/>
    <w:rsid w:val="00785480"/>
    <w:rsid w:val="00787085"/>
    <w:rsid w:val="00790CD7"/>
    <w:rsid w:val="007934A7"/>
    <w:rsid w:val="00796EDF"/>
    <w:rsid w:val="007A371B"/>
    <w:rsid w:val="007B296F"/>
    <w:rsid w:val="007B3DC9"/>
    <w:rsid w:val="007B4248"/>
    <w:rsid w:val="007B6647"/>
    <w:rsid w:val="007C34D3"/>
    <w:rsid w:val="007E3804"/>
    <w:rsid w:val="007E7CA6"/>
    <w:rsid w:val="0080786A"/>
    <w:rsid w:val="00807967"/>
    <w:rsid w:val="00812F3F"/>
    <w:rsid w:val="00817E66"/>
    <w:rsid w:val="008206D4"/>
    <w:rsid w:val="0082493A"/>
    <w:rsid w:val="00826123"/>
    <w:rsid w:val="00832565"/>
    <w:rsid w:val="00832E90"/>
    <w:rsid w:val="008360A1"/>
    <w:rsid w:val="00837AAE"/>
    <w:rsid w:val="008400A4"/>
    <w:rsid w:val="0084014F"/>
    <w:rsid w:val="0084135D"/>
    <w:rsid w:val="008415CA"/>
    <w:rsid w:val="00843673"/>
    <w:rsid w:val="00844EFD"/>
    <w:rsid w:val="008469C9"/>
    <w:rsid w:val="00851A3D"/>
    <w:rsid w:val="0085572F"/>
    <w:rsid w:val="008569B1"/>
    <w:rsid w:val="008574D6"/>
    <w:rsid w:val="00857722"/>
    <w:rsid w:val="00857BF9"/>
    <w:rsid w:val="00860357"/>
    <w:rsid w:val="008611C1"/>
    <w:rsid w:val="00870621"/>
    <w:rsid w:val="008727D0"/>
    <w:rsid w:val="00872B19"/>
    <w:rsid w:val="00873E42"/>
    <w:rsid w:val="00874307"/>
    <w:rsid w:val="00877029"/>
    <w:rsid w:val="00880C94"/>
    <w:rsid w:val="00884AB8"/>
    <w:rsid w:val="00894D9E"/>
    <w:rsid w:val="008A1354"/>
    <w:rsid w:val="008A2F91"/>
    <w:rsid w:val="008A7245"/>
    <w:rsid w:val="008A7881"/>
    <w:rsid w:val="008A7C78"/>
    <w:rsid w:val="008C2844"/>
    <w:rsid w:val="008C4383"/>
    <w:rsid w:val="008D1390"/>
    <w:rsid w:val="008E09B2"/>
    <w:rsid w:val="008E28B3"/>
    <w:rsid w:val="008E6E2C"/>
    <w:rsid w:val="008F0ED0"/>
    <w:rsid w:val="008F25B6"/>
    <w:rsid w:val="008F329F"/>
    <w:rsid w:val="008F5DAE"/>
    <w:rsid w:val="0090133B"/>
    <w:rsid w:val="00907D59"/>
    <w:rsid w:val="00910F38"/>
    <w:rsid w:val="00912F9C"/>
    <w:rsid w:val="009166BF"/>
    <w:rsid w:val="00925586"/>
    <w:rsid w:val="0093310D"/>
    <w:rsid w:val="00935912"/>
    <w:rsid w:val="00950212"/>
    <w:rsid w:val="009509EA"/>
    <w:rsid w:val="009525DA"/>
    <w:rsid w:val="00954945"/>
    <w:rsid w:val="009567E4"/>
    <w:rsid w:val="009639E6"/>
    <w:rsid w:val="0096728B"/>
    <w:rsid w:val="00972A59"/>
    <w:rsid w:val="00975E51"/>
    <w:rsid w:val="0097720B"/>
    <w:rsid w:val="00980556"/>
    <w:rsid w:val="009824D0"/>
    <w:rsid w:val="009917FF"/>
    <w:rsid w:val="00991CC2"/>
    <w:rsid w:val="00996B72"/>
    <w:rsid w:val="009971A5"/>
    <w:rsid w:val="009A1DFC"/>
    <w:rsid w:val="009A3AF4"/>
    <w:rsid w:val="009A512B"/>
    <w:rsid w:val="009A6AAC"/>
    <w:rsid w:val="009B0C1C"/>
    <w:rsid w:val="009B22BB"/>
    <w:rsid w:val="009B3615"/>
    <w:rsid w:val="009B4725"/>
    <w:rsid w:val="009B5737"/>
    <w:rsid w:val="009B5B45"/>
    <w:rsid w:val="009D1E6E"/>
    <w:rsid w:val="009D4174"/>
    <w:rsid w:val="009E14F1"/>
    <w:rsid w:val="009E3517"/>
    <w:rsid w:val="009E4689"/>
    <w:rsid w:val="009E5157"/>
    <w:rsid w:val="009E6363"/>
    <w:rsid w:val="009F381B"/>
    <w:rsid w:val="009F5DED"/>
    <w:rsid w:val="009F616C"/>
    <w:rsid w:val="009F6E8A"/>
    <w:rsid w:val="00A06CE3"/>
    <w:rsid w:val="00A12463"/>
    <w:rsid w:val="00A128BA"/>
    <w:rsid w:val="00A17E82"/>
    <w:rsid w:val="00A22F02"/>
    <w:rsid w:val="00A27379"/>
    <w:rsid w:val="00A27C02"/>
    <w:rsid w:val="00A302ED"/>
    <w:rsid w:val="00A320BF"/>
    <w:rsid w:val="00A354E8"/>
    <w:rsid w:val="00A37AF9"/>
    <w:rsid w:val="00A41A84"/>
    <w:rsid w:val="00A47588"/>
    <w:rsid w:val="00A63A59"/>
    <w:rsid w:val="00A70058"/>
    <w:rsid w:val="00A708CE"/>
    <w:rsid w:val="00A76BD8"/>
    <w:rsid w:val="00A9076E"/>
    <w:rsid w:val="00A95BB0"/>
    <w:rsid w:val="00AA3167"/>
    <w:rsid w:val="00AB1821"/>
    <w:rsid w:val="00AC4853"/>
    <w:rsid w:val="00AC69CD"/>
    <w:rsid w:val="00AD7299"/>
    <w:rsid w:val="00AD7841"/>
    <w:rsid w:val="00AE693D"/>
    <w:rsid w:val="00AF1B9C"/>
    <w:rsid w:val="00B01E28"/>
    <w:rsid w:val="00B02855"/>
    <w:rsid w:val="00B05195"/>
    <w:rsid w:val="00B064C4"/>
    <w:rsid w:val="00B1320D"/>
    <w:rsid w:val="00B13331"/>
    <w:rsid w:val="00B147AB"/>
    <w:rsid w:val="00B21325"/>
    <w:rsid w:val="00B23450"/>
    <w:rsid w:val="00B27150"/>
    <w:rsid w:val="00B31E6F"/>
    <w:rsid w:val="00B41811"/>
    <w:rsid w:val="00B50353"/>
    <w:rsid w:val="00B57920"/>
    <w:rsid w:val="00B65A24"/>
    <w:rsid w:val="00B66F59"/>
    <w:rsid w:val="00B7042D"/>
    <w:rsid w:val="00B72A60"/>
    <w:rsid w:val="00B76637"/>
    <w:rsid w:val="00B81610"/>
    <w:rsid w:val="00B82FD6"/>
    <w:rsid w:val="00B91F66"/>
    <w:rsid w:val="00B9336D"/>
    <w:rsid w:val="00B95CE0"/>
    <w:rsid w:val="00B95D6C"/>
    <w:rsid w:val="00BA2B3B"/>
    <w:rsid w:val="00BA5424"/>
    <w:rsid w:val="00BA5AB2"/>
    <w:rsid w:val="00BC1636"/>
    <w:rsid w:val="00BC4DD2"/>
    <w:rsid w:val="00BC7D86"/>
    <w:rsid w:val="00BD0EC9"/>
    <w:rsid w:val="00BD15C5"/>
    <w:rsid w:val="00BD1FBD"/>
    <w:rsid w:val="00BD4BA9"/>
    <w:rsid w:val="00BE0F16"/>
    <w:rsid w:val="00BE4CEB"/>
    <w:rsid w:val="00BE5019"/>
    <w:rsid w:val="00BF1ABD"/>
    <w:rsid w:val="00BF1B42"/>
    <w:rsid w:val="00BF40EA"/>
    <w:rsid w:val="00BF4FB1"/>
    <w:rsid w:val="00C07C6D"/>
    <w:rsid w:val="00C125F1"/>
    <w:rsid w:val="00C15C9A"/>
    <w:rsid w:val="00C1655F"/>
    <w:rsid w:val="00C21994"/>
    <w:rsid w:val="00C243DB"/>
    <w:rsid w:val="00C34525"/>
    <w:rsid w:val="00C358F3"/>
    <w:rsid w:val="00C3625A"/>
    <w:rsid w:val="00C37C6B"/>
    <w:rsid w:val="00C45A1A"/>
    <w:rsid w:val="00C52916"/>
    <w:rsid w:val="00C5434B"/>
    <w:rsid w:val="00C56685"/>
    <w:rsid w:val="00C57012"/>
    <w:rsid w:val="00C63FF8"/>
    <w:rsid w:val="00C65DC4"/>
    <w:rsid w:val="00C7269F"/>
    <w:rsid w:val="00C73ACA"/>
    <w:rsid w:val="00C76CEE"/>
    <w:rsid w:val="00C818B3"/>
    <w:rsid w:val="00C83A6E"/>
    <w:rsid w:val="00C942ED"/>
    <w:rsid w:val="00C94452"/>
    <w:rsid w:val="00C945E1"/>
    <w:rsid w:val="00C94BCF"/>
    <w:rsid w:val="00CA6E7F"/>
    <w:rsid w:val="00CA7A32"/>
    <w:rsid w:val="00CB0832"/>
    <w:rsid w:val="00CB34EC"/>
    <w:rsid w:val="00CB38F8"/>
    <w:rsid w:val="00CB550D"/>
    <w:rsid w:val="00CC6F71"/>
    <w:rsid w:val="00CD4F3D"/>
    <w:rsid w:val="00CE6534"/>
    <w:rsid w:val="00CF75E9"/>
    <w:rsid w:val="00D06053"/>
    <w:rsid w:val="00D070A9"/>
    <w:rsid w:val="00D10804"/>
    <w:rsid w:val="00D23103"/>
    <w:rsid w:val="00D2760D"/>
    <w:rsid w:val="00D312C0"/>
    <w:rsid w:val="00D45C6F"/>
    <w:rsid w:val="00D4629E"/>
    <w:rsid w:val="00D46E1C"/>
    <w:rsid w:val="00D54D68"/>
    <w:rsid w:val="00D60BA1"/>
    <w:rsid w:val="00D617E7"/>
    <w:rsid w:val="00D67D58"/>
    <w:rsid w:val="00D70E5C"/>
    <w:rsid w:val="00D71062"/>
    <w:rsid w:val="00D73B16"/>
    <w:rsid w:val="00D750DC"/>
    <w:rsid w:val="00D80EA7"/>
    <w:rsid w:val="00D8211E"/>
    <w:rsid w:val="00D93CCF"/>
    <w:rsid w:val="00D95337"/>
    <w:rsid w:val="00D96875"/>
    <w:rsid w:val="00DA141A"/>
    <w:rsid w:val="00DA5840"/>
    <w:rsid w:val="00DB0132"/>
    <w:rsid w:val="00DB4861"/>
    <w:rsid w:val="00DB4E95"/>
    <w:rsid w:val="00DC36D7"/>
    <w:rsid w:val="00DC37FC"/>
    <w:rsid w:val="00DC514A"/>
    <w:rsid w:val="00DD222B"/>
    <w:rsid w:val="00DD37D1"/>
    <w:rsid w:val="00DE4D0E"/>
    <w:rsid w:val="00DF0297"/>
    <w:rsid w:val="00E005FB"/>
    <w:rsid w:val="00E01957"/>
    <w:rsid w:val="00E07EF6"/>
    <w:rsid w:val="00E13880"/>
    <w:rsid w:val="00E14B2D"/>
    <w:rsid w:val="00E16782"/>
    <w:rsid w:val="00E167D6"/>
    <w:rsid w:val="00E23769"/>
    <w:rsid w:val="00E24887"/>
    <w:rsid w:val="00E304D0"/>
    <w:rsid w:val="00E32098"/>
    <w:rsid w:val="00E358D9"/>
    <w:rsid w:val="00E45F15"/>
    <w:rsid w:val="00E51EB0"/>
    <w:rsid w:val="00E52428"/>
    <w:rsid w:val="00E61EC6"/>
    <w:rsid w:val="00E638E5"/>
    <w:rsid w:val="00E813D6"/>
    <w:rsid w:val="00E81A5D"/>
    <w:rsid w:val="00E84CFD"/>
    <w:rsid w:val="00E9049A"/>
    <w:rsid w:val="00E92F0B"/>
    <w:rsid w:val="00E9506F"/>
    <w:rsid w:val="00EA2ACC"/>
    <w:rsid w:val="00EA5263"/>
    <w:rsid w:val="00EB1B4C"/>
    <w:rsid w:val="00EB4A84"/>
    <w:rsid w:val="00EB5290"/>
    <w:rsid w:val="00EC0367"/>
    <w:rsid w:val="00EE5D6E"/>
    <w:rsid w:val="00EF6399"/>
    <w:rsid w:val="00F067F3"/>
    <w:rsid w:val="00F214FC"/>
    <w:rsid w:val="00F23E3D"/>
    <w:rsid w:val="00F25243"/>
    <w:rsid w:val="00F30BF0"/>
    <w:rsid w:val="00F30DE4"/>
    <w:rsid w:val="00F35683"/>
    <w:rsid w:val="00F365CE"/>
    <w:rsid w:val="00F4015B"/>
    <w:rsid w:val="00F40C3D"/>
    <w:rsid w:val="00F479B6"/>
    <w:rsid w:val="00F47B1D"/>
    <w:rsid w:val="00F50DFD"/>
    <w:rsid w:val="00F72294"/>
    <w:rsid w:val="00F73E88"/>
    <w:rsid w:val="00F91D2B"/>
    <w:rsid w:val="00F94B8B"/>
    <w:rsid w:val="00FA20C3"/>
    <w:rsid w:val="00FA7F23"/>
    <w:rsid w:val="00FB1E1F"/>
    <w:rsid w:val="00FC4865"/>
    <w:rsid w:val="00FC5A10"/>
    <w:rsid w:val="00FD714B"/>
    <w:rsid w:val="00FE1095"/>
    <w:rsid w:val="00FE2333"/>
    <w:rsid w:val="00FF3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E3517"/>
    <w:rPr>
      <w:sz w:val="16"/>
      <w:szCs w:val="16"/>
    </w:rPr>
  </w:style>
  <w:style w:type="paragraph" w:styleId="CommentText">
    <w:name w:val="annotation text"/>
    <w:basedOn w:val="Normal"/>
    <w:link w:val="CommentTextChar"/>
    <w:uiPriority w:val="99"/>
    <w:unhideWhenUsed/>
    <w:rsid w:val="009E3517"/>
    <w:pPr>
      <w:spacing w:line="240" w:lineRule="auto"/>
    </w:pPr>
    <w:rPr>
      <w:sz w:val="20"/>
      <w:szCs w:val="20"/>
    </w:rPr>
  </w:style>
  <w:style w:type="character" w:customStyle="1" w:styleId="CommentTextChar">
    <w:name w:val="Comment Text Char"/>
    <w:basedOn w:val="DefaultParagraphFont"/>
    <w:link w:val="CommentText"/>
    <w:uiPriority w:val="99"/>
    <w:rsid w:val="009E3517"/>
    <w:rPr>
      <w:sz w:val="20"/>
      <w:szCs w:val="20"/>
    </w:rPr>
  </w:style>
  <w:style w:type="paragraph" w:styleId="CommentSubject">
    <w:name w:val="annotation subject"/>
    <w:basedOn w:val="CommentText"/>
    <w:next w:val="CommentText"/>
    <w:link w:val="CommentSubjectChar"/>
    <w:uiPriority w:val="99"/>
    <w:semiHidden/>
    <w:unhideWhenUsed/>
    <w:rsid w:val="009E3517"/>
    <w:rPr>
      <w:b/>
      <w:bCs/>
    </w:rPr>
  </w:style>
  <w:style w:type="character" w:customStyle="1" w:styleId="CommentSubjectChar">
    <w:name w:val="Comment Subject Char"/>
    <w:basedOn w:val="CommentTextChar"/>
    <w:link w:val="CommentSubject"/>
    <w:uiPriority w:val="99"/>
    <w:semiHidden/>
    <w:rsid w:val="009E3517"/>
    <w:rPr>
      <w:b/>
      <w:bCs/>
      <w:sz w:val="20"/>
      <w:szCs w:val="20"/>
    </w:rPr>
  </w:style>
  <w:style w:type="paragraph" w:styleId="Revision">
    <w:name w:val="Revision"/>
    <w:hidden/>
    <w:uiPriority w:val="99"/>
    <w:semiHidden/>
    <w:rsid w:val="00A95BB0"/>
    <w:pPr>
      <w:spacing w:after="0" w:line="240" w:lineRule="auto"/>
    </w:pPr>
  </w:style>
  <w:style w:type="paragraph" w:styleId="FootnoteText">
    <w:name w:val="footnote text"/>
    <w:basedOn w:val="Normal"/>
    <w:link w:val="FootnoteTextChar"/>
    <w:uiPriority w:val="99"/>
    <w:semiHidden/>
    <w:unhideWhenUsed/>
    <w:rsid w:val="00D276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760D"/>
    <w:rPr>
      <w:sz w:val="20"/>
      <w:szCs w:val="20"/>
    </w:rPr>
  </w:style>
  <w:style w:type="character" w:styleId="FootnoteReference">
    <w:name w:val="footnote reference"/>
    <w:basedOn w:val="DefaultParagraphFont"/>
    <w:uiPriority w:val="99"/>
    <w:semiHidden/>
    <w:unhideWhenUsed/>
    <w:rsid w:val="00D276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293">
      <w:bodyDiv w:val="1"/>
      <w:marLeft w:val="0"/>
      <w:marRight w:val="0"/>
      <w:marTop w:val="0"/>
      <w:marBottom w:val="0"/>
      <w:divBdr>
        <w:top w:val="none" w:sz="0" w:space="0" w:color="auto"/>
        <w:left w:val="none" w:sz="0" w:space="0" w:color="auto"/>
        <w:bottom w:val="none" w:sz="0" w:space="0" w:color="auto"/>
        <w:right w:val="none" w:sz="0" w:space="0" w:color="auto"/>
      </w:divBdr>
    </w:div>
    <w:div w:id="318584019">
      <w:bodyDiv w:val="1"/>
      <w:marLeft w:val="0"/>
      <w:marRight w:val="0"/>
      <w:marTop w:val="0"/>
      <w:marBottom w:val="0"/>
      <w:divBdr>
        <w:top w:val="none" w:sz="0" w:space="0" w:color="auto"/>
        <w:left w:val="none" w:sz="0" w:space="0" w:color="auto"/>
        <w:bottom w:val="none" w:sz="0" w:space="0" w:color="auto"/>
        <w:right w:val="none" w:sz="0" w:space="0" w:color="auto"/>
      </w:divBdr>
    </w:div>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834733504">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 w:id="199472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48</Pages>
  <Words>73272</Words>
  <Characters>417654</Characters>
  <Application>Microsoft Office Word</Application>
  <DocSecurity>0</DocSecurity>
  <Lines>3480</Lines>
  <Paragraphs>979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6</cp:revision>
  <dcterms:created xsi:type="dcterms:W3CDTF">2022-06-01T22:29:00Z</dcterms:created>
  <dcterms:modified xsi:type="dcterms:W3CDTF">2022-06-03T20:17:00Z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fa767aee-db51-350e-9b23-023fa2c56400</vt:lpwstr>
  </property>
  <property fmtid="{D5CDD505-2E9C-101B-9397-08002B2CF9AE}" pid="24" name="Mendeley Citation Style_1">
    <vt:lpwstr>http://www.zotero.org/styles/harvard-cite-them-right</vt:lpwstr>
  </property>
</Properties>
</file>