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2194C" w14:textId="04F921A8" w:rsidR="00F40C3D" w:rsidRPr="00105668" w:rsidRDefault="00912F9C" w:rsidP="002739B1">
      <w:pPr>
        <w:pStyle w:val="Title"/>
      </w:pPr>
      <w:commentRangeStart w:id="0"/>
      <w:r>
        <w:t>Demographic</w:t>
      </w:r>
      <w:commentRangeEnd w:id="0"/>
      <w:r w:rsidR="000B15A1">
        <w:rPr>
          <w:rStyle w:val="CommentReference"/>
          <w:rFonts w:asciiTheme="minorHAnsi" w:eastAsiaTheme="minorHAnsi" w:hAnsiTheme="minorHAnsi" w:cstheme="minorBidi"/>
          <w:spacing w:val="0"/>
          <w:kern w:val="0"/>
        </w:rPr>
        <w:commentReference w:id="0"/>
      </w:r>
      <w:r>
        <w:t xml:space="preserve"> status, trajectory, and stressors</w:t>
      </w:r>
      <w:r w:rsidR="002435DE">
        <w:t xml:space="preserve"> of </w:t>
      </w:r>
      <w:r w:rsidR="002435DE" w:rsidRPr="00912F9C">
        <w:rPr>
          <w:i/>
          <w:iCs/>
        </w:rPr>
        <w:t xml:space="preserve">Pinus </w:t>
      </w:r>
      <w:proofErr w:type="spellStart"/>
      <w:r w:rsidR="002435DE" w:rsidRPr="00912F9C">
        <w:rPr>
          <w:i/>
          <w:iCs/>
        </w:rPr>
        <w:t>lambertiana</w:t>
      </w:r>
      <w:proofErr w:type="spellEnd"/>
      <w:r w:rsidR="00105668">
        <w:t xml:space="preserve"> across the western USA</w:t>
      </w:r>
    </w:p>
    <w:p w14:paraId="4FC52404" w14:textId="59038CFC" w:rsidR="002435DE" w:rsidRDefault="002435DE" w:rsidP="00E01957">
      <w:pPr>
        <w:spacing w:line="360" w:lineRule="auto"/>
      </w:pPr>
    </w:p>
    <w:p w14:paraId="2F37AD4C" w14:textId="460F6C0A" w:rsidR="002B0C18" w:rsidRDefault="002B0C18" w:rsidP="00E01957">
      <w:pPr>
        <w:pStyle w:val="Heading1"/>
        <w:spacing w:line="360" w:lineRule="auto"/>
      </w:pPr>
      <w:r>
        <w:t>Abstract</w:t>
      </w:r>
    </w:p>
    <w:p w14:paraId="58B08609" w14:textId="6475CC4F" w:rsidR="002B0C18" w:rsidRPr="002B0C18" w:rsidRDefault="002B0C18" w:rsidP="009D1E6E">
      <w:pPr>
        <w:spacing w:line="360" w:lineRule="auto"/>
      </w:pPr>
      <w:r w:rsidRPr="002B0C18">
        <w:t>Sugar pine (</w:t>
      </w:r>
      <w:r w:rsidRPr="009D1E6E">
        <w:rPr>
          <w:i/>
          <w:iCs/>
        </w:rPr>
        <w:t xml:space="preserve">Pinus </w:t>
      </w:r>
      <w:proofErr w:type="spellStart"/>
      <w:r w:rsidRPr="009D1E6E">
        <w:rPr>
          <w:i/>
          <w:iCs/>
        </w:rPr>
        <w:t>lambertiana</w:t>
      </w:r>
      <w:proofErr w:type="spellEnd"/>
      <w:r w:rsidRPr="002B0C18">
        <w:t xml:space="preserve">) is the largest Pinus species, an important timber species, and a component of several dry conifer forest types of western North America, in particular the extensive Sierra Nevada mixed conifer forest. The species faces several challenges in the Anthropocene, including a disrupted fire regime, an invasive pathogen, forest structure changes, and drought with ensuing bark beetle epidemics. Managers are concerned about the conservation outlook for sugar pine, but it is unclear where and how to best invest conservation resources. In this study, we use data from the US Forest Service's Forest Inventory and Analysis dataset to assess how these various stressors shape the vital rates (survival, growth, and fecundity) of sugar pine across </w:t>
      </w:r>
      <w:proofErr w:type="gramStart"/>
      <w:r w:rsidRPr="002B0C18">
        <w:t>the vast majority of</w:t>
      </w:r>
      <w:proofErr w:type="gramEnd"/>
      <w:r w:rsidRPr="002B0C18">
        <w:t xml:space="preserve"> its range. We synthesize the vital rate functions by constructing an integral projection model which predicts the effects of various stressors on the asymptotic population growth rate. The analysis reveals that wildfire and forest density are key drivers of the demographic rates of sugar pine across its range. Fire has strong negative effects on survival (particularly of small individuals) and reduces the growth of surviving large trees, resulting in a negative asymptotic population growth rate on burned sites. Conversely, lower than average forest density (neighborhood basal area) results in a strongly positive population growth rate via beneficial effects on growth and fecundity.</w:t>
      </w:r>
      <w:r w:rsidR="008469C9">
        <w:t xml:space="preserve"> </w:t>
      </w:r>
      <w:r w:rsidR="008469C9" w:rsidRPr="008469C9">
        <w:t>These results highlight the value of fire hazard mitigation, particularly where it also reduces forest density, in the conservation of this important species.</w:t>
      </w:r>
    </w:p>
    <w:p w14:paraId="5D418BAA" w14:textId="5A63516D" w:rsidR="002435DE" w:rsidRDefault="002435DE" w:rsidP="00E01957">
      <w:pPr>
        <w:pStyle w:val="Heading1"/>
        <w:spacing w:line="360" w:lineRule="auto"/>
      </w:pPr>
      <w:commentRangeStart w:id="1"/>
      <w:r>
        <w:t>Introduction</w:t>
      </w:r>
      <w:commentRangeEnd w:id="1"/>
      <w:r w:rsidR="00A95BB0">
        <w:rPr>
          <w:rStyle w:val="CommentReference"/>
          <w:rFonts w:asciiTheme="minorHAnsi" w:eastAsiaTheme="minorHAnsi" w:hAnsiTheme="minorHAnsi" w:cstheme="minorBidi"/>
          <w:color w:val="auto"/>
        </w:rPr>
        <w:commentReference w:id="1"/>
      </w:r>
    </w:p>
    <w:p w14:paraId="55C5CAB3" w14:textId="1B63BD1B" w:rsidR="00C76CEE" w:rsidRDefault="00C76CEE" w:rsidP="00D070A9">
      <w:pPr>
        <w:spacing w:line="360" w:lineRule="auto"/>
        <w:ind w:firstLine="720"/>
      </w:pPr>
      <w:r>
        <w:t xml:space="preserve">Novel Anthropogenic stressors threaten </w:t>
      </w:r>
      <w:r w:rsidR="00461C54">
        <w:t>species but</w:t>
      </w:r>
      <w:r>
        <w:t xml:space="preserve"> may be amenable to management</w:t>
      </w:r>
      <w:r w:rsidR="00D070A9">
        <w:t xml:space="preserve">. However, conservation resources are scarce, so it is often necessary to prioritize some stressors over others. Demographic models built around large-scale longitudinal datasets (such as the Forest Inventory and Analysis, or FIA, dataset) can provide detailed insight into how stressors impact species of concern across wide geographic ranges. By including multiple stressors in vital rates </w:t>
      </w:r>
      <w:proofErr w:type="gramStart"/>
      <w:r w:rsidR="00D070A9">
        <w:t>models, and</w:t>
      </w:r>
      <w:proofErr w:type="gramEnd"/>
      <w:r w:rsidR="00D070A9">
        <w:t xml:space="preserve"> comparing their effects on vital rates and demographic summary statistics (such as the asymptotic population growth </w:t>
      </w:r>
      <w:r w:rsidR="00D070A9">
        <w:lastRenderedPageBreak/>
        <w:t xml:space="preserve">rate), we can assess the relative importance of the stressors and highlight the mechanisms by which they influence the population trajectory. Findings from </w:t>
      </w:r>
      <w:proofErr w:type="gramStart"/>
      <w:r w:rsidR="00D070A9">
        <w:t>these analysis</w:t>
      </w:r>
      <w:proofErr w:type="gramEnd"/>
      <w:r w:rsidR="00D070A9">
        <w:t xml:space="preserve"> can provid</w:t>
      </w:r>
      <w:r w:rsidR="00461C54">
        <w:t>e</w:t>
      </w:r>
      <w:r w:rsidR="00D070A9">
        <w:t xml:space="preserve"> crucial information about how best to prioritize varied stressors in making management decisions. </w:t>
      </w:r>
    </w:p>
    <w:p w14:paraId="7B9D2987" w14:textId="0D290669" w:rsidR="002435DE" w:rsidRDefault="00D070A9" w:rsidP="009971A5">
      <w:pPr>
        <w:spacing w:line="360" w:lineRule="auto"/>
        <w:ind w:firstLine="720"/>
      </w:pPr>
      <w:commentRangeStart w:id="2"/>
      <w:r>
        <w:t>Like many other plant and animal species, Sugar pine faces numerous challenges in the Anthropocene</w:t>
      </w:r>
      <w:commentRangeEnd w:id="2"/>
      <w:r>
        <w:rPr>
          <w:rStyle w:val="CommentReference"/>
        </w:rPr>
        <w:commentReference w:id="2"/>
      </w:r>
      <w:r>
        <w:t xml:space="preserve">, and managers and policymakers are concerned about the future status of the species </w:t>
      </w:r>
      <w:r>
        <w:fldChar w:fldCharType="begin" w:fldLock="1"/>
      </w:r>
      <w:r>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fldChar w:fldCharType="separate"/>
      </w:r>
      <w:r w:rsidRPr="00EB4A84">
        <w:rPr>
          <w:noProof/>
        </w:rPr>
        <w:t>(Kinloch Jr., Marosy and Huddleston, 1996)</w:t>
      </w:r>
      <w:r>
        <w:fldChar w:fldCharType="end"/>
      </w:r>
      <w:r>
        <w:t xml:space="preserve">. </w:t>
      </w:r>
      <w:commentRangeStart w:id="3"/>
      <w:r w:rsidR="002435DE">
        <w:t>Sugar pine (</w:t>
      </w:r>
      <w:r w:rsidR="002435DE" w:rsidRPr="00F701A7">
        <w:rPr>
          <w:i/>
          <w:iCs/>
        </w:rPr>
        <w:t xml:space="preserve">Pinus </w:t>
      </w:r>
      <w:proofErr w:type="spellStart"/>
      <w:r w:rsidR="002435DE" w:rsidRPr="00F701A7">
        <w:rPr>
          <w:i/>
          <w:iCs/>
        </w:rPr>
        <w:t>lambertiana</w:t>
      </w:r>
      <w:proofErr w:type="spellEnd"/>
      <w:r w:rsidR="002435DE">
        <w:t>) is the largest Pinus species, an important timber species, and a component of several dry western conifer forest types</w:t>
      </w:r>
      <w:r w:rsidR="009971A5">
        <w:t>. In</w:t>
      </w:r>
      <w:r w:rsidR="002435DE">
        <w:t xml:space="preserve"> the extensive Sierra Nevada Mixed Conifer forest</w:t>
      </w:r>
      <w:r w:rsidR="00533EAF">
        <w:t>,</w:t>
      </w:r>
      <w:r w:rsidR="002435DE">
        <w:t xml:space="preserve"> </w:t>
      </w:r>
      <w:r w:rsidR="00533EAF">
        <w:t>sugar pine</w:t>
      </w:r>
      <w:r w:rsidR="002435DE">
        <w:t xml:space="preserve"> typically composes 5-25% of basal area </w:t>
      </w:r>
      <w:r w:rsidR="00420927">
        <w:fldChar w:fldCharType="begin" w:fldLock="1"/>
      </w:r>
      <w:r w:rsidR="002C19B3">
        <w:instrText>ADDIN CSL_CITATION {"citationItems":[{"id":"ITEM-1","itemData":{"author":[{"dropping-particle":"","family":"Kinloch","given":"Bohun B","non-dropping-particle":"","parse-names":false,"suffix":""},{"dropping-particle":"","family":"Scheuner","given":"William H","non-dropping-particle":"","parse-names":false,"suffix":""}],"container-title":"Silvics of North America 1","id":"ITEM-1","issued":{"date-parts":[["1990"]]},"page":"370-380","title":"Pinus lambertiana Dougl.","type":"chapter"},"uris":["http://www.mendeley.com/documents/?uuid=5479eee3-07f9-42cf-896b-73906ebcc0a6"]},{"id":"ITEM-2","itemData":{"author":[{"dropping-particle":"","family":"Safford","given":"Hugh D.","non-dropping-particle":"","parse-names":false,"suffix":""},{"dropping-particle":"","family":"Stevens","given":"Jens T.","non-dropping-particle":"","parse-names":false,"suffix":""}],"container-title":"Gen. Tech. Rep. PSW-GTR-2562","id":"ITEM-2","issue":"October","issued":{"date-parts":[["2017"]]},"page":"1-151","title":"Natural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Oregon","type":"article-journal","volume":"273"},"uris":["http://www.mendeley.com/documents/?uuid=57513bd6-50dd-45ab-81a2-2f825c133caf"]}],"mendeley":{"formattedCitation":"(Kinloch and Scheuner, 1990; Safford and Stevens, 2017; Bohlman, Safford and Skinner, 2021)","plainTextFormattedCitation":"(Kinloch and Scheuner, 1990; Safford and Stevens, 2017; Bohlman, Safford and Skinner, 2021)","previouslyFormattedCitation":"(Kinloch and Scheuner, 1990; Safford and Stevens, 2017; Bohlman, Safford and Skinner, 2021)"},"properties":{"noteIndex":0},"schema":"https://github.com/citation-style-language/schema/raw/master/csl-citation.json"}</w:instrText>
      </w:r>
      <w:r w:rsidR="00420927">
        <w:fldChar w:fldCharType="separate"/>
      </w:r>
      <w:r w:rsidR="00EB4A84" w:rsidRPr="00EB4A84">
        <w:rPr>
          <w:noProof/>
        </w:rPr>
        <w:t>(Kinloch and Scheuner, 1990; Safford and Stevens, 2017; Bohlman, Safford and Skinner, 2021)</w:t>
      </w:r>
      <w:r w:rsidR="00420927">
        <w:fldChar w:fldCharType="end"/>
      </w:r>
      <w:commentRangeEnd w:id="3"/>
      <w:r w:rsidR="00105668">
        <w:rPr>
          <w:rStyle w:val="CommentReference"/>
        </w:rPr>
        <w:commentReference w:id="3"/>
      </w:r>
      <w:r w:rsidR="002435DE">
        <w:t>. Its range extends through much of the North American Mediterranean zone throughout mountain ranges in California</w:t>
      </w:r>
      <w:r w:rsidR="00105668">
        <w:t>,</w:t>
      </w:r>
      <w:r w:rsidR="002435DE">
        <w:t xml:space="preserve"> central Oregon, </w:t>
      </w:r>
      <w:r w:rsidR="00105668">
        <w:t>and a small population in northwestern Mexico but</w:t>
      </w:r>
      <w:r w:rsidR="00346542">
        <w:t xml:space="preserve"> with the heart of its range</w:t>
      </w:r>
      <w:commentRangeStart w:id="4"/>
      <w:r w:rsidR="002435DE">
        <w:t xml:space="preserve"> </w:t>
      </w:r>
      <w:commentRangeEnd w:id="4"/>
      <w:r w:rsidR="00A95BB0">
        <w:rPr>
          <w:rStyle w:val="CommentReference"/>
        </w:rPr>
        <w:commentReference w:id="4"/>
      </w:r>
      <w:r w:rsidR="002435DE">
        <w:t xml:space="preserve">located in California. </w:t>
      </w:r>
      <w:r w:rsidR="008D1390">
        <w:t xml:space="preserve">Sugar pine seeds are an important food source for animal species </w:t>
      </w:r>
      <w:r w:rsidR="002C19B3">
        <w:fldChar w:fldCharType="begin" w:fldLock="1"/>
      </w:r>
      <w:r w:rsidR="00346542">
        <w:instrText>ADDIN CSL_CITATION {"citationItems":[{"id":"ITEM-1","itemData":{"DOI":"10.3398/064.070.0314","ISSN":"15270904","abstract":"This is the first report of Clark's Nutcrackers (Nucifraga columbiana) harvesting seeds from the cones of sugar pine (Pinus lambertiana), based on observations over several years in Crater Lake National Park, Oregon. The harvesting period in late September corresponded to peak cone-opening dates. Nutcrackers placed harvested seeds in their throat pouches, a behavior associated with seed caching. © 2010 Western North American Naturalist.","author":[{"dropping-particle":"","family":"Murray","given":"Michael P.","non-dropping-particle":"","parse-names":false,"suffix":""},{"dropping-particle":"","family":"Tomback","given":"Diana F.","non-dropping-particle":"","parse-names":false,"suffix":""}],"container-title":"Western North American Naturalist","id":"ITEM-1","issue":"3","issued":{"date-parts":[["2010"]]},"page":"413-414","title":"Clark's nutcrackers harvest sugar pine seeds from cones","type":"article-journal","volume":"70"},"uris":["http://www.mendeley.com/documents/?uuid=eab07144-f38e-44e6-bb50-47e8edfb932c"]},{"id":"ITEM-2","itemData":{"ISBN":"Technical Bulletin 1150","author":[{"dropping-particle":"","family":"Fowells","given":"H A","non-dropping-particle":"","parse-names":false,"suffix":""},{"dropping-particle":"","family":"Schubert","given":"G H","non-dropping-particle":"","parse-names":false,"suffix":""}],"container-title":"USDA Technical Bulletin","id":"ITEM-2","issue":"1150","issued":{"date-parts":[["1956"]]},"page":"1-48","title":"Seed crops of forest trees in the pine region of California","type":"article-journal","volume":"1150"},"uris":["http://www.mendeley.com/documents/?uuid=ead79d64-7cd1-4e56-b8e3-b3532ddf6681"]}],"mendeley":{"formattedCitation":"(Fowells and Schubert, 1956; Murray and Tomback, 2010)","plainTextFormattedCitation":"(Fowells and Schubert, 1956; Murray and Tomback, 2010)","previouslyFormattedCitation":"(Fowells and Schubert, 1956; Murray and Tomback, 2010)"},"properties":{"noteIndex":0},"schema":"https://github.com/citation-style-language/schema/raw/master/csl-citation.json"}</w:instrText>
      </w:r>
      <w:r w:rsidR="002C19B3">
        <w:fldChar w:fldCharType="separate"/>
      </w:r>
      <w:r w:rsidR="008C2844" w:rsidRPr="008C2844">
        <w:rPr>
          <w:noProof/>
        </w:rPr>
        <w:t>(Fowells and Schubert, 1956; Murray and Tomback, 2010)</w:t>
      </w:r>
      <w:r w:rsidR="002C19B3">
        <w:fldChar w:fldCharType="end"/>
      </w:r>
      <w:r w:rsidR="002C19B3">
        <w:t xml:space="preserve">, and </w:t>
      </w:r>
      <w:r w:rsidR="008611C1">
        <w:t>mature sugar pines are large-diameter trees which</w:t>
      </w:r>
      <w:r w:rsidR="002C19B3">
        <w:t xml:space="preserve"> play </w:t>
      </w:r>
      <w:commentRangeStart w:id="5"/>
      <w:r w:rsidR="00BC1636">
        <w:t xml:space="preserve">a key role </w:t>
      </w:r>
      <w:commentRangeEnd w:id="5"/>
      <w:r w:rsidR="002626E1">
        <w:rPr>
          <w:rStyle w:val="CommentReference"/>
        </w:rPr>
        <w:commentReference w:id="5"/>
      </w:r>
      <w:r w:rsidR="00BC1636">
        <w:t xml:space="preserve">in the structure and function of ecosystems they occur in </w:t>
      </w:r>
      <w:r w:rsidR="00BC1636">
        <w:fldChar w:fldCharType="begin" w:fldLock="1"/>
      </w:r>
      <w:r w:rsidR="00346542">
        <w:instrText>ADDIN CSL_CITATION {"citationItems":[{"id":"ITEM-1","itemData":{"DOI":"10.1111/geb.12747","ISSN":"14668238","abstract":"Aim: To examine the contribution of large-diameter trees to biomass, stand structure, and species richness across forest biomes. Location: Global. Time period: Early 21st century. Major taxa studied: Woody plants. Methods: We examined the contribution of large trees to forest density, richness and biomass using a global network of 48 large (from 2 to 60 ha) forest plots representing 5,601,473 stems across 9,298 species and 210 plant families. This contribution was assessed using three metrics: the largest 1% of trees ≥ 1 cm diameter at breast height (DBH), all trees ≥ 60 cm DBH, and those rank-ordered largest trees that cumulatively comprise 50% of forest biomass. Results: Averaged across these 48 forest plots, the largest 1% of trees ≥ 1 cm DBH comprised 50% of aboveground live biomass, with hectare-scale standard deviation of 26%. Trees ≥ 60 cm DBH comprised 41% of aboveground live tree biomass. The size of the largest trees correlated with total forest biomass (r2 =.62, p &lt;.001). Large-diameter trees in high biomass forests represented far fewer species relative to overall forest richness (r2 =.45, p &lt;.001). Forests with more diverse large-diameter tree communities were comprised of smaller trees (r2 =.33, p &lt;.001). Lower large-diameter richness was associated with large-diameter trees being individuals of more common species (r2 =.17, p =.002). The concentration of biomass in the largest 1% of trees declined with increasing absolute latitude (r2 =.46, p &lt;.001), as did forest density (r2 =.31, p &lt;.001). Forest structural complexity increased with increasing absolute latitude (r2 =.26, p &lt;.001). Main conclusions: Because large-diameter trees constitute roughly half of the mature forest biomass worldwide, their dynamics and sensitivities to environmental change represent potentially large controls on global forest carbon cycling. We recommend managing forests for conservation of existing large-diameter trees or those that can soon reach large diameters as a simple way to conserve and potentially enhance ecosystem services.","author":[{"dropping-particle":"","family":"Lutz","given":"James A.","non-dropping-particle":"","parse-names":false,"suffix":""},{"dropping-particle":"","family":"Furniss","given":"Tucker J.","non-dropping-particle":"","parse-names":false,"suffix":""},{"dropping-particle":"","family":"Johnson","given":"Daniel J.","non-dropping-particle":"","parse-names":false,"suffix":""},{"dropping-particle":"","family":"Davies","given":"Stuart J.","non-dropping-particle":"","parse-names":false,"suffix":""},{"dropping-particle":"","family":"Allen","given":"David","non-dropping-particle":"","parse-names":false,"suffix":""},{"dropping-particle":"","family":"Alonso","given":"Alfonso","non-dropping-particle":"","parse-names":false,"suffix":""},{"dropping-particle":"","family":"Anderson-Teixeira","given":"Kristina J.","non-dropping-particle":"","parse-names":false,"suffix":""},{"dropping-particle":"","family":"Andrade","given":"Ana","non-dropping-particle":"","parse-names":false,"suffix":""},{"dropping-particle":"","family":"Baltzer","given":"Jennifer","non-dropping-particle":"","parse-names":false,"suffix":""},{"dropping-particle":"","family":"Becker","given":"Kendall M.L.","non-dropping-particle":"","parse-names":false,"suffix":""},{"dropping-particle":"","family":"Blomdahl","given":"Erika M.","non-dropping-particle":"","parse-names":false,"suffix":""},{"dropping-particle":"","family":"Bourg","given":"Norman A.","non-dropping-particle":"","parse-names":false,"suffix":""},{"dropping-particle":"","family":"Bunyavejchewin","given":"Sarayudh","non-dropping-particle":"","parse-names":false,"suffix":""},{"dropping-particle":"","family":"Burslem","given":"David F.R.P.","non-dropping-particle":"","parse-names":false,"suffix":""},{"dropping-particle":"","family":"Cansler","given":"C. Alina","non-dropping-particle":"","parse-names":false,"suffix":""},{"dropping-particle":"","family":"Cao","given":"Ke","non-dropping-particle":"","parse-names":false,"suffix":""},{"dropping-particle":"","family":"Cao","given":"Min","non-dropping-particle":"","parse-names":false,"suffix":""},{"dropping-particle":"","family":"Cárdenas","given":"Dairon","non-dropping-particle":"","parse-names":false,"suffix":""},{"dropping-particle":"","family":"Chang","given":"Li Wan","non-dropping-particle":"","parse-names":false,"suffix":""},{"dropping-particle":"","family":"Chao","given":"Kuo Jung","non-dropping-particle":"","parse-names":false,"suffix":""},{"dropping-particle":"","family":"Chao","given":"Wei Chun","non-dropping-particle":"","parse-names":false,"suffix":""},{"dropping-particle":"","family":"Chiang","given":"Jyh Min","non-dropping-particle":"","parse-names":false,"suffix":""},{"dropping-particle":"","family":"Chu","given":"Chengjin","non-dropping-particle":"","parse-names":false,"suffix":""},{"dropping-particle":"","family":"Chuyong","given":"George B.","non-dropping-particle":"","parse-names":false,"suffix":""},{"dropping-particle":"","family":"Clay","given":"Keith","non-dropping-particle":"","parse-names":false,"suffix":""},{"dropping-particle":"","family":"Condit","given":"Richard","non-dropping-particle":"","parse-names":false,"suffix":""},{"dropping-particle":"","family":"Cordell","given":"Susan","non-dropping-particle":"","parse-names":false,"suffix":""},{"dropping-particle":"","family":"Dattaraja","given":"Handanakere S.","non-dropping-particle":"","parse-names":false,"suffix":""},{"dropping-particle":"","family":"Duque","given":"Alvaro","non-dropping-particle":"","parse-names":false,"suffix":""},{"dropping-particle":"","family":"Ewango","given":"Corneille E.N.","non-dropping-particle":"","parse-names":false,"suffix":""},{"dropping-particle":"","family":"Fischer","given":"Gunter A.","non-dropping-particle":"","parse-names":false,"suffix":""},{"dropping-particle":"","family":"Fletcher","given":"Christine","non-dropping-particle":"","parse-names":false,"suffix":""},{"dropping-particle":"","family":"Freund","given":"James A.","non-dropping-particle":"","parse-names":false,"suffix":""},{"dropping-particle":"","family":"Giardina","given":"Christian","non-dropping-particle":"","parse-names":false,"suffix":""},{"dropping-particle":"","family":"Germain","given":"Sara J.","non-dropping-particle":"","parse-names":false,"suffix":""},{"dropping-particle":"","family":"Gilbert","given":"Gregory S.","non-dropping-particle":"","parse-names":false,"suffix":""},{"dropping-particle":"","family":"Hao","given":"Zhanqing","non-dropping-particle":"","parse-names":false,"suffix":""},{"dropping-particle":"","family":"Hart","given":"Terese","non-dropping-particle":"","parse-names":false,"suffix":""},{"dropping-particle":"","family":"Hau","given":"Billy C.H.","non-dropping-particle":"","parse-names":false,"suffix":""},{"dropping-particle":"","family":"He","given":"Fangliang","non-dropping-particle":"","parse-names":false,"suffix":""},{"dropping-particle":"","family":"Hector","given":"Andrew","non-dropping-particle":"","parse-names":false,"suffix":""},{"dropping-particle":"","family":"Howe","given":"Robert W.","non-dropping-particle":"","parse-names":false,"suffix":""},{"dropping-particle":"","family":"Hsieh","given":"Chang Fu","non-dropping-particle":"","parse-names":false,"suffix":""},{"dropping-particle":"","family":"Hu","given":"Yue Hua","non-dropping-particle":"","parse-names":false,"suffix":""},{"dropping-particle":"","family":"Hubbell","given":"Stephen P.","non-dropping-particle":"","parse-names":false,"suffix":""},{"dropping-particle":"","family":"Inman-Narahari","given":"Faith M.","non-dropping-particle":"","parse-names":false,"suffix":""},{"dropping-particle":"","family":"Itoh","given":"Akira","non-dropping-particle":"","parse-names":false,"suffix":""},{"dropping-particle":"","family":"Janík","given":"David","non-dropping-particle":"","parse-names":false,"suffix":""},{"dropping-particle":"","family":"Kassim","given":"Abdul Rahman","non-dropping-particle":"","parse-names":false,"suffix":""},{"dropping-particle":"","family":"Kenfack","given":"David","non-dropping-particle":"","parse-names":false,"suffix":""},{"dropping-particle":"","family":"Korte","given":"Lisa","non-dropping-particle":"","parse-names":false,"suffix":""},{"dropping-particle":"","family":"Král","given":"Kamil","non-dropping-particle":"","parse-names":false,"suffix":""},{"dropping-particle":"","family":"Larson","given":"Andrew J.","non-dropping-particle":"","parse-names":false,"suffix":""},{"dropping-particle":"De","family":"Li","given":"Yi","non-dropping-particle":"","parse-names":false,"suffix":""},{"dropping-particle":"","family":"Lin","given":"Yiching","non-dropping-particle":"","parse-names":false,"suffix":""},{"dropping-particle":"","family":"Liu","given":"Shirong","non-dropping-particle":"","parse-names":false,"suffix":""},{"dropping-particle":"","family":"Lum","given":"Shawn","non-dropping-particle":"","parse-names":false,"suffix":""},{"dropping-particle":"","family":"Ma","given":"Keping","non-dropping-particle":"","parse-names":false,"suffix":""},{"dropping-particle":"","family":"Makana","given":"Jean Remy","non-dropping-particle":"","parse-names":false,"suffix":""},{"dropping-particle":"","family":"Malhi","given":"Yadvinder","non-dropping-particle":"","parse-names":false,"suffix":""},{"dropping-particle":"","family":"McMahon","given":"Sean M.","non-dropping-particle":"","parse-names":false,"suffix":""},{"dropping-particle":"","family":"McShea","given":"William J.","non-dropping-particle":"","parse-names":false,"suffix":""},{"dropping-particle":"","family":"Memiaghe","given":"Hervé R.","non-dropping-particle":"","parse-names":false,"suffix":""},{"dropping-particle":"","family":"Mi","given":"Xiangcheng","non-dropping-particle":"","parse-names":false,"suffix":""},{"dropping-particle":"","family":"Morecroft","given":"Michael","non-dropping-particle":"","parse-names":false,"suffix":""},{"dropping-particle":"","family":"Musili","given":"Paul M.","non-dropping-particle":"","parse-names":false,"suffix":""},{"dropping-particle":"","family":"Myers","given":"Jonathan A.","non-dropping-particle":"","parse-names":false,"suffix":""},{"dropping-particle":"","family":"Novotny","given":"Vojtech","non-dropping-particle":"","parse-names":false,"suffix":""},{"dropping-particle":"","family":"Oliveira","given":"Alexandre","non-dropping-particle":"de","parse-names":false,"suffix":""},{"dropping-particle":"","family":"Ong","given":"Perry","non-dropping-particle":"","parse-names":false,"suffix":""},{"dropping-particle":"","family":"Orwig","given":"David A.","non-dropping-particle":"","parse-names":false,"suffix":""},{"dropping-particle":"","family":"Ostertag","given":"Rebecca","non-dropping-particle":"","parse-names":false,"suffix":""},{"dropping-particle":"","family":"Parker","given":"Geoffrey G.","non-dropping-particle":"","parse-names":false,"suffix":""},{"dropping-particle":"","family":"Patankar","given":"Rajit","non-dropping-particle":"","parse-names":false,"suffix":""},{"dropping-particle":"","family":"Phillips","given":"Richard P.","non-dropping-particle":"","parse-names":false,"suffix":""},{"dropping-particle":"","family":"Reynolds","given":"Glen","non-dropping-particle":"","parse-names":false,"suffix":""},{"dropping-particle":"","family":"Sack","given":"Lawren","non-dropping-particle":"","parse-names":false,"suffix":""},{"dropping-particle":"","family":"Song","given":"Guo Zhang M.","non-dropping-particle":"","parse-names":false,"suffix":""},{"dropping-particle":"","family":"Su","given":"Sheng Hsin","non-dropping-particle":"","parse-names":false,"suffix":""},{"dropping-particle":"","family":"Sukumar","given":"Raman","non-dropping-particle":"","parse-names":false,"suffix":""},{"dropping-particle":"","family":"Sun","given":"I. Fang","non-dropping-particle":"","parse-names":false,"suffix":""},{"dropping-particle":"","family":"Suresh","given":"Hebbalalu S.","non-dropping-particle":"","parse-names":false,"suffix":""},{"dropping-particle":"","family":"Swanson","given":"Mark E.","non-dropping-particle":"","parse-names":false,"suffix":""},{"dropping-particle":"","family":"Tan","given":"Sylvester","non-dropping-particle":"","parse-names":false,"suffix":""},{"dropping-particle":"","family":"Thomas","given":"Duncan W.","non-dropping-particle":"","parse-names":false,"suffix":""},{"dropping-particle":"","family":"Thompson","given":"Jill","non-dropping-particle":"","parse-names":false,"suffix":""},{"dropping-particle":"","family":"Uriarte","given":"Maria","non-dropping-particle":"","parse-names":false,"suffix":""},{"dropping-particle":"","family":"Valencia","given":"Renato","non-dropping-particle":"","parse-names":false,"suffix":""},{"dropping-particle":"","family":"Vicentini","given":"Alberto","non-dropping-particle":"","parse-names":false,"suffix":""},{"dropping-particle":"","family":"Vrška","given":"Tomáš","non-dropping-particle":"","parse-names":false,"suffix":""},{"dropping-particle":"","family":"Wang","given":"Xugao","non-dropping-particle":"","parse-names":false,"suffix":""},{"dropping-particle":"","family":"Weiblen","given":"George D.","non-dropping-particle":"","parse-names":false,"suffix":""},{"dropping-particle":"","family":"Wolf","given":"Amy","non-dropping-particle":"","parse-names":false,"suffix":""},{"dropping-particle":"","family":"Wu","given":"Shu Hui","non-dropping-particle":"","parse-names":false,"suffix":""},{"dropping-particle":"","family":"Xu","given":"Han","non-dropping-particle":"","parse-names":false,"suffix":""},{"dropping-particle":"","family":"Yamakura","given":"Takuo","non-dropping-particle":"","parse-names":false,"suffix":""},{"dropping-particle":"","family":"Yap","given":"Sandra","non-dropping-particle":"","parse-names":false,"suffix":""},{"dropping-particle":"","family":"Zimmerman","given":"Jess K.","non-dropping-particle":"","parse-names":false,"suffix":""}],"container-title":"Global Ecology and Biogeography","id":"ITEM-1","issue":"7","issued":{"date-parts":[["2018"]]},"page":"849-864","title":"Global importance of large-diameter trees","type":"article-journal","volume":"27"},"uris":["http://www.mendeley.com/documents/?uuid=4cce4722-d96c-497f-987b-7ff4cf9cc13a"]},{"id":"ITEM-2","itemData":{"DOI":"10.1186/s13717-020-00243-8","ISSN":"21921709","abstract":"The reintroduction of fire to landscapes where it was once common is considered a priority to restore historical forest dynamics, including reducing tree density and decreasing levels of woody biomass on the forest floor. However, reintroducing fire causes tree mortality that can have unintended ecological outcomes related to woody biomass, with potential impacts to fuel accumulation, carbon sequestration, subsequent fire severity, and forest management. In this study, we examine the interplay between fire and carbon dynamics by asking how reintroduced fire impacts fuel accumulation, carbon sequestration, and subsequent fire severity potential. Beginning pre-fire, and continuing 6 years post-fire, we tracked all live, dead, and fallen trees ≥ 1 cm in diameter and mapped all pieces of deadwood (downed woody debris) originating from tree boles ≥ 10 cm diameter and ≥ 1 m in length in 25.6 ha of an Abies concolor/Pinus lambertiana forest in the central Sierra Nevada, California, USA. We also tracked surface fuels along 2240 m of planar transects pre-fire, immediately post-fire, and 6 years post-fire. Six years after moderate-severity fire, deadwood ≥ 10 cm diameter was 73 Mg ha−1, comprised of 32 Mg ha−1 that persisted through fire and 41 Mg ha−1 of newly fallen wood (compared to 72 Mg ha−1 pre-fire). Woody surface fuel loading was spatially heterogeneous, with mass varying almost four orders of magnitude at the scale of 20 m × 20 m quadrats (minimum, 0.1 Mg ha−1; mean, 73 Mg ha−1; maximum, 497 Mg ha−1). Wood from large-diameter trees (≥ 60 cm diameter) comprised 57% of surface fuel in 2019, but was 75% of snag biomass, indicating high contributions to current and future fuel loading. Reintroduction of fire does not consume all large-diameter fuel and generates high levels of surface fuels ≥ 10 cm diameter within 6 years. Repeated fires are needed to reduce surface fuel loading.","author":[{"dropping-particle":"","family":"Lutz","given":"James A.","non-dropping-particle":"","parse-names":false,"suffix":""},{"dropping-particle":"","family":"Struckman","given":"Soren","non-dropping-particle":"","parse-names":false,"suffix":""},{"dropping-particle":"","family":"Furniss","given":"Tucker J.","non-dropping-particle":"","parse-names":false,"suffix":""},{"dropping-particle":"","family":"Cansler","given":"C. Alina","non-dropping-particle":"","parse-names":false,"suffix":""},{"dropping-particle":"","family":"Germain","given":"Sara J.","non-dropping-particle":"","parse-names":false,"suffix":""},{"dropping-particle":"","family":"Yocom","given":"Larissa L.","non-dropping-particle":"","parse-names":false,"suffix":""},{"dropping-particle":"","family":"McAvoy","given":"Darren J.","non-dropping-particle":"","parse-names":false,"suffix":""},{"dropping-particle":"","family":"Kolden","given":"Crystal A.","non-dropping-particle":"","parse-names":false,"suffix":""},{"dropping-particle":"","family":"Smith","given":"Alistair M.S.","non-dropping-particle":"","parse-names":false,"suffix":""},{"dropping-particle":"","family":"Swanson","given":"Mark E.","non-dropping-particle":"","parse-names":false,"suffix":""},{"dropping-particle":"","family":"Larson","given":"Andrew J.","non-dropping-particle":"","parse-names":false,"suffix":""}],"container-title":"Ecological Processes","id":"ITEM-2","issue":"1","issued":{"date-parts":[["2020"]]},"publisher":"Ecological Processes","title":"Large-diameter trees dominate snag and surface biomass following reintroduced fire","type":"article-journal","volume":"9"},"uris":["http://www.mendeley.com/documents/?uuid=1ce330b5-a9b0-427a-8117-c7ea71325d14"]},{"id":"ITEM-3","itemData":{"DOI":"10.1371/journal.pone.0082784","ISSN":"19326203","PMID":"24376579","abstract":"Large-diameter trees dominate the structure, dynamics and function of many temperate and tropical forests. However, their attendant contributions to forest heterogeneity are rarely addressed. We established the Wind River Forest Dynamics Plot, a 25.6 ha permanent plot within which we tagged and mapped all 30,973 woody stems ≥1 cm dbh, all 1,966 snags ≥10 cm dbh, and all shrub patches ≥2 m2. Basal area of the 26 woody species was 62.18 m 2/ha, of which 61.60 m2/ha was trees and 0.58 m 2/ha was tall shrubs. Large-diameter trees (≥100 cm dbh) comprised 1.5% of stems, 31.8% of basal area, and 17.6% of the heterogeneity of basal area, with basal area dominated by Tsuga heterophylla and Pseudotsuga menziesii. Small-diameter subpopulations of Pseudotsuga menziesii, Tsuga heterophylla and Thuja plicata, as well as all tree species combined, exhibited significant aggregation relative to the null model of complete spatial randomness (CSR) up to 9 m (P≤0.001). Patterns of large-diameter trees were either not different from CSR ( Tsuga heterophylla), or exhibited slight aggregation (Pseudotsuga menziesii and Thuja plicata). Significant spatial repulsion between large-diameter and small-diameter Tsuga heterophylla suggests that large-diameter Tsuga heterophylla function as organizers of tree demography over decadal timescales through competitive interactions. Comparison among two forest dynamics plots suggests that forest structural diversity responds to intermediate-scale environmental heterogeneity and disturbances, similar to hypotheses about patterns of species richness, and richness- ecosystem function. Large mapped plots with detailed within-plot environmental spatial covariates will be required to test these hypotheses. Copyright: © 2013 Lutz et al.","author":[{"dropping-particle":"","family":"Lutz","given":"James A.","non-dropping-particle":"","parse-names":false,"suffix":""},{"dropping-particle":"","family":"Larson","given":"Andrew J.","non-dropping-particle":"","parse-names":false,"suffix":""},{"dropping-particle":"","family":"Freund","given":"James A.","non-dropping-particle":"","parse-names":false,"suffix":""},{"dropping-particle":"","family":"Swanson","given":"Mark E.","non-dropping-particle":"","parse-names":false,"suffix":""},{"dropping-particle":"","family":"Bible","given":"Kenneth J.","non-dropping-particle":"","parse-names":false,"suffix":""}],"container-title":"PLoS ONE","id":"ITEM-3","issue":"12","issued":{"date-parts":[["2013"]]},"title":"The importance of large-diameter trees to forest structural heterogeneity","type":"article-journal","volume":"8"},"uris":["http://www.mendeley.com/documents/?uuid=e98b64c5-ad5f-4617-b7ae-53e92ccb12a4"]}],"mendeley":{"formattedCitation":"(Lutz &lt;i&gt;et al.&lt;/i&gt;, 2013, 2018, 2020)","plainTextFormattedCitation":"(Lutz et al., 2013, 2018, 2020)","previouslyFormattedCitation":"(Lutz &lt;i&gt;et al.&lt;/i&gt;, 2018)"},"properties":{"noteIndex":0},"schema":"https://github.com/citation-style-language/schema/raw/master/csl-citation.json"}</w:instrText>
      </w:r>
      <w:r w:rsidR="00BC1636">
        <w:fldChar w:fldCharType="separate"/>
      </w:r>
      <w:r w:rsidR="00346542" w:rsidRPr="00346542">
        <w:rPr>
          <w:noProof/>
        </w:rPr>
        <w:t xml:space="preserve">(Lutz </w:t>
      </w:r>
      <w:r w:rsidR="00346542" w:rsidRPr="00346542">
        <w:rPr>
          <w:i/>
          <w:noProof/>
        </w:rPr>
        <w:t>et al.</w:t>
      </w:r>
      <w:r w:rsidR="00346542" w:rsidRPr="00346542">
        <w:rPr>
          <w:noProof/>
        </w:rPr>
        <w:t>, 2013, 2018, 2020)</w:t>
      </w:r>
      <w:r w:rsidR="00BC1636">
        <w:fldChar w:fldCharType="end"/>
      </w:r>
      <w:r w:rsidR="00BC1636">
        <w:t>.</w:t>
      </w:r>
      <w:r w:rsidR="008C2844">
        <w:t xml:space="preserve"> However, sugar pines face numerous challenges in the Anthropocene.</w:t>
      </w:r>
    </w:p>
    <w:p w14:paraId="0720B5B8" w14:textId="1A9DA8FE" w:rsidR="00DB0132" w:rsidRDefault="008611C1" w:rsidP="009971A5">
      <w:pPr>
        <w:spacing w:line="360" w:lineRule="auto"/>
        <w:ind w:firstLine="720"/>
      </w:pPr>
      <w:commentRangeStart w:id="6"/>
      <w:r>
        <w:t xml:space="preserve">First, </w:t>
      </w:r>
      <w:commentRangeEnd w:id="6"/>
      <w:r w:rsidR="00105668">
        <w:rPr>
          <w:rStyle w:val="CommentReference"/>
        </w:rPr>
        <w:commentReference w:id="6"/>
      </w:r>
      <w:r>
        <w:t xml:space="preserve">disruptions to the fire </w:t>
      </w:r>
      <w:r w:rsidR="00B23450">
        <w:t xml:space="preserve">regime have challenged sugar pine. Sugar pine is a fire-tolerant species with moderate shade intolerance </w:t>
      </w:r>
      <w:r w:rsidR="00B23450">
        <w:fldChar w:fldCharType="begin" w:fldLock="1"/>
      </w:r>
      <w:r w:rsidR="00B23450">
        <w:instrText>ADDIN CSL_CITATION {"citationItems":[{"id":"ITEM-1","itemData":{"author":[{"dropping-particle":"","family":"Yeaton","given":"Richard I","non-dropping-particle":"","parse-names":false,"suffix":""}],"id":"ITEM-1","issue":"3","issued":{"date-parts":[["1983"]]},"page":"292-297","title":"The Successional Replacement of Ponderosa Pine by Sugar Pine in the Sierra Nevada Author ( s ): Richard I . Yeaton Source : Bulletin of the Torrey Botanical Club , Jul . - Sep ., 1983 , Vol . 110 , No . 3 ( Jul . - Published by : Torrey Botanical Society ","type":"article-journal","volume":"110"},"uris":["http://www.mendeley.com/documents/?uuid=906b2319-be0e-41d8-8a45-ebff3d65f29a"]},{"id":"ITEM-2","itemData":{"author":[{"dropping-particle":"","family":"Yeaton","given":"Richard I.","non-dropping-particle":"","parse-names":false,"suffix":""}],"container-title":"The American Midland Naturalist","id":"ITEM-2","issue":"1","issued":{"date-parts":[["1984"]]},"page":"126-137","title":"Aspects of the Population Biology of Sugar Pine ( Pinus lambertiana Dougl .) on an Elevational Gradient in the Sierra Nevada of Central California","type":"article-journal","volume":"111"},"uris":["http://www.mendeley.com/documents/?uuid=2ec4908c-3817-4f06-b070-42c88909b87a"]},{"id":"ITEM-3","itemData":{"author":[{"dropping-particle":"","family":"Bohlman","given":"Gabrielle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Oregon","type":"article-journal","volume":"273"},"uris":["http://www.mendeley.com/documents/?uuid=57513bd6-50dd-45ab-81a2-2f825c133caf"]}],"mendeley":{"formattedCitation":"(Yeaton, 1983, 1984; Bohlman, Safford and Skinner, 2021)","plainTextFormattedCitation":"(Yeaton, 1983, 1984; Bohlman, Safford and Skinner, 2021)","previouslyFormattedCitation":"(Yeaton, 1983, 1984; Bohlman, Safford and Skinner, 2021)"},"properties":{"noteIndex":0},"schema":"https://github.com/citation-style-language/schema/raw/master/csl-citation.json"}</w:instrText>
      </w:r>
      <w:r w:rsidR="00B23450">
        <w:fldChar w:fldCharType="separate"/>
      </w:r>
      <w:r w:rsidR="00B23450" w:rsidRPr="00EB4A84">
        <w:rPr>
          <w:noProof/>
        </w:rPr>
        <w:t>(Yeaton, 1983, 1984; Bohlman, Safford and Skinner, 2021)</w:t>
      </w:r>
      <w:r w:rsidR="00B23450">
        <w:fldChar w:fldCharType="end"/>
      </w:r>
      <w:r w:rsidR="00B23450">
        <w:t xml:space="preserve"> and persisted in frequent fire forest types with mean fire return intervals of at most 11-16 years </w:t>
      </w:r>
      <w:r w:rsidR="00B23450">
        <w:fldChar w:fldCharType="begin" w:fldLock="1"/>
      </w:r>
      <w:r w:rsidR="00B23450">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Forests","type":"article-journal"},"uris":["http://www.mendeley.com/documents/?uuid=865d47ce-7aba-4ed2-802c-803bb9610f75"]},{"id":"ITEM-2","itemData":{"author":[{"dropping-particle":"","family":"Bohlman","given":"Gabrielle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p.","id":"ITEM-2","issue":"November","issued":{"date-parts":[["2021"]]},"title":"Natural range of variation for yellow pine and mixed-conifer forests in northwestern California and southwestern Oregon","type":"article-journal","volume":"273"},"uris":["http://www.mendeley.com/documents/?uuid=57513bd6-50dd-45ab-81a2-2f825c133caf"]}],"mendeley":{"formattedCitation":"(Safford and Stevens, 2017; Bohlman, Safford and Skinner, 2021)","plainTextFormattedCitation":"(Safford and Stevens, 2017; Bohlman, Safford and Skinner, 2021)","previouslyFormattedCitation":"(Safford and Stevens, 2017; Bohlman, Safford and Skinner, 2021)"},"properties":{"noteIndex":0},"schema":"https://github.com/citation-style-language/schema/raw/master/csl-citation.json"}</w:instrText>
      </w:r>
      <w:r w:rsidR="00B23450">
        <w:fldChar w:fldCharType="separate"/>
      </w:r>
      <w:r w:rsidR="00B23450" w:rsidRPr="00EB4A84">
        <w:rPr>
          <w:noProof/>
        </w:rPr>
        <w:t>(Safford and Stevens, 2017; Bohlman, Safford and Skinner, 2021)</w:t>
      </w:r>
      <w:r w:rsidR="00B23450">
        <w:fldChar w:fldCharType="end"/>
      </w:r>
      <w:r w:rsidR="00B23450">
        <w:t xml:space="preserve">. Sugar pine has traits associated </w:t>
      </w:r>
      <w:r w:rsidR="00A95BB0">
        <w:t xml:space="preserve">with </w:t>
      </w:r>
      <w:r w:rsidR="00B23450">
        <w:t xml:space="preserve">a fire-surviving strategy </w:t>
      </w:r>
      <w:r w:rsidR="00B23450">
        <w:fldChar w:fldCharType="begin" w:fldLock="1"/>
      </w:r>
      <w:r w:rsidR="0020010E">
        <w:instrText>ADDIN CSL_CITATION {"citationItems":[{"id":"ITEM-1","itemData":{"author":[{"dropping-particle":"","family":"Schwilk","given":"Dylan W","non-dropping-particle":"","parse-names":false,"suffix":""},{"dropping-particle":"","family":"Ackerly","given":"David D.","non-dropping-particle":"","parse-names":false,"suffix":""}],"container-title":"Oikos","id":"ITEM-1","issued":{"date-parts":[["2001"]]},"page":"326-336","title":"Flammability and Serotiny as Strategies : Correlated Evolution in Pines evolution correlated as strategies : and serotiny Flammability in pines","type":"article-journal","volume":"94"},"uris":["http://www.mendeley.com/documents/?uuid=4e11b3ff-c24a-4850-9031-31200fcfce8d"]}],"mendeley":{"formattedCitation":"(Schwilk and Ackerly, 2001)","plainTextFormattedCitation":"(Schwilk and Ackerly, 2001)","previouslyFormattedCitation":"(Schwilk and Ackerly, 2001)"},"properties":{"noteIndex":0},"schema":"https://github.com/citation-style-language/schema/raw/master/csl-citation.json"}</w:instrText>
      </w:r>
      <w:r w:rsidR="00B23450">
        <w:fldChar w:fldCharType="separate"/>
      </w:r>
      <w:r w:rsidR="00B23450" w:rsidRPr="00B23450">
        <w:rPr>
          <w:noProof/>
        </w:rPr>
        <w:t>(Schwilk and Ackerly, 2001)</w:t>
      </w:r>
      <w:r w:rsidR="00B23450">
        <w:fldChar w:fldCharType="end"/>
      </w:r>
      <w:r w:rsidR="00B23450">
        <w:t xml:space="preserve">, whereby large adults survive wildfires and provide offspring that can take advantage of reduced competition for light and water in the postfire environment. </w:t>
      </w:r>
      <w:r w:rsidR="0020010E">
        <w:t>However, intensive historical logging and fire suppression in the 20</w:t>
      </w:r>
      <w:r w:rsidR="0020010E" w:rsidRPr="0020010E">
        <w:rPr>
          <w:vertAlign w:val="superscript"/>
        </w:rPr>
        <w:t>th</w:t>
      </w:r>
      <w:r w:rsidR="0020010E">
        <w:t xml:space="preserve"> century have altered forest structure and a warming climate </w:t>
      </w:r>
      <w:r w:rsidR="00105668">
        <w:t>have increased</w:t>
      </w:r>
      <w:r w:rsidR="0020010E">
        <w:t xml:space="preserve"> the area affected by high severity fire within sugar pine’s range </w:t>
      </w:r>
      <w:r w:rsidR="0020010E">
        <w:fldChar w:fldCharType="begin" w:fldLock="1"/>
      </w:r>
      <w:r w:rsidR="00DB0132">
        <w:instrText>ADDIN CSL_CITATION {"citationItems":[{"id":"ITEM-1","itemData":{"DOI":"10.1029/2020GL089858","ISSN":"19448007","abstract":"Increases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Letters","id":"ITEM-1","issue":"22","issued":{"date-parts":[["2020"]]},"page":"1-10","title":"Warmer and Drier Fire Seasons Contribute to Increases in Area Burned at High Severity in Western US Forests From 1985 to 2017","type":"article-journal","volume":"47"},"uris":["http://www.mendeley.com/documents/?uuid=c62781ce-2164-4b01-b721-ce147287a476"]},{"id":"ITEM-2","itemData":{"DOI":"10.1016/j.foreco.2017.08.051","ISSN":"03781127","abstract":"Stand-replacing fire has profound ecological impacts in conifer forests, yet there is continued uncertainty over how best to describe the scale of stand-replacing effects within individual fires, and how these effects are changing over time. In forests where regeneration following stand-replacing fire depends on seed dispersal from surviving trees, the size and shape of stand-replacing patches are critical metrics that are difficult to describe and often overlooked. We used a novel, recently-developed metric that describes the amount of stand-replacing area within a given distance of a live-tree patch edge, in order to compare fires that may be otherwise similar in fire size or the percentage of stand-replacing effects. Specifically, we analyzed 477 fires in California pine, fir, and mixed-conifer forests between 1984 and 2015 and asked whether this metric, the stand-replacing decay coefficient (SDC), has changed over time, whether it is affected by fire management, and how it responds to extreme weather conditions at the time of the fire. Mean annual SDC became smaller over time (significantly so in the Sierra Nevada region), indicating that stand-replacing patches became larger and more regularly shaped. The decrease in SDC was particularly pronounced in the years since 2011. While SDC is correlated with percent high-severity, it is able to distinguish fires of comparable percent high-severity but different spatial pattern, with fires managed for suppression having smaller SDC than fires managed for resource benefit. Similarly, fires managed by the US Forest Service had smaller SDC than fires managed by the National Park Service. Fire weather also played an important role, with higher maximum temperatures generally associated with smaller SDC values. SDC is useful for comparing fires because it is associated with more conventional metrics such as percent high-severity, but also incorporates a measure of regeneration potential – distance to surviving trees at stand-replacement patch edges – which is a biological legacy that directly affects the resilience of forests to increasingly frequent and severe fire disturbances. We estimate that from 1984 to 2015, over 80,000 ha of forestland burned with stand-replacing effects greater than 120 m in from patch edges, denoting areas vulnerable to extended conifer forest loss due to dispersal limitation. Managing unplanned ignitions under less extreme weather conditions can achieve beneficial “fine-grained” effec…","author":[{"dropping-particle":"","family":"Stevens","given":"Jens T.","non-dropping-particle":"","parse-names":false,"suffix":""},{"dropping-particle":"","family":"Collins","given":"Brandon M.","non-dropping-particle":"","parse-names":false,"suffix":""},{"dropping-particle":"","family":"Miller","given":"Jay D.","non-dropping-particle":"","parse-names":false,"suffix":""},{"dropping-particle":"","family":"North","given":"Malcolm P.","non-dropping-particle":"","parse-names":false,"suffix":""},{"dropping-particle":"","family":"Stephens","given":"Scott L.","non-dropping-particle":"","parse-names":false,"suffix":""}],"container-title":"Forest Ecology and Management","id":"ITEM-2","issue":"August","issued":{"date-parts":[["2017"]]},"page":"28-36","publisher":"Elsevier","title":"Changing spatial patterns of stand-replacing fire in California conifer forests","type":"article-journal","volume":"406"},"uris":["http://www.mendeley.com/documents/?uuid=7e44a2bb-e159-4d15-bf4d-4f61f9dce42f"]},{"id":"ITEM-3","itemData":{"author":[{"dropping-particle":"","family":"Safford","given":"Hugh D.","non-dropping-particle":"","parse-names":false,"suffix":""},{"dropping-particle":"","family":"Stevens","given":"Jens T.","non-dropping-particle":"","parse-names":false,"suffix":""}],"container-title":"Gen. Tech. Rep. PSW-GTR-2562","id":"ITEM-3","issue":"October","issued":{"date-parts":[["2017"]]},"page":"1-151","title":"Natural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Forests","type":"article-journal"},"uris":["http://www.mendeley.com/documents/?uuid=865d47ce-7aba-4ed2-802c-803bb9610f75"]},{"id":"ITEM-4","itemData":{"author":[{"dropping-particle":"","family":"Bohlman","given":"Gabrielle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p.","id":"ITEM-4","issue":"November","issued":{"date-parts":[["2021"]]},"title":"Natural range of variation for yellow pine and mixed-conifer forests in northwestern California and southwestern Oregon","type":"article-journal","volume":"273"},"uris":["http://www.mendeley.com/documents/?uuid=57513bd6-50dd-45ab-81a2-2f825c133caf"]}],"mendeley":{"formattedCitation":"(Safford and Stevens, 2017; Stevens &lt;i&gt;et al.&lt;/i&gt;, 2017; Parks and Abatzoglou, 2020; Bohlman, Safford and Skinner, 2021)","plainTextFormattedCitation":"(Safford and Stevens, 2017; Stevens et al., 2017; Parks and Abatzoglou, 2020; Bohlman, Safford and Skinner, 2021)","previouslyFormattedCitation":"(Safford and Stevens, 2017; Stevens &lt;i&gt;et al.&lt;/i&gt;, 2017; Parks and Abatzoglou, 2020; Bohlman, Safford and Skinner, 2021)"},"properties":{"noteIndex":0},"schema":"https://github.com/citation-style-language/schema/raw/master/csl-citation.json"}</w:instrText>
      </w:r>
      <w:r w:rsidR="0020010E">
        <w:fldChar w:fldCharType="separate"/>
      </w:r>
      <w:r w:rsidR="000624D9" w:rsidRPr="000624D9">
        <w:rPr>
          <w:noProof/>
        </w:rPr>
        <w:t xml:space="preserve">(Safford and Stevens, 2017; Stevens </w:t>
      </w:r>
      <w:r w:rsidR="000624D9" w:rsidRPr="000624D9">
        <w:rPr>
          <w:i/>
          <w:noProof/>
        </w:rPr>
        <w:t>et al.</w:t>
      </w:r>
      <w:r w:rsidR="000624D9" w:rsidRPr="000624D9">
        <w:rPr>
          <w:noProof/>
        </w:rPr>
        <w:t>, 2017; Parks and Abatzoglou, 2020; Bohlman, Safford and Skinner, 2021)</w:t>
      </w:r>
      <w:r w:rsidR="0020010E">
        <w:fldChar w:fldCharType="end"/>
      </w:r>
      <w:r w:rsidR="000624D9">
        <w:t xml:space="preserve">. This novel fire regime has increased the proportion of the sugar pine’s range where </w:t>
      </w:r>
      <w:r w:rsidR="0020010E">
        <w:t>there are no surviving adult</w:t>
      </w:r>
      <w:r w:rsidR="00DB0132">
        <w:t xml:space="preserve"> conifers </w:t>
      </w:r>
      <w:r w:rsidR="0020010E">
        <w:t>to produce the next generation</w:t>
      </w:r>
      <w:r w:rsidR="000624D9">
        <w:t>, threatening not just sugar pine but the mixed conifer forest type as a whole</w:t>
      </w:r>
      <w:r w:rsidR="0020010E">
        <w:t xml:space="preserve"> </w:t>
      </w:r>
      <w:r w:rsidR="0020010E">
        <w:fldChar w:fldCharType="begin" w:fldLock="1"/>
      </w:r>
      <w:r w:rsidR="000624D9">
        <w:instrText>ADDIN CSL_CITATION {"citationItems":[{"id":"ITEM-1","itemData":{"DOI":"10.1890/ES14-00224.1","ISSN":"21508925","abstract":"© 2015 Steel et al.Fire is one of the most important natural disturbance processes in the western United States and ecosystems differ markedly with respect to their ecological and evolutionary relationships with fire. Reference fire regimes in forested ecosystems can be categorized along a gradient ranging from \"fuellimited\" to \"climate-limited\" where the former types are often characterized by frequent, lower-severity wildfires and the latter by infrequent, more severe wildfires. Using spatial data on fire severity from 1984- 2011 and metrics related to fire frequency, we tested how divergence from historic (pre-Euroamerican settlement) fire frequencies due to a century of fire suppression influences rates of high-severity fire in five forest types in California. With some variation among bioregions, our results suggest that fires in forest types characterized by fuel-limited fire regimes (e.g., yellow pine and mixed conifer forest) tend to burn with greater proportions of high-severity fire as either time since last fire or the mean modern fire return interval (FRI) increases. Two intermediate fire regime types (mixed evergreen and bigcone Douglas-fir) showed a similar relationship between fire frequency and fire severity. However, red fir and redwood forests, which are characterized by more climate-limited fire regimes, did not show significant positive relationships between FRI and fire severity. This analysis provides strong evidence that for fuel-limited fire regimes, lack of fire leads to increasing rates of high-severity burning. Our study also substantiates the general validity of \"fuel-limited\" vs. \"climate-limited\" explanations of differing patterns of fire effects and response in forest types of the western US.","author":[{"dropping-particle":"","family":"Steel","given":"Zachary L.","non-dropping-particle":"","parse-names":false,"suffix":""},{"dropping-particle":"","family":"Safford","given":"Hugh D.","non-dropping-particle":"","parse-names":false,"suffix":""},{"dropping-particle":"","family":"Viers","given":"Joshua H.","non-dropping-particle":"","parse-names":false,"suffix":""}],"container-title":"Ecosphere","id":"ITEM-1","issue":"1","issued":{"date-parts":[["2015"]]},"title":"The fire frequency-severity relationship and the legacy of fire suppression in California forests http://www.esajournals.org/doi/pdf/10.1890/ES14-00224.1","type":"article-journal","volume":"6"},"uris":["http://www.mendeley.com/documents/?uuid=1ab7e8c2-3339-4847-aec1-5a74446758ee"]},{"id":"ITEM-2","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C.","non-dropping-particle":"","parse-names":false,"suffix":""}],"container-title":"BioScience","id":"ITEM-2","issue":"8","issued":{"date-parts":[["2020"]]},"page":"659-673","title":"Wildfire-Driven Forest Conversion in Western North American Landscapes","type":"article-journal","volume":"70"},"uris":["http://www.mendeley.com/documents/?uuid=4c19d33d-7ce8-44c4-b892-af9da5f5c49d"]},{"id":"ITEM-3","itemData":{"DOI":"10.1002/eap.1756","ISSN":"10510761","author":[{"dropping-particle":"","family":"Shive","given":"Kristen L.","non-dropping-particle":"","parse-names":false,"suffix":""},{"dropping-particle":"","family":"Preisler","given":"Haiganoush K.","non-dropping-particle":"","parse-names":false,"suffix":""},{"dropping-particle":"","family":"Welch","given":"Kevin R.","non-dropping-particle":"","parse-names":false,"suffix":""},{"dropping-particle":"","family":"Safford","given":"Hugh D.","non-dropping-particle":"","parse-names":false,"suffix":""},{"dropping-particle":"","family":"Butz","given":"Ramona J.","non-dropping-particle":"","parse-names":false,"suffix":""},{"dropping-particle":"","family":"O'Hara","given":"Kevin L.","non-dropping-particle":"","parse-names":false,"suffix":""},{"dropping-particle":"","family":"Stephens","given":"Scott L.","non-dropping-particle":"","parse-names":false,"suffix":""}],"container-title":"Ecological Applications","id":"ITEM-3","issue":"6","issued":{"date-parts":[["2018"]]},"page":"1626-1639","title":"From the stand scale to the landscape scale: predicting the spatial patterns of forest regeneration after disturbance","type":"article-journal","volume":"28"},"uris":["http://www.mendeley.com/documents/?uuid=088a8267-0133-4892-9fb1-7380b3beadc5"]}],"mendeley":{"formattedCitation":"(Steel, Safford and Viers, 2015; Shive &lt;i&gt;et al.&lt;/i&gt;, 2018; Coop &lt;i&gt;et al.&lt;/i&gt;, 2020)","plainTextFormattedCitation":"(Steel, Safford and Viers, 2015; Shive et al., 2018; Coop et al., 2020)","previouslyFormattedCitation":"(Steel, Safford and Viers, 2015; Shive &lt;i&gt;et al.&lt;/i&gt;, 2018; Coop &lt;i&gt;et al.&lt;/i&gt;, 2020)"},"properties":{"noteIndex":0},"schema":"https://github.com/citation-style-language/schema/raw/master/csl-citation.json"}</w:instrText>
      </w:r>
      <w:r w:rsidR="0020010E">
        <w:fldChar w:fldCharType="separate"/>
      </w:r>
      <w:r w:rsidR="000624D9" w:rsidRPr="000624D9">
        <w:rPr>
          <w:noProof/>
        </w:rPr>
        <w:t xml:space="preserve">(Steel, Safford and Viers, 2015; Shive </w:t>
      </w:r>
      <w:r w:rsidR="000624D9" w:rsidRPr="000624D9">
        <w:rPr>
          <w:i/>
          <w:noProof/>
        </w:rPr>
        <w:t>et al.</w:t>
      </w:r>
      <w:r w:rsidR="000624D9" w:rsidRPr="000624D9">
        <w:rPr>
          <w:noProof/>
        </w:rPr>
        <w:t xml:space="preserve">, 2018; Coop </w:t>
      </w:r>
      <w:r w:rsidR="000624D9" w:rsidRPr="000624D9">
        <w:rPr>
          <w:i/>
          <w:noProof/>
        </w:rPr>
        <w:t>et al.</w:t>
      </w:r>
      <w:r w:rsidR="000624D9" w:rsidRPr="000624D9">
        <w:rPr>
          <w:noProof/>
        </w:rPr>
        <w:t>, 2020)</w:t>
      </w:r>
      <w:r w:rsidR="0020010E">
        <w:fldChar w:fldCharType="end"/>
      </w:r>
      <w:r w:rsidR="0020010E">
        <w:t>.</w:t>
      </w:r>
      <w:r w:rsidR="00DB0132">
        <w:t xml:space="preserve"> </w:t>
      </w:r>
    </w:p>
    <w:p w14:paraId="2610385A" w14:textId="75AC3661" w:rsidR="008611C1" w:rsidRPr="00E005FB" w:rsidRDefault="00DB0132" w:rsidP="009971A5">
      <w:pPr>
        <w:spacing w:line="360" w:lineRule="auto"/>
        <w:ind w:firstLine="720"/>
      </w:pPr>
      <w:commentRangeStart w:id="7"/>
      <w:r>
        <w:t xml:space="preserve">Second, an invasive fungal pathogen, </w:t>
      </w:r>
      <w:proofErr w:type="spellStart"/>
      <w:r w:rsidRPr="00F701A7">
        <w:rPr>
          <w:i/>
          <w:iCs/>
        </w:rPr>
        <w:t>Cronartium</w:t>
      </w:r>
      <w:proofErr w:type="spellEnd"/>
      <w:r w:rsidRPr="00F701A7">
        <w:rPr>
          <w:i/>
          <w:iCs/>
        </w:rPr>
        <w:t xml:space="preserve"> </w:t>
      </w:r>
      <w:proofErr w:type="spellStart"/>
      <w:r w:rsidRPr="00F701A7">
        <w:rPr>
          <w:i/>
          <w:iCs/>
        </w:rPr>
        <w:t>ribicola</w:t>
      </w:r>
      <w:proofErr w:type="spellEnd"/>
      <w:r>
        <w:t xml:space="preserve"> (white pine blister rust; WPBR)</w:t>
      </w:r>
      <w:commentRangeEnd w:id="7"/>
      <w:r w:rsidR="002626E1">
        <w:rPr>
          <w:rStyle w:val="CommentReference"/>
        </w:rPr>
        <w:commentReference w:id="7"/>
      </w:r>
      <w:r>
        <w:t xml:space="preserve"> has spread across much of sugar pine’s range since its introduction</w:t>
      </w:r>
      <w:r w:rsidR="0084014F">
        <w:t xml:space="preserve"> to North America in the early 20</w:t>
      </w:r>
      <w:r w:rsidR="0084014F" w:rsidRPr="0084014F">
        <w:rPr>
          <w:vertAlign w:val="superscript"/>
        </w:rPr>
        <w:t>th</w:t>
      </w:r>
      <w:r w:rsidR="0084014F">
        <w:t xml:space="preserve"> century </w:t>
      </w:r>
      <w:r>
        <w:t xml:space="preserve">and has caused substantial mortality </w:t>
      </w:r>
      <w:r>
        <w:fldChar w:fldCharType="begin" w:fldLock="1"/>
      </w:r>
      <w:r w:rsidR="00030856">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species","type":"article-journal","volume":"11"},"uris":["http://www.mendeley.com/documents/?uuid=54eba3d7-5ed4-4e44-a51e-b1150e7c2215"]},{"id":"ITEM-3","itemData":{"DOI":"10.1016/j.foreco.2011.05.011","ISSN":"03781127","abstract":"Historical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Management","id":"ITEM-3","issue":"5","issued":{"date-parts":[["2011"]]},"page":"770-779","publisher":"Elsevier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restoration","type":"article-journal","volume":"262"},"uris":["http://www.mendeley.com/documents/?uuid=9a0c821b-c50c-45fc-9062-b98c1d978b4e"]}],"mendeley":{"formattedCitation":"(Van Mantgem &lt;i&gt;et al.&lt;/i&gt;, 2004; Maloney &lt;i&gt;et al.&lt;/i&gt;, 2011; Dudney &lt;i&gt;et al.&lt;/i&gt;, 2020)","plainTextFormattedCitation":"(Van Mantgem et al., 2004; Maloney et al., 2011; Dudney et al., 2020)","previouslyFormattedCitation":"(Van Mantgem &lt;i&gt;et al.&lt;/i&gt;, 2004; Maloney &lt;i&gt;et al.&lt;/i&gt;, 2011; Dudney &lt;i&gt;et al.&lt;/i&gt;, 2020)"},"properties":{"noteIndex":0},"schema":"https://github.com/citation-style-language/schema/raw/master/csl-citation.json"}</w:instrText>
      </w:r>
      <w:r>
        <w:fldChar w:fldCharType="separate"/>
      </w:r>
      <w:r w:rsidRPr="00DB0132">
        <w:rPr>
          <w:noProof/>
        </w:rPr>
        <w:t xml:space="preserve">(Van Mantgem </w:t>
      </w:r>
      <w:r w:rsidRPr="00DB0132">
        <w:rPr>
          <w:i/>
          <w:noProof/>
        </w:rPr>
        <w:t>et al.</w:t>
      </w:r>
      <w:r w:rsidRPr="00DB0132">
        <w:rPr>
          <w:noProof/>
        </w:rPr>
        <w:t xml:space="preserve">, 2004; Maloney </w:t>
      </w:r>
      <w:r w:rsidRPr="00DB0132">
        <w:rPr>
          <w:i/>
          <w:noProof/>
        </w:rPr>
        <w:t>et al.</w:t>
      </w:r>
      <w:r w:rsidRPr="00DB0132">
        <w:rPr>
          <w:noProof/>
        </w:rPr>
        <w:t xml:space="preserve">, 2011; Dudney </w:t>
      </w:r>
      <w:r w:rsidRPr="00DB0132">
        <w:rPr>
          <w:i/>
          <w:noProof/>
        </w:rPr>
        <w:lastRenderedPageBreak/>
        <w:t>et al.</w:t>
      </w:r>
      <w:r w:rsidRPr="00DB0132">
        <w:rPr>
          <w:noProof/>
        </w:rPr>
        <w:t>, 2020)</w:t>
      </w:r>
      <w:r>
        <w:fldChar w:fldCharType="end"/>
      </w:r>
      <w:r>
        <w:t xml:space="preserve">. </w:t>
      </w:r>
      <w:r w:rsidR="00E07EF6">
        <w:t xml:space="preserve">WPBR affects white pines (subgenus </w:t>
      </w:r>
      <w:proofErr w:type="spellStart"/>
      <w:r w:rsidR="00E07EF6">
        <w:rPr>
          <w:i/>
          <w:iCs/>
        </w:rPr>
        <w:t>Strobus</w:t>
      </w:r>
      <w:proofErr w:type="spellEnd"/>
      <w:r w:rsidR="009B4725">
        <w:t xml:space="preserve">, excluding the pinyon pines in subsection </w:t>
      </w:r>
      <w:proofErr w:type="spellStart"/>
      <w:r w:rsidR="009B4725">
        <w:rPr>
          <w:i/>
          <w:iCs/>
        </w:rPr>
        <w:t>Cembroides</w:t>
      </w:r>
      <w:proofErr w:type="spellEnd"/>
      <w:r w:rsidR="00E07EF6">
        <w:t xml:space="preserve">) </w:t>
      </w:r>
      <w:r w:rsidR="00030856">
        <w:t xml:space="preserve">by parasitizing foliage, shoots, inner bark, and outer xylem, causing the formation of cankers which can reduce vigor and kill outright by girdling the stem </w:t>
      </w:r>
      <w:r w:rsidR="00030856">
        <w:fldChar w:fldCharType="begin" w:fldLock="1"/>
      </w:r>
      <w:r w:rsidR="00E005FB">
        <w:instrText>ADDIN CSL_CITATION {"citationItems":[{"id":"ITEM-1","itemData":{"DOI":"10.1111/j.1439-0329.2010.00654.x","ISSN":"14374781","abstract":"For over a century, white pine blister rust (Cronartium ribicola) has linked white pines (Strobus) with currants and gooseberries (Ribes) in a complex and serious disease epidemic in Asia, Europe, and North America. Because of ongoing changes in climate, societal demands for forests and their amenities, and scientific advances in genetics and proteomics, our current understanding and management of the white pine blister rust pathosystem has become outdated. Here, we present a review and synthesis of international scope on the biology and management of blister rust, white pines, Ribes, and other hosts. In this article, we provide a geographical and historical background, describe the taxonomy and life cycle of the rust, discuss pathology and ecology, and introduce a series of invited papers. These review articles summarize the literature on white pines, Ribes, and blister rust with respect to their status, threats, and management through genetics and silviculture. Although the principal focus is on North America, the different epidemics in Europe and Asia are also described. In the final article, we discuss several of the key observations and conclusions from the preceding review articles and identify prudent actions for research and management of white pine blister rust. © 2010 Blackwell Verlag GmbH and Crown in the right of Canada.","author":[{"dropping-particle":"","family":"Geils","given":"Brian W.","non-dropping-particle":"","parse-names":false,"suffix":""},{"dropping-particle":"","family":"Hummer","given":"Kim E.","non-dropping-particle":"","parse-names":false,"suffix":""},{"dropping-particle":"","family":"Hunt","given":"Richard S.","non-dropping-particle":"","parse-names":false,"suffix":""}],"container-title":"Forest Pathology","id":"ITEM-1","issue":"3-4","issued":{"date-parts":[["2010"]]},"page":"147-185","title":"White pines, Ribes, and blister rust: A review and synthesis","type":"article-journal","volume":"40"},"uris":["http://www.mendeley.com/documents/?uuid=fc76315d-a4b3-404f-9576-b260cb172979"]}],"mendeley":{"formattedCitation":"(Geils, Hummer and Hunt, 2010)","plainTextFormattedCitation":"(Geils, Hummer and Hunt, 2010)","previouslyFormattedCitation":"(Geils, Hummer and Hunt, 2010)"},"properties":{"noteIndex":0},"schema":"https://github.com/citation-style-language/schema/raw/master/csl-citation.json"}</w:instrText>
      </w:r>
      <w:r w:rsidR="00030856">
        <w:fldChar w:fldCharType="separate"/>
      </w:r>
      <w:r w:rsidR="00030856" w:rsidRPr="00030856">
        <w:rPr>
          <w:noProof/>
        </w:rPr>
        <w:t>(Geils, Hummer and Hunt, 2010)</w:t>
      </w:r>
      <w:r w:rsidR="00030856">
        <w:fldChar w:fldCharType="end"/>
      </w:r>
      <w:r w:rsidR="00030856">
        <w:t xml:space="preserve">. </w:t>
      </w:r>
      <w:commentRangeStart w:id="8"/>
      <w:r w:rsidR="00E005FB">
        <w:t>The epidemic in the western United States has been severe enough to cause the related species</w:t>
      </w:r>
      <w:r w:rsidR="00105668">
        <w:t>,</w:t>
      </w:r>
      <w:r w:rsidR="00E005FB">
        <w:t xml:space="preserve"> </w:t>
      </w:r>
      <w:r w:rsidR="00E005FB">
        <w:rPr>
          <w:i/>
          <w:iCs/>
        </w:rPr>
        <w:t xml:space="preserve">Pinus </w:t>
      </w:r>
      <w:proofErr w:type="spellStart"/>
      <w:r w:rsidR="00E005FB">
        <w:rPr>
          <w:i/>
          <w:iCs/>
        </w:rPr>
        <w:t>albicaulis</w:t>
      </w:r>
      <w:proofErr w:type="spellEnd"/>
      <w:r w:rsidR="00105668">
        <w:t>,</w:t>
      </w:r>
      <w:r w:rsidR="00E005FB">
        <w:t xml:space="preserve"> to be listed as endangered </w:t>
      </w:r>
      <w:r w:rsidR="00E005FB">
        <w:fldChar w:fldCharType="begin" w:fldLock="1"/>
      </w:r>
      <w:r w:rsidR="00E005FB">
        <w:instrText>ADDIN CSL_CITATION {"citationItems":[{"id":"ITEM-1","itemData":{"author":[{"dropping-particle":"","family":"Mahalovich","given":"M.","non-dropping-particle":"","parse-names":false,"suffix":""},{"dropping-particle":"","family":"Stritch","given":"L.","non-dropping-particle":"","parse-names":false,"suffix":""}],"id":"ITEM-1","issued":{"date-parts":[["2013"]]},"title":"Pinus albicaulis. The IUCN Red List of Threatened Species 2013","type":"article"},"uris":["http://www.mendeley.com/documents/?uuid=01c5c33e-f405-4ec0-b7ef-fe493d548c6e"]}],"mendeley":{"formattedCitation":"(Mahalovich and Stritch, 2013)","plainTextFormattedCitation":"(Mahalovich and Stritch, 2013)","previouslyFormattedCitation":"(Mahalovich and Stritch, 2013)"},"properties":{"noteIndex":0},"schema":"https://github.com/citation-style-language/schema/raw/master/csl-citation.json"}</w:instrText>
      </w:r>
      <w:r w:rsidR="00E005FB">
        <w:fldChar w:fldCharType="separate"/>
      </w:r>
      <w:r w:rsidR="00E005FB" w:rsidRPr="00E005FB">
        <w:rPr>
          <w:noProof/>
        </w:rPr>
        <w:t>(Mahalovich and Stritch, 2013)</w:t>
      </w:r>
      <w:r w:rsidR="00E005FB">
        <w:fldChar w:fldCharType="end"/>
      </w:r>
      <w:r w:rsidR="00E005FB">
        <w:t xml:space="preserve">, </w:t>
      </w:r>
      <w:commentRangeEnd w:id="8"/>
      <w:r w:rsidR="00A95BB0">
        <w:rPr>
          <w:rStyle w:val="CommentReference"/>
        </w:rPr>
        <w:commentReference w:id="8"/>
      </w:r>
      <w:r w:rsidR="00E005FB">
        <w:t xml:space="preserve">and there has been considerable concern about the outlook for sugar pine as well </w:t>
      </w:r>
      <w:r w:rsidR="00E005FB">
        <w:fldChar w:fldCharType="begin" w:fldLock="1"/>
      </w:r>
      <w:r w:rsidR="00542DB6">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E005FB">
        <w:fldChar w:fldCharType="separate"/>
      </w:r>
      <w:r w:rsidR="00E005FB" w:rsidRPr="00E005FB">
        <w:rPr>
          <w:noProof/>
        </w:rPr>
        <w:t>(Kinloch Jr., Marosy and Huddleston, 1996)</w:t>
      </w:r>
      <w:r w:rsidR="00E005FB">
        <w:fldChar w:fldCharType="end"/>
      </w:r>
      <w:r w:rsidR="00E005FB">
        <w:t xml:space="preserve">. </w:t>
      </w:r>
    </w:p>
    <w:p w14:paraId="439F6345" w14:textId="33DC3EC5" w:rsidR="008611C1" w:rsidRPr="005B4308" w:rsidRDefault="00542DB6" w:rsidP="009971A5">
      <w:pPr>
        <w:spacing w:line="360" w:lineRule="auto"/>
        <w:ind w:firstLine="720"/>
      </w:pPr>
      <w:commentRangeStart w:id="9"/>
      <w:r>
        <w:t>Third</w:t>
      </w:r>
      <w:commentRangeEnd w:id="9"/>
      <w:r w:rsidR="00A95BB0">
        <w:rPr>
          <w:rStyle w:val="CommentReference"/>
        </w:rPr>
        <w:commentReference w:id="9"/>
      </w:r>
      <w:r>
        <w:t>, there is evidence that the modern densified forest structure threatens sugar pine in numerous ways. Effective fire suppression, which was instituted across much of sugar pine’s range in the 20</w:t>
      </w:r>
      <w:r w:rsidRPr="003B39CC">
        <w:rPr>
          <w:vertAlign w:val="superscript"/>
        </w:rPr>
        <w:t>th</w:t>
      </w:r>
      <w:r>
        <w:t xml:space="preserve"> century, has resulted in an overall densification of these forests </w:t>
      </w:r>
      <w:r>
        <w:fldChar w:fldCharType="begin" w:fldLock="1"/>
      </w:r>
      <w:r>
        <w:instrText>ADDIN CSL_CITATION {"citationItems":[{"id":"ITEM-1","itemData":{"author":[{"dropping-particle":"","family":"Stephens","given":"S Cott L S","non-dropping-particle":"","parse-names":false,"suffix":""},{"dropping-particle":"","family":"Ydersen","given":"J Amie M L","non-dropping-particle":"","parse-names":false,"suffix":""},{"dropping-particle":"","family":"Ollins","given":"B Randon M C","non-dropping-particle":"","parse-names":false,"suffix":""},{"dropping-particle":"","family":"Ry","given":"D Anny L F","non-dropping-particle":"","parse-names":false,"suffix":""}],"container-title":"Ecosphere","id":"ITEM-1","issue":"May","issued":{"date-parts":[["2015"]]},"note":"Has the actual surveyor's notes in the appendix, would be an interesting thing to poke at with language-processing","page":"1-63","title":"Historical and current landscape-scale ponderosa pine and mixed conifer forest structure in the Southern Sierra Nevada","type":"article-journal","volume":"6"},"uris":["http://www.mendeley.com/documents/?uuid=391ec200-2601-4bef-8a9b-b6d1e45be8c8"]},{"id":"ITEM-2","itemData":{"author":[{"dropping-particle":"","family":"Safford","given":"Hugh D.","non-dropping-particle":"","parse-names":false,"suffix":""},{"dropping-particle":"","family":"Stevens","given":"Jens T.","non-dropping-particle":"","parse-names":false,"suffix":""}],"container-title":"Gen. Tech. Rep. PSW-GTR-2562","id":"ITEM-2","issue":"October","issued":{"date-parts":[["2017"]]},"page":"1-151","title":"Natural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id":"ITEM-4","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Management","id":"ITEM-4","issue":"November 2021","issued":{"date-parts":[["2022"]]},"page":"120004","publisher":"Elsevier B.V.","title":"Operational resilience in western US frequent-fire forests","type":"article-journal","volume":"507"},"uris":["http://www.mendeley.com/documents/?uuid=465230a6-1d96-4a43-8dec-1e3c5870286d"]}],"mendeley":{"formattedCitation":"(Stephens &lt;i&gt;et al.&lt;/i&gt;, 2015; Safford and Stevens, 2017; Bohlman, Safford and Skinner, 2021; North &lt;i&gt;et al.&lt;/i&gt;, 2022)","plainTextFormattedCitation":"(Stephens et al., 2015; Safford and Stevens, 2017; Bohlman, Safford and Skinner, 2021; North et al., 2022)","previouslyFormattedCitation":"(Stephens &lt;i&gt;et al.&lt;/i&gt;, 2015; Safford and Stevens, 2017; Bohlman, Safford and Skinner, 2021; North &lt;i&gt;et al.&lt;/i&gt;, 2022)"},"properties":{"noteIndex":0},"schema":"https://github.com/citation-style-language/schema/raw/master/csl-citation.json"}</w:instrText>
      </w:r>
      <w:r>
        <w:fldChar w:fldCharType="separate"/>
      </w:r>
      <w:r w:rsidRPr="00542DB6">
        <w:rPr>
          <w:noProof/>
        </w:rPr>
        <w:t xml:space="preserve">(Stephens </w:t>
      </w:r>
      <w:r w:rsidRPr="00542DB6">
        <w:rPr>
          <w:i/>
          <w:noProof/>
        </w:rPr>
        <w:t>et al.</w:t>
      </w:r>
      <w:r w:rsidRPr="00542DB6">
        <w:rPr>
          <w:noProof/>
        </w:rPr>
        <w:t xml:space="preserve">, 2015; Safford and Stevens, 2017; Bohlman, Safford and Skinner, 2021; North </w:t>
      </w:r>
      <w:r w:rsidRPr="00542DB6">
        <w:rPr>
          <w:i/>
          <w:noProof/>
        </w:rPr>
        <w:t>et al.</w:t>
      </w:r>
      <w:r w:rsidRPr="00542DB6">
        <w:rPr>
          <w:noProof/>
        </w:rPr>
        <w:t>, 2022)</w:t>
      </w:r>
      <w:r>
        <w:fldChar w:fldCharType="end"/>
      </w:r>
      <w:r>
        <w:t xml:space="preserve">. </w:t>
      </w:r>
      <w:r w:rsidR="005B4308" w:rsidRPr="005B4308">
        <w:t xml:space="preserve">Sugar pine is only moderately shade tolerant </w:t>
      </w:r>
      <w:r w:rsidR="005B4308">
        <w:fldChar w:fldCharType="begin" w:fldLock="1"/>
      </w:r>
      <w:r w:rsidR="005B4308">
        <w:instrText>ADDIN CSL_CITATION {"citationItems":[{"id":"ITEM-1","itemData":{"author":[{"dropping-particle":"","family":"Bohlman","given":"Gabrielle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p.","id":"ITEM-1","issue":"November","issued":{"date-parts":[["2021"]]},"title":"Natural range of variation for yellow pine and mixed-conifer forests in northwestern California and southwestern Oregon","type":"article-journal","volume":"273"},"uris":["http://www.mendeley.com/documents/?uuid=57513bd6-50dd-45ab-81a2-2f825c133caf"]},{"id":"ITEM-2","itemData":{"author":[{"dropping-particle":"","family":"Yeaton","given":"Richard I","non-dropping-particle":"","parse-names":false,"suffix":""}],"id":"ITEM-2","issue":"3","issued":{"date-parts":[["1983"]]},"page":"292-297","title":"The Successional Replacement of Ponderosa Pine by Sugar Pine in the Sierra Nevada Author ( s ): Richard I . Yeaton Source : Bulletin of the Torrey Botanical Club , Jul . - Sep ., 1983 , Vol . 110 , No . 3 ( Jul . - Published by : Torrey Botanical Society ","type":"article-journal","volume":"110"},"uris":["http://www.mendeley.com/documents/?uuid=906b2319-be0e-41d8-8a45-ebff3d65f29a"]}],"mendeley":{"formattedCitation":"(Yeaton, 1983; Bohlman, Safford and Skinner, 2021)","plainTextFormattedCitation":"(Yeaton, 1983; Bohlman, Safford and Skinner, 2021)","previouslyFormattedCitation":"(Yeaton, 1983; Bohlman, Safford and Skinner, 2021)"},"properties":{"noteIndex":0},"schema":"https://github.com/citation-style-language/schema/raw/master/csl-citation.json"}</w:instrText>
      </w:r>
      <w:r w:rsidR="005B4308">
        <w:fldChar w:fldCharType="separate"/>
      </w:r>
      <w:r w:rsidR="005B4308" w:rsidRPr="005B4308">
        <w:rPr>
          <w:noProof/>
        </w:rPr>
        <w:t>(Yeaton, 1983; Bohlman, Safford and Skinner, 2021)</w:t>
      </w:r>
      <w:r w:rsidR="005B4308">
        <w:fldChar w:fldCharType="end"/>
      </w:r>
      <w:r w:rsidR="005B4308">
        <w:t xml:space="preserve"> </w:t>
      </w:r>
      <w:r w:rsidR="005B4308" w:rsidRPr="005B4308">
        <w:t xml:space="preserve">and there is evidence that it is outcompeted by species such as </w:t>
      </w:r>
      <w:r w:rsidR="005B4308" w:rsidRPr="005B4308">
        <w:rPr>
          <w:i/>
          <w:iCs/>
        </w:rPr>
        <w:t xml:space="preserve">Abies concolor </w:t>
      </w:r>
      <w:r w:rsidR="005B4308" w:rsidRPr="005B4308">
        <w:t xml:space="preserve">and </w:t>
      </w:r>
      <w:proofErr w:type="spellStart"/>
      <w:r w:rsidR="005B4308" w:rsidRPr="005B4308">
        <w:rPr>
          <w:i/>
          <w:iCs/>
        </w:rPr>
        <w:t>Calodecrus</w:t>
      </w:r>
      <w:proofErr w:type="spellEnd"/>
      <w:r w:rsidR="005B4308" w:rsidRPr="005B4308">
        <w:rPr>
          <w:i/>
          <w:iCs/>
        </w:rPr>
        <w:t xml:space="preserve"> </w:t>
      </w:r>
      <w:proofErr w:type="spellStart"/>
      <w:r w:rsidR="005B4308" w:rsidRPr="005B4308">
        <w:rPr>
          <w:i/>
          <w:iCs/>
        </w:rPr>
        <w:t>decurrens</w:t>
      </w:r>
      <w:proofErr w:type="spellEnd"/>
      <w:r w:rsidR="005B4308" w:rsidRPr="005B4308">
        <w:t xml:space="preserve"> under modern dense canopies</w:t>
      </w:r>
      <w:r w:rsidR="00105668">
        <w:t>.</w:t>
      </w:r>
      <w:r w:rsidR="005B4308" w:rsidRPr="005B4308">
        <w:t xml:space="preserve"> </w:t>
      </w:r>
      <w:r>
        <w:t xml:space="preserve">Species composition (especially of younger cohorts) has shifted towards shade-tolerant firs and incense-cedar </w:t>
      </w:r>
      <w:r>
        <w:fldChar w:fldCharType="begin" w:fldLock="1"/>
      </w:r>
      <w:r w:rsidR="005B4308">
        <w:instrText>ADDIN CSL_CITATION {"citationItems":[{"id":"ITEM-1","itemData":{"DOI":"10.1139/cjfr-2015-0406","ISBN":"0045-5067","ISSN":"0045-5067","abstract":"In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Research","id":"ITEM-1","issue":"5","issued":{"date-parts":[["2016"]]},"page":"745-752","title":"Long-term demographic trends in a fire-suppressed mixed-conifer forest","type":"article-journal","volume":"46"},"uris":["http://www.mendeley.com/documents/?uuid=d23a6c87-7bd8-4d6f-9854-d1b054b6fd88"]},{"id":"ITEM-2","itemData":{"author":[{"dropping-particle":"","family":"Ansley","given":"Jolie-Ann S.","non-dropping-particle":"","parse-names":false,"suffix":""},{"dropping-particle":"","family":"Battles","given":"John J.","non-dropping-particle":"","parse-names":false,"suffix":""}],"container-title":"The Journal of the Torrey Botanical Society","id":"ITEM-2","issue":"4","issued":{"date-parts":[["1998"]]},"page":"297-308","title":"Forest Composition , Structure , and Change in an Old-Growth Mixed Conifer Forest in the Northern Sierra Nevada Author ( s ): Jolie-Anne S . Ansley and John J . Battles Published by : Torrey Botanical Society Stable URL : http://www.jstor.org/stable/29972","type":"article-journal","volume":"125"},"uris":["http://www.mendeley.com/documents/?uuid=34dda059-28a1-4cb6-892b-71b3a0a5079a"]}],"mendeley":{"formattedCitation":"(Ansley and Battles, 1998; Levine &lt;i&gt;et al.&lt;/i&gt;, 2016)","plainTextFormattedCitation":"(Ansley and Battles, 1998; Levine et al., 2016)","previouslyFormattedCitation":"(Ansley and Battles, 1998; Levine &lt;i&gt;et al.&lt;/i&gt;, 2016)"},"properties":{"noteIndex":0},"schema":"https://github.com/citation-style-language/schema/raw/master/csl-citation.json"}</w:instrText>
      </w:r>
      <w:r>
        <w:fldChar w:fldCharType="separate"/>
      </w:r>
      <w:r w:rsidRPr="00542DB6">
        <w:rPr>
          <w:noProof/>
        </w:rPr>
        <w:t xml:space="preserve">(Ansley and Battles, 1998; Levine </w:t>
      </w:r>
      <w:r w:rsidRPr="00542DB6">
        <w:rPr>
          <w:i/>
          <w:noProof/>
        </w:rPr>
        <w:t>et al.</w:t>
      </w:r>
      <w:r w:rsidRPr="00542DB6">
        <w:rPr>
          <w:noProof/>
        </w:rPr>
        <w:t>, 2016)</w:t>
      </w:r>
      <w:r>
        <w:fldChar w:fldCharType="end"/>
      </w:r>
      <w:r>
        <w:t xml:space="preserve">. </w:t>
      </w:r>
      <w:r w:rsidR="005B4308">
        <w:t xml:space="preserve">There is also evidence that the densified forest structure has reduced the vigor of adult sugar pines, thus reducing their ability to resist other stresses </w:t>
      </w:r>
      <w:commentRangeStart w:id="10"/>
      <w:commentRangeStart w:id="11"/>
      <w:r w:rsidR="005B4308">
        <w:fldChar w:fldCharType="begin" w:fldLock="1"/>
      </w:r>
      <w:r w:rsidR="00D070A9">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USA","type":"article-journal","volume":"29"},"uris":["http://www.mendeley.com/documents/?uuid=fab20f86-8948-4d2c-85ba-9a0ff200ff1e"]},{"id":"ITEM-3","itemData":{"DOI":"10.1111/ele.12711","ISSN":"1461023X","author":[{"dropping-particle":"","family":"Young","given":"Derek J. N.","non-dropping-particle":"","parse-names":false,"suffix":""},{"dropping-particle":"","family":"Stevens","given":"Jens T.","non-dropping-particle":"","parse-names":false,"suffix":""},{"dropping-particle":"","family":"Earles","given":"J. Mason","non-dropping-particle":"","parse-names":false,"suffix":""},{"dropping-particle":"","family":"Moore","given":"Jeffrey","non-dropping-particle":"","parse-names":false,"suffix":""},{"dropping-particle":"","family":"Ellis","given":"Adam","non-dropping-particle":"","parse-names":false,"suffix":""},{"dropping-particle":"","family":"Jirka","given":"Amy L.","non-dropping-particle":"","parse-names":false,"suffix":""},{"dropping-particle":"","family":"Latimer","given":"Andrew M.","non-dropping-particle":"","parse-names":false,"suffix":""}],"container-title":"Ecology Letters","id":"ITEM-3","issue":"1","issued":{"date-parts":[["2017"]]},"page":"78-86","title":"Long-term climate and competition explain forest mortality patterns under extreme drought","type":"article-journal","volume":"20"},"uris":["http://www.mendeley.com/documents/?uuid=11db3a96-5a65-4eb7-b92a-5cde2681bbb2"]},{"id":"ITEM-4","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Management","id":"ITEM-4","issue":"November 2021","issued":{"date-parts":[["2022"]]},"page":"120004","publisher":"Elsevier B.V.","title":"Operational resilience in western US frequent-fire forests","type":"article-journal","volume":"507"},"uris":["http://www.mendeley.com/documents/?uuid=465230a6-1d96-4a43-8dec-1e3c5870286d"]}],"mendeley":{"formattedCitation":"(Young &lt;i&gt;et al.&lt;/i&gt;, 2017; Restaino &lt;i&gt;et al.&lt;/i&gt;, 2019; Furniss &lt;i&gt;et al.&lt;/i&gt;, 2021; North &lt;i&gt;et al.&lt;/i&gt;, 2022)","plainTextFormattedCitation":"(Young et al., 2017; Restaino et al., 2019; Furniss et al., 2021; North et al., 2022)","previouslyFormattedCitation":"(Young &lt;i&gt;et al.&lt;/i&gt;, 2017; Restaino &lt;i&gt;et al.&lt;/i&gt;, 2019; Furniss &lt;i&gt;et al.&lt;/i&gt;, 2021; North &lt;i&gt;et al.&lt;/i&gt;, 2022)"},"properties":{"noteIndex":0},"schema":"https://github.com/citation-style-language/schema/raw/master/csl-citation.json"}</w:instrText>
      </w:r>
      <w:r w:rsidR="005B4308">
        <w:fldChar w:fldCharType="separate"/>
      </w:r>
      <w:r w:rsidR="000B37E1" w:rsidRPr="000B37E1">
        <w:rPr>
          <w:noProof/>
        </w:rPr>
        <w:t xml:space="preserve">(Young </w:t>
      </w:r>
      <w:r w:rsidR="000B37E1" w:rsidRPr="000B37E1">
        <w:rPr>
          <w:i/>
          <w:noProof/>
        </w:rPr>
        <w:t>et al.</w:t>
      </w:r>
      <w:r w:rsidR="000B37E1" w:rsidRPr="000B37E1">
        <w:rPr>
          <w:noProof/>
        </w:rPr>
        <w:t xml:space="preserve">, 2017; Restaino </w:t>
      </w:r>
      <w:r w:rsidR="000B37E1" w:rsidRPr="000B37E1">
        <w:rPr>
          <w:i/>
          <w:noProof/>
        </w:rPr>
        <w:t>et al.</w:t>
      </w:r>
      <w:r w:rsidR="000B37E1" w:rsidRPr="000B37E1">
        <w:rPr>
          <w:noProof/>
        </w:rPr>
        <w:t xml:space="preserve">, 2019; Furniss </w:t>
      </w:r>
      <w:r w:rsidR="000B37E1" w:rsidRPr="000B37E1">
        <w:rPr>
          <w:i/>
          <w:noProof/>
        </w:rPr>
        <w:t>et al.</w:t>
      </w:r>
      <w:r w:rsidR="000B37E1" w:rsidRPr="000B37E1">
        <w:rPr>
          <w:noProof/>
        </w:rPr>
        <w:t xml:space="preserve">, 2021; North </w:t>
      </w:r>
      <w:r w:rsidR="000B37E1" w:rsidRPr="000B37E1">
        <w:rPr>
          <w:i/>
          <w:noProof/>
        </w:rPr>
        <w:t>et al.</w:t>
      </w:r>
      <w:r w:rsidR="000B37E1" w:rsidRPr="000B37E1">
        <w:rPr>
          <w:noProof/>
        </w:rPr>
        <w:t>, 2022)</w:t>
      </w:r>
      <w:r w:rsidR="005B4308">
        <w:fldChar w:fldCharType="end"/>
      </w:r>
      <w:r w:rsidR="005B4308">
        <w:t>.</w:t>
      </w:r>
      <w:commentRangeEnd w:id="10"/>
      <w:r w:rsidR="00105668">
        <w:rPr>
          <w:rStyle w:val="CommentReference"/>
        </w:rPr>
        <w:commentReference w:id="10"/>
      </w:r>
      <w:commentRangeEnd w:id="11"/>
      <w:r w:rsidR="002F78E4">
        <w:rPr>
          <w:rStyle w:val="CommentReference"/>
        </w:rPr>
        <w:commentReference w:id="11"/>
      </w:r>
      <w:r w:rsidR="005B06F2">
        <w:t xml:space="preserve"> </w:t>
      </w:r>
    </w:p>
    <w:p w14:paraId="36249CCE" w14:textId="394D9B51" w:rsidR="008611C1" w:rsidRDefault="005B06F2" w:rsidP="009971A5">
      <w:pPr>
        <w:spacing w:line="360" w:lineRule="auto"/>
        <w:ind w:firstLine="720"/>
      </w:pPr>
      <w:r>
        <w:t xml:space="preserve">Finally, the changing climate may increase the duration and severity of droughts and associated bark beetle epidemics, which are already causing mass mortality events in sugar pine’s range </w:t>
      </w:r>
      <w:r>
        <w:fldChar w:fldCharType="begin" w:fldLock="1"/>
      </w:r>
      <w:r>
        <w:instrText>ADDIN CSL_CITATION {"citationItems":[{"id":"ITEM-1","itemData":{"DOI":"10.1016/j.foreco.2018.09.006","ISSN":"03781127","abstract":"Much of California, U.S. experienced a severe drought in 2012–2015 inciting a large tree mortality event in the central and southern Sierra Nevada. We assessed causal agents and rates of tree mortality, and short-term impacts to forest structure and composition based on a network of 11.3-m fixed-radius plots installed within three elevation bands on the Eldorado, Stanislaus, Sierra and Sequoia National Forests (914–1219, 1219–1524 and 1524–1829 m on the Eldorado, Stanislaus, Sierra; 1219–1524, 1524–1829, and 1829–2134 m on the Sequoia), where tree mortality was most severe. About 48.9% of trees died between 2014 and 2017. Tree mortality ranged from 46.1 ± 3.3% on the Eldorado National Forest to 58.7 ± 3.7% on the Sierra National Forest. Significantly higher levels of tree mortality occurred in the low elevation band (60.4 ± 3.0%) compared to the high elevation band (46.1 ± 2.9%). Ponderosa pine, Pinus ponderosa Dougl. ex Laws., exhibited the highest levels of tree mortality (89.6%), with 39.4% of plots losing all P. ponderosa. Mortality of P. ponderosa was highest at the lowest elevations, concentrated in larger-diameter trees, and attributed primarily to colonization by western pine beetle, Dendroctonus brevicomis LeConte. About 89% of P. ponderosa in the three largest diameter classes were killed, representing loss of an important structural component of these forests with implications to wildlife species of conservation concern. Sugar pine, P. lambertiana Dougl., exhibited the second highest levels of tree mortality (48.1%). Mortality of P. lambertiana was concentrated in the mid-diameter classes and attributed primarily to colonization by mountain pine beetle, D. ponderosae Hopkins. White fir, Abies concolor (Gord. &amp; Glend.) Lindl. ex Hildebr., and incense cedar, Calocedrus decurrens (Torr.) Florin, exhibited 26.3% and 23.2% mortality, respectively. Only one Quercus died. Tree mortality (numbers of trees killed) was positively correlated with tree density and slope. A time lag was observed between the occurrence of drought and the majority of tree mortality. Tree regeneration (seedlings and saplings) was dominated by C. decurrens and Quercus spp., representing a potential long-term shift in composition from forests that were dominated by P. ponderosa. About 22.2% of plots contained plant species considered invasive, including cheatgrass, Bromus tectorum L., ripgut brome, Bromus diandrus Roth, bull thistle, Cirsium vulgare (Savi) Ten., and yellow sta…","author":[{"dropping-particle":"","family":"Fettig","given":"Christopher J.","non-dropping-particle":"","parse-names":false,"suffix":""},{"dropping-particle":"","family":"Mortenson","given":"Leif A.","non-dropping-particle":"","parse-names":false,"suffix":""},{"dropping-particle":"","family":"Bulaon","given":"Beverly M.","non-dropping-particle":"","parse-names":false,"suffix":""},{"dropping-particle":"","family":"Foulk","given":"Patra B.","non-dropping-particle":"","parse-names":false,"suffix":""}],"container-title":"Forest Ecology and Management","id":"ITEM-1","issue":"August 2018","issued":{"date-parts":[["2019"]]},"page":"164-178","title":"Tree mortality following drought in the central and southern Sierra Nevada, California, U.S.","type":"article-journal","volume":"432"},"uris":["http://www.mendeley.com/documents/?uuid=45dbf149-6ef3-4399-b560-f190b2178c40"]},{"id":"ITEM-2","itemData":{"DOI":"10.1111/1365-2745.13176","ISSN":"13652745","abstract":"During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Ecology","id":"ITEM-2","issue":"5","issued":{"date-parts":[["2019"]]},"note":"followup: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id":"ITEM-3","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D.","non-dropping-particle":"","parse-names":false,"suffix":""}],"container-title":"Ecosphere","id":"ITEM-3","issue":"January","issued":{"date-parts":[["2021"]]},"title":"Do Forest Fuel Reduction Treatments Confer Resistance to Beetle Infestation and Drought Mortality?","type":"article-journal","volume":"12"},"uris":["http://www.mendeley.com/documents/?uuid=27f300f3-6aa3-4e67-9ff2-302a5568e9e8"]}],"mendeley":{"formattedCitation":"(Fettig &lt;i&gt;et al.&lt;/i&gt;, 2019; Stephenson &lt;i&gt;et al.&lt;/i&gt;, 2019; Steel &lt;i&gt;et al.&lt;/i&gt;, 2021)","plainTextFormattedCitation":"(Fettig et al., 2019; Stephenson et al., 2019; Steel et al., 2021)","previouslyFormattedCitation":"(Fettig &lt;i&gt;et al.&lt;/i&gt;, 2019; Stephenson &lt;i&gt;et al.&lt;/i&gt;, 2019; Steel &lt;i&gt;et al.&lt;/i&gt;, 2021)"},"properties":{"noteIndex":0},"schema":"https://github.com/citation-style-language/schema/raw/master/csl-citation.json"}</w:instrText>
      </w:r>
      <w:r>
        <w:fldChar w:fldCharType="separate"/>
      </w:r>
      <w:r w:rsidRPr="00021D10">
        <w:rPr>
          <w:noProof/>
        </w:rPr>
        <w:t xml:space="preserve">(Fettig </w:t>
      </w:r>
      <w:r w:rsidRPr="00021D10">
        <w:rPr>
          <w:i/>
          <w:noProof/>
        </w:rPr>
        <w:t>et al.</w:t>
      </w:r>
      <w:r w:rsidRPr="00021D10">
        <w:rPr>
          <w:noProof/>
        </w:rPr>
        <w:t xml:space="preserve">, 2019; Stephenson </w:t>
      </w:r>
      <w:r w:rsidRPr="00021D10">
        <w:rPr>
          <w:i/>
          <w:noProof/>
        </w:rPr>
        <w:t>et al.</w:t>
      </w:r>
      <w:r w:rsidRPr="00021D10">
        <w:rPr>
          <w:noProof/>
        </w:rPr>
        <w:t xml:space="preserve">, 2019; Steel </w:t>
      </w:r>
      <w:r w:rsidRPr="00021D10">
        <w:rPr>
          <w:i/>
          <w:noProof/>
        </w:rPr>
        <w:t>et al.</w:t>
      </w:r>
      <w:r w:rsidRPr="00021D10">
        <w:rPr>
          <w:noProof/>
        </w:rPr>
        <w:t>, 2021)</w:t>
      </w:r>
      <w:r>
        <w:fldChar w:fldCharType="end"/>
      </w:r>
      <w:r>
        <w:t xml:space="preserve">. Once these epidemics are underway, bark beetles tend to preferentially target large and reproductively-valuable sugar pines, independent of individuals’ stress </w:t>
      </w:r>
      <w:r>
        <w:fldChar w:fldCharType="begin" w:fldLock="1"/>
      </w:r>
      <w: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fldChar w:fldCharType="separate"/>
      </w:r>
      <w:r w:rsidRPr="00EB4A84">
        <w:rPr>
          <w:noProof/>
        </w:rPr>
        <w:t xml:space="preserve">(Stephenson </w:t>
      </w:r>
      <w:r w:rsidRPr="00EB4A84">
        <w:rPr>
          <w:i/>
          <w:noProof/>
        </w:rPr>
        <w:t>et al.</w:t>
      </w:r>
      <w:r w:rsidRPr="00EB4A84">
        <w:rPr>
          <w:noProof/>
        </w:rPr>
        <w:t>, 2019)</w:t>
      </w:r>
      <w:r>
        <w:fldChar w:fldCharType="end"/>
      </w:r>
      <w:r w:rsidR="009F6E8A">
        <w:t xml:space="preserve">, exacerbating the impact of this stressor on the demographic outlook for sugar pine. Drought can also kill trees, especially small individuals, more directly via </w:t>
      </w:r>
      <w:r w:rsidR="00243B4B">
        <w:t xml:space="preserve">hydraulic failure and/or carbon starvation </w:t>
      </w:r>
      <w:commentRangeStart w:id="12"/>
      <w:r w:rsidR="009F6E8A">
        <w:fldChar w:fldCharType="begin" w:fldLock="1"/>
      </w:r>
      <w:r w:rsidR="00A41A84">
        <w:instrText>ADDIN CSL_CITATION {"citationItems":[{"id":"ITEM-1","itemData":{"DOI":"10.1002/ecs2.2776","ISSN":"21508925","abstract":"Understanding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L.","non-dropping-particle":"","parse-names":false,"suffix":""}],"container-title":"Ecosphere","id":"ITEM-1","issue":"6","issued":{"date-parts":[["2019"]]},"title":"Negative impacts of summer heat on Sierra Nevada tree seedlings","type":"article-journal","volume":"10"},"uris":["http://www.mendeley.com/documents/?uuid=52ae7f69-ba42-496d-827f-0c3f1dd1fb27"]}],"mendeley":{"formattedCitation":"(Moran &lt;i&gt;et al.&lt;/i&gt;, 2019)","plainTextFormattedCitation":"(Moran et al., 2019)","previouslyFormattedCitation":"(Moran &lt;i&gt;et al.&lt;/i&gt;, 2019)"},"properties":{"noteIndex":0},"schema":"https://github.com/citation-style-language/schema/raw/master/csl-citation.json"}</w:instrText>
      </w:r>
      <w:r w:rsidR="009F6E8A">
        <w:fldChar w:fldCharType="separate"/>
      </w:r>
      <w:r w:rsidR="009F6E8A" w:rsidRPr="009F6E8A">
        <w:rPr>
          <w:noProof/>
        </w:rPr>
        <w:t xml:space="preserve">(Moran </w:t>
      </w:r>
      <w:r w:rsidR="009F6E8A" w:rsidRPr="009F6E8A">
        <w:rPr>
          <w:i/>
          <w:noProof/>
        </w:rPr>
        <w:t>et al.</w:t>
      </w:r>
      <w:r w:rsidR="009F6E8A" w:rsidRPr="009F6E8A">
        <w:rPr>
          <w:noProof/>
        </w:rPr>
        <w:t>, 2019)</w:t>
      </w:r>
      <w:r w:rsidR="009F6E8A">
        <w:fldChar w:fldCharType="end"/>
      </w:r>
      <w:commentRangeEnd w:id="12"/>
      <w:r w:rsidR="00BD0EC9">
        <w:rPr>
          <w:rStyle w:val="CommentReference"/>
        </w:rPr>
        <w:commentReference w:id="12"/>
      </w:r>
      <w:r w:rsidR="009F6E8A">
        <w:t>.</w:t>
      </w:r>
    </w:p>
    <w:p w14:paraId="78BF1187" w14:textId="18E5CFAC" w:rsidR="002435DE" w:rsidRDefault="002435DE" w:rsidP="009971A5">
      <w:pPr>
        <w:spacing w:line="360" w:lineRule="auto"/>
        <w:ind w:firstLine="720"/>
      </w:pPr>
      <w:r>
        <w:t>Given these numerous challenges, there are widespread concerns about the future of the species</w:t>
      </w:r>
      <w:r w:rsidR="0035131C">
        <w:t xml:space="preserve"> </w:t>
      </w:r>
      <w:r w:rsidR="0035131C">
        <w:fldChar w:fldCharType="begin" w:fldLock="1"/>
      </w:r>
      <w:r w:rsidR="002C19B3">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35131C">
        <w:fldChar w:fldCharType="separate"/>
      </w:r>
      <w:r w:rsidR="00EB4A84" w:rsidRPr="00EB4A84">
        <w:rPr>
          <w:noProof/>
        </w:rPr>
        <w:t>(Kinloch Jr., Marosy and Huddleston, 1996)</w:t>
      </w:r>
      <w:r w:rsidR="0035131C">
        <w:fldChar w:fldCharType="end"/>
      </w:r>
      <w:r w:rsidR="0035131C">
        <w:t xml:space="preserve">. </w:t>
      </w:r>
      <w:r>
        <w:t xml:space="preserve">Management options to benefit sugar pine are available, ranging from restoration thinning and prescribed fire to restore forest structure </w:t>
      </w:r>
      <w:commentRangeStart w:id="13"/>
      <w:r w:rsidR="0035131C">
        <w:fldChar w:fldCharType="begin" w:fldLock="1"/>
      </w:r>
      <w:r w:rsidR="000B37E1">
        <w:instrText>ADDIN CSL_CITATION {"citationItems":[{"id":"ITEM-1","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D.","non-dropping-particle":"","parse-names":false,"suffix":""}],"container-title":"Ecosphere","id":"ITEM-1","issue":"January","issued":{"date-parts":[["2021"]]},"title":"Do Forest Fuel Reduction Treatments Confer Resistance to Beetle Infestation and Drought Mortality?","type":"article-journal","volume":"12"},"uris":["http://www.mendeley.com/documents/?uuid=27f300f3-6aa3-4e67-9ff2-302a5568e9e8"]},{"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USA","type":"article-journal","volume":"29"},"uris":["http://www.mendeley.com/documents/?uuid=fab20f86-8948-4d2c-85ba-9a0ff200ff1e"]},{"id":"ITEM-3","itemData":{"DOI":"10.1890/07-1755.1","ISBN":"1051-0761","ISSN":"1051-0761","PMID":"19323192","abstract":"Forest structure and species composition in many western U. S. coniferous forests have been altered through. re exclusion, past and ongoing harvesting practices, and livestock grazing over the 20th century. The effects of these activities have been most pronounced in seasonally dry, low and mid-elevation coniferous forests that once experienced frequent, low to moderate intensity,. re regimes. In this paper, we report the effects of Fire and Fire Surrogate (FFS) forest stand treatments on fuel load profiles, potential fire behavior, and fire severity under three weather scenarios from six western U. S. FFS sites. This replicated, multisite experiment provides a framework for drawing broad generalizations about the effectiveness of prescribed. re and mechanical treatments on surface fuel loads, forest structure, and potential. re severity. Mechanical treatments without. re resulted in combined 1-, 10-, and 100-hour surface fuel loads that were significantly greater than controls at three of five FFS sites. Canopy cover was significantly lower than controls at three of five FFS sites with mechanical-only treatments and at all five FFS sites with the mechanical plus burning treatment;. re-only treatments reduced canopy cover at only one site. For the combined treatment of mechanical plus. re, all five FFS sites with this treatment had a substantially lower likelihood of passive crown. re as indicated by the very high torching indices. FFS sites that experienced significant increases in 1-, 10-, and 100-hour combined surface fuel loads utilized harvest systems that left all activity fuels within experimental units. When mechanical treatments were followed by prescribed burning or pile burning, they were the most effective treatment for reducing crown fire potential and predicted tree mortality because of low surface fuel loads and increased vertical and horizontal canopy separation. Results indicate that mechanical plus fire, fire-only, and mechanical-only treatments using whole-tree harvest systems were all effective at reducing potential. re severity under severe. re weather conditions. Retaining the largest trees within stands also increased. re resistance.","author":[{"dropping-particle":"","family":"Stephens","given":"Scott L.","non-dropping-particle":"","parse-names":false,"suffix":""},{"dropping-particle":"","family":"Moghaddas","given":"Jason J.","non-dropping-particle":"","parse-names":false,"suffix":""},{"dropping-particle":"","family":"Edminster","given":"Carl","non-dropping-particle":"","parse-names":false,"suffix":""},{"dropping-particle":"","family":"Fiedler","given":"Carl E.","non-dropping-particle":"","parse-names":false,"suffix":""},{"dropping-particle":"","family":"Haase","given":"Sally","non-dropping-particle":"","parse-names":false,"suffix":""},{"dropping-particle":"","family":"Harrington","given":"Michael","non-dropping-particle":"","parse-names":false,"suffix":""},{"dropping-particle":"","family":"Keeley","given":"Jon E.","non-dropping-particle":"","parse-names":false,"suffix":""},{"dropping-particle":"","family":"Knapp","given":"Eric E.","non-dropping-particle":"","parse-names":false,"suffix":""},{"dropping-particle":"","family":"McIver","given":"James D.","non-dropping-particle":"","parse-names":false,"suffix":""},{"dropping-particle":"","family":"Metlen","given":"Kerry","non-dropping-particle":"","parse-names":false,"suffix":""},{"dropping-particle":"","family":"Skinner","given":"Carl N.","non-dropping-particle":"","parse-names":false,"suffix":""},{"dropping-particle":"","family":"Youngblood","given":"Andrew","non-dropping-particle":"","parse-names":false,"suffix":""}],"container-title":"Ecological Applications","id":"ITEM-3","issue":"2","issued":{"date-parts":[["2009"]]},"page":"305-320","title":"Fire Treatment Effects on Vegetation Structure , Fuels , and Potential Fire Severity in Western U . S . Forests","type":"article-journal","volume":"19"},"uris":["http://www.mendeley.com/documents/?uuid=3429606a-819b-4422-8620-ba8303282bca"]}],"mendeley":{"formattedCitation":"(Stephens &lt;i&gt;et al.&lt;/i&gt;, 2009; Restaino &lt;i&gt;et al.&lt;/i&gt;, 2019; Steel &lt;i&gt;et al.&lt;/i&gt;, 2021)","plainTextFormattedCitation":"(Stephens et al., 2009; Restaino et al., 2019; Steel et al., 2021)","previouslyFormattedCitation":"(Stephens &lt;i&gt;et al.&lt;/i&gt;, 2009; Restaino &lt;i&gt;et al.&lt;/i&gt;, 2019; Steel &lt;i&gt;et al.&lt;/i&gt;, 2021)"},"properties":{"noteIndex":0},"schema":"https://github.com/citation-style-language/schema/raw/master/csl-citation.json"}</w:instrText>
      </w:r>
      <w:r w:rsidR="0035131C">
        <w:fldChar w:fldCharType="separate"/>
      </w:r>
      <w:r w:rsidR="000B37E1" w:rsidRPr="000B37E1">
        <w:rPr>
          <w:noProof/>
        </w:rPr>
        <w:t xml:space="preserve">(Stephens </w:t>
      </w:r>
      <w:r w:rsidR="000B37E1" w:rsidRPr="000B37E1">
        <w:rPr>
          <w:i/>
          <w:noProof/>
        </w:rPr>
        <w:t>et al.</w:t>
      </w:r>
      <w:r w:rsidR="000B37E1" w:rsidRPr="000B37E1">
        <w:rPr>
          <w:noProof/>
        </w:rPr>
        <w:t xml:space="preserve">, 2009; Restaino </w:t>
      </w:r>
      <w:r w:rsidR="000B37E1" w:rsidRPr="000B37E1">
        <w:rPr>
          <w:i/>
          <w:noProof/>
        </w:rPr>
        <w:t>et al.</w:t>
      </w:r>
      <w:r w:rsidR="000B37E1" w:rsidRPr="000B37E1">
        <w:rPr>
          <w:noProof/>
        </w:rPr>
        <w:t xml:space="preserve">, 2019; Steel </w:t>
      </w:r>
      <w:r w:rsidR="000B37E1" w:rsidRPr="000B37E1">
        <w:rPr>
          <w:i/>
          <w:noProof/>
        </w:rPr>
        <w:t>et al.</w:t>
      </w:r>
      <w:r w:rsidR="000B37E1" w:rsidRPr="000B37E1">
        <w:rPr>
          <w:noProof/>
        </w:rPr>
        <w:t>, 2021)</w:t>
      </w:r>
      <w:r w:rsidR="0035131C">
        <w:fldChar w:fldCharType="end"/>
      </w:r>
      <w:r>
        <w:t xml:space="preserve"> </w:t>
      </w:r>
      <w:commentRangeEnd w:id="13"/>
      <w:r w:rsidR="007108F6">
        <w:rPr>
          <w:rStyle w:val="CommentReference"/>
        </w:rPr>
        <w:commentReference w:id="13"/>
      </w:r>
      <w:r>
        <w:t>to out</w:t>
      </w:r>
      <w:r w:rsidR="008C4383">
        <w:t xml:space="preserve"> </w:t>
      </w:r>
      <w:r>
        <w:t xml:space="preserve">planting seedlings with genetic resistance to WPBR </w:t>
      </w:r>
      <w:r w:rsidR="0097720B">
        <w:fldChar w:fldCharType="begin" w:fldLock="1"/>
      </w:r>
      <w:r w:rsidR="002C19B3">
        <w:instrText>ADDIN CSL_CITATION {"citationItems":[{"id":"ITEM-1","itemData":{"DOI":"10.1146/annurev-ecolsys-110512-135747","author":[{"dropping-particle":"","family":"Aitken","given":"Sally N","non-dropping-particle":"","parse-names":false,"suffix":""},{"dropping-particle":"","family":"Whitlock","given":"Michael C","non-dropping-particle":"","parse-names":false,"suffix":""}],"container-title":"Annual Review of Ecology, evolution, and Systematics","id":"ITEM-1","issued":{"date-parts":[["2013"]]},"page":"367-88","title":"Assisted Gene Flow to Facilitate Local Adaptation to Climate Change","type":"article-journal","volume":"44"},"uris":["http://www.mendeley.com/documents/?uuid=14f238d5-06eb-4428-9f86-0be8558a45fa"]},{"id":"ITEM-2","itemData":{"DOI":"10.1016/j.foreco.2018.09.007","ISBN":"9781594770913","ISSN":"03781127","abstract":"The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forests","type":"article-journal","volume":"432"},"uris":["http://www.mendeley.com/documents/?uuid=4ca71152-bbb4-4682-9438-f468bbf36faf"]}],"mendeley":{"formattedCitation":"(Aitken and Whitlock, 2013; North &lt;i&gt;et al.&lt;/i&gt;, 2019)","plainTextFormattedCitation":"(Aitken and Whitlock, 2013; North et al., 2019)","previouslyFormattedCitation":"(Aitken and Whitlock, 2013; North &lt;i&gt;et al.&lt;/i&gt;, 2019)"},"properties":{"noteIndex":0},"schema":"https://github.com/citation-style-language/schema/raw/master/csl-citation.json"}</w:instrText>
      </w:r>
      <w:r w:rsidR="0097720B">
        <w:fldChar w:fldCharType="separate"/>
      </w:r>
      <w:r w:rsidR="00EB4A84" w:rsidRPr="00EB4A84">
        <w:rPr>
          <w:noProof/>
        </w:rPr>
        <w:t xml:space="preserve">(Aitken and Whitlock, 2013; North </w:t>
      </w:r>
      <w:r w:rsidR="00EB4A84" w:rsidRPr="00EB4A84">
        <w:rPr>
          <w:i/>
          <w:noProof/>
        </w:rPr>
        <w:t>et al.</w:t>
      </w:r>
      <w:r w:rsidR="00EB4A84" w:rsidRPr="00EB4A84">
        <w:rPr>
          <w:noProof/>
        </w:rPr>
        <w:t>, 2019)</w:t>
      </w:r>
      <w:r w:rsidR="0097720B">
        <w:fldChar w:fldCharType="end"/>
      </w:r>
      <w:r>
        <w:t xml:space="preserve">. However, many of these options are expensive. </w:t>
      </w:r>
      <w:commentRangeStart w:id="14"/>
      <w:r>
        <w:t>In a context where natural resource management funding is constrained, it is important to understand the status and demographic outlook for sugar pine as a species</w:t>
      </w:r>
      <w:commentRangeEnd w:id="14"/>
      <w:r w:rsidR="002626E1">
        <w:rPr>
          <w:rStyle w:val="CommentReference"/>
        </w:rPr>
        <w:commentReference w:id="14"/>
      </w:r>
      <w:r>
        <w:t xml:space="preserve">. This study seeks to inform decisions about </w:t>
      </w:r>
      <w:r>
        <w:lastRenderedPageBreak/>
        <w:t xml:space="preserve">when and where to prioritize management actions to conserve sugar pine. To that end, </w:t>
      </w:r>
      <w:r w:rsidR="0097720B">
        <w:t>we</w:t>
      </w:r>
      <w:r>
        <w:t xml:space="preserve"> address t</w:t>
      </w:r>
      <w:r w:rsidR="00D312C0">
        <w:t>wo</w:t>
      </w:r>
      <w:r>
        <w:t xml:space="preserve"> questions:</w:t>
      </w:r>
    </w:p>
    <w:p w14:paraId="2E1390DE" w14:textId="46542032" w:rsidR="00540755" w:rsidRDefault="00540755" w:rsidP="00E01957">
      <w:pPr>
        <w:numPr>
          <w:ilvl w:val="0"/>
          <w:numId w:val="1"/>
        </w:numPr>
        <w:spacing w:line="360" w:lineRule="auto"/>
      </w:pPr>
      <w:r>
        <w:t>What are the current trends in abundance across the range-wide ensemble of sugar pine populations?</w:t>
      </w:r>
    </w:p>
    <w:p w14:paraId="39543004" w14:textId="77274D5B" w:rsidR="007553FB" w:rsidRDefault="00D312C0" w:rsidP="00540755">
      <w:pPr>
        <w:numPr>
          <w:ilvl w:val="0"/>
          <w:numId w:val="1"/>
        </w:numPr>
        <w:spacing w:line="360" w:lineRule="auto"/>
      </w:pPr>
      <w:r>
        <w:t>What is the relative importance of the various stressors acting on sugar pine?</w:t>
      </w:r>
    </w:p>
    <w:p w14:paraId="0EE8B572" w14:textId="576D148D" w:rsidR="00D312C0" w:rsidRDefault="009B22BB" w:rsidP="00E01957">
      <w:pPr>
        <w:pStyle w:val="Heading1"/>
        <w:spacing w:line="360" w:lineRule="auto"/>
      </w:pPr>
      <w:r>
        <w:t>Methods</w:t>
      </w:r>
    </w:p>
    <w:p w14:paraId="0EBA3FF7" w14:textId="7F3D8189" w:rsidR="009B22BB" w:rsidRDefault="00EE5D6E" w:rsidP="00E01957">
      <w:pPr>
        <w:pStyle w:val="Heading2"/>
        <w:spacing w:line="360" w:lineRule="auto"/>
      </w:pPr>
      <w:r>
        <w:t>Study Area</w:t>
      </w:r>
    </w:p>
    <w:p w14:paraId="63A4B2DE" w14:textId="1ECE5FFC" w:rsidR="007847A0" w:rsidRDefault="00AC69CD" w:rsidP="00E358D9">
      <w:pPr>
        <w:spacing w:line="360" w:lineRule="auto"/>
        <w:ind w:firstLine="720"/>
      </w:pPr>
      <w:r>
        <w:t>The area of interest for this study is that part of the range of sugar pine which is within the contiguous United States</w:t>
      </w:r>
      <w:r w:rsidR="007847A0">
        <w:t xml:space="preserve"> </w:t>
      </w:r>
      <w:r w:rsidR="0097720B">
        <w:t>(</w:t>
      </w:r>
      <w:r w:rsidR="0097720B">
        <w:fldChar w:fldCharType="begin"/>
      </w:r>
      <w:r w:rsidR="0097720B">
        <w:instrText xml:space="preserve"> REF _Ref94877166 \h </w:instrText>
      </w:r>
      <w:r w:rsidR="0097720B">
        <w:fldChar w:fldCharType="separate"/>
      </w:r>
      <w:r w:rsidR="0097720B">
        <w:t xml:space="preserve">Figure </w:t>
      </w:r>
      <w:r w:rsidR="0097720B">
        <w:rPr>
          <w:noProof/>
        </w:rPr>
        <w:t>1</w:t>
      </w:r>
      <w:r w:rsidR="0097720B">
        <w:fldChar w:fldCharType="end"/>
      </w:r>
      <w:r w:rsidR="0097720B">
        <w:t>)</w:t>
      </w:r>
      <w:r>
        <w:t xml:space="preserve">, which is </w:t>
      </w:r>
      <w:proofErr w:type="gramStart"/>
      <w:r>
        <w:t>the vast majority of</w:t>
      </w:r>
      <w:proofErr w:type="gramEnd"/>
      <w:r>
        <w:t xml:space="preserve"> the species’ range</w:t>
      </w:r>
      <w:r w:rsidR="0097720B">
        <w:t xml:space="preserve"> (exclud</w:t>
      </w:r>
      <w:r w:rsidR="00A41A84">
        <w:t>ing only</w:t>
      </w:r>
      <w:r w:rsidR="0097720B">
        <w:t xml:space="preserve"> an isolated population in Baja California)</w:t>
      </w:r>
      <w:r>
        <w:t>.</w:t>
      </w:r>
      <w:r w:rsidR="007847A0">
        <w:t xml:space="preserve"> </w:t>
      </w:r>
      <w:r>
        <w:t xml:space="preserve"> </w:t>
      </w:r>
      <w:r w:rsidR="007847A0">
        <w:t xml:space="preserve">The range of sugar pine </w:t>
      </w:r>
      <w:r w:rsidR="00C125F1">
        <w:t xml:space="preserve">in the United States </w:t>
      </w:r>
      <w:r w:rsidR="007847A0">
        <w:t>extends</w:t>
      </w:r>
      <w:r w:rsidR="00C125F1">
        <w:t xml:space="preserve"> </w:t>
      </w:r>
      <w:r w:rsidR="005400AE">
        <w:t xml:space="preserve">from </w:t>
      </w:r>
      <w:r w:rsidR="0097720B">
        <w:t>33.7</w:t>
      </w:r>
      <w:r w:rsidR="00C125F1">
        <w:rPr>
          <w:rFonts w:cstheme="minorHAnsi"/>
        </w:rPr>
        <w:t>°N to 45.3°N</w:t>
      </w:r>
      <w:r w:rsidR="005400AE">
        <w:t xml:space="preserve"> throughout much of the Sierra Nevada and Klamath mountain</w:t>
      </w:r>
      <w:r w:rsidR="00FF38BC">
        <w:t>s, and parts of the Transverse</w:t>
      </w:r>
      <w:r w:rsidR="007108F6">
        <w:t>, Peninsular,</w:t>
      </w:r>
      <w:r w:rsidR="00FF38BC">
        <w:t xml:space="preserve"> and Southern Cascades ranges in the US states of California and Oregon. Sugar pine is widely distributed throughout this range as an important element of the mixed conifer forest belt at elevations ranging from </w:t>
      </w:r>
      <w:r w:rsidR="00AD7299">
        <w:t>1000 m</w:t>
      </w:r>
      <w:r w:rsidR="00FF38BC">
        <w:t xml:space="preserve"> to </w:t>
      </w:r>
      <w:r w:rsidR="00AD7299">
        <w:t xml:space="preserve">2700 m, depending on latitude </w:t>
      </w:r>
      <w:r w:rsidR="00AD7299">
        <w:fldChar w:fldCharType="begin" w:fldLock="1"/>
      </w:r>
      <w:r w:rsidR="002C19B3">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Forests","type":"article-journal"},"uris":["http://www.mendeley.com/documents/?uuid=865d47ce-7aba-4ed2-802c-803bb9610f75"]}],"mendeley":{"formattedCitation":"(Safford and Stevens, 2017)","plainTextFormattedCitation":"(Safford and Stevens, 2017)","previouslyFormattedCitation":"(Safford and Stevens, 2017)"},"properties":{"noteIndex":0},"schema":"https://github.com/citation-style-language/schema/raw/master/csl-citation.json"}</w:instrText>
      </w:r>
      <w:r w:rsidR="00AD7299">
        <w:fldChar w:fldCharType="separate"/>
      </w:r>
      <w:r w:rsidR="00EB4A84" w:rsidRPr="00EB4A84">
        <w:rPr>
          <w:noProof/>
        </w:rPr>
        <w:t>(Safford and Stevens, 2017)</w:t>
      </w:r>
      <w:r w:rsidR="00AD7299">
        <w:fldChar w:fldCharType="end"/>
      </w:r>
      <w:r w:rsidR="00FF38BC">
        <w:t>. The climate throughout this range is Mediterranean, with</w:t>
      </w:r>
      <w:r w:rsidR="00323628">
        <w:t xml:space="preserve"> a </w:t>
      </w:r>
      <w:r w:rsidR="00AD7299">
        <w:t xml:space="preserve">cool-wet season and a warm-dry season </w:t>
      </w:r>
      <w:r w:rsidR="00AD7299">
        <w:fldChar w:fldCharType="begin" w:fldLock="1"/>
      </w:r>
      <w:r w:rsidR="002C19B3">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Forests","type":"article-journal"},"uris":["http://www.mendeley.com/documents/?uuid=865d47ce-7aba-4ed2-802c-803bb9610f75"]}],"mendeley":{"formattedCitation":"(Safford and Stevens, 2017)","plainTextFormattedCitation":"(Safford and Stevens, 2017)","previouslyFormattedCitation":"(Safford and Stevens, 2017)"},"properties":{"noteIndex":0},"schema":"https://github.com/citation-style-language/schema/raw/master/csl-citation.json"}</w:instrText>
      </w:r>
      <w:r w:rsidR="00AD7299">
        <w:fldChar w:fldCharType="separate"/>
      </w:r>
      <w:r w:rsidR="00EB4A84" w:rsidRPr="00EB4A84">
        <w:rPr>
          <w:noProof/>
        </w:rPr>
        <w:t>(Safford and Stevens, 2017)</w:t>
      </w:r>
      <w:r w:rsidR="00AD7299">
        <w:fldChar w:fldCharType="end"/>
      </w:r>
      <w:r w:rsidR="00323628">
        <w:t xml:space="preserve">. </w:t>
      </w:r>
    </w:p>
    <w:p w14:paraId="145C8BAB" w14:textId="7C8DAD7C" w:rsidR="00EE5D6E" w:rsidRDefault="00EE5D6E" w:rsidP="00E01957">
      <w:pPr>
        <w:pStyle w:val="Heading2"/>
        <w:spacing w:line="360" w:lineRule="auto"/>
      </w:pPr>
      <w:commentRangeStart w:id="15"/>
      <w:commentRangeStart w:id="16"/>
      <w:r>
        <w:t>Inventory</w:t>
      </w:r>
      <w:commentRangeEnd w:id="15"/>
      <w:r w:rsidR="000B15A1">
        <w:rPr>
          <w:rStyle w:val="CommentReference"/>
          <w:rFonts w:asciiTheme="minorHAnsi" w:eastAsiaTheme="minorHAnsi" w:hAnsiTheme="minorHAnsi" w:cstheme="minorBidi"/>
          <w:color w:val="auto"/>
        </w:rPr>
        <w:commentReference w:id="15"/>
      </w:r>
      <w:commentRangeEnd w:id="16"/>
      <w:r w:rsidR="000B15A1">
        <w:rPr>
          <w:rStyle w:val="CommentReference"/>
          <w:rFonts w:asciiTheme="minorHAnsi" w:eastAsiaTheme="minorHAnsi" w:hAnsiTheme="minorHAnsi" w:cstheme="minorBidi"/>
          <w:color w:val="auto"/>
        </w:rPr>
        <w:commentReference w:id="16"/>
      </w:r>
      <w:r>
        <w:t xml:space="preserve"> </w:t>
      </w:r>
      <w:commentRangeStart w:id="17"/>
      <w:commentRangeStart w:id="18"/>
      <w:r>
        <w:t>Data</w:t>
      </w:r>
      <w:commentRangeEnd w:id="17"/>
      <w:r w:rsidR="000B15A1">
        <w:rPr>
          <w:rStyle w:val="CommentReference"/>
          <w:rFonts w:asciiTheme="minorHAnsi" w:eastAsiaTheme="minorHAnsi" w:hAnsiTheme="minorHAnsi" w:cstheme="minorBidi"/>
          <w:color w:val="auto"/>
        </w:rPr>
        <w:commentReference w:id="17"/>
      </w:r>
      <w:commentRangeEnd w:id="18"/>
      <w:r w:rsidR="00BD15C5">
        <w:rPr>
          <w:rStyle w:val="CommentReference"/>
          <w:rFonts w:asciiTheme="minorHAnsi" w:eastAsiaTheme="minorHAnsi" w:hAnsiTheme="minorHAnsi" w:cstheme="minorBidi"/>
          <w:color w:val="auto"/>
        </w:rPr>
        <w:commentReference w:id="18"/>
      </w:r>
    </w:p>
    <w:p w14:paraId="537500C6" w14:textId="25120C30" w:rsidR="00877029" w:rsidRDefault="00197ED8" w:rsidP="00361DD5">
      <w:pPr>
        <w:spacing w:line="360" w:lineRule="auto"/>
        <w:ind w:firstLine="720"/>
      </w:pPr>
      <w:r>
        <w:t>The</w:t>
      </w:r>
      <w:r w:rsidR="009E5157">
        <w:t xml:space="preserve"> Forest Inventory and Analysis</w:t>
      </w:r>
      <w:r>
        <w:t xml:space="preserve"> </w:t>
      </w:r>
      <w:r w:rsidR="009E5157">
        <w:t>(</w:t>
      </w:r>
      <w:commentRangeStart w:id="19"/>
      <w:r>
        <w:t>F</w:t>
      </w:r>
      <w:r w:rsidR="00D8211E">
        <w:t>IA</w:t>
      </w:r>
      <w:commentRangeEnd w:id="19"/>
      <w:r w:rsidR="009E5157">
        <w:rPr>
          <w:rStyle w:val="CommentReference"/>
        </w:rPr>
        <w:commentReference w:id="19"/>
      </w:r>
      <w:r w:rsidR="009E5157">
        <w:t>)</w:t>
      </w:r>
      <w:r>
        <w:t xml:space="preserve"> </w:t>
      </w:r>
      <w:commentRangeStart w:id="20"/>
      <w:r>
        <w:t>plots</w:t>
      </w:r>
      <w:commentRangeEnd w:id="20"/>
      <w:r w:rsidR="009E5157">
        <w:rPr>
          <w:rStyle w:val="CommentReference"/>
        </w:rPr>
        <w:commentReference w:id="20"/>
      </w:r>
      <w:r>
        <w:t xml:space="preserve"> are part of a US Forest Service-run nationwide inventory network operating in its current</w:t>
      </w:r>
      <w:r w:rsidR="00D8211E">
        <w:t xml:space="preserve"> </w:t>
      </w:r>
      <w:r>
        <w:t xml:space="preserve">form since 2001 </w:t>
      </w:r>
      <w:r w:rsidR="006E0CA4">
        <w:fldChar w:fldCharType="begin" w:fldLock="1"/>
      </w:r>
      <w:r w:rsidR="002C19B3">
        <w:instrText>ADDIN CSL_CITATION {"citationItems":[{"id":"ITEM-1","itemData":{"abstract":"The Forest Inventory and Analysis (FIA) Program of the U.S. Department of Agriculture Forest Service is in the process of moving from a system of quasiindependent, regional, periodic inventories to an enhanced program featuring greater national consistency, annual measurement of a proportion of plots in each State, new reporting requirements, and integration with the ground sampling component of the Forest Health Monitoring Program. This documentation presents an overview of the conceptual changes, explains the three phases of FIA's sampling design, describes the sampling frame and plot configuration, presents the estimators that form the basis of FIA's National Information Management System (NIMS), and shows how annual data are combined for analysis. It also references a number of Web-based supplementary documents that provide greater detail about some of the more obscure aspects of the sampling and estimation system, as well as examples of calculations for most of the common estimators produced by FIA.","author":[{"dropping-particle":"","family":"Bechtold","given":"William A","non-dropping-particle":"","parse-names":false,"suffix":""},{"dropping-particle":"","family":"Patterson","given":"Paul L","non-dropping-particle":"","parse-names":false,"suffix":""}],"container-title":"USDA General Technical Report","id":"ITEM-1","issued":{"date-parts":[["2005"]]},"page":"85","title":"The Enhanced Forest Inventory and Analysis Program — National Sampling Design and Estimation Procedures","type":"article-journal","volume":"SRS-80"},"uris":["http://www.mendeley.com/documents/?uuid=416b6508-82c4-4780-bbc6-e971eafd5bf6"]}],"mendeley":{"formattedCitation":"(Bechtold and Patterson, 2005)","plainTextFormattedCitation":"(Bechtold and Patterson, 2005)","previouslyFormattedCitation":"(Bechtold and Patterson, 2005)"},"properties":{"noteIndex":0},"schema":"https://github.com/citation-style-language/schema/raw/master/csl-citation.json"}</w:instrText>
      </w:r>
      <w:r w:rsidR="006E0CA4">
        <w:fldChar w:fldCharType="separate"/>
      </w:r>
      <w:r w:rsidR="00EB4A84" w:rsidRPr="00EB4A84">
        <w:rPr>
          <w:noProof/>
        </w:rPr>
        <w:t>(Bechtold and Patterson, 2005)</w:t>
      </w:r>
      <w:r w:rsidR="006E0CA4">
        <w:fldChar w:fldCharType="end"/>
      </w:r>
      <w:r>
        <w:t xml:space="preserve">. Here, </w:t>
      </w:r>
      <w:r w:rsidR="006E0CA4">
        <w:t>we</w:t>
      </w:r>
      <w:r w:rsidR="00D96875">
        <w:t xml:space="preserve"> use </w:t>
      </w:r>
      <w:r w:rsidR="001D0752">
        <w:t>1,</w:t>
      </w:r>
      <w:r w:rsidR="00540755">
        <w:t>221</w:t>
      </w:r>
      <w:r w:rsidR="001D0752">
        <w:t xml:space="preserve"> </w:t>
      </w:r>
      <w:r w:rsidR="00D96875">
        <w:t>FIA plots</w:t>
      </w:r>
      <w:r>
        <w:t xml:space="preserve"> from California</w:t>
      </w:r>
      <w:r w:rsidR="009B5B45">
        <w:t xml:space="preserve"> and Oregon</w:t>
      </w:r>
      <w:r>
        <w:t xml:space="preserve"> </w:t>
      </w:r>
      <w:r w:rsidR="009E5157">
        <w:t xml:space="preserve">where </w:t>
      </w:r>
      <w:r w:rsidR="004769F7">
        <w:t>live sugar pine was present at initial measurement from 2001-20</w:t>
      </w:r>
      <w:r w:rsidR="00540755">
        <w:t>09 or remeasurement from 2010-2019</w:t>
      </w:r>
      <w:r w:rsidR="001D0752">
        <w:t xml:space="preserve"> (</w:t>
      </w:r>
      <w:r w:rsidR="004769F7">
        <w:t>we used</w:t>
      </w:r>
      <w:r w:rsidR="001D0752">
        <w:t xml:space="preserve"> version number 1.8.0.03</w:t>
      </w:r>
      <w:r w:rsidR="004769F7">
        <w:t xml:space="preserve"> of the FIA database</w:t>
      </w:r>
      <w:r w:rsidR="001D0752">
        <w:t>)</w:t>
      </w:r>
      <w:r>
        <w:t xml:space="preserve">. </w:t>
      </w:r>
      <w:commentRangeStart w:id="21"/>
      <w:r>
        <w:t xml:space="preserve">The geographic coordinates listed for the FIA plots are not exact; </w:t>
      </w:r>
      <w:r w:rsidR="00361DD5">
        <w:t>to</w:t>
      </w:r>
      <w:r>
        <w:t xml:space="preserve"> preserve plot </w:t>
      </w:r>
      <w:r w:rsidR="00361DD5">
        <w:t>integrity,</w:t>
      </w:r>
      <w:r>
        <w:t xml:space="preserve"> the plot coordinates are randomly perturbed, and some plot locations</w:t>
      </w:r>
      <w:r w:rsidR="00D8211E">
        <w:t xml:space="preserve"> </w:t>
      </w:r>
      <w:r>
        <w:t>are swapped. Most perturbations are to a random location within 0.8</w:t>
      </w:r>
      <w:r w:rsidR="006E0CA4">
        <w:t xml:space="preserve"> </w:t>
      </w:r>
      <w:r>
        <w:t>km of the true location, and all</w:t>
      </w:r>
      <w:r w:rsidR="00D8211E">
        <w:t xml:space="preserve"> </w:t>
      </w:r>
      <w:r>
        <w:t>perturbations are to within 1.6 km of the actual location. Between 0 and 10 percent of plot locations are</w:t>
      </w:r>
      <w:r w:rsidR="00D8211E">
        <w:t xml:space="preserve"> </w:t>
      </w:r>
      <w:r>
        <w:t>swapped with a similar plot in the same county</w:t>
      </w:r>
      <w:commentRangeEnd w:id="21"/>
      <w:r w:rsidR="001854A2">
        <w:rPr>
          <w:rStyle w:val="CommentReference"/>
        </w:rPr>
        <w:commentReference w:id="21"/>
      </w:r>
      <w:r w:rsidR="00D8211E">
        <w:t xml:space="preserve">. </w:t>
      </w:r>
      <w:r>
        <w:t>FIA plots are placed on a hexagonal grid</w:t>
      </w:r>
      <w:r w:rsidR="00D8211E">
        <w:t xml:space="preserve"> </w:t>
      </w:r>
      <w:r>
        <w:t xml:space="preserve">with a density of approximately 1 plot per 2429 ha. Each plot is revisited </w:t>
      </w:r>
      <w:r w:rsidR="00BD15C5">
        <w:t>approximately once every 10 years</w:t>
      </w:r>
      <w:r w:rsidR="000451DF">
        <w:t>, which we treat as the census interval for the purpose of calculating vital rates and constructing an IPM</w:t>
      </w:r>
      <w:r w:rsidR="00BD15C5">
        <w:t xml:space="preserve">. Of the </w:t>
      </w:r>
      <w:r w:rsidR="000451DF">
        <w:t>1,</w:t>
      </w:r>
      <w:r w:rsidR="00E9506F">
        <w:t>102</w:t>
      </w:r>
      <w:r w:rsidR="000451DF">
        <w:t xml:space="preserve"> plots used for this study, 90% had an inventory interval from 9.</w:t>
      </w:r>
      <w:r w:rsidR="00E9506F">
        <w:t>6</w:t>
      </w:r>
      <w:r w:rsidR="000451DF">
        <w:t xml:space="preserve"> to 10.</w:t>
      </w:r>
      <w:r w:rsidR="00E9506F">
        <w:t>3</w:t>
      </w:r>
      <w:r w:rsidR="000451DF">
        <w:t xml:space="preserve"> years, with a mean interval of 10.0 years, a minimum </w:t>
      </w:r>
      <w:r w:rsidR="000451DF">
        <w:lastRenderedPageBreak/>
        <w:t>interval of 7.9 years, and a maximum interval of 12.3 years</w:t>
      </w:r>
      <w:r>
        <w:t xml:space="preserve">. </w:t>
      </w:r>
      <w:r w:rsidR="00374BD9">
        <w:t>Each included plot was remeasured one time in this study, so we have one census interval per plot</w:t>
      </w:r>
      <w:r w:rsidR="00996B72">
        <w:t>, with the initial censuses taking place from 2001-2009 and the remeasurements from 2011-2019</w:t>
      </w:r>
      <w:r w:rsidR="00374BD9">
        <w:t xml:space="preserve">. </w:t>
      </w:r>
      <w:r>
        <w:t>On each</w:t>
      </w:r>
      <w:r w:rsidR="00D8211E">
        <w:t xml:space="preserve"> </w:t>
      </w:r>
      <w:r>
        <w:t xml:space="preserve">FIA plot, trees &gt;= 12.7 cm </w:t>
      </w:r>
      <w:r w:rsidR="00D8211E">
        <w:t>diameter at breast height (1.37</w:t>
      </w:r>
      <w:r w:rsidR="00E638E5">
        <w:t xml:space="preserve"> </w:t>
      </w:r>
      <w:r w:rsidR="00D8211E">
        <w:t xml:space="preserve">m, </w:t>
      </w:r>
      <w:r>
        <w:t>DBH</w:t>
      </w:r>
      <w:r w:rsidR="00D8211E">
        <w:t>)</w:t>
      </w:r>
      <w:r>
        <w:t xml:space="preserve"> are inventoried on four 168</w:t>
      </w:r>
      <w:r w:rsidR="00E638E5">
        <w:t xml:space="preserve"> </w:t>
      </w:r>
      <w:r>
        <w:t>m</w:t>
      </w:r>
      <w:r w:rsidR="006E0CA4">
        <w:rPr>
          <w:vertAlign w:val="superscript"/>
        </w:rPr>
        <w:t>2</w:t>
      </w:r>
      <w:r>
        <w:t xml:space="preserve"> permanent subplots. Small trees from 2.54-12.7</w:t>
      </w:r>
      <w:r w:rsidR="00E638E5">
        <w:t xml:space="preserve"> </w:t>
      </w:r>
      <w:r>
        <w:t xml:space="preserve">cm DBH are </w:t>
      </w:r>
      <w:r w:rsidR="00D8211E">
        <w:t>inventoried</w:t>
      </w:r>
      <w:r>
        <w:t xml:space="preserve"> on </w:t>
      </w:r>
      <w:r w:rsidR="001D0752">
        <w:t>four</w:t>
      </w:r>
      <w:r>
        <w:t xml:space="preserve"> 13.5</w:t>
      </w:r>
      <w:r w:rsidR="00E638E5">
        <w:t xml:space="preserve"> </w:t>
      </w:r>
      <w:r>
        <w:t>m</w:t>
      </w:r>
      <w:r w:rsidR="006E0CA4">
        <w:rPr>
          <w:vertAlign w:val="superscript"/>
        </w:rPr>
        <w:t>2</w:t>
      </w:r>
      <w:r>
        <w:t xml:space="preserve"> microplot</w:t>
      </w:r>
      <w:r w:rsidR="001D0752">
        <w:t>s</w:t>
      </w:r>
      <w:r>
        <w:t>, and large trees</w:t>
      </w:r>
      <w:r w:rsidR="001D0752">
        <w:t xml:space="preserve"> (&gt;= 70.0 cm or &gt;= </w:t>
      </w:r>
      <w:r w:rsidR="003735F2">
        <w:t>91.4 cm DBH, depending on the plot)</w:t>
      </w:r>
      <w:r>
        <w:t xml:space="preserve"> on </w:t>
      </w:r>
      <w:r w:rsidR="001D0752">
        <w:t>four</w:t>
      </w:r>
      <w:r>
        <w:t xml:space="preserve"> 1012</w:t>
      </w:r>
      <w:r w:rsidR="00E638E5">
        <w:t xml:space="preserve"> </w:t>
      </w:r>
      <w:r>
        <w:t>m</w:t>
      </w:r>
      <w:r w:rsidR="006E0CA4">
        <w:rPr>
          <w:vertAlign w:val="superscript"/>
        </w:rPr>
        <w:t>2</w:t>
      </w:r>
      <w:r>
        <w:t xml:space="preserve"> </w:t>
      </w:r>
      <w:proofErr w:type="spellStart"/>
      <w:r>
        <w:t>macroplot</w:t>
      </w:r>
      <w:r w:rsidR="003735F2">
        <w:t>s</w:t>
      </w:r>
      <w:proofErr w:type="spellEnd"/>
      <w:r>
        <w:t>.</w:t>
      </w:r>
      <w:r w:rsidR="00E638E5">
        <w:t xml:space="preserve"> Data inventoried for each individual stem include the species, live/dead status, DBH, and a “damage agent” code indicating whether some agent (</w:t>
      </w:r>
      <w:proofErr w:type="gramStart"/>
      <w:r w:rsidR="00E638E5">
        <w:t>e.g.</w:t>
      </w:r>
      <w:proofErr w:type="gramEnd"/>
      <w:r w:rsidR="00E638E5">
        <w:t xml:space="preserve"> white pine blister rust) is visibly affecting the individual’s health.</w:t>
      </w:r>
      <w:r>
        <w:t xml:space="preserve"> </w:t>
      </w:r>
      <w:r w:rsidR="009F5DED">
        <w:t xml:space="preserve">Trees which are individually inventoried (all stems </w:t>
      </w:r>
      <w:r w:rsidR="006E0CA4">
        <w:rPr>
          <w:rFonts w:cstheme="minorHAnsi"/>
        </w:rPr>
        <w:t>≥</w:t>
      </w:r>
      <w:r w:rsidR="009F5DED">
        <w:t xml:space="preserve"> 2.54 cm DBH) are physically tagged to facilitate relocation of specific individuals at remeasurement. </w:t>
      </w:r>
      <w:r w:rsidR="000451DF">
        <w:t xml:space="preserve">The </w:t>
      </w:r>
      <w:r w:rsidR="00070BD5">
        <w:t>survival or death of 3,</w:t>
      </w:r>
      <w:r w:rsidR="00CC6F71">
        <w:t>530</w:t>
      </w:r>
      <w:r w:rsidR="00070BD5">
        <w:t xml:space="preserve"> sugar pine individuals was tracked to estimate the parameters of the survival function, and growth of the </w:t>
      </w:r>
      <w:r w:rsidR="00CC6F71">
        <w:t>2,821</w:t>
      </w:r>
      <w:r w:rsidR="00070BD5">
        <w:t xml:space="preserve"> surviving individuals was used to estimate the parameters of the growth function.</w:t>
      </w:r>
      <w:r w:rsidR="00CC6F71">
        <w:t xml:space="preserve"> </w:t>
      </w:r>
      <w:r w:rsidR="00B31E6F">
        <w:t>We included harvested trees as mortalities in the survival data for two reasons. First, our goal is to understand the actual population dynamics of sugar pine across its range, inclusive of mortality caused by harvests. Second, the prevalence of salvage harvests on some</w:t>
      </w:r>
      <w:r w:rsidR="008E28B3">
        <w:t xml:space="preserve"> land ownerships across the range of sugar pine make it likely that some mortalities caused by fire, drought, or disease were later harvested. </w:t>
      </w:r>
      <w:r w:rsidR="00B31E6F">
        <w:t xml:space="preserve"> </w:t>
      </w:r>
    </w:p>
    <w:p w14:paraId="45A3136F" w14:textId="4343EC2E" w:rsidR="004F3A49" w:rsidRDefault="00D8211E" w:rsidP="00361DD5">
      <w:pPr>
        <w:spacing w:line="360" w:lineRule="auto"/>
        <w:ind w:firstLine="720"/>
      </w:pPr>
      <w:r>
        <w:t xml:space="preserve">The smallest stems surveyed (height </w:t>
      </w:r>
      <w:r w:rsidR="006E0CA4">
        <w:rPr>
          <w:rFonts w:cstheme="minorHAnsi"/>
        </w:rPr>
        <w:t>≥</w:t>
      </w:r>
      <w:r>
        <w:t xml:space="preserve"> 0.15</w:t>
      </w:r>
      <w:r w:rsidR="00E638E5">
        <w:t xml:space="preserve"> </w:t>
      </w:r>
      <w:r>
        <w:t>m and DBH</w:t>
      </w:r>
      <w:r w:rsidR="00E638E5">
        <w:t xml:space="preserve"> &lt; 2.54 cm) are not inventoried as individuals but tallied by species</w:t>
      </w:r>
      <w:r w:rsidR="009F5DED">
        <w:t xml:space="preserve"> and remain untagged</w:t>
      </w:r>
      <w:r w:rsidR="00E638E5">
        <w:t xml:space="preserve">. </w:t>
      </w:r>
      <w:r w:rsidR="006E0CA4">
        <w:t>Thus, the individuals which are untagged at the time of the second census are</w:t>
      </w:r>
      <w:r w:rsidR="009F5DED">
        <w:t xml:space="preserve"> </w:t>
      </w:r>
      <w:commentRangeStart w:id="22"/>
      <w:r w:rsidR="009F5DED">
        <w:t xml:space="preserve">either new recruits </w:t>
      </w:r>
      <w:r w:rsidR="0044137D">
        <w:t xml:space="preserve">(i.e., they were not present at the initial measurement) </w:t>
      </w:r>
      <w:r w:rsidR="009F5DED">
        <w:t>or were not tagged due to small size at initial measurement</w:t>
      </w:r>
      <w:r w:rsidR="0044137D">
        <w:t xml:space="preserve"> (i.e., they were present at the initial measurement)</w:t>
      </w:r>
      <w:r w:rsidR="009F5DED">
        <w:t xml:space="preserve">. </w:t>
      </w:r>
      <w:commentRangeEnd w:id="22"/>
      <w:r w:rsidR="001854A2">
        <w:rPr>
          <w:rStyle w:val="CommentReference"/>
        </w:rPr>
        <w:commentReference w:id="22"/>
      </w:r>
      <w:r w:rsidR="00CC6F71">
        <w:t xml:space="preserve"> </w:t>
      </w:r>
      <w:r w:rsidR="00A12463">
        <w:t>An embedded integral projection model, described below, allowed us to use t</w:t>
      </w:r>
      <w:r w:rsidR="00070BD5">
        <w:t xml:space="preserve">he counts of untagged individuals </w:t>
      </w:r>
      <w:r w:rsidR="0044137D">
        <w:t xml:space="preserve">&lt; 2.54 cm DBH </w:t>
      </w:r>
      <w:r w:rsidR="00070BD5">
        <w:t xml:space="preserve">on </w:t>
      </w:r>
      <w:r w:rsidR="00CC6F71">
        <w:t xml:space="preserve">each </w:t>
      </w:r>
      <w:r w:rsidR="00E81A5D">
        <w:t xml:space="preserve">plot </w:t>
      </w:r>
      <w:r w:rsidR="00A12463">
        <w:t>to</w:t>
      </w:r>
      <w:r w:rsidR="00E81A5D">
        <w:t xml:space="preserve"> estimate the parameters of the fecundity function</w:t>
      </w:r>
      <w:r w:rsidR="00A12463">
        <w:t xml:space="preserve"> despite fecundity being only indirectly observed through these counts</w:t>
      </w:r>
      <w:r w:rsidR="00E81A5D">
        <w:t>.</w:t>
      </w:r>
      <w:r w:rsidR="00877029">
        <w:t xml:space="preserve"> Only 379 plots were used to estimate the fecundity parameters, because the sampling protocol for tallying</w:t>
      </w:r>
      <w:r w:rsidR="00AD7841">
        <w:t xml:space="preserve"> seedlings</w:t>
      </w:r>
      <w:r w:rsidR="00877029">
        <w:t xml:space="preserve"> </w:t>
      </w:r>
      <w:r w:rsidR="00AD7841">
        <w:t>(</w:t>
      </w:r>
      <w:r w:rsidR="00877029">
        <w:t>individuals &lt; 2.54 cm DBH</w:t>
      </w:r>
      <w:r w:rsidR="00AD7841">
        <w:t>)</w:t>
      </w:r>
      <w:r w:rsidR="00877029">
        <w:t xml:space="preserve"> has changed over time, and we restricted analysis to plots where both initial and remeasurement observations use the latest protocol</w:t>
      </w:r>
      <w:r w:rsidR="00A12463">
        <w:t xml:space="preserve"> (FIA manual version &gt;= 2.0).</w:t>
      </w:r>
    </w:p>
    <w:p w14:paraId="7C6AB7C0" w14:textId="4BC40F14" w:rsidR="00E638E5" w:rsidRDefault="00E638E5" w:rsidP="00361DD5">
      <w:pPr>
        <w:spacing w:line="360" w:lineRule="auto"/>
        <w:ind w:firstLine="720"/>
      </w:pPr>
      <w:r>
        <w:t>In a</w:t>
      </w:r>
      <w:r w:rsidR="00361DD5">
        <w:t>ddition to the tree-level data collected, the FIA program also records information about forest conditions, including the presence of significant disturbances (e.g., fire)</w:t>
      </w:r>
      <w:r w:rsidR="00877029">
        <w:t>,</w:t>
      </w:r>
      <w:r w:rsidR="00361DD5">
        <w:t xml:space="preserve"> the ecological subsection the plot is located within</w:t>
      </w:r>
      <w:r w:rsidR="004F3A49">
        <w:t>, and the nominal GPS coordinates of the plot center.</w:t>
      </w:r>
      <w:r w:rsidR="00540755">
        <w:t xml:space="preserve"> </w:t>
      </w:r>
    </w:p>
    <w:p w14:paraId="3B8350FA" w14:textId="2EAC6FFF" w:rsidR="00540755" w:rsidRDefault="00540755" w:rsidP="00361DD5">
      <w:pPr>
        <w:spacing w:line="360" w:lineRule="auto"/>
        <w:ind w:firstLine="720"/>
      </w:pPr>
      <w:r>
        <w:t xml:space="preserve">To assess the current trajectory of sugar pine abundance across its range, we calculated the per-plot basal area and stem densities for individuals greater than 2.54 cm DBH on every plot where sugar </w:t>
      </w:r>
      <w:r>
        <w:lastRenderedPageBreak/>
        <w:t xml:space="preserve">pine was present at initial measurement or remeasurement. Across-plot </w:t>
      </w:r>
      <w:proofErr w:type="gramStart"/>
      <w:r>
        <w:t>means</w:t>
      </w:r>
      <w:proofErr w:type="gramEnd"/>
      <w:r>
        <w:t xml:space="preserve"> and standard errors were calculated and plotted for both basal area and stem density. </w:t>
      </w:r>
    </w:p>
    <w:p w14:paraId="6D2A800F" w14:textId="7291FBC8" w:rsidR="004F3A49" w:rsidRDefault="004F3A49" w:rsidP="004F3A49">
      <w:pPr>
        <w:pStyle w:val="Heading2"/>
      </w:pPr>
      <w:r>
        <w:t>Climate Data</w:t>
      </w:r>
    </w:p>
    <w:p w14:paraId="3D48E8C0" w14:textId="009F1DBC" w:rsidR="00E638E5" w:rsidRDefault="004F3A49" w:rsidP="00304447">
      <w:pPr>
        <w:spacing w:line="360" w:lineRule="auto"/>
      </w:pPr>
      <w:r>
        <w:tab/>
        <w:t xml:space="preserve">To </w:t>
      </w:r>
      <w:r w:rsidR="002739B1">
        <w:t xml:space="preserve">assess the level of drought sugar pine individuals were exposed to, </w:t>
      </w:r>
      <w:r w:rsidR="00B064C4">
        <w:t>we</w:t>
      </w:r>
      <w:r w:rsidR="009509EA">
        <w:t xml:space="preserve"> extracted monthly </w:t>
      </w:r>
      <w:commentRangeStart w:id="23"/>
      <w:r w:rsidR="009509EA">
        <w:t>climatic water deficit (CWD</w:t>
      </w:r>
      <w:commentRangeEnd w:id="23"/>
      <w:r w:rsidR="002626E1">
        <w:rPr>
          <w:rStyle w:val="CommentReference"/>
        </w:rPr>
        <w:commentReference w:id="23"/>
      </w:r>
      <w:r w:rsidR="009509EA">
        <w:t xml:space="preserve">) estimates for each nominal plot location from the </w:t>
      </w:r>
      <w:proofErr w:type="spellStart"/>
      <w:r w:rsidR="009509EA">
        <w:t>TerraClimate</w:t>
      </w:r>
      <w:proofErr w:type="spellEnd"/>
      <w:r w:rsidR="009509EA">
        <w:t xml:space="preserve"> dataset</w:t>
      </w:r>
      <w:r w:rsidR="00B064C4">
        <w:t xml:space="preserve"> </w:t>
      </w:r>
      <w:r w:rsidR="00B064C4">
        <w:fldChar w:fldCharType="begin" w:fldLock="1"/>
      </w:r>
      <w:r w:rsidR="002C19B3">
        <w:instrText xml:space="preserve">ADDIN CSL_CITATION {"citationItems":[{"id":"ITEM-1","itemData":{"DOI":"10.1038/sdata.2017.191","ISSN":"20524463","PMID":"29313841","abstract":"We present TerraClimate, a dataset of high-spatial resolution (1/24°, </w:instrText>
      </w:r>
      <w:r w:rsidR="002C19B3">
        <w:rPr>
          <w:rFonts w:ascii="Cambria Math" w:hAnsi="Cambria Math" w:cs="Cambria Math"/>
        </w:rPr>
        <w:instrText>∼</w:instrText>
      </w:r>
      <w:r w:rsidR="002C19B3">
        <w:instrText>4-km) monthly climate and climatic water balance for global terrestrial surfaces from 1958-2015. TerraClimate uses climatically aided interpolation, combining high-spatial resolution climatological normals from the WorldClim dataset, with coarser resolution time varying (i.e., monthly) data from other sources to produce a monthly dataset of precipitation, maximum and minimum temperature, wind speed, vapor pressure, and solar radiation. TerraClimate additionally produces monthly surface water balance datasets using a water balance model that incorporates reference evapotranspiration, precipitation, temperature, and interpolated plant extractable soil water capacity. These data provide important inputs for ecological and hydrological studies at global scales that require high spatial resolution and time varying climate and climatic water balance data. We validated spatiotemporal aspects of TerraClimate using annual temperature, precipitation, and calculated reference evapotranspiration from station data, as well as annual runoff from streamflow gauges. TerraClimate datasets showed noted improvement in overall mean absolute error and increased spatial realism relative to coarser resolution gridded datasets.","author":[{"dropping-particle":"","family":"Abatzoglou","given":"John T.","non-dropping-particle":"","parse-names":false,"suffix":""},{"dropping-particle":"","family":"Dobrowski","given":"Solomon Z.","non-dropping-particle":"","parse-names":false,"suffix":""},{"dropping-particle":"","family":"Parks","given":"Sean A.","non-dropping-particle":"","parse-names":false,"suffix":""},{"dropping-particle":"","family":"Hegewisch","given":"Katherine C.","non-dropping-particle":"","parse-names":false,"suffix":""}],"container-title":"Scientific Data","id":"ITEM-1","issued":{"date-parts":[["2018"]]},"page":"1-12","title":"TerraClimate, a high-resolution global dataset of monthly climate and climatic water balance from 1958-2015","type":"article-journal","volume":"5"},"uris":["http://www.mendeley.com/documents/?uuid=d0abf9a4-3770-4f16-9007-bf83109deb79"]}],"mendeley":{"formattedCitation":"(Abatzoglou &lt;i&gt;et al.&lt;/i&gt;, 2018)","plainTextFormattedCitation":"(Abatzoglou et al., 2018)","previouslyFormattedCitation":"(Abatzoglou &lt;i&gt;et al.&lt;/i&gt;, 2018)"},"properties":{"noteIndex":0},"schema":"https://github.com/citation-style-language/schema/raw/master/csl-citation.json"}</w:instrText>
      </w:r>
      <w:r w:rsidR="00B064C4">
        <w:fldChar w:fldCharType="separate"/>
      </w:r>
      <w:r w:rsidR="00EB4A84" w:rsidRPr="00EB4A84">
        <w:rPr>
          <w:noProof/>
        </w:rPr>
        <w:t xml:space="preserve">(Abatzoglou </w:t>
      </w:r>
      <w:r w:rsidR="00EB4A84" w:rsidRPr="00EB4A84">
        <w:rPr>
          <w:i/>
          <w:noProof/>
        </w:rPr>
        <w:t>et al.</w:t>
      </w:r>
      <w:r w:rsidR="00EB4A84" w:rsidRPr="00EB4A84">
        <w:rPr>
          <w:noProof/>
        </w:rPr>
        <w:t>, 2018)</w:t>
      </w:r>
      <w:r w:rsidR="00B064C4">
        <w:fldChar w:fldCharType="end"/>
      </w:r>
      <w:r w:rsidR="009509EA">
        <w:t xml:space="preserve">. </w:t>
      </w:r>
      <w:r w:rsidR="00D2760D">
        <w:t xml:space="preserve">CWD is a measure of evaporative demand not met by available water </w:t>
      </w:r>
      <w:r w:rsidR="00D2760D">
        <w:fldChar w:fldCharType="begin" w:fldLock="1"/>
      </w:r>
      <w:r w:rsidR="00A37AF9">
        <w:instrText>ADDIN CSL_CITATION {"citationItems":[{"id":"ITEM-1","itemData":{"DOI":"10.1046/j.1365-2699.1998.00233.x","ISSN":"03050270","abstract":"Correlative approaches to understanding the climatic controls of vegetation distribution have exhibited at least two important weaknesses: they have been conceptually divorced across spatial scales, and their climatic parameters have not necessarily represented aspects of climate of broad physiological importance to plants. Using examples from the literature and from the Sierra Nevada of California, I argue that two water balance parameters-actual evapotranspiration (AET) and deficit (D)-are biologically meaningful, are well correlated with the distribution of vegetation types, and exhibit these qualities over several orders of magnitude of spatial scale (continental to local). I reach four additional conclusions. (1) Some pairs of climatic parameters presently in use are functionally similar to AET and D; however, AET and D may be easier to interpret biologically. (2) Several well-known climatic parameters are biologically less meaningful or less important than AET and D, and consequently are poorer correlates of the distribution of vegetation types. Of particular interest, AET is a much better correlate of the distributions of coniferous and deciduous forests than minimum temperature. (3) The effects of evaporative demand and water availability on a site's water balance are intrinsically different. For example, the 'dry' experienced by plants on sunward slopes (high evaporative demand) is not comparable to the 'dry' experienced by plants on soils with low water-holding capacities (low water availability), and these differences are reflected in vegetation patterns. (4) Many traditional topographic moisture scalars-those that additively combine measures related to evaporative demand and water availability are not necessarily meaningful for describing site conditions as sensed by plants; the same holds for measured soil moisture. However, using AET and D in place of moisture scalars and measured soil moisture can solve these problems.","author":[{"dropping-particle":"","family":"Stephenson","given":"Nathan L.","non-dropping-particle":"","parse-names":false,"suffix":""}],"container-title":"Journal of Biogeography","id":"ITEM-1","issue":"5","issued":{"date-parts":[["1998"]]},"page":"855-870","title":"Actual evapotranspiration and deficit: Biologically meaningful correlates of vegetation distribution across spatial scales","type":"article-journal","volume":"25"},"uris":["http://www.mendeley.com/documents/?uuid=70ad6197-a8e8-4d4e-9c09-4bdc1536d577"]}],"mendeley":{"formattedCitation":"(Stephenson, 1998)","plainTextFormattedCitation":"(Stephenson, 1998)","previouslyFormattedCitation":"(Stephenson, 1998)"},"properties":{"noteIndex":0},"schema":"https://github.com/citation-style-language/schema/raw/master/csl-citation.json"}</w:instrText>
      </w:r>
      <w:r w:rsidR="00D2760D">
        <w:fldChar w:fldCharType="separate"/>
      </w:r>
      <w:r w:rsidR="00D2760D" w:rsidRPr="00D2760D">
        <w:rPr>
          <w:noProof/>
        </w:rPr>
        <w:t>(Stephenson, 1998)</w:t>
      </w:r>
      <w:r w:rsidR="00D2760D">
        <w:fldChar w:fldCharType="end"/>
      </w:r>
      <w:r w:rsidR="00D2760D">
        <w:t xml:space="preserve">. </w:t>
      </w:r>
      <w:r w:rsidR="009509EA">
        <w:t xml:space="preserve">The </w:t>
      </w:r>
      <w:proofErr w:type="spellStart"/>
      <w:r w:rsidR="009509EA">
        <w:t>TerraClimate</w:t>
      </w:r>
      <w:proofErr w:type="spellEnd"/>
      <w:r w:rsidR="009509EA">
        <w:t xml:space="preserve"> dataset provides modeled estimates of CWD at approximately 4km resolution for years 1958-2020. </w:t>
      </w:r>
      <w:r w:rsidR="003C1D45">
        <w:t xml:space="preserve">The 4 km resolution approximately matches the degree of fuzzing associated with the nominal FIA plot locations, so that fuzzing is unlikely to add substantial error in the estimation of CWD experienced at the true plot location. </w:t>
      </w:r>
      <w:r w:rsidR="009509EA">
        <w:t>Mean growing season (May-October) CWD estimates for each year between a plot’s initial measurement and its revisit provide a proxy for the droug</w:t>
      </w:r>
      <w:r w:rsidR="001A4E05">
        <w:t>ht</w:t>
      </w:r>
      <w:r w:rsidR="009509EA">
        <w:t xml:space="preserve"> stress experienced by individuals</w:t>
      </w:r>
      <w:r w:rsidR="003C1D45">
        <w:t xml:space="preserve"> between the two censuses. The annual mean growing season CWD estimates were summarized in two ways</w:t>
      </w:r>
      <w:commentRangeStart w:id="24"/>
      <w:r w:rsidR="003C1D45">
        <w:t xml:space="preserve">: First, the </w:t>
      </w:r>
      <w:r w:rsidR="00092713">
        <w:t>2</w:t>
      </w:r>
      <w:r w:rsidR="003C1D45">
        <w:t xml:space="preserve">0-year mean of the annual CWD estimates provides a measure of the usual </w:t>
      </w:r>
      <w:r w:rsidR="00092713">
        <w:t>climatic dryness characteristic of each site</w:t>
      </w:r>
      <w:r w:rsidR="003C1D45">
        <w:t xml:space="preserve">, enabling the comparison of typically-wetter vs. </w:t>
      </w:r>
      <w:proofErr w:type="gramStart"/>
      <w:r w:rsidR="003C1D45">
        <w:t>typically-drier</w:t>
      </w:r>
      <w:proofErr w:type="gramEnd"/>
      <w:r w:rsidR="003C1D45">
        <w:t xml:space="preserve"> locations across space. Second, the 90</w:t>
      </w:r>
      <w:r w:rsidR="003C1D45" w:rsidRPr="003C1D45">
        <w:rPr>
          <w:vertAlign w:val="superscript"/>
        </w:rPr>
        <w:t>th</w:t>
      </w:r>
      <w:r w:rsidR="003C1D45">
        <w:t xml:space="preserve"> percentile of the annual departures from the </w:t>
      </w:r>
      <w:r w:rsidR="00092713">
        <w:t xml:space="preserve">site-specific </w:t>
      </w:r>
      <w:r w:rsidR="003C1D45">
        <w:t xml:space="preserve">mean CWD provide a measure of the most severe drought (departure from usual climatic conditions) </w:t>
      </w:r>
      <w:r w:rsidR="00304447">
        <w:t>experienced by each plot location</w:t>
      </w:r>
      <w:r w:rsidR="00092713">
        <w:t xml:space="preserve"> between the initial </w:t>
      </w:r>
      <w:r w:rsidR="009567E4">
        <w:t>observation and the remeasurement</w:t>
      </w:r>
      <w:r w:rsidR="00304447">
        <w:t xml:space="preserve">. </w:t>
      </w:r>
      <w:commentRangeEnd w:id="24"/>
      <w:r w:rsidR="00565CA7">
        <w:rPr>
          <w:rStyle w:val="CommentReference"/>
        </w:rPr>
        <w:commentReference w:id="24"/>
      </w:r>
    </w:p>
    <w:p w14:paraId="679C1310" w14:textId="670E94E5" w:rsidR="00EE5D6E" w:rsidRDefault="00EE5D6E" w:rsidP="00E01957">
      <w:pPr>
        <w:pStyle w:val="Heading2"/>
        <w:spacing w:line="360" w:lineRule="auto"/>
      </w:pPr>
      <w:r>
        <w:t>Vital Rate</w:t>
      </w:r>
      <w:r w:rsidR="00272B03">
        <w:t>s</w:t>
      </w:r>
      <w:r>
        <w:t xml:space="preserve"> </w:t>
      </w:r>
      <w:commentRangeStart w:id="25"/>
      <w:commentRangeStart w:id="26"/>
      <w:r w:rsidR="00272B03">
        <w:t>Model</w:t>
      </w:r>
      <w:commentRangeEnd w:id="25"/>
      <w:r w:rsidR="00FE1095">
        <w:rPr>
          <w:rStyle w:val="CommentReference"/>
          <w:rFonts w:asciiTheme="minorHAnsi" w:eastAsiaTheme="minorHAnsi" w:hAnsiTheme="minorHAnsi" w:cstheme="minorBidi"/>
          <w:color w:val="auto"/>
        </w:rPr>
        <w:commentReference w:id="25"/>
      </w:r>
      <w:commentRangeEnd w:id="26"/>
      <w:r w:rsidR="00545F95">
        <w:rPr>
          <w:rStyle w:val="CommentReference"/>
          <w:rFonts w:asciiTheme="minorHAnsi" w:eastAsiaTheme="minorHAnsi" w:hAnsiTheme="minorHAnsi" w:cstheme="minorBidi"/>
          <w:color w:val="auto"/>
        </w:rPr>
        <w:commentReference w:id="26"/>
      </w:r>
    </w:p>
    <w:p w14:paraId="67C1CCE9" w14:textId="53B098FE" w:rsidR="008F329F" w:rsidRDefault="00304447" w:rsidP="00E01957">
      <w:pPr>
        <w:spacing w:line="360" w:lineRule="auto"/>
      </w:pPr>
      <w:r>
        <w:tab/>
        <w:t>The modelling approach for this study broadly follows that described in</w:t>
      </w:r>
      <w:r w:rsidR="00545F95">
        <w:t xml:space="preserve"> Shriver et al. (2021). </w:t>
      </w:r>
      <w:r w:rsidR="009B5737">
        <w:t>In short, t</w:t>
      </w:r>
      <w:r w:rsidR="00D96875">
        <w:t>his study models three vital demographic rates for sugar pine as functions of individual states and environmental covariates. The vital rates modeled are s</w:t>
      </w:r>
      <w:r w:rsidR="000B2974">
        <w:t xml:space="preserve">urvival, growth, and </w:t>
      </w:r>
      <w:r w:rsidR="009B5737">
        <w:t>fecundity</w:t>
      </w:r>
      <w:r w:rsidR="00B81610">
        <w:t xml:space="preserve">. </w:t>
      </w:r>
      <w:r w:rsidR="00CA7A32">
        <w:t xml:space="preserve">Survival and growth of individuals </w:t>
      </w:r>
      <w:r w:rsidR="008206D4">
        <w:t>are</w:t>
      </w:r>
      <w:r w:rsidR="00CA7A32">
        <w:t xml:space="preserve"> directly observed as data, but fecundity is only indirectly observed through the count of </w:t>
      </w:r>
      <w:r w:rsidR="00B66F59">
        <w:t xml:space="preserve">untagged individuals at remeasurement (which includes both new recruits and small survivors). </w:t>
      </w:r>
      <w:commentRangeStart w:id="27"/>
      <w:r w:rsidR="0090133B">
        <w:rPr>
          <w:rFonts w:eastAsiaTheme="minorEastAsia"/>
        </w:rPr>
        <w:t>The three sub models were analyzed as a single model, so that the findings of the survival and growth sub models could inform the fecundity model</w:t>
      </w:r>
      <w:commentRangeEnd w:id="27"/>
      <w:r w:rsidR="0090133B">
        <w:rPr>
          <w:rStyle w:val="CommentReference"/>
        </w:rPr>
        <w:commentReference w:id="27"/>
      </w:r>
      <w:r w:rsidR="008206D4">
        <w:t>; see below for details</w:t>
      </w:r>
      <w:r w:rsidR="008F329F">
        <w:t>.</w:t>
      </w:r>
    </w:p>
    <w:p w14:paraId="4D73A20D" w14:textId="44309F3C" w:rsidR="00D96875" w:rsidRDefault="00B81610" w:rsidP="00E92F0B">
      <w:pPr>
        <w:spacing w:line="360" w:lineRule="auto"/>
        <w:ind w:firstLine="720"/>
      </w:pPr>
      <w:r>
        <w:t xml:space="preserve">The </w:t>
      </w:r>
      <w:r w:rsidR="00BC7D86">
        <w:t>sub</w:t>
      </w:r>
      <w:r w:rsidR="00826123">
        <w:t xml:space="preserve"> </w:t>
      </w:r>
      <w:r w:rsidR="000B2974">
        <w:t>model for survival is:</w:t>
      </w:r>
      <w:r>
        <w:t xml:space="preserve"> </w:t>
      </w:r>
    </w:p>
    <w:p w14:paraId="2CA2532D" w14:textId="503E6FF4" w:rsidR="00EB1B4C" w:rsidRDefault="00EB1B4C" w:rsidP="00EB1B4C">
      <w:pPr>
        <w:pStyle w:val="Caption"/>
        <w:keepNext/>
      </w:pPr>
      <w:bookmarkStart w:id="28" w:name="_Ref93659669"/>
      <w:r>
        <w:t xml:space="preserve">Equation </w:t>
      </w:r>
      <w:r w:rsidR="007B669E">
        <w:fldChar w:fldCharType="begin"/>
      </w:r>
      <w:r w:rsidR="007B669E">
        <w:instrText xml:space="preserve"> SEQ Equation \* ARABIC </w:instrText>
      </w:r>
      <w:r w:rsidR="007B669E">
        <w:fldChar w:fldCharType="separate"/>
      </w:r>
      <w:r w:rsidR="00D73B16">
        <w:rPr>
          <w:noProof/>
        </w:rPr>
        <w:t>1</w:t>
      </w:r>
      <w:r w:rsidR="007B669E">
        <w:rPr>
          <w:noProof/>
        </w:rPr>
        <w:fldChar w:fldCharType="end"/>
      </w:r>
      <w:bookmarkEnd w:id="28"/>
    </w:p>
    <w:p w14:paraId="17EAD06B" w14:textId="11CC2B26" w:rsidR="000B2974" w:rsidRPr="000B2974" w:rsidRDefault="007B669E"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
            <m:rPr>
              <m:nor/>
            </m:rPr>
            <w:rPr>
              <w:rFonts w:ascii="Cambria Math" w:hAnsi="Cambria Math"/>
            </w:rPr>
            <m:t>Bernoulli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oMath>
      </m:oMathPara>
    </w:p>
    <w:p w14:paraId="3A410EEC" w14:textId="63DCC49B" w:rsidR="00EB1B4C" w:rsidRDefault="00EB1B4C" w:rsidP="00EB1B4C">
      <w:pPr>
        <w:pStyle w:val="Caption"/>
        <w:keepNext/>
      </w:pPr>
      <w:bookmarkStart w:id="29" w:name="_Ref93579342"/>
      <w:r>
        <w:lastRenderedPageBreak/>
        <w:t xml:space="preserve">Equation </w:t>
      </w:r>
      <w:r w:rsidR="007B669E">
        <w:fldChar w:fldCharType="begin"/>
      </w:r>
      <w:r w:rsidR="007B669E">
        <w:instrText xml:space="preserve"> SEQ Equation \* ARABIC </w:instrText>
      </w:r>
      <w:r w:rsidR="007B669E">
        <w:fldChar w:fldCharType="separate"/>
      </w:r>
      <w:r w:rsidR="00D73B16">
        <w:rPr>
          <w:noProof/>
        </w:rPr>
        <w:t>2</w:t>
      </w:r>
      <w:r w:rsidR="007B669E">
        <w:rPr>
          <w:noProof/>
        </w:rPr>
        <w:fldChar w:fldCharType="end"/>
      </w:r>
      <w:bookmarkEnd w:id="29"/>
    </w:p>
    <w:p w14:paraId="33C7DBC4" w14:textId="24BA2673" w:rsidR="000B2974" w:rsidRPr="00A06CE3" w:rsidRDefault="000B2974" w:rsidP="00E01957">
      <w:pPr>
        <w:spacing w:line="360" w:lineRule="auto"/>
        <w:rPr>
          <w:rFonts w:eastAsiaTheme="minorEastAsia"/>
        </w:rPr>
      </w:pPr>
      <m:oMathPara>
        <m:oMath>
          <m:r>
            <m:rPr>
              <m:nor/>
            </m:rPr>
            <w:rPr>
              <w:rFonts w:ascii="Cambria Math" w:hAnsi="Cambria Math"/>
            </w:rPr>
            <m:t>logit(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(s)k</m:t>
              </m:r>
            </m:sub>
          </m:sSub>
        </m:oMath>
      </m:oMathPara>
    </w:p>
    <w:p w14:paraId="3425D74A" w14:textId="786A00E8" w:rsidR="00A06CE3" w:rsidRDefault="00A06CE3" w:rsidP="00E01957">
      <w:pPr>
        <w:spacing w:line="360" w:lineRule="auto"/>
        <w:rPr>
          <w:rFonts w:eastAsiaTheme="minorEastAsia"/>
        </w:rPr>
      </w:pPr>
      <w:r>
        <w:rPr>
          <w:rFonts w:eastAsiaTheme="minorEastAsia"/>
        </w:rPr>
        <w:tab/>
      </w:r>
      <w:r w:rsidR="00CA6E7F">
        <w:rPr>
          <w:rFonts w:eastAsiaTheme="minorEastAsia"/>
        </w:rPr>
        <w:t>w</w:t>
      </w: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is an integer indicating the live/dead status (1 if live, 0 if dead) of individual </w:t>
      </w:r>
      <m:oMath>
        <m:r>
          <w:rPr>
            <w:rFonts w:ascii="Cambria Math" w:eastAsiaTheme="minorEastAsia" w:hAnsi="Cambria Math"/>
          </w:rPr>
          <m:t>i</m:t>
        </m:r>
      </m:oMath>
      <w:r>
        <w:rPr>
          <w:rFonts w:eastAsiaTheme="minorEastAsia"/>
        </w:rPr>
        <w:t xml:space="preserve"> at the revisit measurement, approximately 10 years after initial measurement)</w:t>
      </w:r>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BC7D86">
        <w:rPr>
          <w:rFonts w:eastAsiaTheme="minorEastAsia"/>
        </w:rPr>
        <w:t xml:space="preserve"> is the probability of survival from</w:t>
      </w:r>
      <w:r w:rsidR="008206D4">
        <w:rPr>
          <w:rFonts w:eastAsiaTheme="minorEastAsia"/>
        </w:rPr>
        <w:t xml:space="preserve"> initial measurement to remeasurement</w:t>
      </w:r>
      <w:r w:rsidR="00BC7D86">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sidR="00BC7D86">
        <w:rPr>
          <w:rFonts w:eastAsiaTheme="minorEastAsia"/>
        </w:rPr>
        <w:t xml:space="preserve"> is a </w:t>
      </w:r>
      <w:r w:rsidR="004F6CE4">
        <w:rPr>
          <w:rFonts w:eastAsiaTheme="minorEastAsia"/>
        </w:rPr>
        <w:t xml:space="preserve">row </w:t>
      </w:r>
      <w:r w:rsidR="00BC7D86">
        <w:rPr>
          <w:rFonts w:eastAsiaTheme="minorEastAsia"/>
        </w:rPr>
        <w:t xml:space="preserve">vector of covariates (described below) for individual </w:t>
      </w:r>
      <m:oMath>
        <m:r>
          <w:rPr>
            <w:rFonts w:ascii="Cambria Math" w:eastAsiaTheme="minorEastAsia" w:hAnsi="Cambria Math"/>
          </w:rPr>
          <m:t>i</m:t>
        </m:r>
      </m:oMath>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oMath>
      <w:r w:rsidR="00BC7D86">
        <w:rPr>
          <w:rFonts w:eastAsiaTheme="minorEastAsia"/>
        </w:rPr>
        <w:t xml:space="preserve"> is a column vector of fixed effect coefficients for the survival </w:t>
      </w:r>
      <w:r w:rsidR="00826123">
        <w:rPr>
          <w:rFonts w:eastAsiaTheme="minorEastAsia"/>
        </w:rPr>
        <w:t xml:space="preserve">sub model,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sub>
        </m:sSub>
      </m:oMath>
      <w:r w:rsidR="00826123">
        <w:rPr>
          <w:rFonts w:eastAsiaTheme="minorEastAsia"/>
        </w:rPr>
        <w:t xml:space="preserve"> </w:t>
      </w:r>
      <w:r w:rsidR="00296C3D">
        <w:rPr>
          <w:rFonts w:eastAsiaTheme="minorEastAsia"/>
        </w:rPr>
        <w:t xml:space="preserve">is </w:t>
      </w:r>
      <w:r w:rsidR="00826123">
        <w:rPr>
          <w:rFonts w:eastAsiaTheme="minorEastAsia"/>
        </w:rPr>
        <w:t xml:space="preserve">a vector of plot-level random effects indexed by the plot </w:t>
      </w:r>
      <m:oMath>
        <m:r>
          <w:rPr>
            <w:rFonts w:ascii="Cambria Math" w:eastAsiaTheme="minorEastAsia" w:hAnsi="Cambria Math"/>
          </w:rPr>
          <m:t>j</m:t>
        </m:r>
      </m:oMath>
      <w:r w:rsidR="00826123">
        <w:rPr>
          <w:rFonts w:eastAsiaTheme="minorEastAsia"/>
        </w:rPr>
        <w:t xml:space="preserve"> for individual </w:t>
      </w:r>
      <m:oMath>
        <m:r>
          <w:rPr>
            <w:rFonts w:ascii="Cambria Math" w:eastAsiaTheme="minorEastAsia" w:hAnsi="Cambria Math"/>
          </w:rPr>
          <m:t>i</m:t>
        </m:r>
      </m:oMath>
      <w:r w:rsidR="00826123">
        <w:rPr>
          <w:rFonts w:eastAsiaTheme="minorEastAsia"/>
        </w:rPr>
        <w:t xml:space="preserve"> </w:t>
      </w:r>
      <w:r w:rsidR="00296C3D">
        <w:rPr>
          <w:rFonts w:eastAsiaTheme="minorEastAsia"/>
        </w:rPr>
        <w:t xml:space="preserve">with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296C3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m:t>
            </m:r>
          </m:sub>
        </m:sSub>
      </m:oMath>
      <w:r w:rsidR="00296C3D">
        <w:rPr>
          <w:rFonts w:eastAsiaTheme="minorEastAsia"/>
        </w:rPr>
        <w:t xml:space="preserve"> is a </w:t>
      </w:r>
      <w:commentRangeStart w:id="30"/>
      <w:r w:rsidR="00296C3D">
        <w:rPr>
          <w:rFonts w:eastAsiaTheme="minorEastAsia"/>
        </w:rPr>
        <w:t xml:space="preserve">vector of ecoregion subsection-level random effects indexed by the ecoregion subsection </w:t>
      </w:r>
      <m:oMath>
        <m:r>
          <w:rPr>
            <w:rFonts w:ascii="Cambria Math" w:eastAsiaTheme="minorEastAsia" w:hAnsi="Cambria Math"/>
          </w:rPr>
          <m:t>k</m:t>
        </m:r>
      </m:oMath>
      <w:r w:rsidR="00296C3D">
        <w:rPr>
          <w:rFonts w:eastAsiaTheme="minorEastAsia"/>
        </w:rPr>
        <w:t xml:space="preserve"> for </w:t>
      </w:r>
      <w:commentRangeEnd w:id="30"/>
      <w:r w:rsidR="00A22F02">
        <w:rPr>
          <w:rStyle w:val="CommentReference"/>
        </w:rPr>
        <w:commentReference w:id="30"/>
      </w:r>
      <w:r w:rsidR="00296C3D">
        <w:rPr>
          <w:rFonts w:eastAsiaTheme="minorEastAsia"/>
        </w:rPr>
        <w:t xml:space="preserve">individual </w:t>
      </w:r>
      <m:oMath>
        <m:r>
          <w:rPr>
            <w:rFonts w:ascii="Cambria Math" w:eastAsiaTheme="minorEastAsia" w:hAnsi="Cambria Math"/>
          </w:rPr>
          <m:t>i</m:t>
        </m:r>
      </m:oMath>
      <w:r w:rsidR="009A3AF4">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δ</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9A3AF4">
        <w:rPr>
          <w:rFonts w:eastAsiaTheme="minorEastAsia"/>
        </w:rPr>
        <w:t xml:space="preserve">. </w:t>
      </w:r>
    </w:p>
    <w:p w14:paraId="7E6E8045" w14:textId="1F529543" w:rsidR="009A3AF4" w:rsidRDefault="009A3AF4" w:rsidP="00E01957">
      <w:pPr>
        <w:spacing w:line="360" w:lineRule="auto"/>
        <w:rPr>
          <w:rFonts w:eastAsiaTheme="minorEastAsia"/>
        </w:rPr>
      </w:pPr>
      <w:r>
        <w:rPr>
          <w:rFonts w:eastAsiaTheme="minorEastAsia"/>
        </w:rPr>
        <w:tab/>
        <w:t xml:space="preserve">The fixed effects covariates for each individual </w:t>
      </w:r>
      <m:oMath>
        <m:r>
          <w:rPr>
            <w:rFonts w:ascii="Cambria Math" w:eastAsiaTheme="minorEastAsia" w:hAnsi="Cambria Math"/>
          </w:rPr>
          <m:t>i</m:t>
        </m:r>
      </m:oMath>
      <w:r>
        <w:rPr>
          <w:rFonts w:eastAsiaTheme="minorEastAsia"/>
        </w:rPr>
        <w:t xml:space="preserve"> in the </w:t>
      </w:r>
      <w:r w:rsidR="006E26D2">
        <w:rPr>
          <w:rFonts w:eastAsiaTheme="minorEastAsia"/>
        </w:rPr>
        <w:t xml:space="preserve">row </w:t>
      </w:r>
      <w:r>
        <w:rPr>
          <w:rFonts w:eastAsiaTheme="minorEastAsia"/>
        </w:rPr>
        <w:t xml:space="preserve">vector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are: </w:t>
      </w:r>
      <w:r w:rsidR="0030686A">
        <w:rPr>
          <w:rFonts w:eastAsiaTheme="minorEastAsia"/>
        </w:rPr>
        <w:t>T</w:t>
      </w:r>
      <w:r>
        <w:rPr>
          <w:rFonts w:eastAsiaTheme="minorEastAsia"/>
        </w:rPr>
        <w:t>he intercept</w:t>
      </w:r>
      <w:r w:rsidR="00C34525">
        <w:rPr>
          <w:rFonts w:eastAsiaTheme="minorEastAsia"/>
        </w:rPr>
        <w:t xml:space="preserve"> (</w:t>
      </w:r>
      <m:oMath>
        <m:r>
          <w:rPr>
            <w:rFonts w:ascii="Cambria Math" w:eastAsiaTheme="minorEastAsia" w:hAnsi="Cambria Math"/>
          </w:rPr>
          <m:t>INTERCEPT</m:t>
        </m:r>
      </m:oMath>
      <w:r w:rsidR="00C34525">
        <w:rPr>
          <w:rFonts w:eastAsiaTheme="minorEastAsia"/>
        </w:rPr>
        <w:t>)</w:t>
      </w:r>
      <w:r w:rsidR="0030686A">
        <w:rPr>
          <w:rFonts w:eastAsiaTheme="minorEastAsia"/>
        </w:rPr>
        <w:t>,</w:t>
      </w:r>
      <w:r>
        <w:rPr>
          <w:rFonts w:eastAsiaTheme="minorEastAsia"/>
        </w:rPr>
        <w:t xml:space="preserve"> the DBH in meters at</w:t>
      </w:r>
      <w:r w:rsidR="006E26D2">
        <w:rPr>
          <w:rFonts w:eastAsiaTheme="minorEastAsia"/>
        </w:rPr>
        <w:t xml:space="preserve"> initial measurement</w:t>
      </w:r>
      <w:r w:rsidR="0030686A">
        <w:rPr>
          <w:rFonts w:eastAsiaTheme="minorEastAsia"/>
        </w:rPr>
        <w:t xml:space="preserve"> (</w:t>
      </w:r>
      <m:oMath>
        <m:r>
          <w:rPr>
            <w:rFonts w:ascii="Cambria Math" w:eastAsiaTheme="minorEastAsia" w:hAnsi="Cambria Math"/>
          </w:rPr>
          <m:t>DBH</m:t>
        </m:r>
      </m:oMath>
      <w:r w:rsidR="00C34525">
        <w:rPr>
          <w:rFonts w:eastAsiaTheme="minorEastAsia"/>
        </w:rPr>
        <w:t>)</w:t>
      </w:r>
      <w:r>
        <w:rPr>
          <w:rFonts w:eastAsiaTheme="minorEastAsia"/>
        </w:rPr>
        <w:t>,</w:t>
      </w:r>
      <w:r w:rsidR="006E26D2">
        <w:rPr>
          <w:rFonts w:eastAsiaTheme="minorEastAsia"/>
        </w:rPr>
        <w:t xml:space="preserve"> the squared DBH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oMath>
      <w:r w:rsidR="006E26D2">
        <w:rPr>
          <w:rFonts w:eastAsiaTheme="minorEastAsia"/>
        </w:rPr>
        <w:t>)</w:t>
      </w:r>
      <w:r w:rsidR="00171F10">
        <w:rPr>
          <w:rFonts w:eastAsiaTheme="minorEastAsia"/>
        </w:rPr>
        <w:t>,</w:t>
      </w:r>
      <w:r>
        <w:rPr>
          <w:rFonts w:eastAsiaTheme="minorEastAsia"/>
        </w:rPr>
        <w:t xml:space="preserve"> </w:t>
      </w:r>
      <w:r w:rsidR="0030686A">
        <w:rPr>
          <w:rFonts w:eastAsiaTheme="minorEastAsia"/>
        </w:rPr>
        <w:t xml:space="preserve">a binary flag indicating whether the individual’s plot experienced a fire at least </w:t>
      </w:r>
      <w:r w:rsidR="008F0ED0">
        <w:rPr>
          <w:rFonts w:eastAsiaTheme="minorEastAsia"/>
        </w:rPr>
        <w:t>0.404 ha</w:t>
      </w:r>
      <w:r w:rsidR="0030686A">
        <w:rPr>
          <w:rFonts w:eastAsiaTheme="minorEastAsia"/>
        </w:rPr>
        <w:t xml:space="preserve"> in size that killed or damaged at least 25% of trees</w:t>
      </w:r>
      <w:r w:rsidR="00C34525">
        <w:rPr>
          <w:rFonts w:eastAsiaTheme="minorEastAsia"/>
        </w:rPr>
        <w:t xml:space="preserve"> </w:t>
      </w:r>
      <w:r w:rsidR="006E26D2">
        <w:rPr>
          <w:rFonts w:eastAsiaTheme="minorEastAsia"/>
        </w:rPr>
        <w:t xml:space="preserve">between initial measurement and remeasurement </w:t>
      </w:r>
      <w:r w:rsidR="00C34525">
        <w:rPr>
          <w:rFonts w:eastAsiaTheme="minorEastAsia"/>
        </w:rPr>
        <w:t>(</w:t>
      </w:r>
      <m:oMath>
        <m:r>
          <w:rPr>
            <w:rFonts w:ascii="Cambria Math" w:eastAsiaTheme="minorEastAsia" w:hAnsi="Cambria Math"/>
          </w:rPr>
          <m:t>FIRE</m:t>
        </m:r>
      </m:oMath>
      <w:r w:rsidR="00C34525">
        <w:rPr>
          <w:rFonts w:eastAsiaTheme="minorEastAsia"/>
        </w:rPr>
        <w:t>)</w:t>
      </w:r>
      <w:r w:rsidR="0030686A">
        <w:rPr>
          <w:rFonts w:eastAsiaTheme="minorEastAsia"/>
        </w:rPr>
        <w:t xml:space="preserve">, a binary flag indicating whether any trees in the individual’s plot displayed signs of white pine blister rust infection at </w:t>
      </w:r>
      <w:r w:rsidR="006E26D2">
        <w:rPr>
          <w:rFonts w:eastAsiaTheme="minorEastAsia"/>
        </w:rPr>
        <w:t xml:space="preserve">initial measurement </w:t>
      </w:r>
      <w:r w:rsidR="00C34525">
        <w:rPr>
          <w:rFonts w:eastAsiaTheme="minorEastAsia"/>
        </w:rPr>
        <w:t>(</w:t>
      </w:r>
      <m:oMath>
        <m:r>
          <w:rPr>
            <w:rFonts w:ascii="Cambria Math" w:eastAsiaTheme="minorEastAsia" w:hAnsi="Cambria Math"/>
          </w:rPr>
          <m:t>WPBR</m:t>
        </m:r>
      </m:oMath>
      <w:r w:rsidR="00C34525">
        <w:rPr>
          <w:rFonts w:eastAsiaTheme="minorEastAsia"/>
        </w:rPr>
        <w:t>)</w:t>
      </w:r>
      <w:r w:rsidR="0030686A">
        <w:rPr>
          <w:rFonts w:eastAsiaTheme="minorEastAsia"/>
        </w:rPr>
        <w:t xml:space="preserve">, </w:t>
      </w:r>
      <w:r w:rsidR="00C34525">
        <w:rPr>
          <w:rFonts w:eastAsiaTheme="minorEastAsia"/>
        </w:rPr>
        <w:t xml:space="preserve">the plot-level basal area at </w:t>
      </w:r>
      <w:r w:rsidR="006E26D2">
        <w:rPr>
          <w:rFonts w:eastAsiaTheme="minorEastAsia"/>
        </w:rPr>
        <w:t>initial measurement</w:t>
      </w:r>
      <w:r w:rsidR="00C34525">
        <w:rPr>
          <w:rFonts w:eastAsiaTheme="minorEastAsia"/>
        </w:rPr>
        <w:t xml:space="preserve"> (</w:t>
      </w:r>
      <m:oMath>
        <m:r>
          <w:rPr>
            <w:rFonts w:ascii="Cambria Math" w:eastAsiaTheme="minorEastAsia" w:hAnsi="Cambria Math"/>
          </w:rPr>
          <m:t>BA</m:t>
        </m:r>
      </m:oMath>
      <w:r w:rsidR="00C34525">
        <w:rPr>
          <w:rFonts w:eastAsiaTheme="minorEastAsia"/>
        </w:rPr>
        <w:t xml:space="preserve">), </w:t>
      </w:r>
      <w:r w:rsidR="00B95D6C">
        <w:rPr>
          <w:rFonts w:eastAsiaTheme="minorEastAsia"/>
        </w:rPr>
        <w:t>the plot-level 90</w:t>
      </w:r>
      <w:r w:rsidR="00B95D6C" w:rsidRPr="00B95D6C">
        <w:rPr>
          <w:rFonts w:eastAsiaTheme="minorEastAsia"/>
          <w:vertAlign w:val="superscript"/>
        </w:rPr>
        <w:t>th</w:t>
      </w:r>
      <w:r w:rsidR="00B95D6C">
        <w:rPr>
          <w:rFonts w:eastAsiaTheme="minorEastAsia"/>
        </w:rPr>
        <w:t xml:space="preserve"> percentile </w:t>
      </w:r>
      <w:r w:rsidR="00092713">
        <w:rPr>
          <w:rFonts w:eastAsiaTheme="minorEastAsia"/>
        </w:rPr>
        <w:t xml:space="preserve">of growing season </w:t>
      </w:r>
      <w:r w:rsidR="00B95D6C">
        <w:rPr>
          <w:rFonts w:eastAsiaTheme="minorEastAsia"/>
        </w:rPr>
        <w:t>departure from mean climatic water deficit (</w:t>
      </w:r>
      <m:oMath>
        <m:r>
          <w:rPr>
            <w:rFonts w:ascii="Cambria Math" w:eastAsiaTheme="minorEastAsia" w:hAnsi="Cambria Math"/>
          </w:rPr>
          <m:t>DROUGHT</m:t>
        </m:r>
      </m:oMath>
      <w:r w:rsidR="00B95D6C">
        <w:rPr>
          <w:rFonts w:eastAsiaTheme="minorEastAsia"/>
        </w:rPr>
        <w:t>)</w:t>
      </w:r>
      <w:r w:rsidR="006E26D2">
        <w:rPr>
          <w:rFonts w:eastAsiaTheme="minorEastAsia"/>
        </w:rPr>
        <w:t xml:space="preserve"> between initial measurement and remeasurement</w:t>
      </w:r>
      <w:r w:rsidR="00B95D6C">
        <w:rPr>
          <w:rFonts w:eastAsiaTheme="minorEastAsia"/>
        </w:rPr>
        <w:t xml:space="preserve">, the plot-level </w:t>
      </w:r>
      <w:r w:rsidR="00092713">
        <w:rPr>
          <w:rFonts w:eastAsiaTheme="minorEastAsia"/>
        </w:rPr>
        <w:t xml:space="preserve">growing season </w:t>
      </w:r>
      <w:r w:rsidR="00B95D6C">
        <w:rPr>
          <w:rFonts w:eastAsiaTheme="minorEastAsia"/>
        </w:rPr>
        <w:t xml:space="preserve">mean climatic water deficit </w:t>
      </w:r>
      <w:r w:rsidR="00092713">
        <w:rPr>
          <w:rFonts w:eastAsiaTheme="minorEastAsia"/>
        </w:rPr>
        <w:t xml:space="preserve">over the period 2000-2020 </w:t>
      </w:r>
      <w:r w:rsidR="00B95D6C">
        <w:rPr>
          <w:rFonts w:eastAsiaTheme="minorEastAsia"/>
        </w:rPr>
        <w:t>(</w:t>
      </w:r>
      <m:oMath>
        <m:r>
          <w:rPr>
            <w:rFonts w:ascii="Cambria Math" w:eastAsiaTheme="minorEastAsia" w:hAnsi="Cambria Math"/>
          </w:rPr>
          <m:t>DRYNESS</m:t>
        </m:r>
      </m:oMath>
      <w:r w:rsidR="00B95D6C">
        <w:rPr>
          <w:rFonts w:eastAsiaTheme="minorEastAsia"/>
        </w:rPr>
        <w:t xml:space="preserve">), and interactions between </w:t>
      </w:r>
      <m:oMath>
        <m:r>
          <w:rPr>
            <w:rFonts w:ascii="Cambria Math" w:eastAsiaTheme="minorEastAsia" w:hAnsi="Cambria Math"/>
          </w:rPr>
          <m:t>DBH</m:t>
        </m:r>
      </m:oMath>
      <w:r w:rsidR="00B95D6C">
        <w:rPr>
          <w:rFonts w:eastAsiaTheme="minorEastAsia"/>
        </w:rPr>
        <w:t xml:space="preserve"> </w:t>
      </w:r>
      <w:r w:rsidR="00334F13">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oMath>
      <w:r w:rsidR="00334F13">
        <w:rPr>
          <w:rFonts w:eastAsiaTheme="minorEastAsia"/>
        </w:rPr>
        <w:t xml:space="preserve"> </w:t>
      </w:r>
      <w:r w:rsidR="00B95D6C">
        <w:rPr>
          <w:rFonts w:eastAsiaTheme="minorEastAsia"/>
        </w:rPr>
        <w:t>and all other variables (</w:t>
      </w:r>
      <m:oMath>
        <m:r>
          <w:rPr>
            <w:rFonts w:ascii="Cambria Math" w:eastAsiaTheme="minorEastAsia" w:hAnsi="Cambria Math"/>
          </w:rPr>
          <m:t>DBH×FIRE</m:t>
        </m:r>
      </m:oMath>
      <w:r w:rsidR="00B95D6C">
        <w:rPr>
          <w:rFonts w:eastAsiaTheme="minorEastAsia"/>
        </w:rPr>
        <w:t>,</w:t>
      </w:r>
      <w:r w:rsidR="00334F13">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×FIRE</m:t>
        </m:r>
      </m:oMath>
      <w:r w:rsidR="00334F13">
        <w:rPr>
          <w:rFonts w:eastAsiaTheme="minorEastAsia"/>
        </w:rPr>
        <w:t xml:space="preserve">, </w:t>
      </w:r>
      <m:oMath>
        <m:r>
          <w:rPr>
            <w:rFonts w:ascii="Cambria Math" w:eastAsiaTheme="minorEastAsia" w:hAnsi="Cambria Math"/>
          </w:rPr>
          <m:t>DBH×WPBR</m:t>
        </m:r>
      </m:oMath>
      <w:r w:rsidR="00B95D6C">
        <w:rPr>
          <w:rFonts w:eastAsiaTheme="minorEastAsia"/>
        </w:rPr>
        <w:t>,</w:t>
      </w:r>
      <w:r w:rsidR="00334F13" w:rsidRPr="00334F13">
        <w:rPr>
          <w:rFonts w:ascii="Cambria Math" w:eastAsiaTheme="minorEastAsia" w:hAnsi="Cambria Math"/>
          <w:i/>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×WPBR</m:t>
        </m:r>
      </m:oMath>
      <w:r w:rsidR="00334F13">
        <w:rPr>
          <w:rFonts w:ascii="Cambria Math" w:eastAsiaTheme="minorEastAsia" w:hAnsi="Cambria Math"/>
          <w:i/>
        </w:rPr>
        <w:t>,</w:t>
      </w:r>
      <w:r w:rsidR="00B95D6C">
        <w:rPr>
          <w:rFonts w:eastAsiaTheme="minorEastAsia"/>
        </w:rPr>
        <w:t xml:space="preserve"> </w:t>
      </w:r>
      <m:oMath>
        <m:r>
          <w:rPr>
            <w:rFonts w:ascii="Cambria Math" w:eastAsiaTheme="minorEastAsia" w:hAnsi="Cambria Math"/>
          </w:rPr>
          <m:t>DBH×BA</m:t>
        </m:r>
      </m:oMath>
      <w:r w:rsidR="00B95D6C">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×BA</m:t>
        </m:r>
      </m:oMath>
      <w:r w:rsidR="00334F13">
        <w:rPr>
          <w:rFonts w:eastAsiaTheme="minorEastAsia"/>
        </w:rPr>
        <w:t xml:space="preserve">, </w:t>
      </w:r>
      <m:oMath>
        <m:r>
          <w:rPr>
            <w:rFonts w:ascii="Cambria Math" w:eastAsiaTheme="minorEastAsia" w:hAnsi="Cambria Math"/>
          </w:rPr>
          <m:t>DBH×DROUGHT</m:t>
        </m:r>
      </m:oMath>
      <w:r w:rsidR="00B95D6C">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×DROUGHT</m:t>
        </m:r>
      </m:oMath>
      <w:r w:rsidR="00334F13">
        <w:rPr>
          <w:rFonts w:eastAsiaTheme="minorEastAsia"/>
        </w:rPr>
        <w:t xml:space="preserve">, </w:t>
      </w:r>
      <m:oMath>
        <m:r>
          <w:rPr>
            <w:rFonts w:ascii="Cambria Math" w:eastAsiaTheme="minorEastAsia" w:hAnsi="Cambria Math"/>
          </w:rPr>
          <m:t>DBH×DRYNESS</m:t>
        </m:r>
      </m:oMath>
      <w:r w:rsidR="00334F13">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×DRYNESS</m:t>
        </m:r>
      </m:oMath>
      <w:r w:rsidR="00B95D6C">
        <w:rPr>
          <w:rFonts w:eastAsiaTheme="minorEastAsia"/>
        </w:rPr>
        <w:t>)</w:t>
      </w:r>
      <w:r>
        <w:rPr>
          <w:rFonts w:eastAsiaTheme="minorEastAsia"/>
        </w:rPr>
        <w:t xml:space="preserve">. </w:t>
      </w:r>
      <w:r w:rsidR="00C34525">
        <w:rPr>
          <w:rFonts w:eastAsiaTheme="minorEastAsia"/>
        </w:rPr>
        <w:t xml:space="preserve">Continuous variables other than </w:t>
      </w:r>
      <m:oMath>
        <m:r>
          <w:rPr>
            <w:rFonts w:ascii="Cambria Math" w:eastAsiaTheme="minorEastAsia" w:hAnsi="Cambria Math"/>
          </w:rPr>
          <m:t>DBH</m:t>
        </m:r>
      </m:oMath>
      <w:r w:rsidR="00C34525">
        <w:rPr>
          <w:rFonts w:eastAsiaTheme="minorEastAsia"/>
        </w:rPr>
        <w:t xml:space="preserve"> </w:t>
      </w:r>
      <w:r w:rsidR="00334F13">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oMath>
      <w:r w:rsidR="00334F13">
        <w:rPr>
          <w:rFonts w:eastAsiaTheme="minorEastAsia"/>
        </w:rPr>
        <w:t xml:space="preserve"> (</w:t>
      </w:r>
      <m:oMath>
        <m:r>
          <w:rPr>
            <w:rFonts w:ascii="Cambria Math" w:eastAsiaTheme="minorEastAsia" w:hAnsi="Cambria Math"/>
          </w:rPr>
          <m:t>BA</m:t>
        </m:r>
      </m:oMath>
      <w:r w:rsidR="00C34525">
        <w:rPr>
          <w:rFonts w:eastAsiaTheme="minorEastAsia"/>
        </w:rPr>
        <w:t xml:space="preserve">, </w:t>
      </w:r>
      <m:oMath>
        <m:r>
          <w:rPr>
            <w:rFonts w:ascii="Cambria Math" w:eastAsiaTheme="minorEastAsia" w:hAnsi="Cambria Math"/>
          </w:rPr>
          <m:t>DROUGHT</m:t>
        </m:r>
      </m:oMath>
      <w:r w:rsidR="00C34525">
        <w:rPr>
          <w:rFonts w:eastAsiaTheme="minorEastAsia"/>
        </w:rPr>
        <w:t xml:space="preserve">, and </w:t>
      </w:r>
      <m:oMath>
        <m:r>
          <w:rPr>
            <w:rFonts w:ascii="Cambria Math" w:eastAsiaTheme="minorEastAsia" w:hAnsi="Cambria Math"/>
          </w:rPr>
          <m:t>DRYNESS</m:t>
        </m:r>
      </m:oMath>
      <w:r w:rsidR="00C34525">
        <w:rPr>
          <w:rFonts w:eastAsiaTheme="minorEastAsia"/>
        </w:rPr>
        <w:t xml:space="preserve">) were centered and scaled to have 0 mean and unit variance across all subplots. </w:t>
      </w:r>
    </w:p>
    <w:p w14:paraId="43DF7B36" w14:textId="03B57958" w:rsidR="00F30DE4" w:rsidRDefault="00F30DE4" w:rsidP="00E01957">
      <w:pPr>
        <w:spacing w:line="360" w:lineRule="auto"/>
        <w:rPr>
          <w:rFonts w:eastAsiaTheme="minorEastAsia"/>
        </w:rPr>
      </w:pPr>
      <w:r>
        <w:rPr>
          <w:rFonts w:eastAsiaTheme="minorEastAsia"/>
        </w:rPr>
        <w:tab/>
        <w:t>The sub model for growth is:</w:t>
      </w:r>
    </w:p>
    <w:p w14:paraId="581A7A07" w14:textId="50364C58" w:rsidR="00EB1B4C" w:rsidRDefault="00EB1B4C" w:rsidP="00EB1B4C">
      <w:pPr>
        <w:pStyle w:val="Caption"/>
        <w:keepNext/>
      </w:pPr>
      <w:bookmarkStart w:id="31" w:name="_Ref104375706"/>
      <w:r>
        <w:t xml:space="preserve">Equation </w:t>
      </w:r>
      <w:r w:rsidR="007B669E">
        <w:fldChar w:fldCharType="begin"/>
      </w:r>
      <w:r w:rsidR="007B669E">
        <w:instrText xml:space="preserve"> SEQ Equation \* ARABIC </w:instrText>
      </w:r>
      <w:r w:rsidR="007B669E">
        <w:fldChar w:fldCharType="separate"/>
      </w:r>
      <w:r w:rsidR="00D73B16">
        <w:rPr>
          <w:noProof/>
        </w:rPr>
        <w:t>3</w:t>
      </w:r>
      <w:r w:rsidR="007B669E">
        <w:rPr>
          <w:noProof/>
        </w:rPr>
        <w:fldChar w:fldCharType="end"/>
      </w:r>
      <w:bookmarkEnd w:id="31"/>
    </w:p>
    <w:p w14:paraId="63FCE82D" w14:textId="0CD36EF6" w:rsidR="00F30DE4" w:rsidRPr="00880C94" w:rsidRDefault="007B669E" w:rsidP="00E01957">
      <w:pPr>
        <w:spacing w:line="360" w:lineRule="auto"/>
        <w:rPr>
          <w:rFonts w:eastAsiaTheme="minorEastAsia"/>
          <w:iCs/>
        </w:rP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r>
            <m:rPr>
              <m:nor/>
            </m:rPr>
            <w:rPr>
              <w:rFonts w:ascii="Cambria Math" w:hAnsi="Cambria Math"/>
            </w:rPr>
            <m:t>Normal</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e>
          </m:d>
          <m:r>
            <m:rPr>
              <m:sty m:val="p"/>
            </m:rPr>
            <w:rPr>
              <w:rFonts w:ascii="Cambria Math" w:hAnsi="Cambria Math"/>
            </w:rPr>
            <m:t>T[0,]</m:t>
          </m:r>
        </m:oMath>
      </m:oMathPara>
    </w:p>
    <w:p w14:paraId="755692FA" w14:textId="362F5ED2" w:rsidR="00EB1B4C" w:rsidRDefault="00EB1B4C" w:rsidP="00EB1B4C">
      <w:pPr>
        <w:pStyle w:val="Caption"/>
        <w:keepNext/>
      </w:pPr>
      <w:bookmarkStart w:id="32" w:name="_Ref93578923"/>
      <w:r>
        <w:t xml:space="preserve">Equation </w:t>
      </w:r>
      <w:r w:rsidR="007B669E">
        <w:fldChar w:fldCharType="begin"/>
      </w:r>
      <w:r w:rsidR="007B669E">
        <w:instrText xml:space="preserve"> SEQ Equation \* ARABIC </w:instrText>
      </w:r>
      <w:r w:rsidR="007B669E">
        <w:fldChar w:fldCharType="separate"/>
      </w:r>
      <w:r w:rsidR="00D73B16">
        <w:rPr>
          <w:noProof/>
        </w:rPr>
        <w:t>4</w:t>
      </w:r>
      <w:r w:rsidR="007B669E">
        <w:rPr>
          <w:noProof/>
        </w:rPr>
        <w:fldChar w:fldCharType="end"/>
      </w:r>
      <w:bookmarkEnd w:id="32"/>
    </w:p>
    <w:p w14:paraId="29CA2B75" w14:textId="0F228DF8" w:rsidR="00283D34" w:rsidRPr="00283D34" w:rsidRDefault="007B669E"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(z)</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(z)k</m:t>
              </m:r>
            </m:sub>
          </m:sSub>
          <m:r>
            <w:rPr>
              <w:rFonts w:ascii="Cambria Math" w:hAnsi="Cambria Math"/>
            </w:rPr>
            <m:t xml:space="preserve"> </m:t>
          </m:r>
        </m:oMath>
      </m:oMathPara>
    </w:p>
    <w:p w14:paraId="630D9E57" w14:textId="6B1D4133" w:rsidR="00283D34" w:rsidRDefault="00283D34" w:rsidP="00E01957">
      <w:pPr>
        <w:spacing w:line="360" w:lineRule="auto"/>
        <w:rPr>
          <w:rFonts w:eastAsiaTheme="minorEastAsia"/>
        </w:rPr>
      </w:pPr>
      <w:r>
        <w:rPr>
          <w:rFonts w:eastAsiaTheme="minorEastAsia"/>
        </w:rPr>
        <w:tab/>
      </w:r>
      <w:r w:rsidR="00CA6E7F">
        <w:rPr>
          <w:rFonts w:eastAsiaTheme="minorEastAsia"/>
        </w:rPr>
        <w:t>w</w:t>
      </w: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oMath>
      <w:r>
        <w:rPr>
          <w:rFonts w:eastAsiaTheme="minorEastAsia"/>
        </w:rPr>
        <w:t xml:space="preserve"> is the DBH in meters of individual </w:t>
      </w:r>
      <m:oMath>
        <m:r>
          <w:rPr>
            <w:rFonts w:ascii="Cambria Math" w:eastAsiaTheme="minorEastAsia" w:hAnsi="Cambria Math"/>
          </w:rPr>
          <m:t>i</m:t>
        </m:r>
      </m:oMath>
      <w:r>
        <w:rPr>
          <w:rFonts w:eastAsiaTheme="minorEastAsia"/>
        </w:rPr>
        <w:t xml:space="preserve"> at</w:t>
      </w:r>
      <w:r w:rsidR="005B0749">
        <w:rPr>
          <w:rFonts w:eastAsiaTheme="minorEastAsia"/>
        </w:rPr>
        <w:t xml:space="preserve"> remeasurement</w:t>
      </w:r>
      <w:r w:rsidR="00880C94">
        <w:rPr>
          <w:rFonts w:eastAsiaTheme="minorEastAsia"/>
        </w:rPr>
        <w:t xml:space="preserve"> drawn from a truncated normal distribution (to prevent biologically impossible negative size)</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Pr>
          <w:rFonts w:eastAsiaTheme="minorEastAsia"/>
        </w:rPr>
        <w:t xml:space="preserve"> is the residual variance,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is a </w:t>
      </w:r>
      <w:r w:rsidR="004F6CE4">
        <w:rPr>
          <w:rFonts w:eastAsiaTheme="minorEastAsia"/>
        </w:rPr>
        <w:t xml:space="preserve">row </w:t>
      </w:r>
      <w:r>
        <w:rPr>
          <w:rFonts w:eastAsiaTheme="minorEastAsia"/>
        </w:rPr>
        <w:lastRenderedPageBreak/>
        <w:t xml:space="preserve">vector </w:t>
      </w:r>
      <w:commentRangeStart w:id="33"/>
      <w:r>
        <w:rPr>
          <w:rFonts w:eastAsiaTheme="minorEastAsia"/>
        </w:rPr>
        <w:t>of</w:t>
      </w:r>
      <w:commentRangeEnd w:id="33"/>
      <w:r w:rsidR="00DF0297">
        <w:rPr>
          <w:rStyle w:val="CommentReference"/>
        </w:rPr>
        <w:commentReference w:id="33"/>
      </w:r>
      <w:r>
        <w:rPr>
          <w:rFonts w:eastAsiaTheme="minorEastAsia"/>
        </w:rPr>
        <w:t xml:space="preserve"> the fixed effects </w:t>
      </w:r>
      <w:r w:rsidR="005B0749">
        <w:rPr>
          <w:rFonts w:eastAsiaTheme="minorEastAsia"/>
        </w:rPr>
        <w:t>covariates</w:t>
      </w:r>
      <w:r>
        <w:rPr>
          <w:rFonts w:eastAsiaTheme="minorEastAsia"/>
        </w:rPr>
        <w:t xml:space="preserve">, and the other parameters </w:t>
      </w:r>
      <w:r w:rsidR="00880C94">
        <w:rPr>
          <w:rFonts w:eastAsiaTheme="minorEastAsia"/>
        </w:rPr>
        <w:t xml:space="preserve">are as defined for the survival sub model, though here indexed </w:t>
      </w:r>
      <m:oMath>
        <m:r>
          <w:rPr>
            <w:rFonts w:ascii="Cambria Math" w:eastAsiaTheme="minorEastAsia" w:hAnsi="Cambria Math"/>
          </w:rPr>
          <m:t>z</m:t>
        </m:r>
      </m:oMath>
      <w:r w:rsidR="00880C94">
        <w:rPr>
          <w:rFonts w:eastAsiaTheme="minorEastAsia"/>
        </w:rPr>
        <w:t xml:space="preserve"> to indicate that they are the parameters specifically for the growth sub model.</w:t>
      </w:r>
      <w:r w:rsidR="005B0749">
        <w:rPr>
          <w:rFonts w:eastAsiaTheme="minorEastAsia"/>
        </w:rPr>
        <w:t xml:space="preserve"> The fixed effect covariates for the growth model are the same as those for the survival model, except that a quadratic effect of initial size (and the associated interactions) </w:t>
      </w:r>
      <w:proofErr w:type="gramStart"/>
      <w:r w:rsidR="005B0749">
        <w:rPr>
          <w:rFonts w:eastAsiaTheme="minorEastAsia"/>
        </w:rPr>
        <w:t>were</w:t>
      </w:r>
      <w:proofErr w:type="gramEnd"/>
      <w:r w:rsidR="005B0749">
        <w:rPr>
          <w:rFonts w:eastAsiaTheme="minorEastAsia"/>
        </w:rPr>
        <w:t xml:space="preserve"> omitted because </w:t>
      </w:r>
      <w:r w:rsidR="00574C47">
        <w:rPr>
          <w:rFonts w:eastAsiaTheme="minorEastAsia"/>
        </w:rPr>
        <w:t xml:space="preserve">the Hamiltonian Monte Carlo sampling algorithm experienced divergent transitions when attempting to fit models including a quadratic effect of initial size on size at remeasurement. </w:t>
      </w:r>
      <w:r w:rsidR="003B4431">
        <w:rPr>
          <w:rFonts w:eastAsiaTheme="minorEastAsia"/>
        </w:rPr>
        <w:t xml:space="preserve">Visual data exploration did not reveal any evidence </w:t>
      </w:r>
      <w:r w:rsidR="00171F10">
        <w:rPr>
          <w:rFonts w:eastAsiaTheme="minorEastAsia"/>
        </w:rPr>
        <w:t>of a</w:t>
      </w:r>
      <w:r w:rsidR="003B4431">
        <w:rPr>
          <w:rFonts w:eastAsiaTheme="minorEastAsia"/>
        </w:rPr>
        <w:t xml:space="preserve"> quadratic effect of initial size on size at remeasurement. </w:t>
      </w:r>
      <w:r w:rsidR="005B0749">
        <w:rPr>
          <w:rFonts w:eastAsiaTheme="minorEastAsia"/>
        </w:rPr>
        <w:t xml:space="preserve"> </w:t>
      </w:r>
    </w:p>
    <w:p w14:paraId="1004C56C" w14:textId="6348F6B6" w:rsidR="005D154F" w:rsidRDefault="005D154F" w:rsidP="00E01957">
      <w:pPr>
        <w:spacing w:line="360" w:lineRule="auto"/>
        <w:rPr>
          <w:rFonts w:eastAsiaTheme="minorEastAsia"/>
        </w:rPr>
      </w:pPr>
      <w:r>
        <w:rPr>
          <w:rFonts w:eastAsiaTheme="minorEastAsia"/>
        </w:rPr>
        <w:tab/>
        <w:t>A</w:t>
      </w:r>
      <w:r w:rsidR="00545F95">
        <w:rPr>
          <w:rFonts w:eastAsiaTheme="minorEastAsia"/>
        </w:rPr>
        <w:t xml:space="preserve">s noted in </w:t>
      </w:r>
      <w:commentRangeStart w:id="34"/>
      <w:commentRangeEnd w:id="34"/>
      <w:r w:rsidR="007108F6">
        <w:rPr>
          <w:rStyle w:val="CommentReference"/>
        </w:rPr>
        <w:commentReference w:id="34"/>
      </w:r>
      <w:r w:rsidR="00545F95">
        <w:rPr>
          <w:rFonts w:eastAsiaTheme="minorEastAsia"/>
        </w:rPr>
        <w:t xml:space="preserve">Shriver et al. (2021), </w:t>
      </w:r>
      <w:r>
        <w:rPr>
          <w:rFonts w:eastAsiaTheme="minorEastAsia"/>
        </w:rPr>
        <w:t xml:space="preserve">analysis of recruitment is complicated by the fact that seedlings (stems whose </w:t>
      </w:r>
      <w:r>
        <w:t xml:space="preserve">height &gt;= 0.15 m and DBH &lt; </w:t>
      </w:r>
      <w:r w:rsidR="00277C16">
        <w:t>0.0254</w:t>
      </w:r>
      <w:r>
        <w:t xml:space="preserve"> m) are not individually surveyed</w:t>
      </w:r>
      <w:r w:rsidR="009F5DED">
        <w:t xml:space="preserve"> and tagged</w:t>
      </w:r>
      <w:r>
        <w:t xml:space="preserve">, but instead tallied by species. Thus, there is uncertainty as to which of the seedlings present at </w:t>
      </w:r>
      <w:r w:rsidR="003B4431">
        <w:t xml:space="preserve">remeasurement </w:t>
      </w:r>
      <w:r>
        <w:rPr>
          <w:rFonts w:eastAsiaTheme="minorEastAsia"/>
        </w:rPr>
        <w:t xml:space="preserve">are true new recruits (vs. individuals which were already present at </w:t>
      </w:r>
      <w:r w:rsidR="003B4431">
        <w:rPr>
          <w:rFonts w:eastAsiaTheme="minorEastAsia"/>
        </w:rPr>
        <w:t>the initial measurement</w:t>
      </w:r>
      <w:r>
        <w:rPr>
          <w:rFonts w:eastAsiaTheme="minorEastAsia"/>
        </w:rPr>
        <w:t xml:space="preserve">). </w:t>
      </w:r>
      <w:r w:rsidR="003B4431">
        <w:rPr>
          <w:rFonts w:eastAsiaTheme="minorEastAsia"/>
        </w:rPr>
        <w:t>We</w:t>
      </w:r>
      <w:r>
        <w:rPr>
          <w:rFonts w:eastAsiaTheme="minorEastAsia"/>
        </w:rPr>
        <w:t xml:space="preserve"> followed</w:t>
      </w:r>
      <w:r w:rsidR="00171F10">
        <w:rPr>
          <w:rFonts w:eastAsiaTheme="minorEastAsia"/>
        </w:rPr>
        <w:t xml:space="preserve"> the approach of Shriver et al. (2021) </w:t>
      </w:r>
      <w:r>
        <w:rPr>
          <w:rFonts w:eastAsiaTheme="minorEastAsia"/>
        </w:rPr>
        <w:t xml:space="preserve">to address this issue by building a recruitment model which is itself an integral projection model </w:t>
      </w:r>
      <w:r w:rsidR="00C83A6E">
        <w:rPr>
          <w:rFonts w:eastAsiaTheme="minorEastAsia"/>
        </w:rPr>
        <w:t>describing</w:t>
      </w:r>
      <w:r>
        <w:rPr>
          <w:rFonts w:eastAsiaTheme="minorEastAsia"/>
        </w:rPr>
        <w:t xml:space="preserve"> the survival</w:t>
      </w:r>
      <w:r w:rsidR="00481D04">
        <w:rPr>
          <w:rFonts w:eastAsiaTheme="minorEastAsia"/>
        </w:rPr>
        <w:t xml:space="preserve">, growth, and recruitment of seedlings. In this way, the </w:t>
      </w:r>
      <w:r w:rsidR="00AA3167">
        <w:rPr>
          <w:rFonts w:eastAsiaTheme="minorEastAsia"/>
        </w:rPr>
        <w:t>number of new seedlings on each plot can be estimated as a latent state</w:t>
      </w:r>
      <w:r w:rsidR="00481D04">
        <w:rPr>
          <w:rFonts w:eastAsiaTheme="minorEastAsia"/>
        </w:rPr>
        <w:t xml:space="preserve"> based on a count of </w:t>
      </w:r>
      <w:r w:rsidR="00AA3167">
        <w:rPr>
          <w:rFonts w:eastAsiaTheme="minorEastAsia"/>
        </w:rPr>
        <w:t xml:space="preserve">all </w:t>
      </w:r>
      <w:r w:rsidR="00C83A6E">
        <w:rPr>
          <w:rFonts w:eastAsiaTheme="minorEastAsia"/>
        </w:rPr>
        <w:t>seedlings at remeasurement</w:t>
      </w:r>
      <w:r w:rsidR="00481D04">
        <w:rPr>
          <w:rFonts w:eastAsiaTheme="minorEastAsia"/>
        </w:rPr>
        <w:t xml:space="preserve"> and </w:t>
      </w:r>
      <w:r w:rsidR="00C83A6E">
        <w:rPr>
          <w:rFonts w:eastAsiaTheme="minorEastAsia"/>
        </w:rPr>
        <w:t xml:space="preserve">the </w:t>
      </w:r>
      <w:r w:rsidR="00481D04">
        <w:rPr>
          <w:rFonts w:eastAsiaTheme="minorEastAsia"/>
        </w:rPr>
        <w:t xml:space="preserve">estimated (from the survival and growth sub models) rates of growth and survival among pre-existing seedlings. </w:t>
      </w:r>
    </w:p>
    <w:p w14:paraId="50C9C237" w14:textId="2BD3CEBF" w:rsidR="00481D04" w:rsidRDefault="00481D04" w:rsidP="00E01957">
      <w:pPr>
        <w:spacing w:line="360" w:lineRule="auto"/>
        <w:rPr>
          <w:rFonts w:eastAsiaTheme="minorEastAsia"/>
        </w:rPr>
      </w:pPr>
      <w:r>
        <w:rPr>
          <w:rFonts w:eastAsiaTheme="minorEastAsia"/>
        </w:rPr>
        <w:tab/>
        <w:t xml:space="preserve">The response distribution for the </w:t>
      </w:r>
      <w:r w:rsidR="0090133B">
        <w:rPr>
          <w:rFonts w:eastAsiaTheme="minorEastAsia"/>
        </w:rPr>
        <w:t>fecundity</w:t>
      </w:r>
      <w:r>
        <w:rPr>
          <w:rFonts w:eastAsiaTheme="minorEastAsia"/>
        </w:rPr>
        <w:t xml:space="preserve"> sub model is:</w:t>
      </w:r>
    </w:p>
    <w:p w14:paraId="685C303F" w14:textId="389EE448" w:rsidR="00EB1B4C" w:rsidRDefault="00EB1B4C" w:rsidP="00EB1B4C">
      <w:pPr>
        <w:pStyle w:val="Caption"/>
        <w:keepNext/>
      </w:pPr>
      <w:r>
        <w:t xml:space="preserve">Equation </w:t>
      </w:r>
      <w:r w:rsidR="007B669E">
        <w:fldChar w:fldCharType="begin"/>
      </w:r>
      <w:r w:rsidR="007B669E">
        <w:instrText xml:space="preserve"> SEQ Equation \* ARABIC </w:instrText>
      </w:r>
      <w:r w:rsidR="007B669E">
        <w:fldChar w:fldCharType="separate"/>
      </w:r>
      <w:r w:rsidR="00D73B16">
        <w:rPr>
          <w:noProof/>
        </w:rPr>
        <w:t>5</w:t>
      </w:r>
      <w:r w:rsidR="007B669E">
        <w:rPr>
          <w:noProof/>
        </w:rPr>
        <w:fldChar w:fldCharType="end"/>
      </w:r>
    </w:p>
    <w:p w14:paraId="17730052" w14:textId="10279186" w:rsidR="00481D04" w:rsidRPr="004A6BFC" w:rsidRDefault="007B669E" w:rsidP="00E01957">
      <w:pPr>
        <w:spacing w:line="360" w:lineRule="auto"/>
        <w:rPr>
          <w:rFonts w:eastAsiaTheme="minorEastAsia"/>
        </w:rPr>
      </w:pPr>
      <m:oMathPara>
        <m:oMath>
          <m:sSub>
            <m:sSubPr>
              <m:ctrlPr>
                <w:rPr>
                  <w:rFonts w:ascii="Cambria Math" w:hAnsi="Cambria Math"/>
                  <w:i/>
                </w:rPr>
              </m:ctrlPr>
            </m:sSubPr>
            <m:e>
              <m:r>
                <m:rPr>
                  <m:nor/>
                </m:rPr>
                <w:rPr>
                  <w:rFonts w:ascii="Cambria Math" w:hAnsi="Cambria Math"/>
                  <w:b/>
                  <w:bCs/>
                </w:rPr>
                <m:t>c</m:t>
              </m:r>
              <m:r>
                <w:rPr>
                  <w:rFonts w:ascii="Cambria Math" w:hAnsi="Cambria Math"/>
                </w:rPr>
                <m:t>'</m:t>
              </m:r>
            </m:e>
            <m:sub>
              <m:r>
                <w:rPr>
                  <w:rFonts w:ascii="Cambria Math" w:hAnsi="Cambria Math"/>
                </w:rPr>
                <m:t>j</m:t>
              </m:r>
            </m:sub>
          </m:sSub>
          <m:r>
            <w:rPr>
              <w:rFonts w:ascii="Cambria Math" w:hAnsi="Cambria Math"/>
            </w:rPr>
            <m:t>~</m:t>
          </m:r>
          <m:r>
            <m:rPr>
              <m:nor/>
            </m:rPr>
            <w:rPr>
              <w:rFonts w:ascii="Cambria Math" w:hAnsi="Cambria Math"/>
            </w:rPr>
            <m:t>Neg.Binomial(</m:t>
          </m:r>
          <m:sSub>
            <m:sSubPr>
              <m:ctrlPr>
                <w:rPr>
                  <w:rFonts w:ascii="Cambria Math" w:hAnsi="Cambria Math"/>
                  <w:i/>
                </w:rPr>
              </m:ctrlPr>
            </m:sSubPr>
            <m:e>
              <m:r>
                <m:rPr>
                  <m:nor/>
                </m:rPr>
                <w:rPr>
                  <w:rFonts w:ascii="Cambria Math" w:hAnsi="Cambria Math"/>
                  <w:b/>
                  <w:bCs/>
                </w:rPr>
                <m:t>n</m:t>
              </m:r>
              <m:r>
                <w:rPr>
                  <w:rFonts w:ascii="Cambria Math" w:hAnsi="Cambria Math"/>
                </w:rPr>
                <m:t>'</m:t>
              </m:r>
            </m:e>
            <m:sub>
              <m:r>
                <w:rPr>
                  <w:rFonts w:ascii="Cambria Math" w:hAnsi="Cambria Math"/>
                </w:rPr>
                <m:t>j,1</m:t>
              </m:r>
            </m:sub>
          </m:sSub>
          <m:r>
            <w:rPr>
              <w:rFonts w:ascii="Cambria Math" w:hAnsi="Cambria Math"/>
            </w:rPr>
            <m:t>×a,κ</m:t>
          </m:r>
          <m:r>
            <w:rPr>
              <w:rFonts w:ascii="Cambria Math" w:eastAsiaTheme="minorEastAsia" w:hAnsi="Cambria Math"/>
            </w:rPr>
            <m:t>)</m:t>
          </m:r>
        </m:oMath>
      </m:oMathPara>
    </w:p>
    <w:p w14:paraId="4B036C5F" w14:textId="46042FC8" w:rsidR="00C56685" w:rsidRDefault="004A6BFC" w:rsidP="00E01957">
      <w:pPr>
        <w:spacing w:line="360" w:lineRule="auto"/>
        <w:rPr>
          <w:rFonts w:eastAsiaTheme="minorEastAsia"/>
        </w:rPr>
      </w:pPr>
      <w:r>
        <w:rPr>
          <w:rFonts w:eastAsiaTheme="minorEastAsia"/>
        </w:rPr>
        <w:tab/>
      </w:r>
      <w:r w:rsidR="00CA6E7F">
        <w:rPr>
          <w:rFonts w:eastAsiaTheme="minorEastAsia"/>
        </w:rPr>
        <w:t>w</w:t>
      </w:r>
      <w:r>
        <w:rPr>
          <w:rFonts w:eastAsiaTheme="minorEastAsia"/>
        </w:rPr>
        <w:t xml:space="preserve">here </w:t>
      </w:r>
      <m:oMath>
        <m:sSub>
          <m:sSubPr>
            <m:ctrlPr>
              <w:rPr>
                <w:rFonts w:ascii="Cambria Math" w:eastAsiaTheme="minorEastAsia" w:hAnsi="Cambria Math"/>
                <w:i/>
              </w:rPr>
            </m:ctrlPr>
          </m:sSubPr>
          <m:e>
            <m:r>
              <m:rPr>
                <m:nor/>
              </m:rPr>
              <w:rPr>
                <w:rFonts w:ascii="Cambria Math" w:eastAsiaTheme="minorEastAsia" w:hAnsi="Cambria Math"/>
                <w:b/>
                <w:bCs/>
              </w:rPr>
              <m:t>c</m:t>
            </m:r>
            <m:r>
              <w:rPr>
                <w:rFonts w:ascii="Cambria Math" w:eastAsiaTheme="minorEastAsia" w:hAnsi="Cambria Math"/>
              </w:rPr>
              <m:t>'</m:t>
            </m:r>
          </m:e>
          <m:sub>
            <m:r>
              <w:rPr>
                <w:rFonts w:ascii="Cambria Math" w:eastAsiaTheme="minorEastAsia" w:hAnsi="Cambria Math"/>
              </w:rPr>
              <m:t>j</m:t>
            </m:r>
          </m:sub>
        </m:sSub>
      </m:oMath>
      <w:r>
        <w:rPr>
          <w:rFonts w:eastAsiaTheme="minorEastAsia"/>
        </w:rPr>
        <w:t xml:space="preserve"> is the observed count of</w:t>
      </w:r>
      <w:r w:rsidR="009F5DED">
        <w:rPr>
          <w:rFonts w:eastAsiaTheme="minorEastAsia"/>
        </w:rPr>
        <w:t xml:space="preserve"> </w:t>
      </w:r>
      <w:r w:rsidR="00884AB8">
        <w:rPr>
          <w:rFonts w:eastAsiaTheme="minorEastAsia"/>
        </w:rPr>
        <w:t>seedlings</w:t>
      </w:r>
      <w:r w:rsidR="005D2253">
        <w:rPr>
          <w:rFonts w:eastAsiaTheme="minorEastAsia"/>
        </w:rPr>
        <w:t xml:space="preserve"> on plot </w:t>
      </w:r>
      <m:oMath>
        <m:r>
          <w:rPr>
            <w:rFonts w:ascii="Cambria Math" w:eastAsiaTheme="minorEastAsia" w:hAnsi="Cambria Math"/>
          </w:rPr>
          <m:t>j</m:t>
        </m:r>
      </m:oMath>
      <w:r>
        <w:rPr>
          <w:rFonts w:eastAsiaTheme="minorEastAsia"/>
        </w:rPr>
        <w:t xml:space="preserve"> </w:t>
      </w:r>
      <w:r w:rsidR="00884AB8">
        <w:rPr>
          <w:rFonts w:eastAsiaTheme="minorEastAsia"/>
        </w:rPr>
        <w:t>at remeasurement</w:t>
      </w:r>
      <w:r>
        <w:rPr>
          <w:rFonts w:eastAsiaTheme="minorEastAsia"/>
        </w:rPr>
        <w:t xml:space="preserve">, which </w:t>
      </w:r>
      <w:r w:rsidR="00884AB8">
        <w:rPr>
          <w:rFonts w:eastAsiaTheme="minorEastAsia"/>
        </w:rPr>
        <w:t xml:space="preserve">includes </w:t>
      </w:r>
      <w:r>
        <w:rPr>
          <w:rFonts w:eastAsiaTheme="minorEastAsia"/>
        </w:rPr>
        <w:t xml:space="preserve">both new recruits and </w:t>
      </w:r>
      <w:r w:rsidR="009F5DED">
        <w:rPr>
          <w:rFonts w:eastAsiaTheme="minorEastAsia"/>
        </w:rPr>
        <w:t>individuals which were present but untagged due to their small size at the initial measurement</w:t>
      </w:r>
      <w:commentRangeStart w:id="35"/>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oMath>
      <w:r>
        <w:rPr>
          <w:rFonts w:eastAsiaTheme="minorEastAsia"/>
        </w:rPr>
        <w:t xml:space="preserve"> </w:t>
      </w:r>
      <w:r w:rsidR="009917FF">
        <w:rPr>
          <w:rFonts w:eastAsiaTheme="minorEastAsia"/>
        </w:rPr>
        <w:t>is</w:t>
      </w:r>
      <w:r w:rsidR="00B02855">
        <w:rPr>
          <w:rFonts w:eastAsiaTheme="minorEastAsia"/>
        </w:rPr>
        <w:t xml:space="preserve"> a </w:t>
      </w:r>
      <m:oMath>
        <m:r>
          <w:rPr>
            <w:rFonts w:ascii="Cambria Math" w:eastAsiaTheme="minorEastAsia" w:hAnsi="Cambria Math"/>
          </w:rPr>
          <m:t>100×1</m:t>
        </m:r>
      </m:oMath>
      <w:r w:rsidR="00B02855">
        <w:rPr>
          <w:rFonts w:eastAsiaTheme="minorEastAsia"/>
        </w:rPr>
        <w:t xml:space="preserve"> vector containing</w:t>
      </w:r>
      <w:r w:rsidR="009917FF">
        <w:rPr>
          <w:rFonts w:eastAsiaTheme="minorEastAsia"/>
        </w:rPr>
        <w:t xml:space="preserve"> the </w:t>
      </w:r>
      <w:r>
        <w:rPr>
          <w:rFonts w:eastAsiaTheme="minorEastAsia"/>
        </w:rPr>
        <w:t>area-standardized occurrence rate</w:t>
      </w:r>
      <w:r w:rsidR="00B02855">
        <w:rPr>
          <w:rFonts w:eastAsiaTheme="minorEastAsia"/>
        </w:rPr>
        <w:t xml:space="preserve">s of 100 </w:t>
      </w:r>
      <w:r w:rsidR="00277C16">
        <w:rPr>
          <w:rFonts w:eastAsiaTheme="minorEastAsia"/>
        </w:rPr>
        <w:t>0.0</w:t>
      </w:r>
      <w:r w:rsidR="00B02855">
        <w:rPr>
          <w:rFonts w:eastAsiaTheme="minorEastAsia"/>
        </w:rPr>
        <w:t xml:space="preserve">254 m wide DBH size classes </w:t>
      </w:r>
      <w:r w:rsidR="00C83A6E">
        <w:rPr>
          <w:rFonts w:eastAsiaTheme="minorEastAsia"/>
        </w:rPr>
        <w:t xml:space="preserve">(ranging from 0 to 2.54 m) </w:t>
      </w:r>
      <w:r w:rsidR="00B02855">
        <w:rPr>
          <w:rFonts w:eastAsiaTheme="minorEastAsia"/>
        </w:rPr>
        <w:t xml:space="preserve">on plot </w:t>
      </w:r>
      <m:oMath>
        <m:r>
          <w:rPr>
            <w:rFonts w:ascii="Cambria Math" w:eastAsiaTheme="minorEastAsia" w:hAnsi="Cambria Math"/>
          </w:rPr>
          <m:t>j</m:t>
        </m:r>
      </m:oMath>
      <w:r w:rsidR="00B02855">
        <w:rPr>
          <w:rFonts w:eastAsiaTheme="minorEastAsia"/>
        </w:rPr>
        <w:t xml:space="preserve"> at remeasurement,</w:t>
      </w:r>
      <w:r w:rsidR="0029268F">
        <w:rPr>
          <w:rFonts w:eastAsiaTheme="minorEastAsia"/>
        </w:rPr>
        <w:t xml:space="preserve"> </w:t>
      </w:r>
      <m:oMath>
        <m:sSub>
          <m:sSubPr>
            <m:ctrlPr>
              <w:rPr>
                <w:rFonts w:ascii="Cambria Math" w:hAnsi="Cambria Math"/>
                <w:i/>
              </w:rPr>
            </m:ctrlPr>
          </m:sSubPr>
          <m:e>
            <m:r>
              <m:rPr>
                <m:nor/>
              </m:rPr>
              <w:rPr>
                <w:rFonts w:ascii="Cambria Math" w:hAnsi="Cambria Math"/>
                <w:b/>
                <w:bCs/>
              </w:rPr>
              <m:t>n</m:t>
            </m:r>
            <m:r>
              <w:rPr>
                <w:rFonts w:ascii="Cambria Math" w:hAnsi="Cambria Math"/>
              </w:rPr>
              <m:t>'</m:t>
            </m:r>
          </m:e>
          <m:sub>
            <m:r>
              <w:rPr>
                <w:rFonts w:ascii="Cambria Math" w:hAnsi="Cambria Math"/>
              </w:rPr>
              <m:t>j,1</m:t>
            </m:r>
          </m:sub>
        </m:sSub>
      </m:oMath>
      <w:r w:rsidR="00B02855">
        <w:rPr>
          <w:rFonts w:eastAsiaTheme="minorEastAsia"/>
        </w:rPr>
        <w:t xml:space="preserve"> </w:t>
      </w:r>
      <w:r w:rsidR="0029268F">
        <w:rPr>
          <w:rFonts w:eastAsiaTheme="minorEastAsia"/>
        </w:rPr>
        <w:t xml:space="preserve">is the first element of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oMath>
      <w:r w:rsidR="0029268F">
        <w:rPr>
          <w:rFonts w:eastAsiaTheme="minorEastAsia"/>
        </w:rPr>
        <w:t xml:space="preserve"> and is the area-standardized occurrence rate </w:t>
      </w:r>
      <w:r w:rsidR="009917FF">
        <w:rPr>
          <w:rFonts w:eastAsiaTheme="minorEastAsia"/>
        </w:rPr>
        <w:t>of seedlings</w:t>
      </w:r>
      <w:r w:rsidR="005441D3">
        <w:rPr>
          <w:rFonts w:eastAsiaTheme="minorEastAsia"/>
        </w:rPr>
        <w:t xml:space="preserve"> </w:t>
      </w:r>
      <w:r w:rsidR="005D2253">
        <w:rPr>
          <w:rFonts w:eastAsiaTheme="minorEastAsia"/>
        </w:rPr>
        <w:t xml:space="preserve">(size class 1) </w:t>
      </w:r>
      <w:r w:rsidR="005441D3">
        <w:rPr>
          <w:rFonts w:eastAsiaTheme="minorEastAsia"/>
        </w:rPr>
        <w:t>at remeasurement</w:t>
      </w:r>
      <w:r w:rsidR="0093310D">
        <w:rPr>
          <w:rFonts w:eastAsiaTheme="minorEastAsia"/>
        </w:rPr>
        <w:t>,</w:t>
      </w:r>
      <w:r w:rsidR="005F02B2">
        <w:rPr>
          <w:rFonts w:eastAsiaTheme="minorEastAsia"/>
        </w:rPr>
        <w:t xml:space="preserve"> </w:t>
      </w:r>
      <m:oMath>
        <m:r>
          <w:rPr>
            <w:rFonts w:ascii="Cambria Math" w:eastAsiaTheme="minorEastAsia" w:hAnsi="Cambria Math"/>
          </w:rPr>
          <m:t>a</m:t>
        </m:r>
      </m:oMath>
      <w:r w:rsidR="005F02B2">
        <w:rPr>
          <w:rFonts w:eastAsiaTheme="minorEastAsia"/>
        </w:rPr>
        <w:t xml:space="preserve"> g</w:t>
      </w:r>
      <w:proofErr w:type="spellStart"/>
      <w:r w:rsidR="009917FF">
        <w:rPr>
          <w:rFonts w:eastAsiaTheme="minorEastAsia"/>
        </w:rPr>
        <w:t>ives</w:t>
      </w:r>
      <w:proofErr w:type="spellEnd"/>
      <w:r w:rsidR="005F02B2">
        <w:rPr>
          <w:rFonts w:eastAsiaTheme="minorEastAsia"/>
        </w:rPr>
        <w:t xml:space="preserve"> the total plot area surveyed for </w:t>
      </w:r>
      <w:r w:rsidR="009917FF">
        <w:rPr>
          <w:rFonts w:eastAsiaTheme="minorEastAsia"/>
        </w:rPr>
        <w:t>seedlings</w:t>
      </w:r>
      <w:commentRangeEnd w:id="35"/>
      <w:r w:rsidR="005D2253">
        <w:rPr>
          <w:rStyle w:val="CommentReference"/>
        </w:rPr>
        <w:commentReference w:id="35"/>
      </w:r>
      <w:r w:rsidR="005F02B2">
        <w:rPr>
          <w:rFonts w:eastAsiaTheme="minorEastAsia"/>
        </w:rPr>
        <w:t xml:space="preserve">, and </w:t>
      </w:r>
      <m:oMath>
        <m:r>
          <w:rPr>
            <w:rFonts w:ascii="Cambria Math" w:eastAsiaTheme="minorEastAsia" w:hAnsi="Cambria Math"/>
          </w:rPr>
          <m:t>κ</m:t>
        </m:r>
      </m:oMath>
      <w:r w:rsidR="005F02B2">
        <w:rPr>
          <w:rFonts w:eastAsiaTheme="minorEastAsia"/>
        </w:rPr>
        <w:t xml:space="preserve"> is the dispersion parameter for the negative binomial distribution. </w:t>
      </w:r>
      <w:r w:rsidR="001E1A16">
        <w:rPr>
          <w:rFonts w:eastAsiaTheme="minorEastAsia"/>
        </w:rPr>
        <w:t>The</w:t>
      </w:r>
      <w:r w:rsidR="00513781">
        <w:rPr>
          <w:rFonts w:eastAsiaTheme="minorEastAsia"/>
        </w:rPr>
        <w:t xml:space="preserve"> largest observed individual in the data is 2.45 m.  </w:t>
      </w:r>
    </w:p>
    <w:p w14:paraId="5C655F76" w14:textId="52ABE052" w:rsidR="009917FF" w:rsidRDefault="009917FF" w:rsidP="00E01957">
      <w:pPr>
        <w:spacing w:line="360" w:lineRule="auto"/>
        <w:rPr>
          <w:rFonts w:eastAsiaTheme="minorEastAsia"/>
        </w:rPr>
      </w:pPr>
      <w:r>
        <w:rPr>
          <w:rFonts w:eastAsiaTheme="minorEastAsia"/>
        </w:rPr>
        <w:tab/>
        <w:t>The area-standardized occurrence rate</w:t>
      </w:r>
      <w:r w:rsidR="005D2253">
        <w:rPr>
          <w:rFonts w:eastAsiaTheme="minorEastAsia"/>
        </w:rPr>
        <w:t>s of all size classes at remeasurement</w:t>
      </w:r>
      <w:r w:rsidR="005441D3">
        <w:rPr>
          <w:rFonts w:eastAsiaTheme="minorEastAsia"/>
        </w:rPr>
        <w:t>,</w:t>
      </w:r>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oMath>
      <w:r w:rsidR="005441D3">
        <w:rPr>
          <w:rFonts w:eastAsiaTheme="minorEastAsia"/>
        </w:rPr>
        <w:t>,</w:t>
      </w:r>
      <w:r>
        <w:rPr>
          <w:rFonts w:eastAsiaTheme="minorEastAsia"/>
        </w:rPr>
        <w:t xml:space="preserve"> is the product of </w:t>
      </w:r>
      <w:r w:rsidR="005441D3">
        <w:rPr>
          <w:rFonts w:eastAsiaTheme="minorEastAsia"/>
        </w:rPr>
        <w:t>an integral projection model transition kernel and the area-standardized occurrence rate</w:t>
      </w:r>
      <w:r w:rsidR="00C83A6E">
        <w:rPr>
          <w:rFonts w:eastAsiaTheme="minorEastAsia"/>
        </w:rPr>
        <w:t>s</w:t>
      </w:r>
      <w:r w:rsidR="005441D3">
        <w:rPr>
          <w:rFonts w:eastAsiaTheme="minorEastAsia"/>
        </w:rPr>
        <w:t xml:space="preserve"> of </w:t>
      </w:r>
      <w:r w:rsidR="0029268F">
        <w:rPr>
          <w:rFonts w:eastAsiaTheme="minorEastAsia"/>
        </w:rPr>
        <w:t xml:space="preserve">the same size classes </w:t>
      </w:r>
      <w:r w:rsidR="005441D3">
        <w:rPr>
          <w:rFonts w:eastAsiaTheme="minorEastAsia"/>
        </w:rPr>
        <w:t>at initial measurement</w:t>
      </w:r>
      <w:r w:rsidR="00582802">
        <w:rPr>
          <w:rFonts w:eastAsiaTheme="minorEastAsia"/>
        </w:rPr>
        <w:t>:</w:t>
      </w:r>
    </w:p>
    <w:p w14:paraId="43E8C03F" w14:textId="679EC856" w:rsidR="00EB1B4C" w:rsidRDefault="00EB1B4C" w:rsidP="00EB1B4C">
      <w:pPr>
        <w:pStyle w:val="Caption"/>
        <w:keepNext/>
      </w:pPr>
      <w:r>
        <w:lastRenderedPageBreak/>
        <w:t xml:space="preserve">Equation </w:t>
      </w:r>
      <w:r w:rsidR="007B669E">
        <w:fldChar w:fldCharType="begin"/>
      </w:r>
      <w:r w:rsidR="007B669E">
        <w:instrText xml:space="preserve"> SEQ Equation \* ARABIC </w:instrText>
      </w:r>
      <w:r w:rsidR="007B669E">
        <w:fldChar w:fldCharType="separate"/>
      </w:r>
      <w:r w:rsidR="00D73B16">
        <w:rPr>
          <w:noProof/>
        </w:rPr>
        <w:t>6</w:t>
      </w:r>
      <w:r w:rsidR="007B669E">
        <w:rPr>
          <w:noProof/>
        </w:rPr>
        <w:fldChar w:fldCharType="end"/>
      </w:r>
    </w:p>
    <w:p w14:paraId="79BE3FAF" w14:textId="5AAB3130" w:rsidR="000B4F67" w:rsidRPr="000B4F67" w:rsidRDefault="007B669E" w:rsidP="00E01957">
      <w:pPr>
        <w:spacing w:line="360" w:lineRule="auto"/>
        <w:rPr>
          <w:rFonts w:eastAsiaTheme="minorEastAsia"/>
          <w:b/>
          <w:bCs/>
        </w:rPr>
      </w:pPr>
      <m:oMathPara>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r>
            <w:rPr>
              <w:rFonts w:ascii="Cambria Math" w:eastAsiaTheme="minorEastAsia" w:hAnsi="Cambria Math"/>
            </w:rPr>
            <m:t xml:space="preserve">= </m:t>
          </m:r>
          <m:sSub>
            <m:sSubPr>
              <m:ctrlPr>
                <w:rPr>
                  <w:rFonts w:ascii="Cambria Math" w:hAnsi="Cambria Math"/>
                  <w:b/>
                  <w:bCs/>
                  <w:i/>
                </w:rPr>
              </m:ctrlPr>
            </m:sSubPr>
            <m:e>
              <m:r>
                <m:rPr>
                  <m:nor/>
                </m:rPr>
                <w:rPr>
                  <w:rFonts w:ascii="Cambria Math" w:hAnsi="Cambria Math"/>
                  <w:b/>
                  <w:bCs/>
                </w:rPr>
                <m:t>A</m:t>
              </m:r>
            </m:e>
            <m:sub>
              <m:r>
                <w:rPr>
                  <w:rFonts w:ascii="Cambria Math" w:hAnsi="Cambria Math"/>
                </w:rPr>
                <m:t>j,*</m:t>
              </m:r>
              <m:r>
                <m:rPr>
                  <m:sty m:val="bi"/>
                </m:rPr>
                <w:rPr>
                  <w:rFonts w:ascii="Cambria Math" w:hAnsi="Cambria Math"/>
                </w:rPr>
                <m:t>,*</m:t>
              </m:r>
            </m:sub>
          </m:sSub>
          <m:r>
            <w:rPr>
              <w:rFonts w:ascii="Cambria Math" w:eastAsiaTheme="minorEastAsia" w:hAnsi="Cambria Math"/>
            </w:rPr>
            <m:t>×</m:t>
          </m:r>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j,*</m:t>
              </m:r>
            </m:sub>
          </m:sSub>
        </m:oMath>
      </m:oMathPara>
    </w:p>
    <w:p w14:paraId="1AD7E99F" w14:textId="020CAD05" w:rsidR="000B4F67" w:rsidRDefault="000B4F67" w:rsidP="00E01957">
      <w:pPr>
        <w:spacing w:line="360" w:lineRule="auto"/>
        <w:rPr>
          <w:rFonts w:eastAsiaTheme="minorEastAsia"/>
        </w:rPr>
      </w:pPr>
      <w:r>
        <w:rPr>
          <w:rFonts w:eastAsiaTheme="minorEastAsia"/>
          <w:b/>
          <w:bCs/>
        </w:rPr>
        <w:tab/>
      </w:r>
      <w:r w:rsidR="00CA6E7F">
        <w:rPr>
          <w:rFonts w:eastAsiaTheme="minorEastAsia"/>
        </w:rPr>
        <w:t>w</w:t>
      </w:r>
      <w:r>
        <w:rPr>
          <w:rFonts w:eastAsiaTheme="minorEastAsia"/>
        </w:rPr>
        <w:t>here</w:t>
      </w:r>
      <w:r w:rsidR="006152D3">
        <w:rPr>
          <w:rFonts w:eastAsiaTheme="minorEastAsia"/>
        </w:rPr>
        <w:t xml:space="preserve"> each</w:t>
      </w:r>
      <w:r>
        <w:rPr>
          <w:rFonts w:eastAsiaTheme="minorEastAsia"/>
        </w:rPr>
        <w:t xml:space="preserve">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j,*</m:t>
            </m:r>
            <m:r>
              <m:rPr>
                <m:sty m:val="bi"/>
              </m:rPr>
              <w:rPr>
                <w:rFonts w:ascii="Cambria Math" w:hAnsi="Cambria Math"/>
              </w:rPr>
              <m:t>,*</m:t>
            </m:r>
          </m:sub>
        </m:sSub>
        <m:r>
          <w:rPr>
            <w:rFonts w:ascii="Cambria Math" w:eastAsiaTheme="minorEastAsia" w:hAnsi="Cambria Math"/>
          </w:rPr>
          <m:t xml:space="preserve"> </m:t>
        </m:r>
      </m:oMath>
      <w:r>
        <w:rPr>
          <w:rFonts w:eastAsiaTheme="minorEastAsia"/>
        </w:rPr>
        <w:t xml:space="preserve">is a </w:t>
      </w:r>
      <m:oMath>
        <m:r>
          <w:rPr>
            <w:rFonts w:ascii="Cambria Math" w:eastAsiaTheme="minorEastAsia" w:hAnsi="Cambria Math"/>
          </w:rPr>
          <m:t>100×100</m:t>
        </m:r>
      </m:oMath>
      <w:r>
        <w:rPr>
          <w:rFonts w:eastAsiaTheme="minorEastAsia"/>
        </w:rPr>
        <w:t xml:space="preserve"> </w:t>
      </w:r>
      <w:r w:rsidR="004900A0">
        <w:rPr>
          <w:rFonts w:eastAsiaTheme="minorEastAsia"/>
        </w:rPr>
        <w:t xml:space="preserve">discretized integral projection model kernel describing the rates of transition from each of </w:t>
      </w:r>
      <m:oMath>
        <m:r>
          <w:rPr>
            <w:rFonts w:ascii="Cambria Math" w:eastAsiaTheme="minorEastAsia" w:hAnsi="Cambria Math"/>
          </w:rPr>
          <m:t>v=1,2,…,100</m:t>
        </m:r>
      </m:oMath>
      <w:r w:rsidR="004900A0">
        <w:rPr>
          <w:rFonts w:eastAsiaTheme="minorEastAsia"/>
        </w:rPr>
        <w:t xml:space="preserve"> size classes </w:t>
      </w:r>
      <w:r w:rsidR="005B1295">
        <w:rPr>
          <w:rFonts w:eastAsiaTheme="minorEastAsia"/>
        </w:rPr>
        <w:t>in</w:t>
      </w:r>
      <w:r w:rsidR="004900A0">
        <w:rPr>
          <w:rFonts w:eastAsiaTheme="minorEastAsia"/>
        </w:rPr>
        <w:t xml:space="preserve">to </w:t>
      </w:r>
      <m:oMath>
        <m:r>
          <w:rPr>
            <w:rFonts w:ascii="Cambria Math" w:eastAsiaTheme="minorEastAsia" w:hAnsi="Cambria Math"/>
          </w:rPr>
          <m:t>u=1,2,…,100</m:t>
        </m:r>
      </m:oMath>
      <w:r w:rsidR="0029268F">
        <w:rPr>
          <w:rFonts w:eastAsiaTheme="minorEastAsia"/>
        </w:rPr>
        <w:t xml:space="preserve"> size </w:t>
      </w:r>
      <w:proofErr w:type="gramStart"/>
      <w:r w:rsidR="0029268F">
        <w:rPr>
          <w:rFonts w:eastAsiaTheme="minorEastAsia"/>
        </w:rPr>
        <w:t>classes,</w:t>
      </w:r>
      <w:r w:rsidR="005B1295">
        <w:rPr>
          <w:rFonts w:eastAsiaTheme="minorEastAsia"/>
        </w:rPr>
        <w:t xml:space="preserve"> </w:t>
      </w:r>
      <w:r w:rsidR="008415CA">
        <w:rPr>
          <w:rFonts w:eastAsiaTheme="minorEastAsia"/>
        </w:rPr>
        <w:t xml:space="preserve"> which</w:t>
      </w:r>
      <w:proofErr w:type="gramEnd"/>
      <w:r w:rsidR="008415CA">
        <w:rPr>
          <w:rFonts w:eastAsiaTheme="minorEastAsia"/>
        </w:rPr>
        <w:t xml:space="preserve"> includes fecundity as well as growth and survival.</w:t>
      </w:r>
      <w:r w:rsidR="006152D3">
        <w:rPr>
          <w:rFonts w:eastAsiaTheme="minorEastAsia"/>
        </w:rPr>
        <w:t xml:space="preserve"> </w:t>
      </w:r>
      <w:r w:rsidR="00C83A6E">
        <w:rPr>
          <w:rFonts w:eastAsiaTheme="minorEastAsia"/>
        </w:rPr>
        <w:t xml:space="preserve">The elements of this matrix are a function of the parameters for the survival, growth, and fecundity functions and the </w:t>
      </w:r>
      <w:r w:rsidR="00093900">
        <w:rPr>
          <w:rFonts w:eastAsiaTheme="minorEastAsia"/>
        </w:rPr>
        <w:t xml:space="preserve">data describing </w:t>
      </w:r>
      <w:r w:rsidR="00C83A6E">
        <w:rPr>
          <w:rFonts w:eastAsiaTheme="minorEastAsia"/>
        </w:rPr>
        <w:t xml:space="preserve">plot-specific covariates, as described below. </w:t>
      </w:r>
      <w:r w:rsidR="006152D3">
        <w:rPr>
          <w:rFonts w:eastAsiaTheme="minorEastAsia"/>
        </w:rPr>
        <w:t xml:space="preserve">A separate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j,*</m:t>
            </m:r>
            <m:r>
              <m:rPr>
                <m:sty m:val="bi"/>
              </m:rPr>
              <w:rPr>
                <w:rFonts w:ascii="Cambria Math" w:hAnsi="Cambria Math"/>
              </w:rPr>
              <m:t>,*</m:t>
            </m:r>
          </m:sub>
        </m:sSub>
        <m:r>
          <m:rPr>
            <m:sty m:val="bi"/>
          </m:rPr>
          <w:rPr>
            <w:rFonts w:ascii="Cambria Math" w:hAnsi="Cambria Math"/>
          </w:rPr>
          <m:t xml:space="preserve"> </m:t>
        </m:r>
      </m:oMath>
      <w:r w:rsidR="006152D3">
        <w:rPr>
          <w:rFonts w:eastAsiaTheme="minorEastAsia"/>
        </w:rPr>
        <w:t xml:space="preserve">exists for each plot </w:t>
      </w:r>
      <m:oMath>
        <m:r>
          <w:rPr>
            <w:rFonts w:ascii="Cambria Math" w:eastAsiaTheme="minorEastAsia" w:hAnsi="Cambria Math"/>
          </w:rPr>
          <m:t>j</m:t>
        </m:r>
      </m:oMath>
      <w:r w:rsidR="006152D3">
        <w:rPr>
          <w:rFonts w:eastAsiaTheme="minorEastAsia"/>
        </w:rPr>
        <w:t>.</w:t>
      </w:r>
      <w:r w:rsidR="008415CA">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j,*</m:t>
            </m:r>
          </m:sub>
        </m:sSub>
      </m:oMath>
      <w:r w:rsidR="008415CA">
        <w:rPr>
          <w:rFonts w:eastAsiaTheme="minorEastAsia"/>
        </w:rPr>
        <w:t xml:space="preserve"> is the </w:t>
      </w:r>
      <m:oMath>
        <m:r>
          <w:rPr>
            <w:rFonts w:ascii="Cambria Math" w:eastAsiaTheme="minorEastAsia" w:hAnsi="Cambria Math"/>
          </w:rPr>
          <m:t>100×1</m:t>
        </m:r>
      </m:oMath>
      <w:r w:rsidR="008415CA">
        <w:rPr>
          <w:rFonts w:eastAsiaTheme="minorEastAsia"/>
        </w:rPr>
        <w:t xml:space="preserve"> vector giving the area-standardized occ</w:t>
      </w:r>
      <w:proofErr w:type="spellStart"/>
      <w:r w:rsidR="008415CA">
        <w:rPr>
          <w:rFonts w:eastAsiaTheme="minorEastAsia"/>
        </w:rPr>
        <w:t>urrence</w:t>
      </w:r>
      <w:proofErr w:type="spellEnd"/>
      <w:r w:rsidR="008415CA">
        <w:rPr>
          <w:rFonts w:eastAsiaTheme="minorEastAsia"/>
        </w:rPr>
        <w:t xml:space="preserve"> rates of individuals in each of the </w:t>
      </w:r>
      <w:r w:rsidR="00374BD9">
        <w:rPr>
          <w:rFonts w:eastAsiaTheme="minorEastAsia"/>
        </w:rPr>
        <w:t>100</w:t>
      </w:r>
      <w:r w:rsidR="008415CA">
        <w:rPr>
          <w:rFonts w:eastAsiaTheme="minorEastAsia"/>
        </w:rPr>
        <w:t xml:space="preserve"> size classes at </w:t>
      </w:r>
      <w:r w:rsidR="00374BD9">
        <w:rPr>
          <w:rFonts w:eastAsiaTheme="minorEastAsia"/>
        </w:rPr>
        <w:t>initial measurement</w:t>
      </w:r>
      <w:r w:rsidR="008415CA">
        <w:rPr>
          <w:rFonts w:eastAsiaTheme="minorEastAsia"/>
        </w:rPr>
        <w:t xml:space="preserve"> on plot </w:t>
      </w:r>
      <m:oMath>
        <m:r>
          <w:rPr>
            <w:rFonts w:ascii="Cambria Math" w:eastAsiaTheme="minorEastAsia" w:hAnsi="Cambria Math"/>
          </w:rPr>
          <m:t>j</m:t>
        </m:r>
      </m:oMath>
      <w:r w:rsidR="00093900">
        <w:rPr>
          <w:rFonts w:eastAsiaTheme="minorEastAsia"/>
        </w:rPr>
        <w:t xml:space="preserve">, which are observed </w:t>
      </w:r>
      <w:proofErr w:type="gramStart"/>
      <w:r w:rsidR="00093900">
        <w:rPr>
          <w:rFonts w:eastAsiaTheme="minorEastAsia"/>
        </w:rPr>
        <w:t>data.</w:t>
      </w:r>
      <w:proofErr w:type="gramEnd"/>
      <w:r w:rsidR="008415CA">
        <w:rPr>
          <w:rFonts w:eastAsiaTheme="minorEastAsia"/>
        </w:rPr>
        <w:t xml:space="preserve"> The elements of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j,*</m:t>
            </m:r>
            <m:r>
              <m:rPr>
                <m:sty m:val="bi"/>
              </m:rPr>
              <w:rPr>
                <w:rFonts w:ascii="Cambria Math" w:hAnsi="Cambria Math"/>
              </w:rPr>
              <m:t>,*</m:t>
            </m:r>
          </m:sub>
        </m:sSub>
      </m:oMath>
      <w:r w:rsidR="008415CA">
        <w:rPr>
          <w:rFonts w:eastAsiaTheme="minorEastAsia"/>
        </w:rPr>
        <w:t xml:space="preserve">for each plot </w:t>
      </w:r>
      <m:oMath>
        <m:r>
          <w:rPr>
            <w:rFonts w:ascii="Cambria Math" w:eastAsiaTheme="minorEastAsia" w:hAnsi="Cambria Math"/>
          </w:rPr>
          <m:t>j</m:t>
        </m:r>
      </m:oMath>
      <w:r w:rsidR="008415CA">
        <w:rPr>
          <w:rFonts w:eastAsiaTheme="minorEastAsia"/>
        </w:rPr>
        <w:t xml:space="preserve"> are given by:</w:t>
      </w:r>
    </w:p>
    <w:p w14:paraId="0D02CBA6" w14:textId="744EE78D" w:rsidR="00EB1B4C" w:rsidRDefault="00EB1B4C" w:rsidP="00EB1B4C">
      <w:pPr>
        <w:pStyle w:val="Caption"/>
        <w:keepNext/>
      </w:pPr>
      <w:r>
        <w:t xml:space="preserve">Equation </w:t>
      </w:r>
      <w:r w:rsidR="007B669E">
        <w:fldChar w:fldCharType="begin"/>
      </w:r>
      <w:r w:rsidR="007B669E">
        <w:instrText xml:space="preserve"> SEQ Equation \* ARABIC </w:instrText>
      </w:r>
      <w:r w:rsidR="007B669E">
        <w:fldChar w:fldCharType="separate"/>
      </w:r>
      <w:r w:rsidR="00D73B16">
        <w:rPr>
          <w:noProof/>
        </w:rPr>
        <w:t>7</w:t>
      </w:r>
      <w:r w:rsidR="007B669E">
        <w:rPr>
          <w:noProof/>
        </w:rPr>
        <w:fldChar w:fldCharType="end"/>
      </w:r>
    </w:p>
    <w:p w14:paraId="452449EA" w14:textId="70B83413" w:rsidR="008415CA" w:rsidRPr="007B3DC9" w:rsidRDefault="007B669E" w:rsidP="00E01957">
      <w:pPr>
        <w:spacing w:line="360" w:lineRule="auto"/>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j,u,v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j,v</m:t>
              </m:r>
            </m:sub>
          </m:sSub>
        </m:oMath>
      </m:oMathPara>
    </w:p>
    <w:p w14:paraId="4DE25905" w14:textId="1C9B94A0" w:rsidR="009A6AAC" w:rsidRDefault="007B3DC9" w:rsidP="00E01957">
      <w:pPr>
        <w:spacing w:line="360" w:lineRule="auto"/>
        <w:rPr>
          <w:rFonts w:eastAsiaTheme="minorEastAsia"/>
        </w:rPr>
      </w:pPr>
      <w:r>
        <w:rPr>
          <w:rFonts w:eastAsiaTheme="minorEastAsia"/>
        </w:rPr>
        <w:tab/>
      </w:r>
      <w:r w:rsidR="00CA6E7F">
        <w:rPr>
          <w:rFonts w:eastAsiaTheme="minorEastAsia"/>
        </w:rPr>
        <w:t>w</w:t>
      </w:r>
      <w:commentRangeStart w:id="36"/>
      <w:r>
        <w:rPr>
          <w:rFonts w:eastAsiaTheme="minorEastAsia"/>
        </w:rPr>
        <w:t>here</w:t>
      </w:r>
      <w:commentRangeEnd w:id="36"/>
      <w:r w:rsidR="00DA5840">
        <w:rPr>
          <w:rStyle w:val="CommentReference"/>
        </w:rPr>
        <w:commentReference w:id="36"/>
      </w:r>
      <w:r w:rsidR="006E754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oMath>
      <w:r>
        <w:rPr>
          <w:rFonts w:eastAsiaTheme="minorEastAsia"/>
        </w:rPr>
        <w:t xml:space="preserve"> </w:t>
      </w:r>
      <w:r w:rsidR="006E754A">
        <w:rPr>
          <w:rFonts w:eastAsiaTheme="minorEastAsia"/>
        </w:rPr>
        <w:t xml:space="preserve">is the proportion of surviving individuals in class </w:t>
      </w:r>
      <m:oMath>
        <m:r>
          <w:rPr>
            <w:rFonts w:ascii="Cambria Math" w:eastAsiaTheme="minorEastAsia" w:hAnsi="Cambria Math"/>
          </w:rPr>
          <m:t>v</m:t>
        </m:r>
      </m:oMath>
      <w:r w:rsidR="006E754A">
        <w:rPr>
          <w:rFonts w:eastAsiaTheme="minorEastAsia"/>
        </w:rPr>
        <w:t xml:space="preserve"> which grow into class </w:t>
      </w:r>
      <m:oMath>
        <m:r>
          <w:rPr>
            <w:rFonts w:ascii="Cambria Math" w:eastAsiaTheme="minorEastAsia" w:hAnsi="Cambria Math"/>
          </w:rPr>
          <m:t>u</m:t>
        </m:r>
      </m:oMath>
      <w:r w:rsidR="006E754A">
        <w:rPr>
          <w:rFonts w:eastAsiaTheme="minorEastAsia"/>
        </w:rPr>
        <w:t xml:space="preserve"> during the census interval</w:t>
      </w:r>
      <w:r w:rsidR="006456A1">
        <w:rPr>
          <w:rFonts w:eastAsiaTheme="minorEastAsia"/>
        </w:rPr>
        <w:t xml:space="preserve"> on plot </w:t>
      </w:r>
      <m:oMath>
        <m:r>
          <w:rPr>
            <w:rFonts w:ascii="Cambria Math" w:eastAsiaTheme="minorEastAsia" w:hAnsi="Cambria Math"/>
          </w:rPr>
          <m:t>j</m:t>
        </m:r>
      </m:oMath>
      <w:r>
        <w:rPr>
          <w:rFonts w:eastAsiaTheme="minorEastAsia"/>
        </w:rPr>
        <w:t>,</w:t>
      </w:r>
      <w:r w:rsidR="00A2737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j,v</m:t>
            </m:r>
          </m:sub>
        </m:sSub>
      </m:oMath>
      <w:r w:rsidR="00A27379">
        <w:rPr>
          <w:rFonts w:eastAsiaTheme="minorEastAsia"/>
        </w:rPr>
        <w:t xml:space="preserve"> is the probability that an individual in size class </w:t>
      </w:r>
      <m:oMath>
        <m:r>
          <w:rPr>
            <w:rFonts w:ascii="Cambria Math" w:eastAsiaTheme="minorEastAsia" w:hAnsi="Cambria Math"/>
          </w:rPr>
          <m:t>v</m:t>
        </m:r>
      </m:oMath>
      <w:r w:rsidR="00A27379">
        <w:rPr>
          <w:rFonts w:eastAsiaTheme="minorEastAsia"/>
        </w:rPr>
        <w:t xml:space="preserve"> will survive the 10-year census interval</w:t>
      </w:r>
      <w:r w:rsidR="006456A1">
        <w:rPr>
          <w:rFonts w:eastAsiaTheme="minorEastAsia"/>
        </w:rPr>
        <w:t xml:space="preserve"> on plot </w:t>
      </w:r>
      <m:oMath>
        <m:r>
          <w:rPr>
            <w:rFonts w:ascii="Cambria Math" w:eastAsiaTheme="minorEastAsia" w:hAnsi="Cambria Math"/>
          </w:rPr>
          <m:t>j</m:t>
        </m:r>
      </m:oMath>
      <w:r w:rsidR="00A27379">
        <w:rPr>
          <w:rFonts w:eastAsiaTheme="minorEastAsia"/>
        </w:rPr>
        <w:t>,</w:t>
      </w:r>
      <w:r w:rsidR="000A548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sidR="000A5484">
        <w:rPr>
          <w:rFonts w:eastAsiaTheme="minorEastAsia"/>
        </w:rPr>
        <w:t xml:space="preserve"> is the probability that a new recruit will transition into size class </w:t>
      </w:r>
      <m:oMath>
        <m:r>
          <w:rPr>
            <w:rFonts w:ascii="Cambria Math" w:eastAsiaTheme="minorEastAsia" w:hAnsi="Cambria Math"/>
          </w:rPr>
          <m:t>u</m:t>
        </m:r>
      </m:oMath>
      <w:r w:rsidR="000A5484">
        <w:rPr>
          <w:rFonts w:eastAsiaTheme="minorEastAsia"/>
        </w:rPr>
        <w:t xml:space="preserve"> by </w:t>
      </w:r>
      <w:r w:rsidR="006F2ABD">
        <w:rPr>
          <w:rFonts w:eastAsiaTheme="minorEastAsia"/>
        </w:rPr>
        <w:t>the end of the 10 year interval</w:t>
      </w:r>
      <w:r w:rsidR="000A548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j,v</m:t>
            </m:r>
          </m:sub>
        </m:sSub>
      </m:oMath>
      <w:r w:rsidR="000A5484">
        <w:rPr>
          <w:rFonts w:eastAsiaTheme="minorEastAsia"/>
        </w:rPr>
        <w:t xml:space="preserve"> is the number of new recruits generated per existing </w:t>
      </w:r>
      <w:commentRangeStart w:id="37"/>
      <w:r w:rsidR="000A5484">
        <w:rPr>
          <w:rFonts w:eastAsiaTheme="minorEastAsia"/>
        </w:rPr>
        <w:t xml:space="preserve">individual in size class </w:t>
      </w:r>
      <w:commentRangeEnd w:id="37"/>
      <w:r w:rsidR="00FE1095">
        <w:rPr>
          <w:rStyle w:val="CommentReference"/>
        </w:rPr>
        <w:commentReference w:id="37"/>
      </w:r>
      <m:oMath>
        <m:r>
          <w:rPr>
            <w:rFonts w:ascii="Cambria Math" w:eastAsiaTheme="minorEastAsia" w:hAnsi="Cambria Math"/>
          </w:rPr>
          <m:t>v</m:t>
        </m:r>
      </m:oMath>
      <w:r w:rsidR="000A5484">
        <w:rPr>
          <w:rFonts w:eastAsiaTheme="minorEastAsia"/>
        </w:rPr>
        <w:t xml:space="preserve"> </w:t>
      </w:r>
      <w:r w:rsidR="006456A1">
        <w:rPr>
          <w:rFonts w:eastAsiaTheme="minorEastAsia"/>
        </w:rPr>
        <w:t xml:space="preserve">plot </w:t>
      </w:r>
      <m:oMath>
        <m:r>
          <w:rPr>
            <w:rFonts w:ascii="Cambria Math" w:eastAsiaTheme="minorEastAsia" w:hAnsi="Cambria Math"/>
          </w:rPr>
          <m:t>j</m:t>
        </m:r>
      </m:oMath>
      <w:r w:rsidR="00E23769">
        <w:rPr>
          <w:rFonts w:eastAsiaTheme="minorEastAsia"/>
        </w:rPr>
        <w:t xml:space="preserve"> (which we refer to as the fecundity, following Shriver et al. 2021</w:t>
      </w:r>
      <w:r w:rsidR="000A5484">
        <w:rPr>
          <w:rFonts w:eastAsiaTheme="minorEastAsia"/>
        </w:rPr>
        <w:t>).</w:t>
      </w:r>
    </w:p>
    <w:p w14:paraId="4A4F36DE" w14:textId="03BBEBE7" w:rsidR="007B3DC9" w:rsidRDefault="00851A3D" w:rsidP="00E92F0B">
      <w:pPr>
        <w:spacing w:line="360" w:lineRule="auto"/>
        <w:ind w:firstLine="720"/>
        <w:rPr>
          <w:rFonts w:eastAsiaTheme="minorEastAsia"/>
        </w:rPr>
      </w:pPr>
      <w:r>
        <w:rPr>
          <w:rFonts w:eastAsiaTheme="minorEastAsia"/>
        </w:rPr>
        <w:t>Following the recommendations of</w:t>
      </w:r>
      <w:r w:rsidR="00BF40EA">
        <w:rPr>
          <w:rFonts w:eastAsiaTheme="minorEastAsia"/>
        </w:rPr>
        <w:t xml:space="preserve"> </w:t>
      </w:r>
      <w:proofErr w:type="spellStart"/>
      <w:r w:rsidR="00BF40EA">
        <w:rPr>
          <w:rFonts w:eastAsiaTheme="minorEastAsia"/>
        </w:rPr>
        <w:t>Doak</w:t>
      </w:r>
      <w:proofErr w:type="spellEnd"/>
      <w:r w:rsidR="00BF40EA">
        <w:rPr>
          <w:rFonts w:eastAsiaTheme="minorEastAsia"/>
        </w:rPr>
        <w:t xml:space="preserve"> et al. (2021)</w:t>
      </w:r>
      <w:r>
        <w:rPr>
          <w:rFonts w:eastAsiaTheme="minorEastAsia"/>
        </w:rPr>
        <w:t xml:space="preserve">, the continuous growth kernel described in </w:t>
      </w:r>
      <w:r w:rsidR="00BF40EA">
        <w:rPr>
          <w:rFonts w:eastAsiaTheme="minorEastAsia"/>
        </w:rPr>
        <w:fldChar w:fldCharType="begin"/>
      </w:r>
      <w:r w:rsidR="00BF40EA">
        <w:rPr>
          <w:rFonts w:eastAsiaTheme="minorEastAsia"/>
        </w:rPr>
        <w:instrText xml:space="preserve"> REF _Ref104375706 \h </w:instrText>
      </w:r>
      <w:r w:rsidR="00BF40EA">
        <w:rPr>
          <w:rFonts w:eastAsiaTheme="minorEastAsia"/>
        </w:rPr>
      </w:r>
      <w:r w:rsidR="00BF40EA">
        <w:rPr>
          <w:rFonts w:eastAsiaTheme="minorEastAsia"/>
        </w:rPr>
        <w:fldChar w:fldCharType="separate"/>
      </w:r>
      <w:r w:rsidR="00BF40EA">
        <w:t xml:space="preserve">Equation </w:t>
      </w:r>
      <w:r w:rsidR="00BF40EA">
        <w:rPr>
          <w:noProof/>
        </w:rPr>
        <w:t>3</w:t>
      </w:r>
      <w:r w:rsidR="00BF40EA">
        <w:rPr>
          <w:rFonts w:eastAsiaTheme="minorEastAsia"/>
        </w:rPr>
        <w:fldChar w:fldCharType="end"/>
      </w:r>
      <w:r w:rsidR="00BF40EA">
        <w:rPr>
          <w:rFonts w:eastAsiaTheme="minorEastAsia"/>
        </w:rPr>
        <w:t xml:space="preserve"> </w:t>
      </w:r>
      <w:r>
        <w:rPr>
          <w:rFonts w:eastAsiaTheme="minorEastAsia"/>
        </w:rPr>
        <w:t xml:space="preserve">is discretized </w:t>
      </w:r>
      <w:r w:rsidR="007314F1">
        <w:rPr>
          <w:rFonts w:eastAsiaTheme="minorEastAsia"/>
        </w:rPr>
        <w:t xml:space="preserve">into size class transition probabilities </w:t>
      </w:r>
      <w:r w:rsidR="00C37C6B">
        <w:rPr>
          <w:rFonts w:eastAsiaTheme="minorEastAsia"/>
        </w:rPr>
        <w:t xml:space="preserve">using the cumulative density function difference method. That is,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oMath>
      <w:r w:rsidR="00093900">
        <w:rPr>
          <w:rFonts w:eastAsiaTheme="minorEastAsia"/>
        </w:rPr>
        <w:t xml:space="preserve"> is </w:t>
      </w:r>
      <w:r w:rsidR="00C37C6B">
        <w:rPr>
          <w:rFonts w:eastAsiaTheme="minorEastAsia"/>
        </w:rPr>
        <w:t>the probability that an individual</w:t>
      </w:r>
      <w:r w:rsidR="006456A1">
        <w:rPr>
          <w:rFonts w:eastAsiaTheme="minorEastAsia"/>
        </w:rPr>
        <w:t xml:space="preserve"> on plot </w:t>
      </w:r>
      <m:oMath>
        <m:r>
          <w:rPr>
            <w:rFonts w:ascii="Cambria Math" w:eastAsiaTheme="minorEastAsia" w:hAnsi="Cambria Math"/>
          </w:rPr>
          <m:t>j</m:t>
        </m:r>
      </m:oMath>
      <w:r w:rsidR="00C37C6B">
        <w:rPr>
          <w:rFonts w:eastAsiaTheme="minorEastAsia"/>
        </w:rPr>
        <w:t xml:space="preserve"> with DBH equal to the midpoint of size class </w:t>
      </w:r>
      <m:oMath>
        <m:r>
          <w:rPr>
            <w:rFonts w:ascii="Cambria Math" w:eastAsiaTheme="minorEastAsia" w:hAnsi="Cambria Math"/>
          </w:rPr>
          <m:t>v</m:t>
        </m:r>
      </m:oMath>
      <w:r w:rsidR="00C37C6B">
        <w:rPr>
          <w:rFonts w:eastAsiaTheme="minorEastAsia"/>
        </w:rPr>
        <w:t xml:space="preserve"> will have a DBH at remeasurement somewhere between the upper and lower bounds of size class </w:t>
      </w:r>
      <m:oMath>
        <m:r>
          <w:rPr>
            <w:rFonts w:ascii="Cambria Math" w:eastAsiaTheme="minorEastAsia" w:hAnsi="Cambria Math"/>
          </w:rPr>
          <m:t>u</m:t>
        </m:r>
      </m:oMath>
      <w:r w:rsidR="00093900">
        <w:rPr>
          <w:rFonts w:eastAsiaTheme="minorEastAsia"/>
        </w:rPr>
        <w:t xml:space="preserve">, and </w:t>
      </w:r>
      <w:r w:rsidR="0027112C">
        <w:rPr>
          <w:rFonts w:eastAsiaTheme="minorEastAsia"/>
        </w:rPr>
        <w:t>is given by:</w:t>
      </w:r>
    </w:p>
    <w:p w14:paraId="16D438D1" w14:textId="44F77D2C" w:rsidR="00EB1B4C" w:rsidRDefault="00EB1B4C" w:rsidP="00EB1B4C">
      <w:pPr>
        <w:pStyle w:val="Caption"/>
        <w:keepNext/>
      </w:pPr>
      <w:bookmarkStart w:id="38" w:name="_Ref93582027"/>
      <w:commentRangeStart w:id="39"/>
      <w:r>
        <w:t>Equation</w:t>
      </w:r>
      <w:commentRangeEnd w:id="39"/>
      <w:r w:rsidR="00FE1095">
        <w:rPr>
          <w:rStyle w:val="CommentReference"/>
          <w:i w:val="0"/>
          <w:iCs w:val="0"/>
          <w:color w:val="auto"/>
        </w:rPr>
        <w:commentReference w:id="39"/>
      </w:r>
      <w:r>
        <w:t xml:space="preserve"> </w:t>
      </w:r>
      <w:r w:rsidR="007B669E">
        <w:fldChar w:fldCharType="begin"/>
      </w:r>
      <w:r w:rsidR="007B669E">
        <w:instrText xml:space="preserve"> SEQ Equation \* ARABIC </w:instrText>
      </w:r>
      <w:r w:rsidR="007B669E">
        <w:fldChar w:fldCharType="separate"/>
      </w:r>
      <w:r w:rsidR="00D73B16">
        <w:rPr>
          <w:noProof/>
        </w:rPr>
        <w:t>8</w:t>
      </w:r>
      <w:r w:rsidR="007B669E">
        <w:rPr>
          <w:noProof/>
        </w:rPr>
        <w:fldChar w:fldCharType="end"/>
      </w:r>
      <w:bookmarkEnd w:id="38"/>
    </w:p>
    <w:p w14:paraId="36A0526C" w14:textId="36050D21" w:rsidR="0027112C" w:rsidRPr="00860357" w:rsidRDefault="007B669E" w:rsidP="00E01957">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num>
                    <m:den>
                      <m:r>
                        <w:rPr>
                          <w:rFonts w:ascii="Cambria Math" w:eastAsiaTheme="minorEastAsia" w:hAnsi="Cambria Math"/>
                        </w:rPr>
                        <m:t>1-</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den>
                  </m:f>
                  <m:r>
                    <w:rPr>
                      <w:rFonts w:ascii="Cambria Math" w:hAnsi="Cambria Math"/>
                    </w:rPr>
                    <m:t>,  &amp;v=1</m:t>
                  </m:r>
                </m:e>
                <m:e>
                  <m:r>
                    <w:rPr>
                      <w:rFonts w:ascii="Cambria Math" w:hAnsi="Cambria Math"/>
                    </w:rPr>
                    <m:t>0,  &amp;v&gt;1</m:t>
                  </m:r>
                </m:e>
              </m:eqArr>
            </m:e>
          </m:d>
        </m:oMath>
      </m:oMathPara>
    </w:p>
    <w:p w14:paraId="75E6ADC5" w14:textId="66CEAA4D" w:rsidR="009A6AAC" w:rsidRDefault="00860357" w:rsidP="00E01957">
      <w:pPr>
        <w:spacing w:line="360" w:lineRule="auto"/>
        <w:rPr>
          <w:rFonts w:eastAsiaTheme="minorEastAsia"/>
        </w:rPr>
      </w:pPr>
      <w:r>
        <w:rPr>
          <w:rFonts w:eastAsiaTheme="minorEastAsia"/>
        </w:rPr>
        <w:tab/>
      </w:r>
      <w:r w:rsidR="00CA6E7F">
        <w:rPr>
          <w:rFonts w:eastAsiaTheme="minorEastAsia"/>
        </w:rPr>
        <w:t>w</w:t>
      </w:r>
      <w:commentRangeStart w:id="40"/>
      <w:r>
        <w:rPr>
          <w:rFonts w:eastAsiaTheme="minorEastAsia"/>
        </w:rPr>
        <w:t>here</w:t>
      </w:r>
      <w:commentRangeEnd w:id="40"/>
      <w:r w:rsidR="00DA5840">
        <w:rPr>
          <w:rStyle w:val="CommentReference"/>
        </w:rPr>
        <w:commentReference w:id="40"/>
      </w:r>
      <w:r>
        <w:rPr>
          <w:rFonts w:eastAsiaTheme="minorEastAsia"/>
        </w:rPr>
        <w:t xml:space="preserve"> </w:t>
      </w:r>
      <m:oMath>
        <m:r>
          <m:rPr>
            <m:sty m:val="p"/>
          </m:rPr>
          <w:rPr>
            <w:rFonts w:ascii="Cambria Math" w:eastAsiaTheme="minorEastAsia" w:hAnsi="Cambria Math"/>
          </w:rPr>
          <m:t>Φ</m:t>
        </m:r>
      </m:oMath>
      <w:r>
        <w:rPr>
          <w:rFonts w:eastAsiaTheme="minorEastAsia"/>
        </w:rPr>
        <w:t xml:space="preserve"> is the cumulative probability density </w:t>
      </w:r>
      <w:r w:rsidR="008F0ED0">
        <w:rPr>
          <w:rFonts w:eastAsiaTheme="minorEastAsia"/>
        </w:rPr>
        <w:t xml:space="preserve">function </w:t>
      </w:r>
      <w:r>
        <w:rPr>
          <w:rFonts w:eastAsiaTheme="minorEastAsia"/>
        </w:rPr>
        <w:t xml:space="preserve">of a normal distribution with mean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oMath>
      <w:r>
        <w:rPr>
          <w:rFonts w:eastAsiaTheme="minorEastAsia"/>
        </w:rPr>
        <w:t xml:space="preserve"> and variance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sidR="00483267">
        <w:rPr>
          <w:rFonts w:eastAsiaTheme="minorEastAsia"/>
        </w:rPr>
        <w:t xml:space="preserve"> evaluated at the upper bound of size class </w:t>
      </w:r>
      <m:oMath>
        <m:r>
          <w:rPr>
            <w:rFonts w:ascii="Cambria Math" w:eastAsiaTheme="minorEastAsia" w:hAnsi="Cambria Math"/>
          </w:rPr>
          <m:t>u</m:t>
        </m:r>
      </m:oMath>
      <w:r w:rsidR="00483267">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oMath>
      <w:r w:rsidR="00483267">
        <w:rPr>
          <w:rFonts w:eastAsiaTheme="minorEastAsia"/>
        </w:rPr>
        <w:t xml:space="preserve">), the lower bound of size class </w:t>
      </w:r>
      <m:oMath>
        <m:r>
          <w:rPr>
            <w:rFonts w:ascii="Cambria Math" w:eastAsiaTheme="minorEastAsia" w:hAnsi="Cambria Math"/>
          </w:rPr>
          <m:t>u</m:t>
        </m:r>
      </m:oMath>
      <w:r w:rsidR="00483267">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oMath>
      <w:r w:rsidR="00483267">
        <w:rPr>
          <w:rFonts w:eastAsiaTheme="minorEastAsia"/>
        </w:rPr>
        <w:t>),</w:t>
      </w:r>
      <w:r w:rsidR="00A320BF">
        <w:rPr>
          <w:rFonts w:eastAsiaTheme="minorEastAsia"/>
        </w:rPr>
        <w:t xml:space="preserve"> or</w:t>
      </w:r>
      <w:r w:rsidR="00483267">
        <w:rPr>
          <w:rFonts w:eastAsiaTheme="minorEastAsia"/>
        </w:rPr>
        <w:t xml:space="preserve"> 0</w:t>
      </w:r>
      <w:r w:rsidR="00277C16">
        <w:rPr>
          <w:rFonts w:eastAsiaTheme="minorEastAsia"/>
        </w:rPr>
        <w:t xml:space="preserve"> (the minimum possible size)</w:t>
      </w:r>
      <w:r w:rsidR="00483267">
        <w:rPr>
          <w:rFonts w:eastAsiaTheme="minorEastAsia"/>
        </w:rPr>
        <w:t xml:space="preserve">. </w:t>
      </w:r>
      <w:r w:rsidR="00277C16">
        <w:rPr>
          <w:rFonts w:eastAsiaTheme="minorEastAsia"/>
        </w:rPr>
        <w:t xml:space="preserve">This is an exact method for calculating the area under the probability density function for the growth kernel and normalizing it by that portion of the kernel which is in the modeled size range.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 xml:space="preserve"> </m:t>
        </m:r>
      </m:oMath>
      <w:r w:rsidR="00483267">
        <w:rPr>
          <w:rFonts w:eastAsiaTheme="minorEastAsia"/>
        </w:rPr>
        <w:t>is c</w:t>
      </w:r>
      <w:proofErr w:type="spellStart"/>
      <w:r w:rsidR="00EB1B4C">
        <w:rPr>
          <w:rFonts w:eastAsiaTheme="minorEastAsia"/>
        </w:rPr>
        <w:t>alculated</w:t>
      </w:r>
      <w:proofErr w:type="spellEnd"/>
      <w:r w:rsidR="00400795">
        <w:rPr>
          <w:rFonts w:eastAsiaTheme="minorEastAsia"/>
        </w:rPr>
        <w:t xml:space="preserve"> for each plot </w:t>
      </w:r>
      <m:oMath>
        <m:r>
          <w:rPr>
            <w:rFonts w:ascii="Cambria Math" w:eastAsiaTheme="minorEastAsia" w:hAnsi="Cambria Math"/>
          </w:rPr>
          <m:t>j</m:t>
        </m:r>
      </m:oMath>
      <w:r w:rsidR="00EB1B4C">
        <w:rPr>
          <w:rFonts w:eastAsiaTheme="minorEastAsia"/>
        </w:rPr>
        <w:t xml:space="preserve"> </w:t>
      </w:r>
      <w:r w:rsidR="009A6AAC">
        <w:rPr>
          <w:rFonts w:eastAsiaTheme="minorEastAsia"/>
        </w:rPr>
        <w:t xml:space="preserve">and size class </w:t>
      </w:r>
      <m:oMath>
        <m:r>
          <w:rPr>
            <w:rFonts w:ascii="Cambria Math" w:eastAsiaTheme="minorEastAsia" w:hAnsi="Cambria Math"/>
          </w:rPr>
          <m:t>v</m:t>
        </m:r>
      </m:oMath>
      <w:r w:rsidR="009A6AAC">
        <w:rPr>
          <w:rFonts w:eastAsiaTheme="minorEastAsia"/>
        </w:rPr>
        <w:t xml:space="preserve"> </w:t>
      </w:r>
      <w:r w:rsidR="00EB1B4C">
        <w:rPr>
          <w:rFonts w:eastAsiaTheme="minorEastAsia"/>
        </w:rPr>
        <w:t xml:space="preserve">from </w:t>
      </w:r>
      <w:r w:rsidR="00005093">
        <w:rPr>
          <w:rFonts w:eastAsiaTheme="minorEastAsia"/>
        </w:rPr>
        <w:fldChar w:fldCharType="begin"/>
      </w:r>
      <w:r w:rsidR="00005093">
        <w:rPr>
          <w:rFonts w:eastAsiaTheme="minorEastAsia"/>
        </w:rPr>
        <w:instrText xml:space="preserve"> REF _Ref93578923 \h </w:instrText>
      </w:r>
      <w:r w:rsidR="00005093">
        <w:rPr>
          <w:rFonts w:eastAsiaTheme="minorEastAsia"/>
        </w:rPr>
      </w:r>
      <w:r w:rsidR="00005093">
        <w:rPr>
          <w:rFonts w:eastAsiaTheme="minorEastAsia"/>
        </w:rPr>
        <w:fldChar w:fldCharType="separate"/>
      </w:r>
      <w:r w:rsidR="00005093">
        <w:t xml:space="preserve">Equation </w:t>
      </w:r>
      <w:r w:rsidR="00005093">
        <w:rPr>
          <w:noProof/>
        </w:rPr>
        <w:t>4</w:t>
      </w:r>
      <w:r w:rsidR="00005093">
        <w:rPr>
          <w:rFonts w:eastAsiaTheme="minorEastAsia"/>
        </w:rPr>
        <w:fldChar w:fldCharType="end"/>
      </w:r>
      <w:r w:rsidR="00005093">
        <w:rPr>
          <w:rFonts w:eastAsiaTheme="minorEastAsia"/>
        </w:rPr>
        <w:t xml:space="preserve"> using </w:t>
      </w:r>
      <w:r w:rsidR="009A6AAC">
        <w:rPr>
          <w:rFonts w:eastAsiaTheme="minorEastAsia"/>
        </w:rPr>
        <w:t xml:space="preserve">the </w:t>
      </w:r>
      <w:r w:rsidR="009A6AAC">
        <w:rPr>
          <w:rFonts w:eastAsiaTheme="minorEastAsia"/>
        </w:rPr>
        <w:lastRenderedPageBreak/>
        <w:t xml:space="preserve">midpoint DBH of size class </w:t>
      </w:r>
      <m:oMath>
        <m:r>
          <w:rPr>
            <w:rFonts w:ascii="Cambria Math" w:eastAsiaTheme="minorEastAsia" w:hAnsi="Cambria Math"/>
          </w:rPr>
          <m:t>v</m:t>
        </m:r>
      </m:oMath>
      <w:r w:rsidR="000948BA">
        <w:rPr>
          <w:rFonts w:eastAsiaTheme="minorEastAsia"/>
        </w:rPr>
        <w:t xml:space="preserve"> and the environmental covariates associated with plot </w:t>
      </w:r>
      <m:oMath>
        <m:r>
          <w:rPr>
            <w:rFonts w:ascii="Cambria Math" w:eastAsiaTheme="minorEastAsia" w:hAnsi="Cambria Math"/>
          </w:rPr>
          <m:t>j</m:t>
        </m:r>
      </m:oMath>
      <w:r w:rsidR="000948BA">
        <w:rPr>
          <w:rFonts w:eastAsiaTheme="minorEastAsia"/>
        </w:rPr>
        <w:t>. Note that because we are mod</w:t>
      </w:r>
      <w:proofErr w:type="spellStart"/>
      <w:r w:rsidR="000948BA">
        <w:rPr>
          <w:rFonts w:eastAsiaTheme="minorEastAsia"/>
        </w:rPr>
        <w:t>elling</w:t>
      </w:r>
      <w:proofErr w:type="spellEnd"/>
      <w:r w:rsidR="000948BA">
        <w:rPr>
          <w:rFonts w:eastAsiaTheme="minorEastAsia"/>
        </w:rPr>
        <w:t xml:space="preserve"> the count of untagged individuals, which by the sampling design must have been in size class 1 at initial measurement, there are no untagged individuals growing from other size classes into size class 1, so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r>
          <w:rPr>
            <w:rFonts w:ascii="Cambria Math" w:eastAsiaTheme="minorEastAsia" w:hAnsi="Cambria Math"/>
          </w:rPr>
          <m:t>=0</m:t>
        </m:r>
      </m:oMath>
      <w:r w:rsidR="000948BA">
        <w:rPr>
          <w:rFonts w:eastAsiaTheme="minorEastAsia"/>
        </w:rPr>
        <w:t xml:space="preserve"> when </w:t>
      </w:r>
      <m:oMath>
        <m:r>
          <w:rPr>
            <w:rFonts w:ascii="Cambria Math" w:eastAsiaTheme="minorEastAsia" w:hAnsi="Cambria Math"/>
          </w:rPr>
          <m:t>v&gt;1</m:t>
        </m:r>
      </m:oMath>
      <w:r w:rsidR="000948BA">
        <w:rPr>
          <w:rFonts w:eastAsiaTheme="minorEastAsia"/>
        </w:rPr>
        <w:t xml:space="preserve">. </w:t>
      </w:r>
    </w:p>
    <w:p w14:paraId="67D5CEB0" w14:textId="4D00BE64" w:rsidR="00B9336D" w:rsidRDefault="00400795" w:rsidP="009A6AAC">
      <w:pPr>
        <w:spacing w:line="360" w:lineRule="auto"/>
        <w:ind w:firstLine="720"/>
        <w:rPr>
          <w:rFonts w:eastAsiaTheme="minorEastAsia"/>
        </w:rPr>
      </w:pPr>
      <w:r>
        <w:rPr>
          <w:rFonts w:eastAsiaTheme="minorEastAsia"/>
        </w:rPr>
        <w:t xml:space="preserve">Likewise,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j,v</m:t>
            </m:r>
          </m:sub>
        </m:sSub>
      </m:oMath>
      <w:r>
        <w:rPr>
          <w:rFonts w:eastAsiaTheme="minorEastAsia"/>
        </w:rPr>
        <w:t xml:space="preserve"> is calculated using </w:t>
      </w:r>
      <w:r>
        <w:rPr>
          <w:rFonts w:eastAsiaTheme="minorEastAsia"/>
        </w:rPr>
        <w:fldChar w:fldCharType="begin"/>
      </w:r>
      <w:r>
        <w:rPr>
          <w:rFonts w:eastAsiaTheme="minorEastAsia"/>
        </w:rPr>
        <w:instrText xml:space="preserve"> REF _Ref93579342 \h </w:instrText>
      </w:r>
      <w:r>
        <w:rPr>
          <w:rFonts w:eastAsiaTheme="minorEastAsia"/>
        </w:rPr>
      </w:r>
      <w:r>
        <w:rPr>
          <w:rFonts w:eastAsiaTheme="minorEastAsia"/>
        </w:rPr>
        <w:fldChar w:fldCharType="separate"/>
      </w:r>
      <w:r>
        <w:t xml:space="preserve">Equation </w:t>
      </w:r>
      <w:r>
        <w:rPr>
          <w:noProof/>
        </w:rPr>
        <w:t>2</w:t>
      </w:r>
      <w:r>
        <w:rPr>
          <w:rFonts w:eastAsiaTheme="minorEastAsia"/>
        </w:rPr>
        <w:fldChar w:fldCharType="end"/>
      </w:r>
      <w:r>
        <w:rPr>
          <w:rFonts w:eastAsiaTheme="minorEastAsia"/>
        </w:rPr>
        <w:t xml:space="preserve"> to predict the survival of an individual </w:t>
      </w:r>
      <w:r w:rsidR="00A27379">
        <w:rPr>
          <w:rFonts w:eastAsiaTheme="minorEastAsia"/>
        </w:rPr>
        <w:t xml:space="preserve">whose DBH is equal to the midpoint of size class </w:t>
      </w:r>
      <m:oMath>
        <m:r>
          <w:rPr>
            <w:rFonts w:ascii="Cambria Math" w:eastAsiaTheme="minorEastAsia" w:hAnsi="Cambria Math"/>
          </w:rPr>
          <m:t>v</m:t>
        </m:r>
      </m:oMath>
      <w:r>
        <w:rPr>
          <w:rFonts w:eastAsiaTheme="minorEastAsia"/>
        </w:rPr>
        <w:t xml:space="preserve"> on plot </w:t>
      </w:r>
      <m:oMath>
        <m:r>
          <w:rPr>
            <w:rFonts w:ascii="Cambria Math" w:eastAsiaTheme="minorEastAsia" w:hAnsi="Cambria Math"/>
          </w:rPr>
          <m:t>j</m:t>
        </m:r>
      </m:oMath>
      <w:r>
        <w:rPr>
          <w:rFonts w:eastAsiaTheme="minorEastAsia"/>
        </w:rPr>
        <w:t xml:space="preserve">. </w:t>
      </w:r>
      <w:commentRangeStart w:id="41"/>
      <w:r w:rsidR="00B21325">
        <w:rPr>
          <w:rFonts w:eastAsiaTheme="minorEastAsia"/>
        </w:rPr>
        <w:t>Shriver et al</w:t>
      </w:r>
      <w:commentRangeEnd w:id="41"/>
      <w:r w:rsidR="007108F6">
        <w:rPr>
          <w:rStyle w:val="CommentReference"/>
        </w:rPr>
        <w:commentReference w:id="41"/>
      </w:r>
      <w:r w:rsidR="00B21325">
        <w:rPr>
          <w:rFonts w:eastAsiaTheme="minorEastAsia"/>
        </w:rPr>
        <w:t>.</w:t>
      </w:r>
      <w:r w:rsidR="002821CE">
        <w:rPr>
          <w:rFonts w:eastAsiaTheme="minorEastAsia"/>
        </w:rPr>
        <w:t xml:space="preserve"> (2021)</w:t>
      </w:r>
      <w:r w:rsidR="00B21325">
        <w:rPr>
          <w:rFonts w:eastAsiaTheme="minorEastAsia"/>
        </w:rPr>
        <w:t xml:space="preserve"> estimated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sidR="00B21325">
        <w:rPr>
          <w:rFonts w:eastAsiaTheme="minorEastAsia"/>
        </w:rPr>
        <w:t xml:space="preserve"> using a normalized gaussian </w:t>
      </w:r>
      <w:r w:rsidR="005D180E">
        <w:rPr>
          <w:rFonts w:eastAsiaTheme="minorEastAsia"/>
        </w:rPr>
        <w:t>kernel but</w:t>
      </w:r>
      <w:r w:rsidR="00B21325">
        <w:rPr>
          <w:rFonts w:eastAsiaTheme="minorEastAsia"/>
        </w:rPr>
        <w:t xml:space="preserve"> had difficulty estimating the mean and variance of this recruit size kernel. </w:t>
      </w:r>
      <w:r w:rsidR="00A27379">
        <w:rPr>
          <w:rFonts w:eastAsiaTheme="minorEastAsia"/>
        </w:rPr>
        <w:t>During m</w:t>
      </w:r>
      <w:r w:rsidR="008E09B2">
        <w:rPr>
          <w:rFonts w:eastAsiaTheme="minorEastAsia"/>
        </w:rPr>
        <w:t>odel testing for this study</w:t>
      </w:r>
      <w:r w:rsidR="00A27379">
        <w:rPr>
          <w:rFonts w:eastAsiaTheme="minorEastAsia"/>
        </w:rPr>
        <w:t>,</w:t>
      </w:r>
      <w:r w:rsidR="008E09B2">
        <w:rPr>
          <w:rFonts w:eastAsiaTheme="minorEastAsia"/>
        </w:rPr>
        <w:t xml:space="preserve"> </w:t>
      </w:r>
      <w:r w:rsidR="00B21325">
        <w:rPr>
          <w:rFonts w:eastAsiaTheme="minorEastAsia"/>
        </w:rPr>
        <w:t>attempting to estimate th</w:t>
      </w:r>
      <w:r w:rsidR="00A27379">
        <w:rPr>
          <w:rFonts w:eastAsiaTheme="minorEastAsia"/>
        </w:rPr>
        <w:t>e parameters for this kernel</w:t>
      </w:r>
      <w:r w:rsidR="00B21325">
        <w:rPr>
          <w:rFonts w:eastAsiaTheme="minorEastAsia"/>
        </w:rPr>
        <w:t xml:space="preserve"> resulted in </w:t>
      </w:r>
      <w:commentRangeStart w:id="42"/>
      <w:r w:rsidR="00B21325">
        <w:rPr>
          <w:rFonts w:eastAsiaTheme="minorEastAsia"/>
        </w:rPr>
        <w:t>divergent transitions in the Hamiltonian Monte Carlo algorithm described below</w:t>
      </w:r>
      <w:commentRangeEnd w:id="42"/>
      <w:r w:rsidR="00DA5840">
        <w:rPr>
          <w:rStyle w:val="CommentReference"/>
        </w:rPr>
        <w:commentReference w:id="42"/>
      </w:r>
      <w:r w:rsidR="00B21325">
        <w:rPr>
          <w:rFonts w:eastAsiaTheme="minorEastAsia"/>
        </w:rPr>
        <w:t xml:space="preserve">. Rather than attempt to estimate the mean and variance of a gaussian recruitment size kernel, </w:t>
      </w:r>
      <w:r w:rsidR="005D180E">
        <w:rPr>
          <w:rFonts w:eastAsiaTheme="minorEastAsia"/>
        </w:rPr>
        <w:t>we</w:t>
      </w:r>
      <w:r w:rsidR="00B9336D">
        <w:rPr>
          <w:rFonts w:eastAsiaTheme="minorEastAsia"/>
        </w:rPr>
        <w:t xml:space="preserve"> assume that all true new recruits during the 10 year census interval fell into the seedling size class (size class 1) at remeasurement census, based on existing literature documenting growth rates for sugar pine seedlings </w:t>
      </w:r>
      <w:r w:rsidR="00B9336D">
        <w:rPr>
          <w:rFonts w:eastAsiaTheme="minorEastAsia"/>
        </w:rPr>
        <w:fldChar w:fldCharType="begin" w:fldLock="1"/>
      </w:r>
      <w:r w:rsidR="00D2760D">
        <w:rPr>
          <w:rFonts w:eastAsiaTheme="minorEastAsia"/>
        </w:rPr>
        <w:instrText>ADDIN CSL_CITATION {"citationItems":[{"id":"ITEM-1","itemData":{"DOI":"10.1139/x03-222","ISSN":"00455067","abstract":"Replicated circular openings ranging in size from 0.1 to 1 ha were cleared in 1996 at Blodgett Forest Research Station, California, and planted with seedlings of six native species. After 5 years of postharvest growth, heights were measured and analyzed according to species, opening size, and location within opening. The sequence of mean height from tallest to shortest, according to species, was as follows: giant sequoia (Sequoiadendron giganteum (Lindl.) Buchholz) &gt; incense-cedar (Calocedrus decurrens (Torr.) Florin) &gt; Douglas-fir (Pseudotsuga menziesii (Mirb.) Franco var. menziesii) ≈ ponderosa pine (Pinus ponderosa Dougl. ex Laws.) &gt; sugar pine (Pinus lambertiana Dougl.) ≈ white fir (Abies concolor (Gord. &amp; Glend.) Lindl.). To describe the influence of openings size on seedling height, we use an information-theoretic approach to select from competing models that predicted fifth-year height from group selection opening size. Asymptotic fits (modeled with Michaelis-Menton curves) were selected for giant sequoia, ponderosa pine, sugar pine, and incense-cedar. Quadratic fits were selected for white fir and Douglas-fir. Linear models predicting increasing growth with opening size were consistently ruled out for all species. Although a marked depression in seedling-height growth occurred along the edges within the openings, mean annual radial increment of the 90-year-old border trees surrounding the openings increased by 30%, compared with other canopy trees in the forested matrix between openings.","author":[{"dropping-particle":"","family":"York","given":"Robert A.","non-dropping-particle":"","parse-names":false,"suffix":""},{"dropping-particle":"","family":"Heald","given":"Robert C.","non-dropping-particle":"","parse-names":false,"suffix":""},{"dropping-particle":"","family":"Battles","given":"John J.","non-dropping-particle":"","parse-names":false,"suffix":""},{"dropping-particle":"","family":"York","given":"Jennifer D.","non-dropping-particle":"","parse-names":false,"suffix":""}],"container-title":"Canadian Journal of Forest Research","id":"ITEM-1","issue":"3","issued":{"date-parts":[["2004"]]},"page":"630-641","title":"Group selection management in conifer forests: Relationships between opening size and tree growth","type":"article-journal","volume":"34"},"uris":["http://www.mendeley.com/documents/?uuid=99b0ba98-9512-424f-b8f9-5e4fd59cda36"]},{"id":"ITEM-2","itemData":{"DOI":"10.1093/forestry/cpt028","ISSN":"0015752X","abstract":"Concern exists among managers and researchers that sugar pine (Pinus lambertiana), a valuable, moderately shade-tolerant timber species, regeneration appears to be declining. Management and restoration require understanding factors leading to sustained sugar pine regeneration growth and overstorey recruitment. The primary research objective was to identify factors influencing sugar pine regeneration height growth. Data were collected on sugar pine regeneration, including height growth and stand characteristics across six managed and eight unmanaged stands in the Lake Tahoe Basin, CA and NV, USA. Individual tree- and stand-level analyses were conducted using non-parametric statistical comparisons and regression. Results indicated low mean height growth rates and no relationship between canopy closure and either height growth or management history. Individual sugar pine seedlings grew significantly taller under unmanaged stand conditions with higher canopy closures while sapling growth did not differ statistically by management history. Individual tree-level height growth models never explained more than 35 per cent of the variation. Stand-level models explained over 50 per cent of the variation with fewer variables than the individual tree-level models. More research should be conducted to determine whether the regeneration that is persisting in the understorey would respond positively to more aggressive uneven-aged silvicultural treatments designed for enhancing understorey pine growth. © 2013 Institute of Chartered Foresters, All rights reserved.","author":[{"dropping-particle":"","family":"Angell","given":"N.","non-dropping-particle":"","parse-names":false,"suffix":""},{"dropping-particle":"","family":"Waring","given":"K. M.","non-dropping-particle":"","parse-names":false,"suffix":""},{"dropping-particle":"","family":"Graves","given":"T. A.","non-dropping-particle":"","parse-names":false,"suffix":""}],"container-title":"Forestry","id":"ITEM-2","issue":"1","issued":{"date-parts":[["2014"]]},"page":"85-97","title":"Predicting height growth of sugar pine regeneration using stand and individual tree characteristics","type":"article-journal","volume":"87"},"uris":["http://www.mendeley.com/documents/?uuid=ee4d8f17-567f-4925-b365-c376bb2df80f"]},{"id":"ITEM-3","itemData":{"author":[{"dropping-particle":"","family":"Harry","given":"David E","non-dropping-particle":"","parse-names":false,"suffix":""},{"dropping-particle":"","family":"Jenkinson","given":"James L","non-dropping-particle":"","parse-names":false,"suffix":""},{"dropping-particle":"","family":"Kinloch","given":"Bohun B","non-dropping-particle":"","parse-names":false,"suffix":""}],"container-title":"Forest Science","id":"ITEM-3","issue":"3","issued":{"date-parts":[["1983"]]},"page":"660-669","title":"Early Growth of Sugar Pine from an Elevational Transect","type":"article-journal","volume":"29"},"uris":["http://www.mendeley.com/documents/?uuid=7860b22f-5186-4919-991d-6b06d5c8dceb"]}],"mendeley":{"formattedCitation":"(Harry, Jenkinson and Kinloch, 1983; York &lt;i&gt;et al.&lt;/i&gt;, 2004; Angell, Waring and Graves, 2014)","plainTextFormattedCitation":"(Harry, Jenkinson and Kinloch, 1983; York et al., 2004; Angell, Waring and Graves, 2014)","previouslyFormattedCitation":"(Harry, Jenkinson and Kinloch, 1983; York &lt;i&gt;et al.&lt;/i&gt;, 2004; Angell, Waring and Graves, 2014)"},"properties":{"noteIndex":0},"schema":"https://github.com/citation-style-language/schema/raw/master/csl-citation.json"}</w:instrText>
      </w:r>
      <w:r w:rsidR="00B9336D">
        <w:rPr>
          <w:rFonts w:eastAsiaTheme="minorEastAsia"/>
        </w:rPr>
        <w:fldChar w:fldCharType="separate"/>
      </w:r>
      <w:r w:rsidR="00B9336D" w:rsidRPr="00312174">
        <w:rPr>
          <w:rFonts w:eastAsiaTheme="minorEastAsia"/>
          <w:noProof/>
        </w:rPr>
        <w:t xml:space="preserve">(Harry, Jenkinson and Kinloch, 1983; York </w:t>
      </w:r>
      <w:r w:rsidR="00B9336D" w:rsidRPr="00312174">
        <w:rPr>
          <w:rFonts w:eastAsiaTheme="minorEastAsia"/>
          <w:i/>
          <w:noProof/>
        </w:rPr>
        <w:t>et al.</w:t>
      </w:r>
      <w:r w:rsidR="00B9336D" w:rsidRPr="00312174">
        <w:rPr>
          <w:rFonts w:eastAsiaTheme="minorEastAsia"/>
          <w:noProof/>
        </w:rPr>
        <w:t>, 2004; Angell, Waring and Graves, 2014)</w:t>
      </w:r>
      <w:r w:rsidR="00B9336D">
        <w:rPr>
          <w:rFonts w:eastAsiaTheme="minorEastAsia"/>
        </w:rPr>
        <w:fldChar w:fldCharType="end"/>
      </w:r>
      <w:r w:rsidR="00477228">
        <w:rPr>
          <w:rFonts w:eastAsiaTheme="minorEastAsia"/>
        </w:rPr>
        <w:t xml:space="preserve"> and the fact that new recruits have, on average, 5 years to grow until being observed in the remeasurement census</w:t>
      </w:r>
      <w:r w:rsidR="00B9336D">
        <w:rPr>
          <w:rFonts w:eastAsiaTheme="minorEastAsia"/>
        </w:rPr>
        <w:t>.</w:t>
      </w:r>
      <w:r w:rsidR="005F1EF2">
        <w:rPr>
          <w:rFonts w:eastAsiaTheme="minorEastAsia"/>
        </w:rPr>
        <w:t xml:space="preserve"> Therefore, we use </w:t>
      </w:r>
      <m:oMath>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m:t>
        </m:r>
        <m:r>
          <w:rPr>
            <w:rFonts w:ascii="Cambria Math" w:eastAsiaTheme="minorEastAsia" w:hAnsi="Cambria Math"/>
          </w:rPr>
          <m:t>[1,0,…, 0]</m:t>
        </m:r>
      </m:oMath>
      <w:r w:rsidR="005F1EF2">
        <w:rPr>
          <w:rFonts w:eastAsiaTheme="minorEastAsia"/>
        </w:rPr>
        <w:t>.</w:t>
      </w:r>
    </w:p>
    <w:p w14:paraId="5584BB72" w14:textId="44FB1CC0" w:rsidR="00860357" w:rsidRDefault="00B21325" w:rsidP="00E92F0B">
      <w:pPr>
        <w:spacing w:line="360" w:lineRule="auto"/>
        <w:ind w:firstLine="720"/>
        <w:rPr>
          <w:rFonts w:eastAsiaTheme="minorEastAsia"/>
        </w:rPr>
      </w:pPr>
      <w:r>
        <w:rPr>
          <w:rFonts w:eastAsiaTheme="minorEastAsia"/>
        </w:rPr>
        <w:t xml:space="preserve"> </w:t>
      </w:r>
      <w:commentRangeStart w:id="43"/>
      <w:r w:rsidR="008E09B2">
        <w:rPr>
          <w:rFonts w:eastAsiaTheme="minorEastAsia"/>
        </w:rPr>
        <w:t xml:space="preserve">Finally, the parameter of primary interest </w:t>
      </w:r>
      <w:commentRangeEnd w:id="43"/>
      <w:r w:rsidR="00DA5840">
        <w:rPr>
          <w:rStyle w:val="CommentReference"/>
        </w:rPr>
        <w:commentReference w:id="43"/>
      </w:r>
      <w:r w:rsidR="008E09B2">
        <w:rPr>
          <w:rFonts w:eastAsiaTheme="minorEastAsia"/>
        </w:rPr>
        <w:t xml:space="preserve">in the recruitment sub model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j,v</m:t>
            </m:r>
          </m:sub>
        </m:sSub>
      </m:oMath>
      <w:r w:rsidR="008E09B2">
        <w:rPr>
          <w:rFonts w:eastAsiaTheme="minorEastAsia"/>
        </w:rPr>
        <w:t xml:space="preserve">, the fecundity of individuals in size class </w:t>
      </w:r>
      <m:oMath>
        <m:r>
          <w:rPr>
            <w:rFonts w:ascii="Cambria Math" w:eastAsiaTheme="minorEastAsia" w:hAnsi="Cambria Math"/>
          </w:rPr>
          <m:t>v</m:t>
        </m:r>
      </m:oMath>
      <w:r w:rsidR="005F1EF2">
        <w:rPr>
          <w:rFonts w:eastAsiaTheme="minorEastAsia"/>
        </w:rPr>
        <w:t xml:space="preserve"> on plot </w:t>
      </w:r>
      <m:oMath>
        <m:r>
          <w:rPr>
            <w:rFonts w:ascii="Cambria Math" w:eastAsiaTheme="minorEastAsia" w:hAnsi="Cambria Math"/>
          </w:rPr>
          <m:t>j</m:t>
        </m:r>
      </m:oMath>
      <w:r w:rsidR="008E09B2">
        <w:rPr>
          <w:rFonts w:eastAsiaTheme="minorEastAsia"/>
        </w:rPr>
        <w:t>:</w:t>
      </w:r>
    </w:p>
    <w:p w14:paraId="12A8D38E" w14:textId="3B02A1C7" w:rsidR="0021304E" w:rsidRDefault="0021304E" w:rsidP="0021304E">
      <w:pPr>
        <w:pStyle w:val="Caption"/>
        <w:keepNext/>
      </w:pPr>
      <w:bookmarkStart w:id="44" w:name="_Ref93583271"/>
      <w:r>
        <w:t xml:space="preserve">Equation </w:t>
      </w:r>
      <w:r w:rsidR="007B669E">
        <w:fldChar w:fldCharType="begin"/>
      </w:r>
      <w:r w:rsidR="007B669E">
        <w:instrText xml:space="preserve"> SEQ Equation \* ARABIC </w:instrText>
      </w:r>
      <w:r w:rsidR="007B669E">
        <w:fldChar w:fldCharType="separate"/>
      </w:r>
      <w:r w:rsidR="00D73B16">
        <w:rPr>
          <w:noProof/>
        </w:rPr>
        <w:t>9</w:t>
      </w:r>
      <w:r w:rsidR="007B669E">
        <w:rPr>
          <w:noProof/>
        </w:rPr>
        <w:fldChar w:fldCharType="end"/>
      </w:r>
      <w:bookmarkEnd w:id="44"/>
    </w:p>
    <w:p w14:paraId="57B8E5BE" w14:textId="02FEF7A8" w:rsidR="008E09B2" w:rsidRDefault="007B669E" w:rsidP="00E01957">
      <w:pPr>
        <w:spacing w:line="360" w:lineRule="auto"/>
        <w:rPr>
          <w:rFonts w:eastAsiaTheme="minorEastAsia"/>
        </w:rPr>
      </w:pPr>
      <m:oMathPara>
        <m:oMath>
          <m:func>
            <m:funcPr>
              <m:ctrlPr>
                <w:rPr>
                  <w:rFonts w:ascii="Cambria Math" w:eastAsiaTheme="minorEastAsia" w:hAnsi="Cambria Math"/>
                  <w:i/>
                </w:rPr>
              </m:ctrlPr>
            </m:funcPr>
            <m:fName>
              <m:r>
                <m:rPr>
                  <m:sty m:val="p"/>
                </m:rPr>
                <w:rPr>
                  <w:rFonts w:ascii="Cambria Math" w:hAnsi="Cambria Math"/>
                </w:rPr>
                <m:t>log</m:t>
              </m:r>
            </m:fNa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j,v</m:t>
                  </m:r>
                </m:sub>
              </m:sSub>
            </m:e>
          </m:func>
          <m:r>
            <w:rPr>
              <w:rFonts w:ascii="Cambria Math" w:eastAsiaTheme="minorEastAsia"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j,*,v</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(f)k</m:t>
              </m:r>
            </m:sub>
          </m:sSub>
        </m:oMath>
      </m:oMathPara>
    </w:p>
    <w:p w14:paraId="4B051F17" w14:textId="775485EB" w:rsidR="00EB1B4C" w:rsidRDefault="008E09B2" w:rsidP="00EB1B4C">
      <w:pPr>
        <w:spacing w:line="360" w:lineRule="auto"/>
        <w:rPr>
          <w:rFonts w:eastAsiaTheme="minorEastAsia"/>
        </w:rPr>
      </w:pPr>
      <w:r>
        <w:rPr>
          <w:rFonts w:eastAsiaTheme="minorEastAsia"/>
        </w:rPr>
        <w:tab/>
      </w:r>
      <w:r w:rsidR="00CA6E7F">
        <w:rPr>
          <w:rFonts w:eastAsiaTheme="minorEastAsia"/>
        </w:rPr>
        <w:t>w</w:t>
      </w:r>
      <w:r w:rsidR="00EA2ACC">
        <w:rPr>
          <w:rFonts w:eastAsiaTheme="minorEastAsia"/>
        </w:rPr>
        <w:t xml:space="preserve">here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j,*,v</m:t>
            </m:r>
          </m:sub>
        </m:sSub>
      </m:oMath>
      <w:r w:rsidR="00EA2ACC">
        <w:rPr>
          <w:rFonts w:eastAsiaTheme="minorEastAsia"/>
        </w:rPr>
        <w:t xml:space="preserve"> is a </w:t>
      </w:r>
      <w:r w:rsidR="009A512B">
        <w:rPr>
          <w:rFonts w:eastAsiaTheme="minorEastAsia"/>
        </w:rPr>
        <w:t xml:space="preserve">row </w:t>
      </w:r>
      <w:r w:rsidR="00EA2ACC">
        <w:rPr>
          <w:rFonts w:eastAsiaTheme="minorEastAsia"/>
        </w:rPr>
        <w:t>vector of fixed effects co</w:t>
      </w:r>
      <w:r w:rsidR="00B9336D">
        <w:rPr>
          <w:rFonts w:eastAsiaTheme="minorEastAsia"/>
        </w:rPr>
        <w:t>variates</w:t>
      </w:r>
      <w:r w:rsidR="00EA2ACC">
        <w:rPr>
          <w:rFonts w:eastAsiaTheme="minorEastAsia"/>
        </w:rPr>
        <w:t xml:space="preserve"> for size class </w:t>
      </w:r>
      <m:oMath>
        <m:r>
          <w:rPr>
            <w:rFonts w:ascii="Cambria Math" w:eastAsiaTheme="minorEastAsia" w:hAnsi="Cambria Math"/>
          </w:rPr>
          <m:t>v</m:t>
        </m:r>
      </m:oMath>
      <w:r w:rsidR="00EA2ACC">
        <w:rPr>
          <w:rFonts w:eastAsiaTheme="minorEastAsia"/>
        </w:rPr>
        <w:t xml:space="preserve"> on plot </w:t>
      </w:r>
      <m:oMath>
        <m:r>
          <w:rPr>
            <w:rFonts w:ascii="Cambria Math" w:eastAsiaTheme="minorEastAsia" w:hAnsi="Cambria Math"/>
          </w:rPr>
          <m:t>j</m:t>
        </m:r>
      </m:oMath>
      <w:r w:rsidR="00EA2ACC">
        <w:rPr>
          <w:rFonts w:eastAsiaTheme="minorEastAsia"/>
        </w:rPr>
        <w:t>, again using the m</w:t>
      </w:r>
      <w:proofErr w:type="spellStart"/>
      <w:r w:rsidR="00B9336D">
        <w:rPr>
          <w:rFonts w:eastAsiaTheme="minorEastAsia"/>
        </w:rPr>
        <w:t>idpoint</w:t>
      </w:r>
      <w:proofErr w:type="spellEnd"/>
      <w:r w:rsidR="00EA2ACC">
        <w:rPr>
          <w:rFonts w:eastAsiaTheme="minorEastAsia"/>
        </w:rPr>
        <w:t xml:space="preserve"> DBH of size class </w:t>
      </w:r>
      <m:oMath>
        <m:r>
          <w:rPr>
            <w:rFonts w:ascii="Cambria Math" w:eastAsiaTheme="minorEastAsia" w:hAnsi="Cambria Math"/>
          </w:rPr>
          <m:t>v</m:t>
        </m:r>
      </m:oMath>
      <w:r w:rsidR="00EA2ACC">
        <w:rPr>
          <w:rFonts w:eastAsiaTheme="minorEastAsia"/>
        </w:rPr>
        <w:t xml:space="preserve"> to approximate the size of an individual in class </w:t>
      </w:r>
      <m:oMath>
        <m:r>
          <w:rPr>
            <w:rFonts w:ascii="Cambria Math" w:eastAsiaTheme="minorEastAsia" w:hAnsi="Cambria Math"/>
          </w:rPr>
          <m:t>v</m:t>
        </m:r>
      </m:oMath>
      <w:r w:rsidR="00EA2ACC">
        <w:rPr>
          <w:rFonts w:eastAsiaTheme="minorEastAsia"/>
        </w:rPr>
        <w:t xml:space="preserve">. The covariates and parameters are as described for the survival sub model, </w:t>
      </w:r>
      <w:r w:rsidR="00B9336D">
        <w:rPr>
          <w:rFonts w:eastAsiaTheme="minorEastAsia"/>
        </w:rPr>
        <w:t xml:space="preserve">with a quadratic effect of size and associated interactions, </w:t>
      </w:r>
      <w:r w:rsidR="00EA2ACC">
        <w:rPr>
          <w:rFonts w:eastAsiaTheme="minorEastAsia"/>
        </w:rPr>
        <w:t xml:space="preserve">though here indexed by </w:t>
      </w:r>
      <m:oMath>
        <m:r>
          <w:rPr>
            <w:rFonts w:ascii="Cambria Math" w:eastAsiaTheme="minorEastAsia" w:hAnsi="Cambria Math"/>
          </w:rPr>
          <m:t>f</m:t>
        </m:r>
      </m:oMath>
      <w:r w:rsidR="00EA2ACC">
        <w:rPr>
          <w:rFonts w:eastAsiaTheme="minorEastAsia"/>
        </w:rPr>
        <w:t xml:space="preserve"> to indicate that t</w:t>
      </w:r>
      <w:proofErr w:type="spellStart"/>
      <w:r w:rsidR="00EA2ACC">
        <w:rPr>
          <w:rFonts w:eastAsiaTheme="minorEastAsia"/>
        </w:rPr>
        <w:t>he</w:t>
      </w:r>
      <w:r w:rsidR="00B9336D">
        <w:rPr>
          <w:rFonts w:eastAsiaTheme="minorEastAsia"/>
        </w:rPr>
        <w:t>se</w:t>
      </w:r>
      <w:proofErr w:type="spellEnd"/>
      <w:r w:rsidR="00EA2ACC">
        <w:rPr>
          <w:rFonts w:eastAsiaTheme="minorEastAsia"/>
        </w:rPr>
        <w:t xml:space="preserve"> are the parameters for the fecundity sub model.</w:t>
      </w:r>
      <w:r w:rsidR="00B9336D">
        <w:rPr>
          <w:rFonts w:eastAsiaTheme="minorEastAsia"/>
        </w:rPr>
        <w:t xml:space="preserve"> A random effect for plot was not included in the fecundity sub model because there is only one observation (count of untagged individuals at remeasurement) per plot.</w:t>
      </w:r>
    </w:p>
    <w:p w14:paraId="7D69B0AA" w14:textId="18C21EFA" w:rsidR="003E5D44" w:rsidRPr="000B4F67" w:rsidRDefault="003E5D44" w:rsidP="00EB1B4C">
      <w:pPr>
        <w:spacing w:line="360" w:lineRule="auto"/>
        <w:rPr>
          <w:rFonts w:eastAsiaTheme="minorEastAsia"/>
        </w:rPr>
      </w:pPr>
      <w:r>
        <w:rPr>
          <w:rFonts w:eastAsiaTheme="minorEastAsia"/>
        </w:rPr>
        <w:tab/>
        <w:t xml:space="preserve">Model data was prepared using the </w:t>
      </w:r>
      <w:proofErr w:type="spellStart"/>
      <w:r>
        <w:rPr>
          <w:rFonts w:eastAsiaTheme="minorEastAsia"/>
        </w:rPr>
        <w:t>tidyverse</w:t>
      </w:r>
      <w:proofErr w:type="spellEnd"/>
      <w:r>
        <w:rPr>
          <w:rFonts w:eastAsiaTheme="minorEastAsia"/>
        </w:rPr>
        <w:t xml:space="preserve"> package in R Version 4.1.1, and Bayesian parameter estimation was performed using </w:t>
      </w:r>
      <w:proofErr w:type="spellStart"/>
      <w:r>
        <w:rPr>
          <w:rFonts w:eastAsiaTheme="minorEastAsia"/>
        </w:rPr>
        <w:t>Hamiltonion</w:t>
      </w:r>
      <w:proofErr w:type="spellEnd"/>
      <w:r>
        <w:rPr>
          <w:rFonts w:eastAsiaTheme="minorEastAsia"/>
        </w:rPr>
        <w:t xml:space="preserve"> Monte Carlo as implemented in stan version 2.28.2 and the </w:t>
      </w:r>
      <w:proofErr w:type="spellStart"/>
      <w:r>
        <w:rPr>
          <w:rFonts w:eastAsiaTheme="minorEastAsia"/>
        </w:rPr>
        <w:t>cmdstanr</w:t>
      </w:r>
      <w:proofErr w:type="spellEnd"/>
      <w:r>
        <w:rPr>
          <w:rFonts w:eastAsiaTheme="minorEastAsia"/>
        </w:rPr>
        <w:t xml:space="preserve"> </w:t>
      </w:r>
      <w:commentRangeStart w:id="45"/>
      <w:r>
        <w:rPr>
          <w:rFonts w:eastAsiaTheme="minorEastAsia"/>
        </w:rPr>
        <w:t>package</w:t>
      </w:r>
      <w:commentRangeEnd w:id="45"/>
      <w:r w:rsidR="005A03F5">
        <w:rPr>
          <w:rStyle w:val="CommentReference"/>
        </w:rPr>
        <w:commentReference w:id="45"/>
      </w:r>
      <w:r>
        <w:rPr>
          <w:rFonts w:eastAsiaTheme="minorEastAsia"/>
        </w:rPr>
        <w:t xml:space="preserve">. </w:t>
      </w:r>
      <w:r w:rsidR="00E358D9">
        <w:rPr>
          <w:rFonts w:eastAsiaTheme="minorEastAsia"/>
        </w:rPr>
        <w:t>The sampler was run in</w:t>
      </w:r>
      <w:r>
        <w:rPr>
          <w:rFonts w:eastAsiaTheme="minorEastAsia"/>
        </w:rPr>
        <w:t xml:space="preserve"> four chains </w:t>
      </w:r>
      <w:r w:rsidR="00E358D9">
        <w:rPr>
          <w:rFonts w:eastAsiaTheme="minorEastAsia"/>
        </w:rPr>
        <w:t>for</w:t>
      </w:r>
      <w:r>
        <w:rPr>
          <w:rFonts w:eastAsiaTheme="minorEastAsia"/>
        </w:rPr>
        <w:t xml:space="preserve"> 2000 iterations</w:t>
      </w:r>
      <w:r w:rsidR="00BF1B42">
        <w:rPr>
          <w:rFonts w:eastAsiaTheme="minorEastAsia"/>
        </w:rPr>
        <w:t xml:space="preserve"> per chain (discarding the first 1000 iterations as warmup). </w:t>
      </w:r>
      <w:r w:rsidR="007934A7">
        <w:rPr>
          <w:rFonts w:eastAsiaTheme="minorEastAsia"/>
        </w:rPr>
        <w:t xml:space="preserve">The prior distribution specified for all parameters was </w:t>
      </w:r>
      <w:proofErr w:type="gramStart"/>
      <m:oMath>
        <m:r>
          <m:rPr>
            <m:nor/>
          </m:rPr>
          <w:rPr>
            <w:rFonts w:ascii="Cambria Math" w:eastAsiaTheme="minorEastAsia" w:hAnsi="Cambria Math"/>
          </w:rPr>
          <m:t>Normal(</m:t>
        </m:r>
        <w:proofErr w:type="gramEnd"/>
        <m:r>
          <m:rPr>
            <m:nor/>
          </m:rPr>
          <w:rPr>
            <w:rFonts w:ascii="Cambria Math" w:eastAsiaTheme="minorEastAsia" w:hAnsi="Cambria Math"/>
          </w:rPr>
          <m:t>0,5)</m:t>
        </m:r>
      </m:oMath>
      <w:r w:rsidR="007934A7">
        <w:rPr>
          <w:rFonts w:eastAsiaTheme="minorEastAsia"/>
        </w:rPr>
        <w:t xml:space="preserve"> (with variance terms restricted to positive values) except for the negative binomial </w:t>
      </w:r>
      <w:r w:rsidR="007934A7">
        <w:rPr>
          <w:rFonts w:eastAsiaTheme="minorEastAsia"/>
        </w:rPr>
        <w:lastRenderedPageBreak/>
        <w:t xml:space="preserve">dispersion parameter </w:t>
      </w:r>
      <m:oMath>
        <m:r>
          <w:rPr>
            <w:rFonts w:ascii="Cambria Math" w:eastAsiaTheme="minorEastAsia" w:hAnsi="Cambria Math"/>
          </w:rPr>
          <m:t>κ</m:t>
        </m:r>
      </m:oMath>
      <w:r w:rsidR="007934A7">
        <w:rPr>
          <w:rFonts w:eastAsiaTheme="minorEastAsia"/>
        </w:rPr>
        <w:t xml:space="preserve">, which received a </w:t>
      </w:r>
      <m:oMath>
        <m:r>
          <m:rPr>
            <m:nor/>
          </m:rPr>
          <w:rPr>
            <w:rFonts w:ascii="Cambria Math" w:eastAsiaTheme="minorEastAsia" w:hAnsi="Cambria Math"/>
          </w:rPr>
          <m:t>Cauchy(0,5)</m:t>
        </m:r>
      </m:oMath>
      <w:r w:rsidR="007934A7">
        <w:rPr>
          <w:rFonts w:eastAsiaTheme="minorEastAsia"/>
        </w:rPr>
        <w:t xml:space="preserve"> prior following Shriver et al. 2021. </w:t>
      </w:r>
      <w:commentRangeStart w:id="46"/>
      <w:r w:rsidR="00752208">
        <w:rPr>
          <w:rFonts w:eastAsiaTheme="minorEastAsia"/>
        </w:rPr>
        <w:t xml:space="preserve">Other R </w:t>
      </w:r>
      <w:commentRangeEnd w:id="46"/>
      <w:r w:rsidR="00907D59">
        <w:rPr>
          <w:rStyle w:val="CommentReference"/>
        </w:rPr>
        <w:commentReference w:id="46"/>
      </w:r>
      <w:r w:rsidR="00752208">
        <w:rPr>
          <w:rFonts w:eastAsiaTheme="minorEastAsia"/>
        </w:rPr>
        <w:t xml:space="preserve">packages used for data acquisition, data management, and plotting </w:t>
      </w:r>
      <w:proofErr w:type="gramStart"/>
      <w:r w:rsidR="00752208">
        <w:rPr>
          <w:rFonts w:eastAsiaTheme="minorEastAsia"/>
        </w:rPr>
        <w:t>include</w:t>
      </w:r>
      <w:r w:rsidR="005D180E">
        <w:rPr>
          <w:rFonts w:eastAsiaTheme="minorEastAsia"/>
        </w:rPr>
        <w:t>:</w:t>
      </w:r>
      <w:proofErr w:type="gramEnd"/>
      <w:r w:rsidR="00752208">
        <w:rPr>
          <w:rFonts w:eastAsiaTheme="minorEastAsia"/>
        </w:rPr>
        <w:t xml:space="preserve"> here, sf, </w:t>
      </w:r>
      <w:proofErr w:type="spellStart"/>
      <w:r w:rsidR="00752208">
        <w:rPr>
          <w:rFonts w:eastAsiaTheme="minorEastAsia"/>
        </w:rPr>
        <w:t>spdata</w:t>
      </w:r>
      <w:proofErr w:type="spellEnd"/>
      <w:r w:rsidR="00752208">
        <w:rPr>
          <w:rFonts w:eastAsiaTheme="minorEastAsia"/>
        </w:rPr>
        <w:t xml:space="preserve">, </w:t>
      </w:r>
      <w:proofErr w:type="spellStart"/>
      <w:r w:rsidR="00752208">
        <w:rPr>
          <w:rFonts w:eastAsiaTheme="minorEastAsia"/>
        </w:rPr>
        <w:t>bayesplot</w:t>
      </w:r>
      <w:proofErr w:type="spellEnd"/>
      <w:r w:rsidR="00752208">
        <w:rPr>
          <w:rFonts w:eastAsiaTheme="minorEastAsia"/>
        </w:rPr>
        <w:t xml:space="preserve">, posterior, units, raster, ggplot2, </w:t>
      </w:r>
      <w:proofErr w:type="spellStart"/>
      <w:r w:rsidR="00B65A24">
        <w:rPr>
          <w:rFonts w:eastAsiaTheme="minorEastAsia"/>
        </w:rPr>
        <w:t>USAboundaries</w:t>
      </w:r>
      <w:proofErr w:type="spellEnd"/>
      <w:r w:rsidR="00B65A24">
        <w:rPr>
          <w:rFonts w:eastAsiaTheme="minorEastAsia"/>
        </w:rPr>
        <w:t xml:space="preserve">, </w:t>
      </w:r>
      <w:proofErr w:type="spellStart"/>
      <w:r w:rsidR="00B65A24">
        <w:rPr>
          <w:rFonts w:eastAsiaTheme="minorEastAsia"/>
        </w:rPr>
        <w:t>truncnorm</w:t>
      </w:r>
      <w:proofErr w:type="spellEnd"/>
      <w:r w:rsidR="00D71062">
        <w:rPr>
          <w:rFonts w:eastAsiaTheme="minorEastAsia"/>
        </w:rPr>
        <w:t xml:space="preserve">, </w:t>
      </w:r>
      <w:proofErr w:type="spellStart"/>
      <w:r w:rsidR="00D71062">
        <w:rPr>
          <w:rFonts w:eastAsiaTheme="minorEastAsia"/>
        </w:rPr>
        <w:t>cowplot</w:t>
      </w:r>
      <w:proofErr w:type="spellEnd"/>
      <w:r w:rsidR="00D71062">
        <w:rPr>
          <w:rFonts w:eastAsiaTheme="minorEastAsia"/>
        </w:rPr>
        <w:t xml:space="preserve">, foreach, </w:t>
      </w:r>
      <w:r w:rsidR="005D180E">
        <w:rPr>
          <w:rFonts w:eastAsiaTheme="minorEastAsia"/>
        </w:rPr>
        <w:t xml:space="preserve">and </w:t>
      </w:r>
      <w:commentRangeStart w:id="47"/>
      <w:proofErr w:type="spellStart"/>
      <w:r w:rsidR="00D71062">
        <w:rPr>
          <w:rFonts w:eastAsiaTheme="minorEastAsia"/>
        </w:rPr>
        <w:t>doParallel</w:t>
      </w:r>
      <w:commentRangeEnd w:id="47"/>
      <w:proofErr w:type="spellEnd"/>
      <w:r w:rsidR="005A03F5">
        <w:rPr>
          <w:rStyle w:val="CommentReference"/>
        </w:rPr>
        <w:commentReference w:id="47"/>
      </w:r>
      <w:r w:rsidR="00D71062">
        <w:rPr>
          <w:rFonts w:eastAsiaTheme="minorEastAsia"/>
        </w:rPr>
        <w:t xml:space="preserve">. </w:t>
      </w:r>
    </w:p>
    <w:p w14:paraId="4B767712" w14:textId="0EBFF758" w:rsidR="00EE5D6E" w:rsidRPr="00EE5D6E" w:rsidRDefault="00272B03" w:rsidP="00E01957">
      <w:pPr>
        <w:pStyle w:val="Heading2"/>
        <w:spacing w:line="360" w:lineRule="auto"/>
      </w:pPr>
      <w:r>
        <w:t xml:space="preserve">Model </w:t>
      </w:r>
      <w:commentRangeStart w:id="48"/>
      <w:r>
        <w:t>Validation</w:t>
      </w:r>
      <w:commentRangeEnd w:id="48"/>
      <w:r w:rsidR="000B15A1">
        <w:rPr>
          <w:rStyle w:val="CommentReference"/>
          <w:rFonts w:asciiTheme="minorHAnsi" w:eastAsiaTheme="minorHAnsi" w:hAnsiTheme="minorHAnsi" w:cstheme="minorBidi"/>
          <w:color w:val="auto"/>
        </w:rPr>
        <w:commentReference w:id="48"/>
      </w:r>
    </w:p>
    <w:p w14:paraId="6EDBD71F" w14:textId="64768D6F" w:rsidR="009B22BB" w:rsidRDefault="00980556" w:rsidP="00E358D9">
      <w:pPr>
        <w:spacing w:line="360" w:lineRule="auto"/>
        <w:ind w:firstLine="720"/>
      </w:pPr>
      <w:r>
        <w:t xml:space="preserve">The basic diagnostics provided by </w:t>
      </w:r>
      <w:proofErr w:type="spellStart"/>
      <w:r>
        <w:t>cmdrstan</w:t>
      </w:r>
      <w:proofErr w:type="spellEnd"/>
      <w:r>
        <w:t xml:space="preserve"> (R-hat values, trace plots, per-chain posterior density plots, posterior pair plots, and assessment of divergences) were inspected for evidence of convergence and between-chain consistency or signs of difficulty estimating parameters. </w:t>
      </w:r>
      <w:commentRangeStart w:id="49"/>
      <w:r w:rsidR="00366F92">
        <w:t>10</w:t>
      </w:r>
      <w:commentRangeEnd w:id="49"/>
      <w:r w:rsidR="00A128BA">
        <w:rPr>
          <w:rStyle w:val="CommentReference"/>
        </w:rPr>
        <w:commentReference w:id="49"/>
      </w:r>
      <w:r w:rsidR="00366F92">
        <w:t xml:space="preserve">% of plots were randomly held out </w:t>
      </w:r>
      <w:r w:rsidR="004A222B">
        <w:t xml:space="preserve">the training dataset used to estimate </w:t>
      </w:r>
      <w:proofErr w:type="gramStart"/>
      <w:r w:rsidR="004A222B">
        <w:t xml:space="preserve">parameters, </w:t>
      </w:r>
      <w:r w:rsidR="00366F92">
        <w:t>and</w:t>
      </w:r>
      <w:proofErr w:type="gramEnd"/>
      <w:r w:rsidR="00366F92">
        <w:t xml:space="preserve"> </w:t>
      </w:r>
      <w:r w:rsidR="004A222B">
        <w:t xml:space="preserve">were </w:t>
      </w:r>
      <w:r w:rsidR="00366F92">
        <w:t xml:space="preserve">only used to assess the out-of-sample predictive performance of the model. </w:t>
      </w:r>
      <w:r w:rsidR="00A17E82">
        <w:t>For both the training and validation data sets, t</w:t>
      </w:r>
      <w:r w:rsidR="00366F92">
        <w:t xml:space="preserve">he central tendency and spread of </w:t>
      </w:r>
      <w:r w:rsidR="003658FD">
        <w:t>data simulated using posterior parameter values (</w:t>
      </w:r>
      <w:r w:rsidR="00366F92">
        <w:t xml:space="preserve">posterior </w:t>
      </w:r>
      <w:r w:rsidR="00A17E82">
        <w:t>predictions</w:t>
      </w:r>
      <w:r w:rsidR="003658FD">
        <w:t>)</w:t>
      </w:r>
      <w:r w:rsidR="00A17E82">
        <w:t xml:space="preserve"> </w:t>
      </w:r>
      <w:r w:rsidR="00366F92">
        <w:t>were compared to the true observed values of individual growth, individual survival, and plot</w:t>
      </w:r>
      <w:r w:rsidR="003658FD">
        <w:t>-level</w:t>
      </w:r>
      <w:r w:rsidR="00366F92">
        <w:t xml:space="preserve"> count of </w:t>
      </w:r>
      <w:r w:rsidR="003658FD">
        <w:t>seedlings</w:t>
      </w:r>
      <w:r w:rsidR="00717725">
        <w:t xml:space="preserve"> to assess whether model results were consistent with real data.</w:t>
      </w:r>
      <w:r w:rsidR="00366F92">
        <w:t xml:space="preserve"> </w:t>
      </w:r>
    </w:p>
    <w:p w14:paraId="16992873" w14:textId="407F2372" w:rsidR="00272B03" w:rsidRDefault="0021304E" w:rsidP="00E01957">
      <w:pPr>
        <w:pStyle w:val="Heading2"/>
        <w:spacing w:line="360" w:lineRule="auto"/>
      </w:pPr>
      <w:r>
        <w:t>Evaluation of vital rate functions and integral projection model</w:t>
      </w:r>
    </w:p>
    <w:p w14:paraId="03FA3EB6" w14:textId="636FAEC7" w:rsidR="0021304E" w:rsidRDefault="00276327" w:rsidP="00E358D9">
      <w:pPr>
        <w:spacing w:line="360" w:lineRule="auto"/>
        <w:ind w:firstLine="720"/>
      </w:pPr>
      <w:r>
        <w:t xml:space="preserve">Once parameters were estimated and model validity checked, </w:t>
      </w:r>
      <w:r w:rsidR="00486861">
        <w:t xml:space="preserve">the fitted </w:t>
      </w:r>
      <w:r w:rsidR="007B296F">
        <w:t>model for vital rate functions</w:t>
      </w:r>
      <w:r w:rsidR="00486861">
        <w:t xml:space="preserve"> was</w:t>
      </w:r>
      <w:r w:rsidR="0052071A">
        <w:t xml:space="preserve"> used to assess the impact of the various stressors (fire, WPBR, stand density, drought, and site dryness) on the vital rates of growth, survival, and fecundity</w:t>
      </w:r>
      <w:commentRangeStart w:id="50"/>
      <w:r w:rsidR="0052071A">
        <w:t xml:space="preserve">. </w:t>
      </w:r>
      <w:r w:rsidR="007B296F">
        <w:t>Idealized</w:t>
      </w:r>
      <w:r w:rsidR="00486861">
        <w:t xml:space="preserve"> </w:t>
      </w:r>
      <w:commentRangeEnd w:id="50"/>
      <w:r w:rsidR="004C5044">
        <w:rPr>
          <w:rStyle w:val="CommentReference"/>
        </w:rPr>
        <w:commentReference w:id="50"/>
      </w:r>
      <w:r w:rsidR="00486861">
        <w:t>explanatory data were constructed representing a</w:t>
      </w:r>
      <w:r w:rsidR="00522FF0">
        <w:t xml:space="preserve"> suite of environmental scenarios correspond to situations where a single stressor is present (in the case of the discrete explanatory variables </w:t>
      </w:r>
      <m:oMath>
        <m:r>
          <w:rPr>
            <w:rFonts w:ascii="Cambria Math" w:hAnsi="Cambria Math"/>
          </w:rPr>
          <m:t>FIRE</m:t>
        </m:r>
      </m:oMath>
      <w:r w:rsidR="00522FF0">
        <w:t xml:space="preserve"> and </w:t>
      </w:r>
      <m:oMath>
        <m:r>
          <w:rPr>
            <w:rFonts w:ascii="Cambria Math" w:hAnsi="Cambria Math"/>
          </w:rPr>
          <m:t>WPBR</m:t>
        </m:r>
      </m:oMath>
      <w:r w:rsidR="00522FF0">
        <w:t xml:space="preserve">) or elevated/depressed by one standard deviation (in the case of the continuous variables </w:t>
      </w:r>
      <m:oMath>
        <m:r>
          <w:rPr>
            <w:rFonts w:ascii="Cambria Math" w:hAnsi="Cambria Math"/>
          </w:rPr>
          <m:t>BA</m:t>
        </m:r>
      </m:oMath>
      <w:r w:rsidR="00522FF0">
        <w:rPr>
          <w:rFonts w:eastAsiaTheme="minorEastAsia"/>
        </w:rPr>
        <w:t xml:space="preserve">, </w:t>
      </w:r>
      <m:oMath>
        <m:r>
          <w:rPr>
            <w:rFonts w:ascii="Cambria Math" w:eastAsiaTheme="minorEastAsia" w:hAnsi="Cambria Math"/>
          </w:rPr>
          <m:t>DROUGHT</m:t>
        </m:r>
      </m:oMath>
      <w:r w:rsidR="00522FF0">
        <w:rPr>
          <w:rFonts w:eastAsiaTheme="minorEastAsia"/>
        </w:rPr>
        <w:t xml:space="preserve">, and </w:t>
      </w:r>
      <m:oMath>
        <m:r>
          <w:rPr>
            <w:rFonts w:ascii="Cambria Math" w:eastAsiaTheme="minorEastAsia" w:hAnsi="Cambria Math"/>
          </w:rPr>
          <m:t>DRYNESS</m:t>
        </m:r>
      </m:oMath>
      <w:r w:rsidR="00522FF0">
        <w:rPr>
          <w:rFonts w:eastAsiaTheme="minorEastAsia"/>
        </w:rPr>
        <w:t xml:space="preserve">), while other stressors are absent or held at their mean value (0 for scaled variables). </w:t>
      </w:r>
      <w:r w:rsidR="00486861">
        <w:rPr>
          <w:rFonts w:eastAsiaTheme="minorEastAsia"/>
        </w:rPr>
        <w:t>Given these environmental contexts, vital rates for individuals ranging in size from 0</w:t>
      </w:r>
      <w:r w:rsidR="007B296F">
        <w:rPr>
          <w:rFonts w:eastAsiaTheme="minorEastAsia"/>
        </w:rPr>
        <w:t>-2.54</w:t>
      </w:r>
      <w:r w:rsidR="00486861">
        <w:rPr>
          <w:rFonts w:eastAsiaTheme="minorEastAsia"/>
        </w:rPr>
        <w:t xml:space="preserve"> m DBH were predicted using the parameters from each posterior sample, and the predicted response plotted against DBH and stressor. </w:t>
      </w:r>
      <w:r w:rsidR="006F5254">
        <w:rPr>
          <w:rFonts w:eastAsiaTheme="minorEastAsia"/>
        </w:rPr>
        <w:t xml:space="preserve">Median posterior random effect values for ecoregions in survival, growth, and fecundity functions were mapped to understand regional-scale patterns in vital rates not explained by the fixed effects. </w:t>
      </w:r>
      <w:commentRangeStart w:id="51"/>
      <w:commentRangeEnd w:id="51"/>
      <w:r w:rsidR="006B7651">
        <w:rPr>
          <w:rStyle w:val="CommentReference"/>
        </w:rPr>
        <w:commentReference w:id="51"/>
      </w:r>
    </w:p>
    <w:p w14:paraId="4EAEBD36" w14:textId="23385110" w:rsidR="00517F42" w:rsidRDefault="00BE4CEB" w:rsidP="00E358D9">
      <w:pPr>
        <w:spacing w:line="360" w:lineRule="auto"/>
        <w:ind w:firstLine="720"/>
        <w:rPr>
          <w:rFonts w:eastAsiaTheme="minorEastAsia"/>
        </w:rPr>
      </w:pPr>
      <w:r>
        <w:t xml:space="preserve">For this paper, three suites of IPMs were constructed. The first suite of IPMs was used for estimating the parameters for the fecundity </w:t>
      </w:r>
      <w:proofErr w:type="gramStart"/>
      <w:r>
        <w:t>function, and</w:t>
      </w:r>
      <w:proofErr w:type="gramEnd"/>
      <w:r>
        <w:t xml:space="preserve"> is described above. In the second suite of IPMs, w</w:t>
      </w:r>
      <w:r w:rsidR="00276327">
        <w:t xml:space="preserve"> </w:t>
      </w:r>
      <w:r>
        <w:t>each draw of</w:t>
      </w:r>
      <w:r w:rsidR="00276327">
        <w:t xml:space="preserve"> posterior parameter values to generate an integral projection model </w:t>
      </w:r>
      <w:r w:rsidR="00737989">
        <w:t>kernel and compute</w:t>
      </w:r>
      <w:r w:rsidR="00AA3167">
        <w:t xml:space="preserve"> p</w:t>
      </w:r>
      <w:r w:rsidR="00276327">
        <w:t xml:space="preserve">osterior asymptotic growth rates under </w:t>
      </w:r>
      <w:r w:rsidR="00522FF0">
        <w:t xml:space="preserve">the </w:t>
      </w:r>
      <w:r w:rsidR="00C945E1">
        <w:t>suite of idealized environmental scenarios described above</w:t>
      </w:r>
      <w:r w:rsidR="00276327">
        <w:t>.</w:t>
      </w:r>
      <w:r w:rsidR="004D614E">
        <w:t xml:space="preserve"> The structure of the integral projection model</w:t>
      </w:r>
      <w:r w:rsidR="00C945E1">
        <w:t>s for the second suite</w:t>
      </w:r>
      <w:r w:rsidR="004D614E">
        <w:t xml:space="preserve"> </w:t>
      </w:r>
      <w:r w:rsidR="00251274">
        <w:t xml:space="preserve">mostly </w:t>
      </w:r>
      <w:r w:rsidR="004D614E">
        <w:t xml:space="preserve">mirrors </w:t>
      </w:r>
      <w:r w:rsidR="004D614E">
        <w:lastRenderedPageBreak/>
        <w:t xml:space="preserve">that used in the parameter estimation stage, using the </w:t>
      </w:r>
      <w:r w:rsidR="00251274">
        <w:t xml:space="preserve">same 100 size classes and vital rate discretization to construct a unique transition kernel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j,*,*,d</m:t>
            </m:r>
          </m:sub>
        </m:sSub>
      </m:oMath>
      <w:r w:rsidR="00251274">
        <w:rPr>
          <w:rFonts w:eastAsiaTheme="minorEastAsia"/>
          <w:b/>
          <w:bCs/>
        </w:rPr>
        <w:t xml:space="preserve"> </w:t>
      </w:r>
      <w:r w:rsidR="00251274">
        <w:rPr>
          <w:rFonts w:eastAsiaTheme="minorEastAsia"/>
        </w:rPr>
        <w:t xml:space="preserve">for each </w:t>
      </w:r>
      <w:r w:rsidR="00C945E1">
        <w:rPr>
          <w:rFonts w:eastAsiaTheme="minorEastAsia"/>
        </w:rPr>
        <w:t>environmental context</w:t>
      </w:r>
      <w:r w:rsidR="00251274">
        <w:rPr>
          <w:rFonts w:eastAsiaTheme="minorEastAsia"/>
        </w:rPr>
        <w:t xml:space="preserve"> </w:t>
      </w:r>
      <m:oMath>
        <m:r>
          <w:rPr>
            <w:rFonts w:ascii="Cambria Math" w:eastAsiaTheme="minorEastAsia" w:hAnsi="Cambria Math"/>
          </w:rPr>
          <m:t>j</m:t>
        </m:r>
      </m:oMath>
      <w:r w:rsidR="00787085">
        <w:rPr>
          <w:rFonts w:eastAsiaTheme="minorEastAsia"/>
        </w:rPr>
        <w:t xml:space="preserve"> </w:t>
      </w:r>
      <w:r w:rsidR="00251274">
        <w:rPr>
          <w:rFonts w:eastAsiaTheme="minorEastAsia"/>
        </w:rPr>
        <w:t>and posterior sample</w:t>
      </w:r>
      <w:r w:rsidR="00787085">
        <w:rPr>
          <w:rFonts w:eastAsiaTheme="minorEastAsia"/>
        </w:rPr>
        <w:t xml:space="preserve"> </w:t>
      </w:r>
      <m:oMath>
        <m:r>
          <w:rPr>
            <w:rFonts w:ascii="Cambria Math" w:eastAsiaTheme="minorEastAsia" w:hAnsi="Cambria Math"/>
          </w:rPr>
          <m:t>d</m:t>
        </m:r>
      </m:oMath>
      <w:r w:rsidR="00251274">
        <w:rPr>
          <w:rFonts w:eastAsiaTheme="minorEastAsia"/>
        </w:rPr>
        <w:t xml:space="preserve">. </w:t>
      </w:r>
    </w:p>
    <w:p w14:paraId="25A218DE" w14:textId="1791C7E8" w:rsidR="004D614E" w:rsidRDefault="00251274" w:rsidP="00E358D9">
      <w:pPr>
        <w:spacing w:line="360" w:lineRule="auto"/>
        <w:ind w:firstLine="720"/>
        <w:rPr>
          <w:rFonts w:eastAsiaTheme="minorEastAsia"/>
        </w:rPr>
      </w:pPr>
      <w:r>
        <w:rPr>
          <w:rFonts w:eastAsiaTheme="minorEastAsia"/>
        </w:rPr>
        <w:t xml:space="preserve">The </w:t>
      </w:r>
      <w:r w:rsidR="00BE4CEB">
        <w:rPr>
          <w:rFonts w:eastAsiaTheme="minorEastAsia"/>
        </w:rPr>
        <w:t>first</w:t>
      </w:r>
      <w:r>
        <w:rPr>
          <w:rFonts w:eastAsiaTheme="minorEastAsia"/>
        </w:rPr>
        <w:t xml:space="preserve"> difference between the construction of the IPM for results interpretation and the IPM used in parameter estimation is that, because we are interested in all individuals and not just untagged ones, the growth kernel is simplified to:</w:t>
      </w:r>
    </w:p>
    <w:p w14:paraId="712AA305" w14:textId="2A390BBC" w:rsidR="00D73B16" w:rsidRDefault="00D73B16" w:rsidP="00E92F0B">
      <w:pPr>
        <w:pStyle w:val="Caption"/>
        <w:keepNext/>
      </w:pPr>
      <w:bookmarkStart w:id="52" w:name="_Ref104379758"/>
      <w:r>
        <w:t xml:space="preserve">Equation </w:t>
      </w:r>
      <w:r w:rsidR="007B669E">
        <w:fldChar w:fldCharType="begin"/>
      </w:r>
      <w:r w:rsidR="007B669E">
        <w:instrText xml:space="preserve"> SEQ Equati</w:instrText>
      </w:r>
      <w:r w:rsidR="007B669E">
        <w:instrText xml:space="preserve">on \* ARABIC </w:instrText>
      </w:r>
      <w:r w:rsidR="007B669E">
        <w:fldChar w:fldCharType="separate"/>
      </w:r>
      <w:r>
        <w:rPr>
          <w:noProof/>
        </w:rPr>
        <w:t>10</w:t>
      </w:r>
      <w:r w:rsidR="007B669E">
        <w:rPr>
          <w:noProof/>
        </w:rPr>
        <w:fldChar w:fldCharType="end"/>
      </w:r>
      <w:bookmarkEnd w:id="52"/>
    </w:p>
    <w:p w14:paraId="3DDF7F55" w14:textId="402B1649" w:rsidR="00251274" w:rsidRPr="00251274" w:rsidRDefault="007B669E" w:rsidP="00E358D9">
      <w:pPr>
        <w:spacing w:line="360" w:lineRule="auto"/>
        <w:ind w:firstLine="720"/>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r>
            <w:rPr>
              <w:rFonts w:ascii="Cambria Math" w:eastAsiaTheme="minorEastAsia" w:hAnsi="Cambria Math"/>
            </w:rPr>
            <m:t xml:space="preserve">= </m:t>
          </m:r>
          <m:f>
            <m:fPr>
              <m:ctrlPr>
                <w:rPr>
                  <w:rFonts w:ascii="Cambria Math" w:eastAsiaTheme="minorEastAsia" w:hAnsi="Cambria Math"/>
                  <w:i/>
                </w:rPr>
              </m:ctrlPr>
            </m:fPr>
            <m:num>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num>
            <m:den>
              <m:r>
                <w:rPr>
                  <w:rFonts w:ascii="Cambria Math" w:eastAsiaTheme="minorEastAsia" w:hAnsi="Cambria Math"/>
                </w:rPr>
                <m:t>1-</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den>
          </m:f>
        </m:oMath>
      </m:oMathPara>
    </w:p>
    <w:p w14:paraId="4D6AA5F9" w14:textId="6F49F3E3" w:rsidR="00737989" w:rsidRDefault="00CA6E7F">
      <w:pPr>
        <w:spacing w:line="360" w:lineRule="auto"/>
        <w:ind w:firstLine="720"/>
      </w:pPr>
      <w:r>
        <w:t>w</w:t>
      </w:r>
      <w:r w:rsidR="00787085">
        <w:t xml:space="preserve">ith the same variable meanings as in </w:t>
      </w:r>
      <w:r w:rsidR="00787085">
        <w:fldChar w:fldCharType="begin"/>
      </w:r>
      <w:r w:rsidR="00787085">
        <w:instrText xml:space="preserve"> REF _Ref93582027 \h </w:instrText>
      </w:r>
      <w:r w:rsidR="00787085">
        <w:fldChar w:fldCharType="separate"/>
      </w:r>
      <w:r w:rsidR="00787085">
        <w:t xml:space="preserve">Equation </w:t>
      </w:r>
      <w:r w:rsidR="00787085">
        <w:rPr>
          <w:noProof/>
        </w:rPr>
        <w:t>8</w:t>
      </w:r>
      <w:r w:rsidR="00787085">
        <w:fldChar w:fldCharType="end"/>
      </w:r>
      <w:r w:rsidR="00787085">
        <w:t>.</w:t>
      </w:r>
      <w:r w:rsidR="004230C7">
        <w:t xml:space="preserve"> </w:t>
      </w:r>
      <w:r w:rsidR="00BE4CEB">
        <w:t xml:space="preserve">The second </w:t>
      </w:r>
      <w:r w:rsidR="00C945E1">
        <w:t>difference is that random effects were omitted to better understand the effects of the stressors, which are represented by the fixed effects</w:t>
      </w:r>
      <w:r w:rsidR="00BE4CEB">
        <w:t>.</w:t>
      </w:r>
      <w:r w:rsidR="00C945E1">
        <w:t xml:space="preserve"> </w:t>
      </w:r>
      <w:r w:rsidR="004230C7">
        <w:t>Eviction from the largest size class is avoided by setting an extremely high upper</w:t>
      </w:r>
      <w:r w:rsidR="00F91D2B">
        <w:t xml:space="preserve"> size</w:t>
      </w:r>
      <w:r w:rsidR="004230C7">
        <w:t xml:space="preserve"> bound for the largest class, such that </w:t>
      </w:r>
      <w:r w:rsidR="00F91D2B">
        <w:t>portion of individuals growing beyond the maximum bound is numerically indistinguishable from 0.</w:t>
      </w:r>
      <w:r w:rsidR="00C945E1">
        <w:t xml:space="preserve"> </w:t>
      </w:r>
    </w:p>
    <w:p w14:paraId="12D16C11" w14:textId="01B1276F" w:rsidR="00C945E1" w:rsidRDefault="00737989" w:rsidP="00C945E1">
      <w:pPr>
        <w:spacing w:line="360" w:lineRule="auto"/>
        <w:rPr>
          <w:rFonts w:eastAsiaTheme="minorEastAsia"/>
        </w:rPr>
      </w:pPr>
      <w:r>
        <w:tab/>
      </w:r>
      <w:r w:rsidR="00445077">
        <w:t xml:space="preserve">The largest real eigenvalue of each full </w:t>
      </w:r>
      <w:commentRangeStart w:id="53"/>
      <w:r w:rsidR="00445077">
        <w:t>transition matrix</w:t>
      </w:r>
      <w:r w:rsidR="00445077">
        <w:rPr>
          <w:rFonts w:eastAsiaTheme="minorEastAsia"/>
        </w:rPr>
        <w:t xml:space="preserve"> </w:t>
      </w:r>
      <w:commentRangeEnd w:id="53"/>
      <w:r w:rsidR="007B296F">
        <w:rPr>
          <w:rFonts w:eastAsiaTheme="minorEastAsia"/>
        </w:rPr>
        <w:t xml:space="preserve"> </w:t>
      </w:r>
      <w:r w:rsidR="00B95CE0">
        <w:rPr>
          <w:rStyle w:val="CommentReference"/>
        </w:rPr>
        <w:commentReference w:id="53"/>
      </w:r>
      <w:r w:rsidR="00445077">
        <w:rPr>
          <w:rFonts w:eastAsiaTheme="minorEastAsia"/>
        </w:rPr>
        <w:t xml:space="preserve">corresponds to </w:t>
      </w:r>
      <w:commentRangeStart w:id="54"/>
      <w:r w:rsidR="00445077">
        <w:rPr>
          <w:rFonts w:eastAsiaTheme="minorEastAsia"/>
        </w:rPr>
        <w:t>the</w:t>
      </w:r>
      <w:commentRangeEnd w:id="54"/>
      <w:r w:rsidR="00B95CE0">
        <w:rPr>
          <w:rStyle w:val="CommentReference"/>
        </w:rPr>
        <w:commentReference w:id="54"/>
      </w:r>
      <w:commentRangeStart w:id="55"/>
      <w:r w:rsidR="00445077">
        <w:rPr>
          <w:rFonts w:eastAsiaTheme="minorEastAsia"/>
        </w:rPr>
        <w:t xml:space="preserve"> asymptotic </w:t>
      </w:r>
      <w:commentRangeEnd w:id="55"/>
      <w:r w:rsidR="00B95CE0">
        <w:rPr>
          <w:rStyle w:val="CommentReference"/>
        </w:rPr>
        <w:commentReference w:id="55"/>
      </w:r>
      <w:r w:rsidR="00445077">
        <w:rPr>
          <w:rFonts w:eastAsiaTheme="minorEastAsia"/>
        </w:rPr>
        <w:t xml:space="preserve">population growth rate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j,d</m:t>
            </m:r>
          </m:sub>
        </m:sSub>
      </m:oMath>
      <w:r w:rsidR="00445077">
        <w:rPr>
          <w:rFonts w:eastAsiaTheme="minorEastAsia"/>
        </w:rPr>
        <w:t xml:space="preserve"> for posterior draw </w:t>
      </w:r>
      <m:oMath>
        <m:r>
          <w:rPr>
            <w:rFonts w:ascii="Cambria Math" w:eastAsiaTheme="minorEastAsia" w:hAnsi="Cambria Math"/>
          </w:rPr>
          <m:t>d</m:t>
        </m:r>
      </m:oMath>
      <w:r w:rsidR="00445077">
        <w:rPr>
          <w:rFonts w:eastAsiaTheme="minorEastAsia"/>
        </w:rPr>
        <w:t xml:space="preserve"> and </w:t>
      </w:r>
      <w:r w:rsidR="004A222B">
        <w:rPr>
          <w:rFonts w:eastAsiaTheme="minorEastAsia"/>
        </w:rPr>
        <w:t>idealized plot</w:t>
      </w:r>
      <w:r w:rsidR="00445077">
        <w:rPr>
          <w:rFonts w:eastAsiaTheme="minorEastAsia"/>
        </w:rPr>
        <w:t xml:space="preserve"> </w:t>
      </w:r>
      <m:oMath>
        <m:r>
          <w:rPr>
            <w:rFonts w:ascii="Cambria Math" w:eastAsiaTheme="minorEastAsia" w:hAnsi="Cambria Math"/>
          </w:rPr>
          <m:t>j</m:t>
        </m:r>
      </m:oMath>
      <w:r w:rsidR="00445077">
        <w:rPr>
          <w:rFonts w:eastAsiaTheme="minorEastAsia"/>
        </w:rPr>
        <w:t xml:space="preserve">. The distribution of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j,*</m:t>
            </m:r>
          </m:sub>
        </m:sSub>
        <m:r>
          <m:rPr>
            <m:sty m:val="p"/>
          </m:rPr>
          <w:rPr>
            <w:rFonts w:ascii="Cambria Math" w:eastAsiaTheme="minorEastAsia" w:hAnsi="Cambria Math"/>
          </w:rPr>
          <m:t xml:space="preserve"> </m:t>
        </m:r>
      </m:oMath>
      <w:r w:rsidR="00445077">
        <w:rPr>
          <w:rFonts w:eastAsiaTheme="minorEastAsia"/>
        </w:rPr>
        <w:t xml:space="preserve"> for each environmental context </w:t>
      </w:r>
      <m:oMath>
        <m:r>
          <w:rPr>
            <w:rFonts w:ascii="Cambria Math" w:eastAsiaTheme="minorEastAsia" w:hAnsi="Cambria Math"/>
          </w:rPr>
          <m:t>j</m:t>
        </m:r>
      </m:oMath>
      <w:r w:rsidR="00445077">
        <w:rPr>
          <w:rFonts w:eastAsiaTheme="minorEastAsia"/>
        </w:rPr>
        <w:t xml:space="preserve"> was plotted to understand how the presence or absence of different stressors is expected to shape the asymptotic population growth rate of sugar pine. </w:t>
      </w:r>
    </w:p>
    <w:p w14:paraId="4F4B5330" w14:textId="70FCB057" w:rsidR="009B22BB" w:rsidRDefault="009B22BB" w:rsidP="00293491">
      <w:pPr>
        <w:pStyle w:val="Heading1"/>
        <w:spacing w:line="360" w:lineRule="auto"/>
      </w:pPr>
      <w:commentRangeStart w:id="56"/>
      <w:commentRangeStart w:id="57"/>
      <w:r>
        <w:t>Results</w:t>
      </w:r>
      <w:commentRangeEnd w:id="56"/>
      <w:r w:rsidR="000B15A1">
        <w:rPr>
          <w:rStyle w:val="CommentReference"/>
          <w:rFonts w:asciiTheme="minorHAnsi" w:eastAsiaTheme="minorHAnsi" w:hAnsiTheme="minorHAnsi" w:cstheme="minorBidi"/>
          <w:color w:val="auto"/>
        </w:rPr>
        <w:commentReference w:id="56"/>
      </w:r>
      <w:commentRangeEnd w:id="57"/>
      <w:r w:rsidR="000B15A1">
        <w:rPr>
          <w:rStyle w:val="CommentReference"/>
          <w:rFonts w:asciiTheme="minorHAnsi" w:eastAsiaTheme="minorHAnsi" w:hAnsiTheme="minorHAnsi" w:cstheme="minorBidi"/>
          <w:color w:val="auto"/>
        </w:rPr>
        <w:commentReference w:id="57"/>
      </w:r>
    </w:p>
    <w:p w14:paraId="1D0C92BA" w14:textId="03708612" w:rsidR="00540755" w:rsidRDefault="00540755" w:rsidP="00293491">
      <w:pPr>
        <w:pStyle w:val="Heading2"/>
        <w:spacing w:line="360" w:lineRule="auto"/>
      </w:pPr>
      <w:r>
        <w:t>Trends in Abundance</w:t>
      </w:r>
    </w:p>
    <w:p w14:paraId="0ED40EEC" w14:textId="7134D07B" w:rsidR="00540755" w:rsidRPr="00E45F15" w:rsidRDefault="00540755" w:rsidP="00CB34EC">
      <w:pPr>
        <w:spacing w:line="360" w:lineRule="auto"/>
      </w:pPr>
      <w:r>
        <w:tab/>
      </w:r>
      <w:r w:rsidR="006A10AA">
        <w:t xml:space="preserve">The abundance of sugar pine on plots where it was present declined between initial censuses (2001-2009) and remeasurements (2010-2019; </w:t>
      </w:r>
      <w:r w:rsidR="0085572F">
        <w:fldChar w:fldCharType="begin"/>
      </w:r>
      <w:r w:rsidR="0085572F">
        <w:instrText xml:space="preserve"> REF _Ref104988009 \h </w:instrText>
      </w:r>
      <w:r w:rsidR="0085572F">
        <w:fldChar w:fldCharType="separate"/>
      </w:r>
      <w:r w:rsidR="0085572F">
        <w:t xml:space="preserve">Figure </w:t>
      </w:r>
      <w:r w:rsidR="0085572F">
        <w:rPr>
          <w:noProof/>
        </w:rPr>
        <w:t>2</w:t>
      </w:r>
      <w:r w:rsidR="0085572F">
        <w:fldChar w:fldCharType="end"/>
      </w:r>
      <w:r w:rsidR="006A10AA">
        <w:t xml:space="preserve">). Basal area declined from a mean of </w:t>
      </w:r>
      <w:r w:rsidR="00E45F15">
        <w:t>4.25 m</w:t>
      </w:r>
      <w:r w:rsidR="00E45F15">
        <w:rPr>
          <w:vertAlign w:val="superscript"/>
        </w:rPr>
        <w:t>2</w:t>
      </w:r>
      <w:r w:rsidR="00E45F15">
        <w:t>/ha (standard error 0.14 m</w:t>
      </w:r>
      <w:r w:rsidR="00E45F15">
        <w:rPr>
          <w:vertAlign w:val="superscript"/>
        </w:rPr>
        <w:t>2</w:t>
      </w:r>
      <w:r w:rsidR="00E45F15">
        <w:t>/ha) to a mean of 4.06 (0.14) m</w:t>
      </w:r>
      <w:r w:rsidR="00E45F15">
        <w:rPr>
          <w:vertAlign w:val="superscript"/>
        </w:rPr>
        <w:t>2</w:t>
      </w:r>
      <w:r w:rsidR="00E45F15">
        <w:t xml:space="preserve">/ha. Stem density declined from a 53.4 (4.6) stems/ha to 48.4 (4.2) stems/ha. </w:t>
      </w:r>
      <w:r w:rsidR="00CB34EC">
        <w:t xml:space="preserve">Because these figures include only plots where sugar pine was present, they should be interpreted as upper bounds on the actual density of sugar pine across its range. Rather than estimate true abundance, they provide insight into the relative change in abundance across the decade between initial measurement and remeasurement. </w:t>
      </w:r>
    </w:p>
    <w:p w14:paraId="2905F085" w14:textId="3F8644DC" w:rsidR="009B22BB" w:rsidRDefault="00540755" w:rsidP="00293491">
      <w:pPr>
        <w:pStyle w:val="Heading2"/>
        <w:spacing w:line="360" w:lineRule="auto"/>
      </w:pPr>
      <w:r>
        <w:lastRenderedPageBreak/>
        <w:t xml:space="preserve">Vital Rates </w:t>
      </w:r>
      <w:r w:rsidR="00874307">
        <w:t>Model Validation</w:t>
      </w:r>
    </w:p>
    <w:p w14:paraId="53D9844B" w14:textId="15D8C9B2" w:rsidR="00874307" w:rsidRDefault="00844EFD" w:rsidP="00293491">
      <w:pPr>
        <w:spacing w:line="360" w:lineRule="auto"/>
        <w:ind w:firstLine="720"/>
      </w:pPr>
      <w:r>
        <w:t xml:space="preserve">Diagnostics for </w:t>
      </w:r>
      <w:r w:rsidR="006144D6">
        <w:t xml:space="preserve">mixing, </w:t>
      </w:r>
      <w:r>
        <w:t xml:space="preserve">convergence, </w:t>
      </w:r>
      <w:r w:rsidR="00222543">
        <w:t>R-</w:t>
      </w:r>
      <w:r>
        <w:t xml:space="preserve">hat, and transitions all indicated that the </w:t>
      </w:r>
      <w:r w:rsidR="007934A7">
        <w:t xml:space="preserve">model fitting algorithm performed well. Comparisons of posterior distributions with prior distributions showed that </w:t>
      </w:r>
      <w:r w:rsidR="00FC5A10">
        <w:t>the posterior was strongly informed by the data, rather than the prior, for most parameters</w:t>
      </w:r>
      <w:r w:rsidR="00C45A1A">
        <w:t xml:space="preserve"> (</w:t>
      </w:r>
      <w:r w:rsidR="00226C3F">
        <w:fldChar w:fldCharType="begin"/>
      </w:r>
      <w:r w:rsidR="00226C3F">
        <w:instrText xml:space="preserve"> REF _Ref93658815 \h </w:instrText>
      </w:r>
      <w:r w:rsidR="00293491">
        <w:instrText xml:space="preserve"> \* MERGEFORMAT </w:instrText>
      </w:r>
      <w:r w:rsidR="00226C3F">
        <w:fldChar w:fldCharType="separate"/>
      </w:r>
      <w:r w:rsidR="0085572F">
        <w:t>Supplementary Materials</w:t>
      </w:r>
      <w:r w:rsidR="00226C3F">
        <w:fldChar w:fldCharType="end"/>
      </w:r>
      <w:r w:rsidR="00C45A1A">
        <w:t>)</w:t>
      </w:r>
      <w:r w:rsidR="00FC5A10">
        <w:t>. The exception, where the posterior was only weakly informed by the data, were the estimates</w:t>
      </w:r>
      <w:r w:rsidR="00134157">
        <w:t xml:space="preserve"> for</w:t>
      </w:r>
      <w:r w:rsidR="00FC5A10">
        <w:rPr>
          <w:rFonts w:eastAsiaTheme="minorEastAsia"/>
        </w:rPr>
        <w:t xml:space="preserve"> the interaction</w:t>
      </w:r>
      <w:r w:rsidR="00134157">
        <w:rPr>
          <w:rFonts w:eastAsiaTheme="minorEastAsia"/>
        </w:rPr>
        <w:t>s</w:t>
      </w:r>
      <w:r w:rsidR="00FC5A10">
        <w:rPr>
          <w:rFonts w:eastAsiaTheme="minorEastAsia"/>
        </w:rPr>
        <w:t xml:space="preserve"> of WPBR with size</w:t>
      </w:r>
      <w:r w:rsidR="00134157">
        <w:rPr>
          <w:rFonts w:eastAsiaTheme="minorEastAsia"/>
        </w:rPr>
        <w:t xml:space="preserve"> and quadratic size affecting survival, the interaction of size with fire affecting fecundity, and the interaction between size and WPBR affecting fecundity</w:t>
      </w:r>
      <w:r w:rsidR="00FC5A10">
        <w:rPr>
          <w:rFonts w:eastAsiaTheme="minorEastAsia"/>
        </w:rPr>
        <w:t>. This uncertainty regarding fecundity</w:t>
      </w:r>
      <w:r w:rsidR="00065C38">
        <w:rPr>
          <w:rFonts w:eastAsiaTheme="minorEastAsia"/>
        </w:rPr>
        <w:t xml:space="preserve"> parameters was likely </w:t>
      </w:r>
      <w:proofErr w:type="gramStart"/>
      <w:r w:rsidR="00065C38">
        <w:rPr>
          <w:rFonts w:eastAsiaTheme="minorEastAsia"/>
        </w:rPr>
        <w:t>due to the fact that</w:t>
      </w:r>
      <w:proofErr w:type="gramEnd"/>
      <w:r w:rsidR="00065C38">
        <w:rPr>
          <w:rFonts w:eastAsiaTheme="minorEastAsia"/>
        </w:rPr>
        <w:t xml:space="preserve"> fecundity was not directly observed, and the uncertainty regarding interactions involving WPBR </w:t>
      </w:r>
      <w:r w:rsidR="00FC5A10">
        <w:rPr>
          <w:rFonts w:eastAsiaTheme="minorEastAsia"/>
        </w:rPr>
        <w:t>was likely due</w:t>
      </w:r>
      <w:r w:rsidR="00222543">
        <w:rPr>
          <w:rFonts w:eastAsiaTheme="minorEastAsia"/>
        </w:rPr>
        <w:t xml:space="preserve"> to the relatively low frequency </w:t>
      </w:r>
      <w:r w:rsidR="00065C38">
        <w:rPr>
          <w:rFonts w:eastAsiaTheme="minorEastAsia"/>
        </w:rPr>
        <w:t xml:space="preserve">of </w:t>
      </w:r>
      <w:r w:rsidR="00222543">
        <w:rPr>
          <w:rFonts w:eastAsiaTheme="minorEastAsia"/>
        </w:rPr>
        <w:t>WPBR presence</w:t>
      </w:r>
      <w:r w:rsidR="00065C38">
        <w:rPr>
          <w:rFonts w:eastAsiaTheme="minorEastAsia"/>
        </w:rPr>
        <w:t xml:space="preserve"> in the data</w:t>
      </w:r>
      <w:r w:rsidR="00FC5A10">
        <w:rPr>
          <w:rFonts w:eastAsiaTheme="minorEastAsia"/>
        </w:rPr>
        <w:t>.</w:t>
      </w:r>
      <w:r w:rsidR="00BE0F16">
        <w:rPr>
          <w:rFonts w:eastAsiaTheme="minorEastAsia"/>
        </w:rPr>
        <w:t xml:space="preserve"> </w:t>
      </w:r>
      <w:r w:rsidR="00134157">
        <w:rPr>
          <w:rFonts w:eastAsiaTheme="minorEastAsia"/>
        </w:rPr>
        <w:t>Posterior predictions</w:t>
      </w:r>
      <w:commentRangeStart w:id="58"/>
      <w:r w:rsidR="00BE0F16">
        <w:rPr>
          <w:rFonts w:eastAsiaTheme="minorEastAsia"/>
        </w:rPr>
        <w:t xml:space="preserve"> </w:t>
      </w:r>
      <w:commentRangeEnd w:id="58"/>
      <w:r w:rsidR="00B95CE0">
        <w:rPr>
          <w:rStyle w:val="CommentReference"/>
        </w:rPr>
        <w:commentReference w:id="58"/>
      </w:r>
      <w:r w:rsidR="00BE0F16">
        <w:rPr>
          <w:rFonts w:eastAsiaTheme="minorEastAsia"/>
        </w:rPr>
        <w:t>generated using the posterior parameter samples and the training data as explanatory variables were</w:t>
      </w:r>
      <w:r w:rsidR="00065C38">
        <w:rPr>
          <w:rFonts w:eastAsiaTheme="minorEastAsia"/>
        </w:rPr>
        <w:t xml:space="preserve"> </w:t>
      </w:r>
      <w:r w:rsidR="00BE0F16">
        <w:rPr>
          <w:rFonts w:eastAsiaTheme="minorEastAsia"/>
        </w:rPr>
        <w:t>consistent with the true values observed in the training data</w:t>
      </w:r>
      <w:r w:rsidR="000711D9">
        <w:rPr>
          <w:rFonts w:eastAsiaTheme="minorEastAsia"/>
        </w:rPr>
        <w:t>, with the true values nearly always falling within the range of variation predicted by the model</w:t>
      </w:r>
      <w:r w:rsidR="00BE0F16">
        <w:rPr>
          <w:rFonts w:eastAsiaTheme="minorEastAsia"/>
        </w:rPr>
        <w:t xml:space="preserve"> (</w:t>
      </w:r>
      <w:r w:rsidR="00BE0F16">
        <w:rPr>
          <w:rFonts w:eastAsiaTheme="minorEastAsia"/>
        </w:rPr>
        <w:fldChar w:fldCharType="begin"/>
      </w:r>
      <w:r w:rsidR="00BE0F16">
        <w:rPr>
          <w:rFonts w:eastAsiaTheme="minorEastAsia"/>
        </w:rPr>
        <w:instrText xml:space="preserve"> REF _Ref93658815 \h </w:instrText>
      </w:r>
      <w:r w:rsidR="00293491">
        <w:rPr>
          <w:rFonts w:eastAsiaTheme="minorEastAsia"/>
        </w:rPr>
        <w:instrText xml:space="preserve"> \* MERGEFORMAT </w:instrText>
      </w:r>
      <w:r w:rsidR="00BE0F16">
        <w:rPr>
          <w:rFonts w:eastAsiaTheme="minorEastAsia"/>
        </w:rPr>
      </w:r>
      <w:r w:rsidR="00BE0F16">
        <w:rPr>
          <w:rFonts w:eastAsiaTheme="minorEastAsia"/>
        </w:rPr>
        <w:fldChar w:fldCharType="separate"/>
      </w:r>
      <w:r w:rsidR="0085572F">
        <w:t>Supplementary Materials</w:t>
      </w:r>
      <w:r w:rsidR="00BE0F16">
        <w:rPr>
          <w:rFonts w:eastAsiaTheme="minorEastAsia"/>
        </w:rPr>
        <w:fldChar w:fldCharType="end"/>
      </w:r>
      <w:r w:rsidR="00BE0F16">
        <w:rPr>
          <w:rFonts w:eastAsiaTheme="minorEastAsia"/>
        </w:rPr>
        <w:t>)</w:t>
      </w:r>
      <w:r w:rsidR="00065C38">
        <w:rPr>
          <w:rFonts w:eastAsiaTheme="minorEastAsia"/>
        </w:rPr>
        <w:t xml:space="preserve">. </w:t>
      </w:r>
      <w:r w:rsidR="000711D9">
        <w:rPr>
          <w:rFonts w:eastAsiaTheme="minorEastAsia"/>
        </w:rPr>
        <w:t xml:space="preserve">The survival model appeared slightly underconfident, in that true survival rates were slightly lower than predicted survival rates for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r>
          <w:rPr>
            <w:rFonts w:ascii="Cambria Math" w:eastAsiaTheme="minorEastAsia" w:hAnsi="Cambria Math"/>
          </w:rPr>
          <m:t>&lt;0.8</m:t>
        </m:r>
      </m:oMath>
      <w:r w:rsidR="000711D9">
        <w:rPr>
          <w:rFonts w:eastAsiaTheme="minorEastAsia"/>
        </w:rPr>
        <w:t xml:space="preserve">, and true survival rates were slightly higher than predicted survival rates for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r>
          <w:rPr>
            <w:rFonts w:ascii="Cambria Math" w:eastAsiaTheme="minorEastAsia" w:hAnsi="Cambria Math"/>
          </w:rPr>
          <m:t>&gt;0.8</m:t>
        </m:r>
      </m:oMath>
      <w:r w:rsidR="000711D9">
        <w:rPr>
          <w:rFonts w:eastAsiaTheme="minorEastAsia"/>
        </w:rPr>
        <w:t xml:space="preserve">. </w:t>
      </w:r>
      <w:r w:rsidR="0061208B">
        <w:rPr>
          <w:rFonts w:eastAsiaTheme="minorEastAsia"/>
        </w:rPr>
        <w:t xml:space="preserve">Some plots with relatively high predicted seedling </w:t>
      </w:r>
      <w:proofErr w:type="gramStart"/>
      <w:r w:rsidR="0061208B">
        <w:rPr>
          <w:rFonts w:eastAsiaTheme="minorEastAsia"/>
        </w:rPr>
        <w:t>counts</w:t>
      </w:r>
      <w:proofErr w:type="gramEnd"/>
      <w:r w:rsidR="0061208B">
        <w:rPr>
          <w:rFonts w:eastAsiaTheme="minorEastAsia"/>
        </w:rPr>
        <w:t xml:space="preserve"> actually had few or no seedlings (which was within the expected range of variation). Simulations generated</w:t>
      </w:r>
      <w:r w:rsidR="00BE0F16">
        <w:rPr>
          <w:rFonts w:eastAsiaTheme="minorEastAsia"/>
        </w:rPr>
        <w:t xml:space="preserve"> using the posterior parameter samples and the held-out validation data</w:t>
      </w:r>
      <w:r w:rsidR="00C07C6D">
        <w:rPr>
          <w:rFonts w:eastAsiaTheme="minorEastAsia"/>
        </w:rPr>
        <w:t xml:space="preserve"> as explanatory variables were </w:t>
      </w:r>
      <w:r w:rsidR="0061208B">
        <w:rPr>
          <w:rFonts w:eastAsiaTheme="minorEastAsia"/>
        </w:rPr>
        <w:t xml:space="preserve">broadly </w:t>
      </w:r>
      <w:r w:rsidR="00C07C6D">
        <w:rPr>
          <w:rFonts w:eastAsiaTheme="minorEastAsia"/>
        </w:rPr>
        <w:t>consistent with the true values observed in the validation data (</w:t>
      </w:r>
      <w:commentRangeStart w:id="59"/>
      <w:r w:rsidR="003E04A3">
        <w:rPr>
          <w:rFonts w:eastAsiaTheme="minorEastAsia"/>
        </w:rPr>
        <w:fldChar w:fldCharType="begin"/>
      </w:r>
      <w:r w:rsidR="003E04A3">
        <w:rPr>
          <w:rFonts w:eastAsiaTheme="minorEastAsia"/>
        </w:rPr>
        <w:instrText xml:space="preserve"> REF _Ref93658815 \h </w:instrText>
      </w:r>
      <w:r w:rsidR="00293491">
        <w:rPr>
          <w:rFonts w:eastAsiaTheme="minorEastAsia"/>
        </w:rPr>
        <w:instrText xml:space="preserve"> \* MERGEFORMAT </w:instrText>
      </w:r>
      <w:r w:rsidR="003E04A3">
        <w:rPr>
          <w:rFonts w:eastAsiaTheme="minorEastAsia"/>
        </w:rPr>
      </w:r>
      <w:r w:rsidR="003E04A3">
        <w:rPr>
          <w:rFonts w:eastAsiaTheme="minorEastAsia"/>
        </w:rPr>
        <w:fldChar w:fldCharType="separate"/>
      </w:r>
      <w:r w:rsidR="0085572F">
        <w:t>Supplementary Materials</w:t>
      </w:r>
      <w:r w:rsidR="003E04A3">
        <w:rPr>
          <w:rFonts w:eastAsiaTheme="minorEastAsia"/>
        </w:rPr>
        <w:fldChar w:fldCharType="end"/>
      </w:r>
      <w:commentRangeEnd w:id="59"/>
      <w:r w:rsidR="004C5044">
        <w:rPr>
          <w:rStyle w:val="CommentReference"/>
        </w:rPr>
        <w:commentReference w:id="59"/>
      </w:r>
      <w:r w:rsidR="00C07C6D">
        <w:rPr>
          <w:rFonts w:eastAsiaTheme="minorEastAsia"/>
        </w:rPr>
        <w:t>).</w:t>
      </w:r>
      <w:r w:rsidR="00222543">
        <w:rPr>
          <w:rFonts w:eastAsiaTheme="minorEastAsia"/>
        </w:rPr>
        <w:t xml:space="preserve"> </w:t>
      </w:r>
      <w:r w:rsidR="0061208B">
        <w:rPr>
          <w:rFonts w:eastAsiaTheme="minorEastAsia"/>
        </w:rPr>
        <w:t>Survival was slightly under-predicted</w:t>
      </w:r>
      <w:r w:rsidR="00165CBF">
        <w:rPr>
          <w:rFonts w:eastAsiaTheme="minorEastAsia"/>
        </w:rPr>
        <w:t xml:space="preserve">, though again within the expected range of variation. For the growth model, the central tendency and expected variation in posterior predictions agreed well with both the training and validation data. </w:t>
      </w:r>
    </w:p>
    <w:p w14:paraId="7256D00B" w14:textId="76F9BA11" w:rsidR="00874307" w:rsidRDefault="00874307" w:rsidP="00293491">
      <w:pPr>
        <w:pStyle w:val="Heading2"/>
        <w:spacing w:line="360" w:lineRule="auto"/>
      </w:pPr>
      <w:r>
        <w:t>Survival</w:t>
      </w:r>
    </w:p>
    <w:p w14:paraId="03196E06" w14:textId="6557BFC4" w:rsidR="00A9076E" w:rsidRDefault="004940F9" w:rsidP="004940F9">
      <w:pPr>
        <w:spacing w:line="360" w:lineRule="auto"/>
        <w:ind w:firstLine="720"/>
      </w:pPr>
      <w:r>
        <w:t>There was a strong positive effect of size on survival, with a negative quadratic effect</w:t>
      </w:r>
      <w:r w:rsidR="00B27150">
        <w:t xml:space="preserve"> </w:t>
      </w:r>
      <w:r w:rsidR="00C65DC4">
        <w:t>(</w:t>
      </w:r>
      <w:r w:rsidR="00C65DC4">
        <w:fldChar w:fldCharType="begin"/>
      </w:r>
      <w:r w:rsidR="00C65DC4">
        <w:instrText xml:space="preserve"> REF _Ref104545123 \h </w:instrText>
      </w:r>
      <w:r w:rsidR="00C65DC4">
        <w:fldChar w:fldCharType="separate"/>
      </w:r>
      <w:r w:rsidR="0085572F">
        <w:t xml:space="preserve">Table </w:t>
      </w:r>
      <w:r w:rsidR="0085572F">
        <w:rPr>
          <w:noProof/>
        </w:rPr>
        <w:t>1</w:t>
      </w:r>
      <w:r w:rsidR="00C65DC4">
        <w:fldChar w:fldCharType="end"/>
      </w:r>
      <w:r w:rsidR="00C65DC4">
        <w:t>)</w:t>
      </w:r>
      <w:r>
        <w:t xml:space="preserve">: </w:t>
      </w:r>
      <w:r w:rsidR="00766541">
        <w:t xml:space="preserve">Median posterior predicted </w:t>
      </w:r>
      <w:r>
        <w:t xml:space="preserve">10-year survival rates increased from approximately </w:t>
      </w:r>
      <w:r w:rsidR="00C73ACA">
        <w:t>80</w:t>
      </w:r>
      <w:r w:rsidR="00BD1FBD">
        <w:t xml:space="preserve">% for stems with 0 m DBH up to a maximum of </w:t>
      </w:r>
      <w:r w:rsidR="00C73ACA">
        <w:t>96.5</w:t>
      </w:r>
      <w:r w:rsidR="00BD1FBD">
        <w:t>% for stems with</w:t>
      </w:r>
      <w:r w:rsidR="00C73ACA">
        <w:t xml:space="preserve"> 0.91</w:t>
      </w:r>
      <w:r w:rsidR="00BD1FBD">
        <w:t xml:space="preserve"> m DBH, before rapidly falling off for the largest stems to </w:t>
      </w:r>
      <w:r w:rsidR="00C73ACA">
        <w:t>just 5.6% for a stem with 2.50 m DBH (</w:t>
      </w:r>
      <w:r w:rsidR="00C73ACA">
        <w:fldChar w:fldCharType="begin"/>
      </w:r>
      <w:r w:rsidR="00C73ACA">
        <w:instrText xml:space="preserve"> REF _Ref93744929 \h </w:instrText>
      </w:r>
      <w:r w:rsidR="00C73ACA">
        <w:fldChar w:fldCharType="separate"/>
      </w:r>
      <w:r w:rsidR="0085572F">
        <w:t xml:space="preserve">Figure </w:t>
      </w:r>
      <w:r w:rsidR="0085572F">
        <w:rPr>
          <w:noProof/>
        </w:rPr>
        <w:t>3</w:t>
      </w:r>
      <w:r w:rsidR="00C73ACA">
        <w:fldChar w:fldCharType="end"/>
      </w:r>
      <w:r w:rsidR="00C73ACA">
        <w:t>)</w:t>
      </w:r>
      <w:r w:rsidR="00766541">
        <w:t>, though with relatively large uncertainty</w:t>
      </w:r>
      <w:r w:rsidR="00481C21">
        <w:t xml:space="preserve"> because there were few extremely large individuals</w:t>
      </w:r>
      <w:r w:rsidR="00C73ACA">
        <w:t>. The rapid declines in survival for the largest individuals are striking</w:t>
      </w:r>
      <w:r w:rsidR="00766541">
        <w:t xml:space="preserve"> but in line with the data, where of the </w:t>
      </w:r>
      <w:r w:rsidR="00481C21">
        <w:t>5</w:t>
      </w:r>
      <w:r w:rsidR="00766541">
        <w:t xml:space="preserve"> individuals larger than </w:t>
      </w:r>
      <w:r w:rsidR="00481C21">
        <w:t xml:space="preserve">2.00 </w:t>
      </w:r>
      <w:r w:rsidR="00766541">
        <w:t>m</w:t>
      </w:r>
      <w:r w:rsidR="00481C21">
        <w:t>, only two</w:t>
      </w:r>
      <w:r w:rsidR="00766541">
        <w:t xml:space="preserve"> survived to remeasurement. </w:t>
      </w:r>
      <w:r w:rsidR="00481C21">
        <w:t>There was a strong negative main effect of fire and a positive interaction between fire and size, indicating that fire substantially reduced survival, particularly for smaller trees (</w:t>
      </w:r>
      <w:r w:rsidR="00481C21">
        <w:fldChar w:fldCharType="begin"/>
      </w:r>
      <w:r w:rsidR="00481C21">
        <w:instrText xml:space="preserve"> REF _Ref93744929 \h </w:instrText>
      </w:r>
      <w:r w:rsidR="00481C21">
        <w:fldChar w:fldCharType="separate"/>
      </w:r>
      <w:r w:rsidR="0085572F">
        <w:t xml:space="preserve">Figure </w:t>
      </w:r>
      <w:r w:rsidR="0085572F">
        <w:rPr>
          <w:noProof/>
        </w:rPr>
        <w:t>3</w:t>
      </w:r>
      <w:r w:rsidR="00481C21">
        <w:fldChar w:fldCharType="end"/>
      </w:r>
      <w:r w:rsidR="00481C21">
        <w:t>).</w:t>
      </w:r>
      <w:r w:rsidR="008E28B3">
        <w:t xml:space="preserve"> </w:t>
      </w:r>
      <w:r w:rsidR="001E0490">
        <w:t xml:space="preserve">There were moderate negative effects of WPBR and basal area on survival, and a positive </w:t>
      </w:r>
      <w:r w:rsidR="001E0490">
        <w:lastRenderedPageBreak/>
        <w:t>interaction between basal area and size. Other effects were weak</w:t>
      </w:r>
      <w:r w:rsidR="0033554D">
        <w:t xml:space="preserve"> or uncertain</w:t>
      </w:r>
      <w:r w:rsidR="001E0490">
        <w:t xml:space="preserve"> (their 90% credible intervals overlapped 0). </w:t>
      </w:r>
    </w:p>
    <w:p w14:paraId="030B7D88" w14:textId="5AFC03E7" w:rsidR="00874307" w:rsidRDefault="00874307" w:rsidP="00293491">
      <w:pPr>
        <w:pStyle w:val="Heading2"/>
        <w:spacing w:line="360" w:lineRule="auto"/>
      </w:pPr>
      <w:r>
        <w:t xml:space="preserve">Individual </w:t>
      </w:r>
      <w:r w:rsidR="00935912">
        <w:t>Size (growth)</w:t>
      </w:r>
    </w:p>
    <w:p w14:paraId="7C049D35" w14:textId="0E3BB8E5" w:rsidR="00C358F3" w:rsidRDefault="00935912" w:rsidP="00293491">
      <w:pPr>
        <w:spacing w:line="360" w:lineRule="auto"/>
      </w:pPr>
      <w:r>
        <w:tab/>
      </w:r>
      <w:commentRangeStart w:id="60"/>
      <w:r>
        <w:t>The posterior median for the intercept of the model for size at the second census was 0.0</w:t>
      </w:r>
      <w:r w:rsidR="00C65DC4">
        <w:t>38</w:t>
      </w:r>
      <w:r>
        <w:t>, with a 90% credible interval from 0.0</w:t>
      </w:r>
      <w:r w:rsidR="00954945">
        <w:t>3</w:t>
      </w:r>
      <w:r w:rsidR="00C65DC4">
        <w:t>4</w:t>
      </w:r>
      <w:r>
        <w:t xml:space="preserve"> to 0.04</w:t>
      </w:r>
      <w:r w:rsidR="00C65DC4">
        <w:t>1</w:t>
      </w:r>
      <w:r>
        <w:t xml:space="preserve"> (</w:t>
      </w:r>
      <w:r w:rsidR="00C65DC4">
        <w:fldChar w:fldCharType="begin"/>
      </w:r>
      <w:r w:rsidR="00C65DC4">
        <w:instrText xml:space="preserve"> REF _Ref94609644 \h </w:instrText>
      </w:r>
      <w:r w:rsidR="00C65DC4">
        <w:fldChar w:fldCharType="separate"/>
      </w:r>
      <w:r w:rsidR="0085572F">
        <w:t xml:space="preserve">Table </w:t>
      </w:r>
      <w:r w:rsidR="0085572F">
        <w:rPr>
          <w:noProof/>
        </w:rPr>
        <w:t>2</w:t>
      </w:r>
      <w:r w:rsidR="00C65DC4">
        <w:fldChar w:fldCharType="end"/>
      </w:r>
      <w:r>
        <w:t xml:space="preserve">). The effect of initial size was, as expected, very close to 1. Together, these results indicate that </w:t>
      </w:r>
      <w:r w:rsidR="00C358F3">
        <w:t>the smallest trees</w:t>
      </w:r>
      <w:r>
        <w:t xml:space="preserve"> </w:t>
      </w:r>
      <w:proofErr w:type="spellStart"/>
      <w:r>
        <w:t>trees</w:t>
      </w:r>
      <w:proofErr w:type="spellEnd"/>
      <w:r>
        <w:t xml:space="preserve"> grew an average </w:t>
      </w:r>
      <w:r w:rsidR="00C65DC4">
        <w:t>3.8 cm</w:t>
      </w:r>
      <w:r w:rsidR="00F365CE">
        <w:t xml:space="preserve"> DBH</w:t>
      </w:r>
      <w:r>
        <w:t xml:space="preserve"> in the 10 years between initial and follow-up census</w:t>
      </w:r>
      <w:r w:rsidR="00954945">
        <w:t xml:space="preserve">, </w:t>
      </w:r>
      <w:r w:rsidR="00C358F3">
        <w:t>with larger trees growing slightly more</w:t>
      </w:r>
      <w:r w:rsidR="00954945">
        <w:t xml:space="preserve"> (</w:t>
      </w:r>
      <w:r w:rsidR="00954945">
        <w:fldChar w:fldCharType="begin"/>
      </w:r>
      <w:r w:rsidR="00954945">
        <w:instrText xml:space="preserve"> REF _Ref94611931 \h </w:instrText>
      </w:r>
      <w:r w:rsidR="00954945">
        <w:fldChar w:fldCharType="separate"/>
      </w:r>
      <w:r w:rsidR="0085572F">
        <w:t xml:space="preserve">Figure </w:t>
      </w:r>
      <w:r w:rsidR="0085572F">
        <w:rPr>
          <w:noProof/>
        </w:rPr>
        <w:t>4</w:t>
      </w:r>
      <w:r w:rsidR="00954945">
        <w:fldChar w:fldCharType="end"/>
      </w:r>
      <w:r w:rsidR="00954945">
        <w:t>)</w:t>
      </w:r>
      <w:r>
        <w:t xml:space="preserve">. </w:t>
      </w:r>
      <w:commentRangeEnd w:id="60"/>
      <w:r w:rsidR="001C02F2">
        <w:rPr>
          <w:rStyle w:val="CommentReference"/>
        </w:rPr>
        <w:commentReference w:id="60"/>
      </w:r>
      <w:r w:rsidR="00C358F3">
        <w:t xml:space="preserve">Fire had weak or no effect on growth of the smallest </w:t>
      </w:r>
      <w:proofErr w:type="gramStart"/>
      <w:r w:rsidR="00C358F3">
        <w:t>trees, but</w:t>
      </w:r>
      <w:proofErr w:type="gramEnd"/>
      <w:r w:rsidR="00C358F3">
        <w:t xml:space="preserve"> did reduce the growth of larger stems. </w:t>
      </w:r>
      <w:r w:rsidR="00FC4865">
        <w:t>By contrast, basal area reduced the growth of small stems but not large ones. Site dryness had a negative main effect and a positive interaction with initial size: For the smallest stems growth was lower on dry sites, whereas for stems above approximately 0.60 m growth was higher on dry sites. Other effects were weak</w:t>
      </w:r>
      <w:r w:rsidR="0033554D">
        <w:t xml:space="preserve"> </w:t>
      </w:r>
      <w:r w:rsidR="00FC4865">
        <w:t xml:space="preserve">or uncertain. </w:t>
      </w:r>
    </w:p>
    <w:p w14:paraId="5176C98B" w14:textId="58BE168B" w:rsidR="00874307" w:rsidRDefault="00874307" w:rsidP="00293491">
      <w:pPr>
        <w:pStyle w:val="Heading2"/>
        <w:spacing w:line="360" w:lineRule="auto"/>
      </w:pPr>
      <w:r>
        <w:t>Fecundity</w:t>
      </w:r>
    </w:p>
    <w:p w14:paraId="0F73A96B" w14:textId="6E87574A" w:rsidR="00874307" w:rsidRDefault="00C3625A" w:rsidP="00293491">
      <w:pPr>
        <w:spacing w:line="360" w:lineRule="auto"/>
      </w:pPr>
      <w:r>
        <w:tab/>
      </w:r>
      <w:r w:rsidR="006A2B6F">
        <w:t>As with survival, there was a positive effect of size on fecundity and a negative quadratic effect of size (</w:t>
      </w:r>
      <w:r w:rsidR="006A2B6F">
        <w:fldChar w:fldCharType="begin"/>
      </w:r>
      <w:r w:rsidR="006A2B6F">
        <w:instrText xml:space="preserve"> REF _Ref94613081 \h </w:instrText>
      </w:r>
      <w:r w:rsidR="006A2B6F">
        <w:fldChar w:fldCharType="separate"/>
      </w:r>
      <w:r w:rsidR="0085572F">
        <w:t xml:space="preserve">Table </w:t>
      </w:r>
      <w:r w:rsidR="0085572F">
        <w:rPr>
          <w:noProof/>
        </w:rPr>
        <w:t>3</w:t>
      </w:r>
      <w:r w:rsidR="006A2B6F">
        <w:fldChar w:fldCharType="end"/>
      </w:r>
      <w:r w:rsidR="006A2B6F">
        <w:t>). The predicted number of new seedlings in a 10-year census per existing individual climbed from</w:t>
      </w:r>
      <w:r w:rsidR="00356D90">
        <w:t xml:space="preserve"> 0.02 for individuals of 0 m DBH to a maximum of 1.14 for individuals of 1.74 m DBH, before declining to 0.53 for individuals of 2.5m DBH (</w:t>
      </w:r>
      <w:r w:rsidR="00356D90">
        <w:fldChar w:fldCharType="begin"/>
      </w:r>
      <w:r w:rsidR="00356D90">
        <w:instrText xml:space="preserve"> REF _Ref94613276 \h </w:instrText>
      </w:r>
      <w:r w:rsidR="00356D90">
        <w:fldChar w:fldCharType="separate"/>
      </w:r>
      <w:r w:rsidR="0085572F">
        <w:t xml:space="preserve">Figure </w:t>
      </w:r>
      <w:r w:rsidR="0085572F">
        <w:rPr>
          <w:noProof/>
        </w:rPr>
        <w:t>5</w:t>
      </w:r>
      <w:r w:rsidR="00356D90">
        <w:fldChar w:fldCharType="end"/>
      </w:r>
      <w:r w:rsidR="00356D90">
        <w:t>).</w:t>
      </w:r>
      <w:r w:rsidR="00C57012">
        <w:t xml:space="preserve"> Fecundity was slightly higher on drier sites, except for the largest individuals. There was a positive interaction between WPBR and size on fecundity and a negative interaction between squared size and WPBR, though there was considerable uncertainty about the magnitudes of each: The relationship between size and fecundity was steeper on plots with WPBR. </w:t>
      </w:r>
      <w:r w:rsidR="0033554D">
        <w:t>By contrast, basal area had a negative interaction with size and a positive interaction with squared size, so the relationship between size and fecundity was less steep on plots with high basal area. Other effects were weak or uncertain.</w:t>
      </w:r>
    </w:p>
    <w:p w14:paraId="535238A9" w14:textId="6467D35F" w:rsidR="00874307" w:rsidRPr="00874307" w:rsidRDefault="00874307" w:rsidP="00293491">
      <w:pPr>
        <w:pStyle w:val="Heading2"/>
        <w:spacing w:line="360" w:lineRule="auto"/>
      </w:pPr>
      <w:commentRangeStart w:id="61"/>
      <w:r>
        <w:t>Asymptotic</w:t>
      </w:r>
      <w:commentRangeEnd w:id="61"/>
      <w:r w:rsidR="00B95CE0">
        <w:rPr>
          <w:rStyle w:val="CommentReference"/>
          <w:rFonts w:asciiTheme="minorHAnsi" w:eastAsiaTheme="minorHAnsi" w:hAnsiTheme="minorHAnsi" w:cstheme="minorBidi"/>
          <w:color w:val="auto"/>
        </w:rPr>
        <w:commentReference w:id="61"/>
      </w:r>
      <w:r>
        <w:t xml:space="preserve"> Population Growth Rates</w:t>
      </w:r>
    </w:p>
    <w:p w14:paraId="700C5BA8" w14:textId="357BC842" w:rsidR="00035CCB" w:rsidRDefault="00C15C9A" w:rsidP="00035CCB">
      <w:pPr>
        <w:spacing w:line="360" w:lineRule="auto"/>
      </w:pPr>
      <w:r>
        <w:tab/>
      </w:r>
      <w:r w:rsidR="00832565">
        <w:fldChar w:fldCharType="begin"/>
      </w:r>
      <w:r w:rsidR="00832565">
        <w:instrText xml:space="preserve"> REF _Ref94616225 \h </w:instrText>
      </w:r>
      <w:r w:rsidR="00832565">
        <w:fldChar w:fldCharType="separate"/>
      </w:r>
      <w:r w:rsidR="0085572F">
        <w:t xml:space="preserve">Figure </w:t>
      </w:r>
      <w:r w:rsidR="0085572F">
        <w:rPr>
          <w:noProof/>
        </w:rPr>
        <w:t>6</w:t>
      </w:r>
      <w:r w:rsidR="00832565">
        <w:fldChar w:fldCharType="end"/>
      </w:r>
      <w:r w:rsidR="00832565">
        <w:t xml:space="preserve"> shows the posterior distribution of the asymptotic population growth rate (</w:t>
      </w:r>
      <m:oMath>
        <m:r>
          <w:rPr>
            <w:rFonts w:ascii="Cambria Math" w:hAnsi="Cambria Math" w:cstheme="minorHAnsi"/>
          </w:rPr>
          <m:t>λ</m:t>
        </m:r>
      </m:oMath>
      <w:r w:rsidR="00DD37D1">
        <w:rPr>
          <w:rFonts w:cstheme="minorHAnsi"/>
        </w:rPr>
        <w:t>)</w:t>
      </w:r>
      <w:r w:rsidR="002F38CC">
        <w:rPr>
          <w:rFonts w:cstheme="minorHAnsi"/>
        </w:rPr>
        <w:t xml:space="preserve"> </w:t>
      </w:r>
      <w:r w:rsidR="00832565">
        <w:t>predicted from IPMs built on a variety of hypothetical scenarios. In each scenario, each posterior sample of the parameters is used to calculate a transition matrix for a population of sugar pines on an idealized plot</w:t>
      </w:r>
      <w:r w:rsidR="00097D16">
        <w:t xml:space="preserve"> where the fixed effect</w:t>
      </w:r>
      <w:r w:rsidR="0033554D">
        <w:t xml:space="preserve"> covariates </w:t>
      </w:r>
      <w:r w:rsidR="00097D16">
        <w:t>(other than size) for the vital rate models are held to specific values representing each scenario</w:t>
      </w:r>
      <w:r w:rsidR="00832565">
        <w:t xml:space="preserve">. </w:t>
      </w:r>
      <w:r w:rsidR="00097D16">
        <w:t xml:space="preserve">For each of the nine scenarios, one transition matrix is constructed using </w:t>
      </w:r>
      <w:r w:rsidR="00097D16">
        <w:lastRenderedPageBreak/>
        <w:t xml:space="preserve">the parameter values from each of the 4,000 posterior draws. The dominant eigenvalue of each matrix gives the estimate of </w:t>
      </w:r>
      <m:oMath>
        <m:r>
          <w:rPr>
            <w:rFonts w:ascii="Cambria Math" w:hAnsi="Cambria Math" w:cstheme="minorHAnsi"/>
          </w:rPr>
          <m:t>λ</m:t>
        </m:r>
      </m:oMath>
      <w:r w:rsidR="00097D16">
        <w:t xml:space="preserve"> for that scenario and draw. </w:t>
      </w:r>
    </w:p>
    <w:p w14:paraId="774C18D4" w14:textId="696B3A2F" w:rsidR="009B22BB" w:rsidRDefault="00097D16" w:rsidP="00812F3F">
      <w:pPr>
        <w:spacing w:line="360" w:lineRule="auto"/>
        <w:ind w:firstLine="720"/>
      </w:pPr>
      <w:r>
        <w:t xml:space="preserve">In the undisturbed scenario, </w:t>
      </w:r>
      <w:r w:rsidR="004D47AC">
        <w:t>categorical stressors (fire and WPBR) were absent, while continuous stressors (BA, drought, and site dryness) were held at 0 (their scaled means). Under these circumstances,</w:t>
      </w:r>
      <w:r w:rsidR="00B91F66">
        <w:t xml:space="preserve"> the asymptotic growth rate is above 1, with a</w:t>
      </w:r>
      <w:r w:rsidR="005C39DA">
        <w:t xml:space="preserve"> </w:t>
      </w:r>
      <w:r w:rsidR="00B91F66">
        <w:t>median posterior value of</w:t>
      </w:r>
      <w:r w:rsidR="0013741A">
        <w:t xml:space="preserve"> </w:t>
      </w:r>
      <m:oMath>
        <m:r>
          <w:rPr>
            <w:rFonts w:ascii="Cambria Math" w:hAnsi="Cambria Math"/>
          </w:rPr>
          <m:t>λ</m:t>
        </m:r>
      </m:oMath>
      <w:r w:rsidR="00B91F66">
        <w:t xml:space="preserve"> of </w:t>
      </w:r>
      <w:r w:rsidR="00B05195">
        <w:t>1.</w:t>
      </w:r>
      <w:r w:rsidR="007E7CA6">
        <w:t>0</w:t>
      </w:r>
      <w:r w:rsidR="00B05195">
        <w:t>4</w:t>
      </w:r>
      <w:r w:rsidR="00B91F66">
        <w:t xml:space="preserve"> and a 90% credible interval from </w:t>
      </w:r>
      <w:r w:rsidR="00B05195">
        <w:t>1.0</w:t>
      </w:r>
      <w:r w:rsidR="007E7CA6">
        <w:t>1</w:t>
      </w:r>
      <w:r w:rsidR="00B91F66">
        <w:t xml:space="preserve"> to </w:t>
      </w:r>
      <w:r w:rsidR="00B05195">
        <w:t>1.</w:t>
      </w:r>
      <w:r w:rsidR="007E7CA6">
        <w:t>07</w:t>
      </w:r>
      <w:r w:rsidR="00B91F66">
        <w:t xml:space="preserve"> (</w:t>
      </w:r>
      <w:r w:rsidR="009E6363">
        <w:fldChar w:fldCharType="begin"/>
      </w:r>
      <w:r w:rsidR="009E6363">
        <w:instrText xml:space="preserve"> REF _Ref94616225 \h </w:instrText>
      </w:r>
      <w:r w:rsidR="009E6363">
        <w:fldChar w:fldCharType="separate"/>
      </w:r>
      <w:r w:rsidR="0085572F">
        <w:t xml:space="preserve">Figure </w:t>
      </w:r>
      <w:r w:rsidR="0085572F">
        <w:rPr>
          <w:noProof/>
        </w:rPr>
        <w:t>6</w:t>
      </w:r>
      <w:r w:rsidR="009E6363">
        <w:fldChar w:fldCharType="end"/>
      </w:r>
      <w:r w:rsidR="009E6363">
        <w:t>,</w:t>
      </w:r>
      <w:r w:rsidR="007E7CA6">
        <w:t xml:space="preserve"> Supplementary Table 1</w:t>
      </w:r>
      <w:r w:rsidR="00B91F66">
        <w:t xml:space="preserve">). Where fire is present, </w:t>
      </w:r>
      <m:oMath>
        <m:r>
          <w:rPr>
            <w:rFonts w:ascii="Cambria Math" w:hAnsi="Cambria Math"/>
          </w:rPr>
          <m:t>λ</m:t>
        </m:r>
      </m:oMath>
      <w:r w:rsidR="00B91F66">
        <w:t xml:space="preserve"> is </w:t>
      </w:r>
      <w:r w:rsidR="007E7CA6">
        <w:t xml:space="preserve">strongly </w:t>
      </w:r>
      <w:r w:rsidR="00A70058">
        <w:t xml:space="preserve">reduced </w:t>
      </w:r>
      <w:r w:rsidR="00B91F66">
        <w:t xml:space="preserve">(median </w:t>
      </w:r>
      <w:r w:rsidR="00B05195">
        <w:t>0.</w:t>
      </w:r>
      <w:r w:rsidR="007E7CA6">
        <w:t>61</w:t>
      </w:r>
      <w:r w:rsidR="00B91F66">
        <w:t xml:space="preserve">, CI </w:t>
      </w:r>
      <w:r w:rsidR="00B05195">
        <w:t>0.</w:t>
      </w:r>
      <w:r w:rsidR="007E7CA6">
        <w:t>51</w:t>
      </w:r>
      <w:r w:rsidR="00B91F66">
        <w:t xml:space="preserve"> to </w:t>
      </w:r>
      <w:r w:rsidR="00B05195">
        <w:t>0.</w:t>
      </w:r>
      <w:r w:rsidR="007E7CA6">
        <w:t>70</w:t>
      </w:r>
      <w:r w:rsidR="00B91F66">
        <w:t xml:space="preserve">). Where WPBR is present, the posterior distribution for </w:t>
      </w:r>
      <m:oMath>
        <m:r>
          <w:rPr>
            <w:rFonts w:ascii="Cambria Math" w:hAnsi="Cambria Math"/>
          </w:rPr>
          <m:t>λ</m:t>
        </m:r>
      </m:oMath>
      <w:r w:rsidR="00B91F66">
        <w:t xml:space="preserve"> straddles 1, but is generally lower than that of the undisturbed scenario (</w:t>
      </w:r>
      <w:r w:rsidR="00561760">
        <w:t xml:space="preserve">median </w:t>
      </w:r>
      <w:r w:rsidR="007E7CA6">
        <w:t>0.99</w:t>
      </w:r>
      <w:r w:rsidR="00561760">
        <w:t>, CI 0.</w:t>
      </w:r>
      <w:r w:rsidR="007E7CA6">
        <w:t>90</w:t>
      </w:r>
      <w:r w:rsidR="00561760">
        <w:t xml:space="preserve"> to </w:t>
      </w:r>
      <w:r w:rsidR="007E7CA6">
        <w:t>1.06</w:t>
      </w:r>
      <w:r w:rsidR="00B91F66">
        <w:t>).</w:t>
      </w:r>
      <w:r w:rsidR="009E6363">
        <w:t xml:space="preserve"> When basal area is lower than average, there posterior distribution of </w:t>
      </w:r>
      <m:oMath>
        <m:r>
          <w:rPr>
            <w:rFonts w:ascii="Cambria Math" w:hAnsi="Cambria Math"/>
          </w:rPr>
          <m:t>λ</m:t>
        </m:r>
      </m:oMath>
      <w:r w:rsidR="009E6363">
        <w:t xml:space="preserve"> is</w:t>
      </w:r>
      <w:r w:rsidR="007E7CA6">
        <w:t xml:space="preserve"> </w:t>
      </w:r>
      <w:r w:rsidR="009E6363">
        <w:t xml:space="preserve">well above one (median </w:t>
      </w:r>
      <w:r w:rsidR="00561760">
        <w:t>1.</w:t>
      </w:r>
      <w:r w:rsidR="007E7CA6">
        <w:t>09</w:t>
      </w:r>
      <w:r w:rsidR="009E6363">
        <w:t xml:space="preserve">, CI </w:t>
      </w:r>
      <w:r w:rsidR="00561760">
        <w:t>1.</w:t>
      </w:r>
      <w:r w:rsidR="007E7CA6">
        <w:t>06</w:t>
      </w:r>
      <w:r w:rsidR="009E6363">
        <w:t xml:space="preserve"> to </w:t>
      </w:r>
      <w:r w:rsidR="007E7CA6">
        <w:t>1.13</w:t>
      </w:r>
      <w:r w:rsidR="009E6363">
        <w:t xml:space="preserve">). By contrast, when basal area is higher than average the posterior distribution of </w:t>
      </w:r>
      <m:oMath>
        <m:r>
          <w:rPr>
            <w:rFonts w:ascii="Cambria Math" w:hAnsi="Cambria Math"/>
          </w:rPr>
          <m:t>λ</m:t>
        </m:r>
      </m:oMath>
      <w:r w:rsidR="0013741A">
        <w:t xml:space="preserve"> </w:t>
      </w:r>
      <w:r w:rsidR="009E6363">
        <w:t xml:space="preserve">straddles one (median </w:t>
      </w:r>
      <w:r w:rsidR="00A70058">
        <w:t>0.98</w:t>
      </w:r>
      <w:r w:rsidR="009E6363">
        <w:t xml:space="preserve">, CI </w:t>
      </w:r>
      <w:r w:rsidR="00561760">
        <w:t>0.</w:t>
      </w:r>
      <w:r w:rsidR="00A70058">
        <w:t>94</w:t>
      </w:r>
      <w:r w:rsidR="009E6363">
        <w:t xml:space="preserve"> to </w:t>
      </w:r>
      <w:r w:rsidR="00561760">
        <w:t>1.0</w:t>
      </w:r>
      <w:r w:rsidR="00A70058">
        <w:t>2</w:t>
      </w:r>
      <w:r w:rsidR="009E6363">
        <w:t>)</w:t>
      </w:r>
      <w:r w:rsidR="00A70058">
        <w:t xml:space="preserve"> and is clearly lower than the undisturbed scenario</w:t>
      </w:r>
      <w:r w:rsidR="009E6363">
        <w:t xml:space="preserve">. </w:t>
      </w:r>
      <w:r w:rsidR="00A70058">
        <w:t xml:space="preserve">For sites experiencing low amounts of drought, the median and 90% CI of </w:t>
      </w:r>
      <m:oMath>
        <m:r>
          <w:rPr>
            <w:rFonts w:ascii="Cambria Math" w:hAnsi="Cambria Math"/>
          </w:rPr>
          <m:t>λ</m:t>
        </m:r>
      </m:oMath>
      <w:r w:rsidR="00A70058">
        <w:t xml:space="preserve"> is above 1, while for sites experiencing high drought the posterior distribution of </w:t>
      </w:r>
      <m:oMath>
        <m:r>
          <w:rPr>
            <w:rFonts w:ascii="Cambria Math" w:hAnsi="Cambria Math"/>
          </w:rPr>
          <m:t>λ</m:t>
        </m:r>
      </m:oMath>
      <w:r w:rsidR="00A70058">
        <w:t xml:space="preserve"> straddles one (median 1.03, 90% CI from 0.99 to 1.08). </w:t>
      </w:r>
      <w:r w:rsidR="0013741A">
        <w:t xml:space="preserve">Likewise, on particularly dry sites the posterior distribution of </w:t>
      </w:r>
      <m:oMath>
        <m:r>
          <w:rPr>
            <w:rFonts w:ascii="Cambria Math" w:hAnsi="Cambria Math"/>
          </w:rPr>
          <m:t>λ</m:t>
        </m:r>
      </m:oMath>
      <w:r w:rsidR="0013741A">
        <w:t xml:space="preserve"> straddles 1 (median 1.04, 90% CI from 0.99 to 1.09). Fire had the clearest effect on </w:t>
      </w:r>
      <m:oMath>
        <m:r>
          <w:rPr>
            <w:rFonts w:ascii="Cambria Math" w:hAnsi="Cambria Math"/>
          </w:rPr>
          <m:t>λ</m:t>
        </m:r>
      </m:oMath>
      <w:r w:rsidR="0013741A">
        <w:t xml:space="preserve">, followed by WPBR and high basal area, and then drought and site dryness. </w:t>
      </w:r>
    </w:p>
    <w:p w14:paraId="01A75E00" w14:textId="56102DEE" w:rsidR="00097CE1" w:rsidRPr="009B0C1C" w:rsidRDefault="009B22BB" w:rsidP="009B0C1C">
      <w:pPr>
        <w:pStyle w:val="Heading1"/>
        <w:spacing w:line="360" w:lineRule="auto"/>
      </w:pPr>
      <w:commentRangeStart w:id="62"/>
      <w:commentRangeStart w:id="63"/>
      <w:r>
        <w:t>Discussion</w:t>
      </w:r>
      <w:commentRangeEnd w:id="62"/>
      <w:commentRangeEnd w:id="63"/>
      <w:r w:rsidR="00B95CE0">
        <w:rPr>
          <w:rStyle w:val="CommentReference"/>
          <w:rFonts w:asciiTheme="minorHAnsi" w:eastAsiaTheme="minorHAnsi" w:hAnsiTheme="minorHAnsi" w:cstheme="minorBidi"/>
          <w:color w:val="auto"/>
        </w:rPr>
        <w:commentReference w:id="62"/>
      </w:r>
      <w:r w:rsidR="008A2F91">
        <w:rPr>
          <w:rStyle w:val="CommentReference"/>
          <w:rFonts w:asciiTheme="minorHAnsi" w:eastAsiaTheme="minorHAnsi" w:hAnsiTheme="minorHAnsi" w:cstheme="minorBidi"/>
          <w:color w:val="auto"/>
        </w:rPr>
        <w:commentReference w:id="63"/>
      </w:r>
    </w:p>
    <w:p w14:paraId="7A1030DB" w14:textId="4D10B96A" w:rsidR="003D3B95" w:rsidRDefault="003D3B95" w:rsidP="003D3B95">
      <w:pPr>
        <w:spacing w:line="360" w:lineRule="auto"/>
        <w:ind w:firstLine="720"/>
        <w:rPr>
          <w:rFonts w:cstheme="minorHAnsi"/>
        </w:rPr>
      </w:pPr>
      <w:r>
        <w:rPr>
          <w:rFonts w:cstheme="minorHAnsi"/>
        </w:rPr>
        <w:t>This</w:t>
      </w:r>
      <w:r w:rsidRPr="00F30BF0">
        <w:rPr>
          <w:rFonts w:cstheme="minorHAnsi"/>
        </w:rPr>
        <w:t xml:space="preserve"> study is the first range-wide assessment of stressors impacting the vital rates and population dynamics of sugar pine. </w:t>
      </w:r>
      <w:r w:rsidR="00CB34EC">
        <w:rPr>
          <w:rFonts w:cstheme="minorHAnsi"/>
        </w:rPr>
        <w:t xml:space="preserve">We found the abundance of sugar pine to be slightly declining in terms of both basal area and stem density. </w:t>
      </w:r>
      <w:r w:rsidRPr="00F30BF0">
        <w:rPr>
          <w:rFonts w:cstheme="minorHAnsi"/>
        </w:rPr>
        <w:t xml:space="preserve">The analysis described here allows direct comparison of the influence of fire, WPBR, stand density, short-term drought, and long-term site dryness, providing valuable guidance for managers seeking to </w:t>
      </w:r>
      <w:r w:rsidR="00F067F3">
        <w:rPr>
          <w:rFonts w:cstheme="minorHAnsi"/>
        </w:rPr>
        <w:t xml:space="preserve">prioritize efforts to </w:t>
      </w:r>
      <w:r w:rsidR="00CB34EC">
        <w:rPr>
          <w:rFonts w:cstheme="minorHAnsi"/>
        </w:rPr>
        <w:t>prevent further decline</w:t>
      </w:r>
      <w:r w:rsidRPr="00F30BF0">
        <w:rPr>
          <w:rFonts w:cstheme="minorHAnsi"/>
        </w:rPr>
        <w:t xml:space="preserve">. </w:t>
      </w:r>
    </w:p>
    <w:p w14:paraId="5067BE96" w14:textId="4631A83E" w:rsidR="001545DE" w:rsidRPr="00F30BF0" w:rsidRDefault="001545DE" w:rsidP="003D3B95">
      <w:pPr>
        <w:spacing w:line="360" w:lineRule="auto"/>
        <w:ind w:firstLine="720"/>
        <w:rPr>
          <w:rFonts w:cstheme="minorHAnsi"/>
        </w:rPr>
      </w:pPr>
      <w:r w:rsidRPr="00F30BF0">
        <w:rPr>
          <w:rFonts w:cstheme="minorHAnsi"/>
        </w:rPr>
        <w:t>The results of this study highlight</w:t>
      </w:r>
      <w:r w:rsidR="00E167D6" w:rsidRPr="00F30BF0">
        <w:rPr>
          <w:rFonts w:cstheme="minorHAnsi"/>
        </w:rPr>
        <w:t xml:space="preserve"> fire as a key stressor negatively impacting demographic rates of sugar pine. Fire strongly reduced survival of individual trees</w:t>
      </w:r>
      <w:r w:rsidR="00097CE1" w:rsidRPr="00F30BF0">
        <w:rPr>
          <w:rFonts w:cstheme="minorHAnsi"/>
        </w:rPr>
        <w:t>, particularly small ones</w:t>
      </w:r>
      <w:r w:rsidR="00E167D6" w:rsidRPr="00F30BF0">
        <w:rPr>
          <w:rFonts w:cstheme="minorHAnsi"/>
        </w:rPr>
        <w:t xml:space="preserve">. This finding is broadly consistent with the existing literature, which has documented many cases of negative (and size-dependent) impacts of fire on survival of sugar pine </w:t>
      </w:r>
      <w:r w:rsidR="00C243DB">
        <w:rPr>
          <w:rFonts w:cstheme="minorHAnsi"/>
        </w:rPr>
        <w:fldChar w:fldCharType="begin" w:fldLock="1"/>
      </w:r>
      <w:r w:rsidR="002C19B3">
        <w:rPr>
          <w:rFonts w:cstheme="minorHAnsi"/>
        </w:rPr>
        <w:instrText>ADDIN CSL_CITATION {"citationItems":[{"id":"ITEM-1","itemData":{"DOI":"10.1071/WF18031","ISSN":"1049-8001","author":[{"dropping-particle":"","family":"Furniss","given":"T.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Fire","id":"ITEM-1","issued":{"date-parts":[["2018"]]},"page":"in press","title":"Multi-scale assessment of post-fire tree mortality models","type":"article-journal"},"uris":["http://www.mendeley.com/documents/?uuid=5dce8c9b-16a7-4930-9de8-231f1ca41bb7"]},{"id":"ITEM-2","itemData":{"DOI":"10.1016/j.foreco.2010.05.033","ISSN":"03781127","abstract":"Fire injury was characterized and survival monitored for 5677 trees &gt;25. cm DBH from five wildfires in California that occurred between 2000 and 2004. Logistic regression models for predicting the probability of mortality 5-years after fire were developed for incense cedar (Calocedrus decurrens (Torr.) Florin), white fir (Abies concolor (Gord &amp; Glend.) Lindl. ex Hildebr.), sugar pine (Pinus lambertiana Douglas), Jeffrey pine (P. jeffreyi Balf.), and ponderosa pine (P. ponderosa C. Lawson). Differences in crown injury variables were also compared for Jeffrey and ponderosa pine. Most mortality (70-88% depending on species) occurred within 2 years post-wildfire and had stabilized by year 3. Crown length and crown volume injury variables predicted tree mortality equally well; however, the variables were not interchangeable. Crown injury and cambium kill rating was significant in predicting mortality in all models. DBH was only a significant predictor of mortality for white fir and the combined ponderosa and Jeffrey pine models developed from the McNally Fire; these models all predicted increasing mortality with increasing tree size. Red turpentine beetle (Dendroctonus valens) was a significant predictor variable for sugar pine, ponderosa pine, and Jeffrey pine; ambrosia beetle (Trypodendron and Gnathotrichus spp.) was a significant predictor variable for white fir. The mortality models and post-fire tree survival characteristics provide improved prediction of 5-year post-wildfire tree mortality for several California conifers. The models confirm the overall importance of crown injury in predicting post-fire mortality compared to other injury variables for all species. Additional variables such as cambium kill, bark beetles, and tree size improved model accuracies, but likely not enough to justify the added expense of data collection. ?? 2010.","author":[{"dropping-particle":"","family":"Hood","given":"Sharon M.","non-dropping-particle":"","parse-names":false,"suffix":""},{"dropping-particle":"","family":"Smith","given":"Sheri L.","non-dropping-particle":"","parse-names":false,"suffix":""},{"dropping-particle":"","family":"Cluck","given":"Daniel R.","non-dropping-particle":"","parse-names":false,"suffix":""}],"container-title":"Forest Ecology and Management","id":"ITEM-2","issue":"5","issued":{"date-parts":[["2010"]]},"page":"750-762","publisher":"Elsevier B.V.","title":"Predicting mortality for five California conifers following wildfire","type":"article-journal","volume":"260"},"uris":["http://www.mendeley.com/documents/?uuid=d1d13f42-975c-4bf6-b673-57d32cdf8b55"]},{"id":"ITEM-3","itemData":{"DOI":"10.1139/cjfr-2014-0449","ISSN":"12086037","abstract":"Tree mortality is a vital component of forest management in the context of prescribed fires: however, few studies have examined the effect of prefire tree health on postfire mortality. This is especially relevant for sugar pine (Pinus lambertiana Douglas), a species experiencing population declines due to a suite of anthropogenic factors. Using data from an old-growth mixed-conifer forest in Sequoia National Park, we evaluated the effects of fire, tree size, prefire radial growth, and crown condition on postfire mortality. Models based only on tree size and measures of fire damage were compared with models that included tree size, fire damage, and prefire tree health (e.g., measures of prefire tree radial growth or crown condition). Immediately following the fire, the inclusion of different metrics of prefire tree health produced variable improvements over the models that included only tree size and measures of fire damage, as models that included measures of crown condition performed better than fire-only models, but models that included measures of prefire radial growth did not perform better. However, 5 years following the fire, sugar pine mortality was best predicted by models that included measures of both fire damage and prefire tree health, specifically, diameter at breast height (DBH, 1.37 m), crown scorch, 30-year mean growth, and the number of sharp declines in growth over a 30-year period. This suggests that factors that influence prefire tree health (e.g., drought, competition, pathogens, etc.) may partially determine postfire mortality, especially when accounting for delayed mortality following fire.","author":[{"dropping-particle":"","family":"Nesmith","given":"Jonathan C.B.","non-dropping-particle":"","parse-names":false,"suffix":""},{"dropping-particle":"","family":"Das","given":"Adrian J.","non-dropping-particle":"","parse-names":false,"suffix":""},{"dropping-particle":"","family":"O’Hara","given":"Kevin L.","non-dropping-particle":"","parse-names":false,"suffix":""},{"dropping-particle":"","family":"Mantgem","given":"Phillip J.","non-dropping-particle":"van","parse-names":false,"suffix":""}],"container-title":"Canadian Journal of Forest Research","id":"ITEM-3","issue":"7","issued":{"date-parts":[["2015"]]},"page":"910-919","title":"The influence of prefire tree growth and crown condition on postfire mortality of sugar pine following prescribed fire in Sequoia National Park","type":"article-journal","volume":"45"},"uris":["http://www.mendeley.com/documents/?uuid=cd8ba33c-48ac-44de-90c9-962cbecf6d95"]},{"id":"ITEM-4","itemData":{"DOI":"10.1002/ecs2.3263","author":[{"dropping-particle":"","family":"Dudney","given":"Joan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J.","non-dropping-particle":"","parse-names":false,"suffix":""}],"container-title":"Ecosphere","id":"ITEM-4","issue":"October","issued":{"date-parts":[["2020"]]},"page":"e03263","title":"Compounding effects of white pine blister rust, mountain pine beetle, and fire threaten four white pine species","type":"article-journal","volume":"11"},"uris":["http://www.mendeley.com/documents/?uuid=54eba3d7-5ed4-4e44-a51e-b1150e7c2215"]},{"id":"ITEM-5","itemData":{"DOI":"10.1890/03-5109","ISSN":"10510761","abstract":"An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Applications","id":"ITEM-5","issue":"5","issued":{"date-parts":[["2004"]]},"page":"1590-1602","title":"Effects of an introduced pathogen and fire exclusion on the demography of sugar pine","type":"article-journal","volume":"14"},"uris":["http://www.mendeley.com/documents/?uuid=4017c084-8b81-48ae-b134-e117d840d93b"]}],"mendeley":{"formattedCitation":"(Van Mantgem &lt;i&gt;et al.&lt;/i&gt;, 2004; Hood, Smith and Cluck, 2010; Nesmith &lt;i&gt;et al.&lt;/i&gt;, 2015; Furniss &lt;i&gt;et al.&lt;/i&gt;, 2018; Dudney &lt;i&gt;et al.&lt;/i&gt;, 2020)","plainTextFormattedCitation":"(Van Mantgem et al., 2004; Hood, Smith and Cluck, 2010; Nesmith et al., 2015; Furniss et al., 2018; Dudney et al., 2020)","previouslyFormattedCitation":"(Van Mantgem &lt;i&gt;et al.&lt;/i&gt;, 2004; Hood, Smith and Cluck, 2010; Nesmith &lt;i&gt;et al.&lt;/i&gt;, 2015; Furniss &lt;i&gt;et al.&lt;/i&gt;, 2018; Dudney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Hood, Smith and Cluck, 2010; Nesmith </w:t>
      </w:r>
      <w:r w:rsidR="00EB4A84" w:rsidRPr="00EB4A84">
        <w:rPr>
          <w:rFonts w:cstheme="minorHAnsi"/>
          <w:i/>
          <w:noProof/>
        </w:rPr>
        <w:t>et al.</w:t>
      </w:r>
      <w:r w:rsidR="00EB4A84" w:rsidRPr="00EB4A84">
        <w:rPr>
          <w:rFonts w:cstheme="minorHAnsi"/>
          <w:noProof/>
        </w:rPr>
        <w:t xml:space="preserve">, 2015; Furniss </w:t>
      </w:r>
      <w:r w:rsidR="00EB4A84" w:rsidRPr="00EB4A84">
        <w:rPr>
          <w:rFonts w:cstheme="minorHAnsi"/>
          <w:i/>
          <w:noProof/>
        </w:rPr>
        <w:t>et al.</w:t>
      </w:r>
      <w:r w:rsidR="00EB4A84" w:rsidRPr="00EB4A84">
        <w:rPr>
          <w:rFonts w:cstheme="minorHAnsi"/>
          <w:noProof/>
        </w:rPr>
        <w:t xml:space="preserve">, 2018; Dudney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E167D6" w:rsidRPr="00F30BF0">
        <w:rPr>
          <w:rFonts w:cstheme="minorHAnsi"/>
        </w:rPr>
        <w:t>. Fire can also inj</w:t>
      </w:r>
      <w:r w:rsidR="00D95337" w:rsidRPr="00F30BF0">
        <w:rPr>
          <w:rFonts w:cstheme="minorHAnsi"/>
        </w:rPr>
        <w:t xml:space="preserve">ure surviving trees, reducing their growth rate </w:t>
      </w:r>
      <w:r w:rsidR="00E32098" w:rsidRPr="00F30BF0">
        <w:rPr>
          <w:rFonts w:cstheme="minorHAnsi"/>
        </w:rPr>
        <w:t xml:space="preserve">as seen in this study and others </w:t>
      </w:r>
      <w:r w:rsidR="00C243DB">
        <w:rPr>
          <w:rFonts w:cstheme="minorHAnsi"/>
        </w:rPr>
        <w:fldChar w:fldCharType="begin" w:fldLock="1"/>
      </w:r>
      <w:r w:rsidR="002C19B3">
        <w:rPr>
          <w:rFonts w:cstheme="minorHAnsi"/>
        </w:rPr>
        <w:instrText>ADDIN CSL_CITATION {"citationItems":[{"id":"ITEM-1","itemData":{"DOI":"10.1002/ecs2.3198","ISSN":"21508925","abstract":"Forests are the largest terrestrial carbon stock, and disturbance regimes can have large effects on the structure and function of forests. Many dry temperate forests in the western United States are adapted to a regime of frequent, low-to-moderate severity fire. The disruption of this disturbance regime over the last century has shifted forest conditions, making them more susceptible to high-severity fire. Fuel treatments have been shown to effectively reduce wildfire hazard, often with co-benefits to ecological values. However, the effects of fuel treatments on forest carbon are complex, often characterized by direct costs (e.g., carbon emissions from prescribed fire) and wildfire-contingent benefits (increased resistance of live tree carbon to wildfire). In this study, we employ risk-sensitive carbon accounting and empirical data from a replicated field experiment to evaluate the stand-scale carbon effects of four management regimes over a 14-yr period in a historically frequent-fire adapted forest. All three active treatment regimes immediately increased stable live tree carbon stocks over no-treatment controls. In most contexts examined, mechanical-only or no-treatment controls will maximize expected total carbon stocks when incorporating wildfire risk and the carbon stability of live biomass, dead biomass, and offsite forest products, although we acknowledge our wildfire modeling may underestimate C losses, particularly in the control stands. Undoubtedly, many other ecosystem and social values besides carbon will be important factors that influence fuel and restoration treatments.","author":[{"dropping-particle":"","family":"Foster","given":"Daniel E.","non-dropping-particle":"","parse-names":false,"suffix":""},{"dropping-particle":"","family":"Battles","given":"John J.","non-dropping-particle":"","parse-names":false,"suffix":""},{"dropping-particle":"","family":"Collins","given":"Brandon M.","non-dropping-particle":"","parse-names":false,"suffix":""},{"dropping-particle":"","family":"York","given":"Robert A.","non-dropping-particle":"","parse-names":false,"suffix":""},{"dropping-particle":"","family":"Stephens","given":"Scott L.","non-dropping-particle":"","parse-names":false,"suffix":""}],"container-title":"Ecosphere","id":"ITEM-1","issue":"8","issued":{"date-parts":[["2020"]]},"title":"Potential wildfire and carbon stability in frequent-fire forests in the Sierra Nevada: trade-offs from a long-term study","type":"article-journal","volume":"11"},"uris":["http://www.mendeley.com/documents/?uuid=eb2bae80-149d-4e46-be37-b171fce5c7f0"]}],"mendeley":{"formattedCitation":"(Foster &lt;i&gt;et al.&lt;/i&gt;, 2020)","plainTextFormattedCitation":"(Foster et al., 2020)","previouslyFormattedCitation":"(Foster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(Foster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D95337" w:rsidRPr="00F30BF0">
        <w:rPr>
          <w:rFonts w:cstheme="minorHAnsi"/>
        </w:rPr>
        <w:t>. Reduced growth rates may have particularly strong effects on the asymptotic population growth rate in species where large / old individuals disproportionately contribute to reproduction</w:t>
      </w:r>
      <w:r w:rsidR="002535C7" w:rsidRPr="00F30BF0">
        <w:rPr>
          <w:rFonts w:cstheme="minorHAnsi"/>
        </w:rPr>
        <w:t xml:space="preserve"> </w:t>
      </w:r>
      <w:commentRangeStart w:id="64"/>
      <w:r w:rsidR="00C243DB">
        <w:rPr>
          <w:rFonts w:cstheme="minorHAnsi"/>
        </w:rPr>
        <w:fldChar w:fldCharType="begin" w:fldLock="1"/>
      </w:r>
      <w:r w:rsidR="002C19B3">
        <w:rPr>
          <w:rFonts w:cstheme="minorHAnsi"/>
        </w:rPr>
        <w:instrText>ADDIN CSL_CITATION {"citationItems":[{"id":"ITEM-1","itemData":{"DOI":"10.1111/ele.13291","ISSN":"14610248","PMID":"31209981","abstract":"The apparent failure of ecosystems to recover from increasingly widespread disturbance is a global concern. Despite growing focus on factors inhibiting resilience and restoration, we still know very little about how demographic and population processes influence recovery. Using inverse and forward demographic modelling of 531 post-fire sagebrush populations across the western US, we show that demographic processes during recovery from seeds do not initially lead to population growth but rather to years of population decline, low density, and risk of extirpation after disturbance and restoration, even at sites with potential to support long-term, stable populations. Changes in population structure, and resulting transient population dynamics, lead to a &gt; 50% decline in population growth rate after disturbance and significant reductions in population density. Our results indicate that demographic processes influence the recovery of ecosystems from disturbance and that demographic analyses can be used by resource managers to anticipate ecological transformation risk.","author":[{"dropping-particle":"","family":"Shriver","given":"Robert K.","non-dropping-particle":"","parse-names":false,"suffix":""},{"dropping-particle":"","family":"Andrews","given":"Caitlin M.","non-dropping-particle":"","parse-names":false,"suffix":""},{"dropping-particle":"","family":"Arkle","given":"Robert S.","non-dropping-particle":"","parse-names":false,"suffix":""},{"dropping-particle":"","family":"Barnard","given":"David M.","non-dropping-particle":"","parse-names":false,"suffix":""},{"dropping-particle":"","family":"Duniway","given":"Michael C.","non-dropping-particle":"","parse-names":false,"suffix":""},{"dropping-particle":"","family":"Germino","given":"Matthew J.","non-dropping-particle":"","parse-names":false,"suffix":""},{"dropping-particle":"","family":"Pilliod","given":"David S.","non-dropping-particle":"","parse-names":false,"suffix":""},{"dropping-particle":"","family":"Pyke","given":"David A.","non-dropping-particle":"","parse-names":false,"suffix":""},{"dropping-particle":"","family":"Welty","given":"Justin L.","non-dropping-particle":"","parse-names":false,"suffix":""},{"dropping-particle":"","family":"Bradford","given":"John B.","non-dropping-particle":"","parse-names":false,"suffix":""}],"container-title":"Ecology Letters","id":"ITEM-1","issue":"9","issued":{"date-parts":[["2019"]]},"page":"1357-1366","title":"Transient population dynamics impede restoration and may promote ecosystem transformation after disturbance","type":"article-journal","volume":"22"},"uris":["http://www.mendeley.com/documents/?uuid=2b5cea9f-f1cc-4605-9928-78a2aa0932f7"]}],"mendeley":{"formattedCitation":"(Shriver &lt;i&gt;et al.&lt;/i&gt;, 2019)","plainTextFormattedCitation":"(Shriver et al., 2019)","previouslyFormattedCitation":"(Shriver &lt;i&gt;et al.&lt;/i&gt;, 2019)"},"properties":{"noteIndex":0},"schema":"https://github.com/citation-style-language/schema/raw/master/csl-citation.json"}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(Shriver </w:t>
      </w:r>
      <w:r w:rsidR="00EB4A84" w:rsidRPr="00EB4A84">
        <w:rPr>
          <w:rFonts w:cstheme="minorHAnsi"/>
          <w:i/>
          <w:noProof/>
        </w:rPr>
        <w:t>et al.</w:t>
      </w:r>
      <w:r w:rsidR="00EB4A84" w:rsidRPr="00EB4A84">
        <w:rPr>
          <w:rFonts w:cstheme="minorHAnsi"/>
          <w:noProof/>
        </w:rPr>
        <w:t>, 2019)</w:t>
      </w:r>
      <w:r w:rsidR="00C243DB">
        <w:rPr>
          <w:rFonts w:cstheme="minorHAnsi"/>
        </w:rPr>
        <w:fldChar w:fldCharType="end"/>
      </w:r>
      <w:commentRangeEnd w:id="64"/>
      <w:r w:rsidR="008A2F91">
        <w:rPr>
          <w:rStyle w:val="CommentReference"/>
        </w:rPr>
        <w:commentReference w:id="64"/>
      </w:r>
      <w:r w:rsidR="006B3BFA">
        <w:rPr>
          <w:rFonts w:cstheme="minorHAnsi"/>
        </w:rPr>
        <w:t xml:space="preserve">; </w:t>
      </w:r>
      <w:r w:rsidR="006B3BFA" w:rsidRPr="00F30BF0">
        <w:rPr>
          <w:rFonts w:cstheme="minorHAnsi"/>
        </w:rPr>
        <w:t xml:space="preserve">Sugar pine is one </w:t>
      </w:r>
      <w:r w:rsidR="006B3BFA" w:rsidRPr="00F30BF0">
        <w:rPr>
          <w:rFonts w:cstheme="minorHAnsi"/>
        </w:rPr>
        <w:lastRenderedPageBreak/>
        <w:t>such species, as seen in the strong effect of individual size on fecundity in this study</w:t>
      </w:r>
      <w:r w:rsidR="006B3BFA">
        <w:rPr>
          <w:rFonts w:cstheme="minorHAnsi"/>
        </w:rPr>
        <w:t>.</w:t>
      </w:r>
      <w:r w:rsidR="00D95337" w:rsidRPr="00F30BF0">
        <w:rPr>
          <w:rFonts w:cstheme="minorHAnsi"/>
        </w:rPr>
        <w:t xml:space="preserve"> </w:t>
      </w:r>
      <w:r w:rsidR="00353F3B">
        <w:rPr>
          <w:rFonts w:cstheme="minorHAnsi"/>
        </w:rPr>
        <w:t>T</w:t>
      </w:r>
      <w:r w:rsidR="005C7999" w:rsidRPr="00F30BF0">
        <w:rPr>
          <w:rFonts w:cstheme="minorHAnsi"/>
        </w:rPr>
        <w:t>he literature suggests that a core way in which fire influences the population dynamics of sugar pine is by killing large high-fecundity individuals</w:t>
      </w:r>
      <w:r w:rsidR="00EB5290"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pine","type":"article-journal","volume":"14"},"uris":["http://www.mendeley.com/documents/?uuid=4017c084-8b81-48ae-b134-e117d840d93b"]}],"mendeley":{"formattedCitation":"(Van Mantgem &lt;i&gt;et al.&lt;/i&gt;, 2004)","plainTextFormattedCitation":"(Van Mantgem et al., 2004)","previouslyFormattedCitation":"(Van Mantgem &lt;i&gt;et al.&lt;/i&gt;, 2004)"},"properties":{"noteIndex":0},"schema":"https://github.com/citation-style-language/schema/raw/master/csl-citation.json"}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2004)</w:t>
      </w:r>
      <w:r w:rsidR="00C243DB">
        <w:rPr>
          <w:rFonts w:cstheme="minorHAnsi"/>
        </w:rPr>
        <w:fldChar w:fldCharType="end"/>
      </w:r>
      <w:r w:rsidR="005C7999" w:rsidRPr="00F30BF0">
        <w:rPr>
          <w:rFonts w:cstheme="minorHAnsi"/>
        </w:rPr>
        <w:t>.</w:t>
      </w:r>
      <w:r w:rsidR="00EB5290" w:rsidRPr="00F30BF0">
        <w:rPr>
          <w:rFonts w:cstheme="minorHAnsi"/>
        </w:rPr>
        <w:t xml:space="preserve"> </w:t>
      </w:r>
      <w:r w:rsidR="00C63FF8" w:rsidRPr="00F30BF0">
        <w:rPr>
          <w:rFonts w:cstheme="minorHAnsi"/>
        </w:rPr>
        <w:t>The most extreme form of this dynamic results in so-called type conversion, where high severity fire locally extirpates sugar pine and other mixed conifer species, resulting in the loss of mixed conifer forest generally</w:t>
      </w:r>
      <w:r w:rsidR="00C243DB">
        <w:rPr>
          <w:rFonts w:cstheme="minorHAnsi"/>
        </w:rPr>
        <w:t xml:space="preserve"> </w:t>
      </w:r>
      <w:r w:rsidR="00C243DB">
        <w:rPr>
          <w:rFonts w:cstheme="minorHAnsi"/>
        </w:rPr>
        <w:fldChar w:fldCharType="begin" w:fldLock="1"/>
      </w:r>
      <w:r w:rsidR="002C19B3">
        <w:rPr>
          <w:rFonts w:cstheme="minorHAnsi"/>
        </w:rPr>
        <w:instrText>ADDIN CSL_CITATION {"citationItems":[{"id":"ITEM-1","itemData":{"DOI":"10.1002/eap.1756","ISSN":"10510761","author":[{"dropping-particle":"","family":"Shive","given":"Kristen L.","non-dropping-particle":"","parse-names":false,"suffix":""},{"dropping-particle":"","family":"Preisler","given":"Haiganoush K.","non-dropping-particle":"","parse-names":false,"suffix":""},{"dropping-particle":"","family":"Welch","given":"Kevin R.","non-dropping-particle":"","parse-names":false,"suffix":""},{"dropping-particle":"","family":"Safford","given":"Hugh D.","non-dropping-particle":"","parse-names":false,"suffix":""},{"dropping-particle":"","family":"Butz","given":"Ramona J.","non-dropping-particle":"","parse-names":false,"suffix":""},{"dropping-particle":"","family":"O'Hara","given":"Kevin L.","non-dropping-particle":"","parse-names":false,"suffix":""},{"dropping-particle":"","family":"Stephens","given":"Scott L.","non-dropping-particle":"","parse-names":false,"suffix":""}],"container-title":"Ecological Applications","id":"ITEM-1","issue":"6","issued":{"date-parts":[["2018"]]},"page":"1626-1639","title":"From the stand scale to the landscape scale: predicting the spatial patterns of forest regeneration after disturbance","type":"article-journal","volume":"28"},"uris":["http://www.mendeley.com/documents/?uuid=088a8267-0133-4892-9fb1-7380b3beadc5"]},{"id":"ITEM-2","itemData":{"DOI":"10.1016/j.foreco.2018.09.007","ISBN":"9781594770913","ISSN":"03781127","abstract":"The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forests","type":"article-journal","volume":"432"},"uris":["http://www.mendeley.com/documents/?uuid=4ca71152-bbb4-4682-9438-f468bbf36faf"]},{"id":"ITEM-3","itemData":{"DOI":"10.1093/biosci/biaa061","ISSN":"15253244","abstract":"Changing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C.","non-dropping-particle":"","parse-names":false,"suffix":""}],"container-title":"BioScience","id":"ITEM-3","issue":"8","issued":{"date-parts":[["2020"]]},"page":"659-673","title":"Wildfire-Driven Forest Conversion in Western North American Landscapes","type":"article-journal","volume":"70"},"uris":["http://www.mendeley.com/documents/?uuid=4c19d33d-7ce8-44c4-b892-af9da5f5c49d"]}],"mendeley":{"formattedCitation":"(Shive &lt;i&gt;et al.&lt;/i&gt;, 2018; North &lt;i&gt;et al.&lt;/i&gt;, 2019; Coop &lt;i&gt;et al.&lt;/i&gt;, 2020)","plainTextFormattedCitation":"(Shive et al., 2018; North et al., 2019; Coop et al., 2020)","previouslyFormattedCitation":"(Shive &lt;i&gt;et al.&lt;/i&gt;, 2018; North &lt;i&gt;et al.&lt;/i&gt;, 2019; Coop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(Shive </w:t>
      </w:r>
      <w:r w:rsidR="00EB4A84" w:rsidRPr="00EB4A84">
        <w:rPr>
          <w:rFonts w:cstheme="minorHAnsi"/>
          <w:i/>
          <w:noProof/>
        </w:rPr>
        <w:t>et al.</w:t>
      </w:r>
      <w:r w:rsidR="00EB4A84" w:rsidRPr="00EB4A84">
        <w:rPr>
          <w:rFonts w:cstheme="minorHAnsi"/>
          <w:noProof/>
        </w:rPr>
        <w:t xml:space="preserve">, 2018; North </w:t>
      </w:r>
      <w:r w:rsidR="00EB4A84" w:rsidRPr="00EB4A84">
        <w:rPr>
          <w:rFonts w:cstheme="minorHAnsi"/>
          <w:i/>
          <w:noProof/>
        </w:rPr>
        <w:t>et al.</w:t>
      </w:r>
      <w:r w:rsidR="00EB4A84" w:rsidRPr="00EB4A84">
        <w:rPr>
          <w:rFonts w:cstheme="minorHAnsi"/>
          <w:noProof/>
        </w:rPr>
        <w:t xml:space="preserve">, 2019; Coop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C63FF8" w:rsidRPr="00F30BF0">
        <w:rPr>
          <w:rFonts w:cstheme="minorHAnsi"/>
        </w:rPr>
        <w:t>.</w:t>
      </w:r>
      <w:r w:rsidR="00F50DFD" w:rsidRPr="00F30BF0">
        <w:rPr>
          <w:rFonts w:cstheme="minorHAnsi"/>
        </w:rPr>
        <w:t xml:space="preserve"> </w:t>
      </w:r>
    </w:p>
    <w:p w14:paraId="1F87554F" w14:textId="7D66EE64" w:rsidR="0038352F" w:rsidRPr="00F30BF0" w:rsidRDefault="00F50DFD" w:rsidP="003D3B95">
      <w:pPr>
        <w:spacing w:line="360" w:lineRule="auto"/>
        <w:ind w:firstLine="720"/>
        <w:rPr>
          <w:rFonts w:cstheme="minorHAnsi"/>
        </w:rPr>
      </w:pPr>
      <w:r w:rsidRPr="00F30BF0">
        <w:rPr>
          <w:rFonts w:cstheme="minorHAnsi"/>
        </w:rPr>
        <w:t xml:space="preserve">In this study, fire’s effects on survival, growth, and fecundity combine to result in posterior </w:t>
      </w:r>
      <m:oMath>
        <m:r>
          <w:rPr>
            <w:rFonts w:ascii="Cambria Math" w:hAnsi="Cambria Math" w:cstheme="minorHAnsi"/>
          </w:rPr>
          <m:t>λ</m:t>
        </m:r>
      </m:oMath>
      <w:r w:rsidRPr="00F30BF0">
        <w:rPr>
          <w:rFonts w:cstheme="minorHAnsi"/>
        </w:rPr>
        <w:t xml:space="preserve"> values below one for burned plots (</w:t>
      </w:r>
      <w:r w:rsidRPr="00F30BF0">
        <w:rPr>
          <w:rFonts w:cstheme="minorHAnsi"/>
        </w:rPr>
        <w:fldChar w:fldCharType="begin"/>
      </w:r>
      <w:r w:rsidRPr="00F30BF0">
        <w:rPr>
          <w:rFonts w:cstheme="minorHAnsi"/>
        </w:rPr>
        <w:instrText xml:space="preserve"> REF _Ref94616225 \h </w:instrText>
      </w:r>
      <w:r w:rsidR="00F30BF0">
        <w:rPr>
          <w:rFonts w:cstheme="minorHAnsi"/>
        </w:rPr>
        <w:instrText xml:space="preserve"> \* MERGEFORMAT </w:instrText>
      </w:r>
      <w:r w:rsidRPr="00F30BF0">
        <w:rPr>
          <w:rFonts w:cstheme="minorHAnsi"/>
        </w:rPr>
      </w:r>
      <w:r w:rsidRPr="00F30BF0">
        <w:rPr>
          <w:rFonts w:cstheme="minorHAnsi"/>
        </w:rPr>
        <w:fldChar w:fldCharType="separate"/>
      </w:r>
      <w:r w:rsidR="0002014E">
        <w:t xml:space="preserve">Figure </w:t>
      </w:r>
      <w:r w:rsidR="0002014E">
        <w:rPr>
          <w:noProof/>
        </w:rPr>
        <w:t>6</w:t>
      </w:r>
      <w:r w:rsidRPr="00F30BF0">
        <w:rPr>
          <w:rFonts w:cstheme="minorHAnsi"/>
        </w:rPr>
        <w:fldChar w:fldCharType="end"/>
      </w:r>
      <w:r w:rsidRPr="00F30BF0">
        <w:rPr>
          <w:rFonts w:cstheme="minorHAnsi"/>
        </w:rPr>
        <w:t xml:space="preserve">). Fire was the only stressor which </w:t>
      </w:r>
      <w:r w:rsidR="009A1DFC" w:rsidRPr="00F30BF0">
        <w:rPr>
          <w:rFonts w:cstheme="minorHAnsi"/>
        </w:rPr>
        <w:t>reduced the 9</w:t>
      </w:r>
      <w:r w:rsidR="00C243DB">
        <w:rPr>
          <w:rFonts w:cstheme="minorHAnsi"/>
        </w:rPr>
        <w:t>0</w:t>
      </w:r>
      <w:r w:rsidR="009A1DFC" w:rsidRPr="00F30BF0">
        <w:rPr>
          <w:rFonts w:cstheme="minorHAnsi"/>
        </w:rPr>
        <w:t xml:space="preserve">% credible interval of the posterior distribution of </w:t>
      </w:r>
      <m:oMath>
        <m:r>
          <w:rPr>
            <w:rFonts w:ascii="Cambria Math" w:hAnsi="Cambria Math" w:cstheme="minorHAnsi"/>
          </w:rPr>
          <m:t>λ</m:t>
        </m:r>
      </m:oMath>
      <w:r w:rsidR="009A1DFC" w:rsidRPr="00F30BF0">
        <w:rPr>
          <w:rFonts w:cstheme="minorHAnsi"/>
        </w:rPr>
        <w:t xml:space="preserve"> to below one (</w:t>
      </w:r>
      <w:r w:rsidR="009A1DFC" w:rsidRPr="00F30BF0">
        <w:rPr>
          <w:rFonts w:cstheme="minorHAnsi"/>
        </w:rPr>
        <w:fldChar w:fldCharType="begin"/>
      </w:r>
      <w:r w:rsidR="009A1DFC" w:rsidRPr="00F30BF0">
        <w:rPr>
          <w:rFonts w:cstheme="minorHAnsi"/>
        </w:rPr>
        <w:instrText xml:space="preserve"> REF _Ref94619410 \h </w:instrText>
      </w:r>
      <w:r w:rsidR="00F30BF0">
        <w:rPr>
          <w:rFonts w:cstheme="minorHAnsi"/>
        </w:rPr>
        <w:instrText xml:space="preserve"> \* MERGEFORMAT </w:instrText>
      </w:r>
      <w:r w:rsidR="009A1DFC" w:rsidRPr="00F30BF0">
        <w:rPr>
          <w:rFonts w:cstheme="minorHAnsi"/>
        </w:rPr>
      </w:r>
      <w:r w:rsidR="009A1DFC" w:rsidRPr="00F30BF0">
        <w:rPr>
          <w:rFonts w:cstheme="minorHAnsi"/>
        </w:rPr>
        <w:fldChar w:fldCharType="separate"/>
      </w:r>
      <w:r w:rsidR="00353F3B">
        <w:t xml:space="preserve">Supplementary Table </w:t>
      </w:r>
      <w:r w:rsidR="009A1DFC" w:rsidRPr="00F30BF0">
        <w:rPr>
          <w:rFonts w:cstheme="minorHAnsi"/>
        </w:rPr>
        <w:fldChar w:fldCharType="end"/>
      </w:r>
      <w:r w:rsidR="00353F3B">
        <w:rPr>
          <w:rFonts w:cstheme="minorHAnsi"/>
        </w:rPr>
        <w:t>1</w:t>
      </w:r>
      <w:r w:rsidR="009A1DFC" w:rsidRPr="00F30BF0">
        <w:rPr>
          <w:rFonts w:cstheme="minorHAnsi"/>
        </w:rPr>
        <w:t xml:space="preserve">), indicating </w:t>
      </w:r>
      <w:r w:rsidR="003E6FCE">
        <w:rPr>
          <w:rFonts w:cstheme="minorHAnsi"/>
        </w:rPr>
        <w:t>a strong influence of fire on population dynamics</w:t>
      </w:r>
      <w:r w:rsidR="009A1DFC" w:rsidRPr="00F30BF0">
        <w:rPr>
          <w:rFonts w:cstheme="minorHAnsi"/>
        </w:rPr>
        <w:t xml:space="preserve">. </w:t>
      </w:r>
      <w:r w:rsidR="003E6FCE">
        <w:rPr>
          <w:rFonts w:cstheme="minorHAnsi"/>
        </w:rPr>
        <w:t xml:space="preserve">However, we caution that the asymptotic population growth rates presented in this study should not be interpreted as predictions, because </w:t>
      </w:r>
      <w:proofErr w:type="gramStart"/>
      <w:r w:rsidR="003E6FCE">
        <w:rPr>
          <w:rFonts w:cstheme="minorHAnsi"/>
        </w:rPr>
        <w:t>in reality fire</w:t>
      </w:r>
      <w:proofErr w:type="gramEnd"/>
      <w:r w:rsidR="003E6FCE">
        <w:rPr>
          <w:rFonts w:cstheme="minorHAnsi"/>
        </w:rPr>
        <w:t xml:space="preserve"> is unlikely to repeatedly occur on the same site during every census interval. Instead, the asymptotic population growth rates give some insight into the overall influence of each stressor on population dynamics. </w:t>
      </w:r>
      <w:r w:rsidR="001545DE" w:rsidRPr="00F30BF0">
        <w:rPr>
          <w:rFonts w:cstheme="minorHAnsi"/>
        </w:rPr>
        <w:t xml:space="preserve">Existing literature has shown that </w:t>
      </w:r>
      <w:r w:rsidR="008A7245" w:rsidRPr="00F30BF0">
        <w:rPr>
          <w:rFonts w:cstheme="minorHAnsi"/>
        </w:rPr>
        <w:t xml:space="preserve">most trees killed by fire die within 1 year of the fire </w:t>
      </w:r>
      <w:r w:rsidR="00C243DB">
        <w:rPr>
          <w:rFonts w:cstheme="minorHAnsi"/>
        </w:rPr>
        <w:fldChar w:fldCharType="begin" w:fldLock="1"/>
      </w:r>
      <w:r w:rsidR="002C19B3">
        <w:rPr>
          <w:rFonts w:cstheme="minorHAnsi"/>
        </w:rPr>
        <w:instrText>ADDIN CSL_CITATION {"citationItems":[{"id":"ITEM-1","itemData":{"DOI":"10.1071/WF18031","ISSN":"1049-8001","author":[{"dropping-particle":"","family":"Furniss","given":"T.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Fire","id":"ITEM-1","issued":{"date-parts":[["2018"]]},"page":"in press","title":"Multi-scale assessment of post-fire tree mortality models","type":"article-journal"},"uris":["http://www.mendeley.com/documents/?uuid=5dce8c9b-16a7-4930-9de8-231f1ca41bb7"]}],"mendeley":{"formattedCitation":"(Furniss &lt;i&gt;et al.&lt;/i&gt;, 2018)","plainTextFormattedCitation":"(Furniss et al., 2018)","previouslyFormattedCitation":"(Furniss &lt;i&gt;et al.&lt;/i&gt;, 2018)"},"properties":{"noteIndex":0},"schema":"https://github.com/citation-style-language/schema/raw/master/csl-citation.json"}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(Furniss </w:t>
      </w:r>
      <w:r w:rsidR="00EB4A84" w:rsidRPr="00EB4A84">
        <w:rPr>
          <w:rFonts w:cstheme="minorHAnsi"/>
          <w:i/>
          <w:noProof/>
        </w:rPr>
        <w:t>et al.</w:t>
      </w:r>
      <w:r w:rsidR="00EB4A84" w:rsidRPr="00EB4A84">
        <w:rPr>
          <w:rFonts w:cstheme="minorHAnsi"/>
          <w:noProof/>
        </w:rPr>
        <w:t>, 2018)</w:t>
      </w:r>
      <w:r w:rsidR="00C243DB">
        <w:rPr>
          <w:rFonts w:cstheme="minorHAnsi"/>
        </w:rPr>
        <w:fldChar w:fldCharType="end"/>
      </w:r>
      <w:r w:rsidR="008A7245" w:rsidRPr="00F30BF0">
        <w:rPr>
          <w:rFonts w:cstheme="minorHAnsi"/>
        </w:rPr>
        <w:t xml:space="preserve"> and mortality rates in stands affected by prescribed fire returned to background levels approximately six years postfire </w:t>
      </w:r>
      <w:r w:rsidR="00C243DB">
        <w:rPr>
          <w:rFonts w:cstheme="minorHAnsi"/>
        </w:rPr>
        <w:fldChar w:fldCharType="begin" w:fldLock="1"/>
      </w:r>
      <w:r w:rsidR="002C19B3">
        <w:rPr>
          <w:rFonts w:cstheme="minorHAnsi"/>
        </w:rPr>
        <w:instrText>ADDIN CSL_CITATION {"citationItems":[{"id":"ITEM-1","itemData":{"DOI":"10.1016/j.foreco.2010.12.013","ISBN":"0378-1127","ISSN":"03781127","abstract":"The capacity of prescribed fire to restore forest conditions is often judged by changes in forest structure within a few years following burning. However, prescribed fire might have longer-term effects on forest structure, potentially changing treatment assessments. We examined annual changes in forest structure in five 1. ha old-growth plots immediately before prescribed fire and up to eight years after fire at Sequoia National Park, California. Fire-induced declines in stem density (67% average decrease at eight years post-fire) were nonlinear, taking up to eight years to reach a presumed asymptote. Declines in live stem biomass were also nonlinear, but smaller in magnitude (32% average decrease at eight years post-fire) as most large trees survived the fires. The preferential survival of large trees following fire resulted in significant shifts in stem diameter distributions. Mortality rates remained significantly above background rates up to six years after the fires. Prescribed fire did not have a large influence on the representation of dominant species. Fire-caused mortality appeared to be spatially random, and therefore did not generally alter heterogeneous tree spatial patterns. Our results suggest that prescribed fire can bring about substantial changes to forest structure in old-growth mixed conifer forests in the Sierra Nevada, but that long-term observations are needed to fully describe some measures of fire effects. ?? 2010.","author":[{"dropping-particle":"","family":"Mantgem","given":"Phillip J.","non-dropping-particle":"van","parse-names":false,"suffix":""},{"dropping-particle":"","family":"Stephenson","given":"Nathan L.","non-dropping-particle":"","parse-names":false,"suffix":""},{"dropping-particle":"","family":"Knapp","given":"Eric","non-dropping-particle":"","parse-names":false,"suffix":""},{"dropping-particle":"","family":"Battles","given":"John","non-dropping-particle":"","parse-names":false,"suffix":""},{"dropping-particle":"","family":"Keeley","given":"Jon E.","non-dropping-particle":"","parse-names":false,"suffix":""}],"container-title":"Forest Ecology and Management","id":"ITEM-1","issue":"6","issued":{"date-parts":[["2011"]]},"page":"989-994","publisher":"Elsevier B.V.","title":"Long-term effects of prescribed fire on mixed conifer forest structure in the Sierra Nevada, California","type":"article-journal","volume":"261"},"uris":["http://www.mendeley.com/documents/?uuid=03f4dd2e-8bc0-4812-b5d6-08d3ff7271a4"]}],"mendeley":{"formattedCitation":"(van Mantgem &lt;i&gt;et al.&lt;/i&gt;, 2011)","plainTextFormattedCitation":"(van Mantgem et al., 2011)","previouslyFormattedCitation":"(van Mantgem &lt;i&gt;et al.&lt;/i&gt;, 2011)"},"properties":{"noteIndex":0},"schema":"https://github.com/citation-style-language/schema/raw/master/csl-citation.json"}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2011)</w:t>
      </w:r>
      <w:r w:rsidR="00C243DB">
        <w:rPr>
          <w:rFonts w:cstheme="minorHAnsi"/>
        </w:rPr>
        <w:fldChar w:fldCharType="end"/>
      </w:r>
      <w:r w:rsidR="007B6647" w:rsidRPr="00F30BF0">
        <w:rPr>
          <w:rFonts w:cstheme="minorHAnsi"/>
        </w:rPr>
        <w:t xml:space="preserve">, suggesting that the negative </w:t>
      </w:r>
      <w:commentRangeStart w:id="65"/>
      <w:r w:rsidR="007B6647" w:rsidRPr="00F30BF0">
        <w:rPr>
          <w:rFonts w:cstheme="minorHAnsi"/>
        </w:rPr>
        <w:t xml:space="preserve">effects of fire on survival are </w:t>
      </w:r>
      <w:r w:rsidR="00353F3B">
        <w:rPr>
          <w:rFonts w:cstheme="minorHAnsi"/>
        </w:rPr>
        <w:t>transient</w:t>
      </w:r>
      <w:r w:rsidR="007B6647" w:rsidRPr="00F30BF0">
        <w:rPr>
          <w:rFonts w:cstheme="minorHAnsi"/>
        </w:rPr>
        <w:t xml:space="preserve">. </w:t>
      </w:r>
      <w:commentRangeEnd w:id="65"/>
      <w:r w:rsidR="00A47588">
        <w:rPr>
          <w:rStyle w:val="CommentReference"/>
        </w:rPr>
        <w:commentReference w:id="65"/>
      </w:r>
      <w:r w:rsidR="007B6647" w:rsidRPr="00F30BF0">
        <w:rPr>
          <w:rFonts w:cstheme="minorHAnsi"/>
        </w:rPr>
        <w:t xml:space="preserve">However, there is abundant evidence that the ecological footprint of fire, in particular high severity wildfire, is increasing throughout the range of sugar pine </w:t>
      </w:r>
      <w:r w:rsidR="0038352F" w:rsidRPr="00F30BF0">
        <w:rPr>
          <w:rFonts w:cstheme="minorHAnsi"/>
        </w:rPr>
        <w:t>because of</w:t>
      </w:r>
      <w:r w:rsidR="007B6647" w:rsidRPr="00F30BF0">
        <w:rPr>
          <w:rFonts w:cstheme="minorHAnsi"/>
        </w:rPr>
        <w:t xml:space="preserve"> climate changes and </w:t>
      </w:r>
      <w:r w:rsidR="0038352F" w:rsidRPr="00F30BF0">
        <w:rPr>
          <w:rFonts w:cstheme="minorHAnsi"/>
        </w:rPr>
        <w:t>biomass accumulation resulting from fire suppression</w:t>
      </w:r>
      <w:r w:rsidR="007B6647"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Letters","id":"ITEM-1","issue":"22","issued":{"date-parts":[["2020"]]},"page":"1-10","title":"Warmer and Drier Fire Seasons Contribute to Increases in Area Burned at High Severity in Western US Forests From 1985 to 2017","type":"article-journal","volume":"47"},"uris":["http://www.mendeley.com/documents/?uuid=c62781ce-2164-4b01-b721-ce147287a476"]},{"id":"ITEM-2","itemData":{"DOI":"10.1073/pnas.2009717118","ISSN":"10916490","PMID":"34031237","abstract":"Increases in burned area and large fire occurrence are widely documented over the western United States over the past half century. Here, we focus on the elevational distribution of forest fires in mountainous ecoregions of the western United States and show the largest increase rates in burned area above 2,500 m during 1984 to 2017. Furthermore, we show that high-elevation fires advanced upslope with a median cumulative change of 252 m (-107 to 656 m; 95% CI) in 34 y across studied ecoregions. We also document a strong interannual relationship between high-elevation fires and warm season vapor pressure deficit (VPD). The upslope advance of fires is consistent with observed warming reflected by a median upslope drift of VPD isolines of 295 m (59 to 704 m; 95% CI) during 1984 to 2017. These findings allow us to estimate that recent climate trends reduced the high-elevation flammability barrier and enabled fires in an additional 11% of western forests. Limited influences of fire management practices and longer fire-return intervals in these montane mesic systems suggest these changes are largely a byproduct of climate warming. Further weakening in the high-elevation flammability barrier with continued warming has the potential to transform montane fire regimes with numerous implications for ecosystems and watersheds.","author":[{"dropping-particle":"","family":"Alizadeh","given":"Mohammad Reza","non-dropping-particle":"","parse-names":false,"suffix":""},{"dropping-particle":"","family":"Abatzoglou","given":"John T.","non-dropping-particle":"","parse-names":false,"suffix":""},{"dropping-particle":"","family":"Luce","given":"Charles H.","non-dropping-particle":"","parse-names":false,"suffix":""},{"dropping-particle":"","family":"Adamowski","given":"Jan F.","non-dropping-particle":"","parse-names":false,"suffix":""},{"dropping-particle":"","family":"Farid","given":"Arvin","non-dropping-particle":"","parse-names":false,"suffix":""},{"dropping-particle":"","family":"Sadegh","given":"Mojtaba","non-dropping-particle":"","parse-names":false,"suffix":""}],"container-title":"Proceedings of the National Academy of Sciences of the United States of America","id":"ITEM-2","issue":"22","issued":{"date-parts":[["2021"]]},"page":"1-14","title":"Warming enabled upslope advance in western US forest fires","type":"article-journal","volume":"118"},"uris":["http://www.mendeley.com/documents/?uuid=0a42f222-1b3f-4d26-928d-21cc879a1e57"]}],"mendeley":{"formattedCitation":"(Parks and Abatzoglou, 2020; Alizadeh &lt;i&gt;et al.&lt;/i&gt;, 2021)","plainTextFormattedCitation":"(Parks and Abatzoglou, 2020; Alizadeh et al., 2021)","previouslyFormattedCitation":"(Parks and Abatzoglou, 2020; Alizadeh &lt;i&gt;et al.&lt;/i&gt;, 2021)"},"properties":{"noteIndex":0},"schema":"https://github.com/citation-style-language/schema/raw/master/csl-citation.json"}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(Parks and Abatzoglou, 2020; Alizadeh </w:t>
      </w:r>
      <w:r w:rsidR="00EB4A84" w:rsidRPr="00EB4A84">
        <w:rPr>
          <w:rFonts w:cstheme="minorHAnsi"/>
          <w:i/>
          <w:noProof/>
        </w:rPr>
        <w:t>et al.</w:t>
      </w:r>
      <w:r w:rsidR="00EB4A84" w:rsidRPr="00EB4A84">
        <w:rPr>
          <w:rFonts w:cstheme="minorHAnsi"/>
          <w:noProof/>
        </w:rPr>
        <w:t>, 2021)</w:t>
      </w:r>
      <w:r w:rsidR="00C243DB">
        <w:rPr>
          <w:rFonts w:cstheme="minorHAnsi"/>
        </w:rPr>
        <w:fldChar w:fldCharType="end"/>
      </w:r>
      <w:r w:rsidR="00C243DB">
        <w:rPr>
          <w:rFonts w:cstheme="minorHAnsi"/>
        </w:rPr>
        <w:t xml:space="preserve">. </w:t>
      </w:r>
      <w:r w:rsidR="007B6647" w:rsidRPr="00F30BF0">
        <w:rPr>
          <w:rFonts w:cstheme="minorHAnsi"/>
        </w:rPr>
        <w:t>Given this context and the results of this study</w:t>
      </w:r>
      <w:r w:rsidR="0038352F" w:rsidRPr="00F30BF0">
        <w:rPr>
          <w:rFonts w:cstheme="minorHAnsi"/>
        </w:rPr>
        <w:t xml:space="preserve">, </w:t>
      </w:r>
      <w:proofErr w:type="gramStart"/>
      <w:r w:rsidR="0038352F" w:rsidRPr="00F30BF0">
        <w:rPr>
          <w:rFonts w:cstheme="minorHAnsi"/>
        </w:rPr>
        <w:t>it is clear that the</w:t>
      </w:r>
      <w:proofErr w:type="gramEnd"/>
      <w:r w:rsidR="0038352F" w:rsidRPr="00F30BF0">
        <w:rPr>
          <w:rFonts w:cstheme="minorHAnsi"/>
        </w:rPr>
        <w:t xml:space="preserve"> disrupted fire regime is </w:t>
      </w:r>
      <w:r w:rsidR="00DD37D1">
        <w:rPr>
          <w:rFonts w:cstheme="minorHAnsi"/>
        </w:rPr>
        <w:t>a core threat</w:t>
      </w:r>
      <w:r w:rsidR="0038352F" w:rsidRPr="00F30BF0">
        <w:rPr>
          <w:rFonts w:cstheme="minorHAnsi"/>
        </w:rPr>
        <w:t xml:space="preserve"> facing sugar pine.</w:t>
      </w:r>
    </w:p>
    <w:p w14:paraId="08143CA3" w14:textId="76F1AF18" w:rsidR="00093A54" w:rsidRDefault="0038352F" w:rsidP="003D3B95">
      <w:pPr>
        <w:spacing w:line="360" w:lineRule="auto"/>
        <w:ind w:firstLine="720"/>
        <w:rPr>
          <w:rFonts w:cstheme="minorHAnsi"/>
        </w:rPr>
      </w:pPr>
      <w:r w:rsidRPr="00F30BF0">
        <w:rPr>
          <w:rFonts w:cstheme="minorHAnsi"/>
        </w:rPr>
        <w:t>Though their effects were less severe than those of fire, both WPBR and densification negatively impacted sugar pine’s population dynamics in this study.</w:t>
      </w:r>
      <w:r w:rsidR="009B0C1C" w:rsidRPr="00F30BF0">
        <w:rPr>
          <w:rFonts w:cstheme="minorHAnsi"/>
        </w:rPr>
        <w:t xml:space="preserve"> </w:t>
      </w:r>
      <w:r w:rsidR="00407119" w:rsidRPr="00F30BF0">
        <w:rPr>
          <w:rFonts w:cstheme="minorHAnsi"/>
        </w:rPr>
        <w:t>The data here show that WPBR negatively impacted survival, potentially with a greater effect on small trees</w:t>
      </w:r>
      <w:r w:rsidR="00DC36D7" w:rsidRPr="00F30BF0">
        <w:rPr>
          <w:rFonts w:cstheme="minorHAnsi"/>
        </w:rPr>
        <w:t xml:space="preserve"> (</w:t>
      </w:r>
      <w:r w:rsidR="00DC36D7" w:rsidRPr="00F30BF0">
        <w:rPr>
          <w:rFonts w:cstheme="minorHAnsi"/>
        </w:rPr>
        <w:fldChar w:fldCharType="begin"/>
      </w:r>
      <w:r w:rsidR="00DC36D7" w:rsidRPr="00F30BF0">
        <w:rPr>
          <w:rFonts w:cstheme="minorHAnsi"/>
        </w:rPr>
        <w:instrText xml:space="preserve"> REF _Ref93744929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6A10AA">
        <w:t xml:space="preserve">Figure </w:t>
      </w:r>
      <w:r w:rsidR="006A10AA">
        <w:rPr>
          <w:noProof/>
        </w:rPr>
        <w:t>3</w:t>
      </w:r>
      <w:r w:rsidR="00DC36D7" w:rsidRPr="00F30BF0">
        <w:rPr>
          <w:rFonts w:cstheme="minorHAnsi"/>
        </w:rPr>
        <w:fldChar w:fldCharType="end"/>
      </w:r>
      <w:r w:rsidR="00DC36D7" w:rsidRPr="00F30BF0">
        <w:rPr>
          <w:rFonts w:cstheme="minorHAnsi"/>
        </w:rPr>
        <w:t>)</w:t>
      </w:r>
      <w:r w:rsidR="00407119" w:rsidRPr="00F30BF0">
        <w:rPr>
          <w:rFonts w:cstheme="minorHAnsi"/>
        </w:rPr>
        <w:t xml:space="preserve">. Numerous other studies have shown </w:t>
      </w:r>
      <w:r w:rsidR="00C52916" w:rsidRPr="00F30BF0">
        <w:rPr>
          <w:rFonts w:cstheme="minorHAnsi"/>
        </w:rPr>
        <w:t xml:space="preserve">that blister rust tends to kill smaller trees </w:t>
      </w:r>
      <w:r w:rsidR="00566DC3">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pine","type":"article-journal","volume":"14"},"uris":["http://www.mendeley.com/documents/?uuid=4017c084-8b81-48ae-b134-e117d840d93b"]}],"mendeley":{"formattedCitation":"(Van Mantgem &lt;i&gt;et al.&lt;/i&gt;, 2004)","plainTextFormattedCitation":"(Van Mantgem et al., 2004)","previouslyFormattedCitation":"(Van Mantgem &lt;i&gt;et al.&lt;/i&gt;, 2004)"},"properties":{"noteIndex":0},"schema":"https://github.com/citation-style-language/schema/raw/master/csl-citation.json"}</w:instrText>
      </w:r>
      <w:r w:rsidR="00566DC3">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2004)</w:t>
      </w:r>
      <w:r w:rsidR="00566DC3">
        <w:rPr>
          <w:rFonts w:cstheme="minorHAnsi"/>
        </w:rPr>
        <w:fldChar w:fldCharType="end"/>
      </w:r>
      <w:r w:rsidR="00B76637" w:rsidRPr="00F30BF0">
        <w:rPr>
          <w:rFonts w:cstheme="minorHAnsi"/>
        </w:rPr>
        <w:t xml:space="preserve"> and negatively affects survival rates of sugar pine and other vulnerable species </w:t>
      </w:r>
      <w:r w:rsidR="0080786A">
        <w:rPr>
          <w:rFonts w:cstheme="minorHAnsi"/>
        </w:rPr>
        <w:fldChar w:fldCharType="begin" w:fldLock="1"/>
      </w:r>
      <w:r w:rsidR="002C19B3">
        <w:rPr>
          <w:rFonts w:cstheme="minorHAnsi"/>
        </w:rPr>
        <w:instrText>ADDIN CSL_CITATION {"citationItems":[{"id":"ITEM-1","itemData":{"DOI":"10.1016/j.foreco.2011.05.011","ISSN":"03781127","abstract":"Historical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Management","id":"ITEM-1","issue":"5","issued":{"date-parts":[["2011"]]},"page":"770-779","publisher":"Elsevier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species","type":"article-journal","volume":"11"},"uris":["http://www.mendeley.com/documents/?uuid=54eba3d7-5ed4-4e44-a51e-b1150e7c2215"]}],"mendeley":{"formattedCitation":"(Maloney &lt;i&gt;et al.&lt;/i&gt;, 2011; Dudney &lt;i&gt;et al.&lt;/i&gt;, 2020)","plainTextFormattedCitation":"(Maloney et al., 2011; Dudney et al., 2020)","previouslyFormattedCitation":"(Maloney &lt;i&gt;et al.&lt;/i&gt;, 2011; Dudney &lt;i&gt;et al.&lt;/i&gt;, 2020)"},"properties":{"noteIndex":0},"schema":"https://github.com/citation-style-language/schema/raw/master/csl-citation.json"}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(Maloney </w:t>
      </w:r>
      <w:r w:rsidR="00EB4A84" w:rsidRPr="00EB4A84">
        <w:rPr>
          <w:rFonts w:cstheme="minorHAnsi"/>
          <w:i/>
          <w:noProof/>
        </w:rPr>
        <w:t>et al.</w:t>
      </w:r>
      <w:r w:rsidR="00EB4A84" w:rsidRPr="00EB4A84">
        <w:rPr>
          <w:rFonts w:cstheme="minorHAnsi"/>
          <w:noProof/>
        </w:rPr>
        <w:t xml:space="preserve">, 2011; Dudney </w:t>
      </w:r>
      <w:r w:rsidR="00EB4A84" w:rsidRPr="00EB4A84">
        <w:rPr>
          <w:rFonts w:cstheme="minorHAnsi"/>
          <w:i/>
          <w:noProof/>
        </w:rPr>
        <w:t>et al.</w:t>
      </w:r>
      <w:r w:rsidR="00EB4A84" w:rsidRPr="00EB4A84">
        <w:rPr>
          <w:rFonts w:cstheme="minorHAnsi"/>
          <w:noProof/>
        </w:rPr>
        <w:t>, 2020)</w:t>
      </w:r>
      <w:r w:rsidR="0080786A">
        <w:rPr>
          <w:rFonts w:cstheme="minorHAnsi"/>
        </w:rPr>
        <w:fldChar w:fldCharType="end"/>
      </w:r>
      <w:commentRangeStart w:id="66"/>
      <w:r w:rsidR="00B76637" w:rsidRPr="00F30BF0">
        <w:rPr>
          <w:rFonts w:cstheme="minorHAnsi"/>
        </w:rPr>
        <w:t>.</w:t>
      </w:r>
      <w:r w:rsidR="00093A54">
        <w:rPr>
          <w:rFonts w:cstheme="minorHAnsi"/>
        </w:rPr>
        <w:t xml:space="preserve"> T</w:t>
      </w:r>
      <w:r w:rsidR="00093A54" w:rsidRPr="00F30BF0">
        <w:rPr>
          <w:rFonts w:cstheme="minorHAnsi"/>
        </w:rPr>
        <w:t>he presence of WPBR on individual trees (and thus on their plots) may be difficult to detect</w:t>
      </w:r>
      <w:r w:rsidR="00093A54">
        <w:rPr>
          <w:rFonts w:cstheme="minorHAnsi"/>
        </w:rPr>
        <w:t xml:space="preserve"> </w:t>
      </w:r>
      <w:r w:rsidR="00093A54">
        <w:rPr>
          <w:rFonts w:cstheme="minorHAnsi"/>
        </w:rPr>
        <w:fldChar w:fldCharType="begin" w:fldLock="1"/>
      </w:r>
      <w:r w:rsidR="00093A54">
        <w:rPr>
          <w:rFonts w:cstheme="minorHAnsi"/>
        </w:rPr>
        <w:instrText>ADDIN CSL_CITATION {"citationItems":[{"id":"ITEM-1","itemData":{"DOI":"10.1002/ecs2.3263","author":[{"dropping-particle":"","family":"Dudney","given":"Joan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J.","non-dropping-particle":"","parse-names":false,"suffix":""}],"container-title":"Ecosphere","id":"ITEM-1","issue":"October","issued":{"date-parts":[["2020"]]},"page":"e03263","title":"Compounding effects of white pine blister rust, mountain pine beetle, and fire threaten four white pine species","type":"article-journal","volume":"11"},"uris":["http://www.mendeley.com/documents/?uuid=54eba3d7-5ed4-4e44-a51e-b1150e7c2215"]}],"mendeley":{"formattedCitation":"(Dudney &lt;i&gt;et al.&lt;/i&gt;, 2020)","plainTextFormattedCitation":"(Dudney et al., 2020)","previouslyFormattedCitation":"(Dudney &lt;i&gt;et al.&lt;/i&gt;, 2020)"},"properties":{"noteIndex":0},"schema":"https://github.com/citation-style-language/schema/raw/master/csl-citation.json"}</w:instrText>
      </w:r>
      <w:r w:rsidR="00093A54">
        <w:rPr>
          <w:rFonts w:cstheme="minorHAnsi"/>
        </w:rPr>
        <w:fldChar w:fldCharType="separate"/>
      </w:r>
      <w:r w:rsidR="00093A54" w:rsidRPr="00EB4A84">
        <w:rPr>
          <w:rFonts w:cstheme="minorHAnsi"/>
          <w:noProof/>
        </w:rPr>
        <w:t xml:space="preserve">(Dudney </w:t>
      </w:r>
      <w:r w:rsidR="00093A54" w:rsidRPr="00EB4A84">
        <w:rPr>
          <w:rFonts w:cstheme="minorHAnsi"/>
          <w:i/>
          <w:noProof/>
        </w:rPr>
        <w:t>et al.</w:t>
      </w:r>
      <w:r w:rsidR="00093A54" w:rsidRPr="00EB4A84">
        <w:rPr>
          <w:rFonts w:cstheme="minorHAnsi"/>
          <w:noProof/>
        </w:rPr>
        <w:t>, 2020)</w:t>
      </w:r>
      <w:r w:rsidR="00093A54">
        <w:rPr>
          <w:rFonts w:cstheme="minorHAnsi"/>
        </w:rPr>
        <w:fldChar w:fldCharType="end"/>
      </w:r>
      <w:r w:rsidR="00093A54" w:rsidRPr="00F30BF0">
        <w:rPr>
          <w:rFonts w:cstheme="minorHAnsi"/>
        </w:rPr>
        <w:t xml:space="preserve">, and is likely that WPBR was only detected in this study where it has caused a particularly severe infection in a sampled tree. There are two likely effects of this sampling bias towards under detection: Our data may underreport the true prevalence of WPBR and overestimate the true impact of its presence on a subplot. </w:t>
      </w:r>
    </w:p>
    <w:commentRangeEnd w:id="66"/>
    <w:p w14:paraId="450DDF39" w14:textId="0D211D1D" w:rsidR="009B0C1C" w:rsidRPr="00F30BF0" w:rsidRDefault="00A47588" w:rsidP="003D3B95">
      <w:pPr>
        <w:spacing w:line="360" w:lineRule="auto"/>
        <w:ind w:firstLine="720"/>
        <w:rPr>
          <w:rFonts w:cstheme="minorHAnsi"/>
        </w:rPr>
      </w:pPr>
      <w:r>
        <w:rPr>
          <w:rStyle w:val="CommentReference"/>
        </w:rPr>
        <w:lastRenderedPageBreak/>
        <w:commentReference w:id="66"/>
      </w:r>
      <w:r w:rsidR="001957F1" w:rsidRPr="00F30BF0">
        <w:rPr>
          <w:rFonts w:cstheme="minorHAnsi"/>
        </w:rPr>
        <w:t xml:space="preserve">This study also found that relatively high neighborhood density </w:t>
      </w:r>
      <w:r w:rsidR="00DC36D7" w:rsidRPr="00F30BF0">
        <w:rPr>
          <w:rFonts w:cstheme="minorHAnsi"/>
        </w:rPr>
        <w:t>(basal area) resulted in lower rates of growth (</w:t>
      </w:r>
      <w:r w:rsidR="00DC36D7" w:rsidRPr="00F30BF0">
        <w:rPr>
          <w:rFonts w:cstheme="minorHAnsi"/>
        </w:rPr>
        <w:fldChar w:fldCharType="begin"/>
      </w:r>
      <w:r w:rsidR="00DC36D7" w:rsidRPr="00F30BF0">
        <w:rPr>
          <w:rFonts w:cstheme="minorHAnsi"/>
        </w:rPr>
        <w:instrText xml:space="preserve"> REF _Ref94611931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02014E">
        <w:t xml:space="preserve">Figure </w:t>
      </w:r>
      <w:r w:rsidR="0002014E">
        <w:rPr>
          <w:noProof/>
        </w:rPr>
        <w:t>4</w:t>
      </w:r>
      <w:r w:rsidR="00DC36D7" w:rsidRPr="00F30BF0">
        <w:rPr>
          <w:rFonts w:cstheme="minorHAnsi"/>
        </w:rPr>
        <w:fldChar w:fldCharType="end"/>
      </w:r>
      <w:r w:rsidR="00DC36D7" w:rsidRPr="00F30BF0">
        <w:rPr>
          <w:rFonts w:cstheme="minorHAnsi"/>
        </w:rPr>
        <w:t>)</w:t>
      </w:r>
      <w:r w:rsidR="001E52DB">
        <w:rPr>
          <w:rFonts w:cstheme="minorHAnsi"/>
        </w:rPr>
        <w:t xml:space="preserve"> and survival of small individuals (</w:t>
      </w:r>
      <w:r w:rsidR="0002014E">
        <w:rPr>
          <w:rFonts w:cstheme="minorHAnsi"/>
        </w:rPr>
        <w:fldChar w:fldCharType="begin"/>
      </w:r>
      <w:r w:rsidR="0002014E">
        <w:rPr>
          <w:rFonts w:cstheme="minorHAnsi"/>
        </w:rPr>
        <w:instrText xml:space="preserve"> REF _Ref93744929 \h </w:instrText>
      </w:r>
      <w:r w:rsidR="0002014E">
        <w:rPr>
          <w:rFonts w:cstheme="minorHAnsi"/>
        </w:rPr>
      </w:r>
      <w:r w:rsidR="0002014E">
        <w:rPr>
          <w:rFonts w:cstheme="minorHAnsi"/>
        </w:rPr>
        <w:fldChar w:fldCharType="separate"/>
      </w:r>
      <w:r w:rsidR="0002014E">
        <w:t xml:space="preserve">Figure </w:t>
      </w:r>
      <w:r w:rsidR="0002014E">
        <w:rPr>
          <w:noProof/>
        </w:rPr>
        <w:t>3</w:t>
      </w:r>
      <w:r w:rsidR="0002014E">
        <w:rPr>
          <w:rFonts w:cstheme="minorHAnsi"/>
        </w:rPr>
        <w:fldChar w:fldCharType="end"/>
      </w:r>
      <w:r w:rsidR="001E52DB">
        <w:rPr>
          <w:rFonts w:cstheme="minorHAnsi"/>
        </w:rPr>
        <w:t>)</w:t>
      </w:r>
      <w:r w:rsidR="00DC36D7" w:rsidRPr="00F30BF0">
        <w:rPr>
          <w:rFonts w:cstheme="minorHAnsi"/>
        </w:rPr>
        <w:t xml:space="preserve">. </w:t>
      </w:r>
      <w:r w:rsidR="00403C76" w:rsidRPr="00F30BF0">
        <w:rPr>
          <w:rFonts w:cstheme="minorHAnsi"/>
        </w:rPr>
        <w:t>There is extensive evidence in the literature that high neighborhood density</w:t>
      </w:r>
      <w:r w:rsidR="0084135D" w:rsidRPr="00F30BF0">
        <w:rPr>
          <w:rFonts w:cstheme="minorHAnsi"/>
        </w:rPr>
        <w:t xml:space="preserve"> and other proxies for competition</w:t>
      </w:r>
      <w:r w:rsidR="00403C76" w:rsidRPr="00F30BF0">
        <w:rPr>
          <w:rFonts w:cstheme="minorHAnsi"/>
        </w:rPr>
        <w:t xml:space="preserve"> negatively impact sugar pine</w:t>
      </w:r>
      <w:r w:rsidR="00573E2C" w:rsidRPr="00F30BF0">
        <w:rPr>
          <w:rFonts w:cstheme="minorHAnsi"/>
        </w:rPr>
        <w:t xml:space="preserve"> survival</w:t>
      </w:r>
      <w:r w:rsidR="0080786A">
        <w:rPr>
          <w:rFonts w:cstheme="minorHAnsi"/>
        </w:rPr>
        <w:t xml:space="preserve"> </w:t>
      </w:r>
      <w:r w:rsidR="0080786A">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Management","id":"ITEM-2","issue":"5","issued":{"date-parts":[["2011"]]},"page":"770-779","publisher":"Elsevier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restoration","type":"article-journal","volume":"262"},"uris":["http://www.mendeley.com/documents/?uuid=9a0c821b-c50c-45fc-9062-b98c1d978b4e"]},{"id":"ITEM-3","itemData":{"DOI":"10.1139/cjfr-2015-0406","ISBN":"0045-5067","ISSN":"0045-5067","abstract":"In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Research","id":"ITEM-3","issue":"5","issued":{"date-parts":[["2016"]]},"page":"745-752","title":"Long-term demographic trends in a fire-suppressed mixed-conifer forest","type":"article-journal","volume":"46"},"uris":["http://www.mendeley.com/documents/?uuid=d23a6c87-7bd8-4d6f-9854-d1b054b6fd88"]}],"mendeley":{"formattedCitation":"(Van Mantgem &lt;i&gt;et al.&lt;/i&gt;, 2004; Maloney &lt;i&gt;et al.&lt;/i&gt;, 2011; Levine &lt;i&gt;et al.&lt;/i&gt;, 2016)","plainTextFormattedCitation":"(Van Mantgem et al., 2004; Maloney et al., 2011; Levine et al., 2016)","previouslyFormattedCitation":"(Van Mantgem &lt;i&gt;et al.&lt;/i&gt;, 2004; Maloney &lt;i&gt;et al.&lt;/i&gt;, 2011; Levine &lt;i&gt;et al.&lt;/i&gt;, 2016)"},"properties":{"noteIndex":0},"schema":"https://github.com/citation-style-language/schema/raw/master/csl-citation.json"}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Maloney </w:t>
      </w:r>
      <w:r w:rsidR="00EB4A84" w:rsidRPr="00EB4A84">
        <w:rPr>
          <w:rFonts w:cstheme="minorHAnsi"/>
          <w:i/>
          <w:noProof/>
        </w:rPr>
        <w:t>et al.</w:t>
      </w:r>
      <w:r w:rsidR="00EB4A84" w:rsidRPr="00EB4A84">
        <w:rPr>
          <w:rFonts w:cstheme="minorHAnsi"/>
          <w:noProof/>
        </w:rPr>
        <w:t xml:space="preserve">, 2011; Levine </w:t>
      </w:r>
      <w:r w:rsidR="00EB4A84" w:rsidRPr="00EB4A84">
        <w:rPr>
          <w:rFonts w:cstheme="minorHAnsi"/>
          <w:i/>
          <w:noProof/>
        </w:rPr>
        <w:t>et al.</w:t>
      </w:r>
      <w:r w:rsidR="00EB4A84" w:rsidRPr="00EB4A84">
        <w:rPr>
          <w:rFonts w:cstheme="minorHAnsi"/>
          <w:noProof/>
        </w:rPr>
        <w:t>, 2016)</w:t>
      </w:r>
      <w:r w:rsidR="0080786A">
        <w:rPr>
          <w:rFonts w:cstheme="minorHAnsi"/>
        </w:rPr>
        <w:fldChar w:fldCharType="end"/>
      </w:r>
      <w:r w:rsidR="00403C76" w:rsidRPr="00F30BF0">
        <w:rPr>
          <w:rFonts w:cstheme="minorHAnsi"/>
        </w:rPr>
        <w:t xml:space="preserve"> </w:t>
      </w:r>
      <w:r w:rsidR="00573E2C" w:rsidRPr="00F30BF0">
        <w:rPr>
          <w:rFonts w:cstheme="minorHAnsi"/>
        </w:rPr>
        <w:t xml:space="preserve">and growth </w:t>
      </w:r>
      <w:r w:rsidR="0080786A">
        <w:rPr>
          <w:rFonts w:cstheme="minorHAnsi"/>
        </w:rPr>
        <w:fldChar w:fldCharType="begin" w:fldLock="1"/>
      </w:r>
      <w:r w:rsidR="00021D10">
        <w:rPr>
          <w:rFonts w:cstheme="minorHAnsi"/>
        </w:rPr>
        <w:instrText>ADDIN CSL_CITATION {"citationItems":[{"id":"ITEM-1","itemData":{"DOI":"10.1139/x2012-142","ISSN":"00455067","abstract":"Tree growth and competition play central roles in forest dynamics. Yet models of competition often neglect important variation in species-specific responses. Furthermore, functions used to model changes in growth rate with size do not always allow for potential complexity. Using a large data set from old-growth forests in California, models were parameterized relating growth rate to tree size and competition for four common species. Several functions relating growth rate to size were tested. Competition models included parameters for tree size, competitor size, and competitor distance. Competitive strength was allowed to vary by species. The best ranked models (using Akaike's information criterion) explained between 18% and 40% of the variance in growth rate, with each species showing a strong response to competition. Models indicated that relationships between competition and growth varied substantially among species. The results also suggested that the relationship between growth rate and tree size can be complex and that how we model it can affect not only our ability to detect that complexity but also whether we obtain misleading results. In this case, for three of four species, the best model captured an apparent and unexpected decline in potential growth rate for the smallest trees in the data set.","author":[{"dropping-particle":"","family":"Das","given":"Adrian","non-dropping-particle":"","parse-names":false,"suffix":""}],"container-title":"Canadian Journal of Forest Research","id":"ITEM-1","issue":"11","issued":{"date-parts":[["2012"]]},"page":"1983-1995","title":"The effect of size and competition on tree growth rate in old-growth coniferous forests","type":"article-journal","volume":"42"},"uris":["http://www.mendeley.com/documents/?uuid=7e8e9215-396a-48aa-84a2-aa6d28e0d176"]},{"id":"ITEM-2","itemData":{"DOI":"10.1890/12-0504.1","ISSN":"10510761","PMID":"24147402","abstract":"Understanding tree growth as a function of tree size is important for a multitude of ecological and management applications. Determining what limits growth is of central interest, and forest inventory permanent plots are an abundant source of long-term information but are highly complex. Observation error and multiple sources of shared variation (spatial plot effects, temporal repeated measures, and a mosaic of sampling intervals) make these data challenging to use for growth estimation. We account for these complexities and incorporate potential limiting factors (tree size, competition, and resource supply) into a hierarchical state-space model. We estimate the diameter growth of white fir (Abies concolor) in the Sierra Nevada of California from forest inventory data, showing that estimating such a model is feasible in a Bayesian framework using readily available modeling tools. In this forest, white fir growth depends strongly on tree size, total plot basal area, and unexplained variation between individual trees. Plot-level resource supply variables (representing light, water, and nutrient availability) do not have a strong impact on inventory-size trees. This approach can be applied to other networks of permanent forest plots, leading to greater ecological insights on tree growth. © 2013 by the Ecological Society of America.","author":[{"dropping-particle":"","family":"Eitzel","given":"Melissa","non-dropping-particle":"","parse-names":false,"suffix":""},{"dropping-particle":"","family":"Battles","given":"John","non-dropping-particle":"","parse-names":false,"suffix":""},{"dropping-particle":"","family":"York","given":"Robert","non-dropping-particle":"","parse-names":false,"suffix":""},{"dropping-particle":"","family":"Knape","given":"Jonas","non-dropping-particle":"","parse-names":false,"suffix":""},{"dropping-particle":"","family":"Valpine","given":"Perry","non-dropping-particle":"De","parse-names":false,"suffix":""}],"container-title":"Ecological Applications","id":"ITEM-2","issue":"6","issued":{"date-parts":[["2013"]]},"page":"1288-1296","title":"Estimating tree growth from complex forest monitoring data","type":"article-journal","volume":"23"},"uris":["http://www.mendeley.com/documents/?uuid=58bd7dbf-601b-40cd-934b-4222b6088af9"]},{"id":"ITEM-3","itemData":{"DOI":"10.1093/treephys/22.2-3.137","ISSN":"0829318X","PMID":"11830410","abstract":"The positive growth response of healthy young trees to density reduction is well known. In contrast, large old trees are usually thought to be intrinsically limited in their ability to respond to increased growing space; therefore, density reduction is seldom used in stands of old-growth trees. We tested the null hypothesis that old-growth trees are incapable of responding with increased growth following density reduction. The diameter growth response of 271 Douglas-fir (Pseudotsuga menziesii (Mirb.) Franco), ponderosa pine (Pinus ponderosa Dougl. ex Laws) and sugar pine (Pinus lambertiana Dougl.) trees ranging in age from 158 to 650 years was examined 20 to 50 years after density reduction. Density reduction involved either light thinning with removal of less vigorous trees, or shelterwood treatments in which overstory trees were not removed. Ratios of basal area growth after treatment to basal area growth before treatment, and several other measures of growth, all indicated that the old trees sometimes benefited and were not harmed by density reduction. Growth increased by 10% or more for 68% of the trees in treated stands, and nearly 30% of trees increased growth by over 50%. This growth response persisted for at least 20 years. During this 20-year period, only three trees in treated stands (1.5%) exhibited a rapid decrease in growth, whereas growth decreased in 64% of trees in untreated stands. The length of time before a growth response to density reduction occurred varied from 5 to 25 years, with the greatest growth response often occurring 20 to 25 years after treatment. These results have important implications both for the basic biology of aging in woody plants as well as for silvicultural practices in forests with old-growth trees.","author":[{"dropping-particle":"","family":"Latham","given":"P.","non-dropping-particle":"","parse-names":false,"suffix":""},{"dropping-particle":"","family":"Tappeiner","given":"J.","non-dropping-particle":"","parse-names":false,"suffix":""}],"container-title":"Tree Physiology","id":"ITEM-3","issue":"2-3","issued":{"date-parts":[["2002"]]},"page":"137-146","title":"Response of old-growth conifers to reduction in stand density in western Oregon forests","type":"article-journal","volume":"22"},"uris":["http://www.mendeley.com/documents/?uuid=2afe436f-2493-4235-bdb9-3c2d9688c1f1"]},{"id":"ITEM-4","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D.","non-dropping-particle":"","parse-names":false,"suffix":""}],"container-title":"Ecosphere","id":"ITEM-4","issue":"January","issued":{"date-parts":[["2021"]]},"title":"Do Forest Fuel Reduction Treatments Confer Resistance to Beetle Infestation and Drought Mortality?","type":"article-journal","volume":"12"},"uris":["http://www.mendeley.com/documents/?uuid=27f300f3-6aa3-4e67-9ff2-302a5568e9e8"]}],"mendeley":{"formattedCitation":"(Latham and Tappeiner, 2002; Das, 2012; Eitzel &lt;i&gt;et al.&lt;/i&gt;, 2013; Steel &lt;i&gt;et al.&lt;/i&gt;, 2021)","plainTextFormattedCitation":"(Latham and Tappeiner, 2002; Das, 2012; Eitzel et al., 2013; Steel et al., 2021)","previouslyFormattedCitation":"(Latham and Tappeiner, 2002; Das, 2012; Eitzel &lt;i&gt;et al.&lt;/i&gt;, 2013; Steel &lt;i&gt;et al.&lt;/i&gt;, 2021)"},"properties":{"noteIndex":0},"schema":"https://github.com/citation-style-language/schema/raw/master/csl-citation.json"}</w:instrText>
      </w:r>
      <w:r w:rsidR="0080786A">
        <w:rPr>
          <w:rFonts w:cstheme="minorHAnsi"/>
        </w:rPr>
        <w:fldChar w:fldCharType="separate"/>
      </w:r>
      <w:r w:rsidR="00021D10" w:rsidRPr="00021D10">
        <w:rPr>
          <w:rFonts w:cstheme="minorHAnsi"/>
          <w:noProof/>
        </w:rPr>
        <w:t xml:space="preserve">(Latham and Tappeiner, 2002; Das, 2012; Eitzel </w:t>
      </w:r>
      <w:r w:rsidR="00021D10" w:rsidRPr="00021D10">
        <w:rPr>
          <w:rFonts w:cstheme="minorHAnsi"/>
          <w:i/>
          <w:noProof/>
        </w:rPr>
        <w:t>et al.</w:t>
      </w:r>
      <w:r w:rsidR="00021D10" w:rsidRPr="00021D10">
        <w:rPr>
          <w:rFonts w:cstheme="minorHAnsi"/>
          <w:noProof/>
        </w:rPr>
        <w:t xml:space="preserve">, 2013; Steel </w:t>
      </w:r>
      <w:r w:rsidR="00021D10" w:rsidRPr="00021D10">
        <w:rPr>
          <w:rFonts w:cstheme="minorHAnsi"/>
          <w:i/>
          <w:noProof/>
        </w:rPr>
        <w:t>et al.</w:t>
      </w:r>
      <w:r w:rsidR="00021D10" w:rsidRPr="00021D10">
        <w:rPr>
          <w:rFonts w:cstheme="minorHAnsi"/>
          <w:noProof/>
        </w:rPr>
        <w:t>, 2021)</w:t>
      </w:r>
      <w:r w:rsidR="0080786A">
        <w:rPr>
          <w:rFonts w:cstheme="minorHAnsi"/>
        </w:rPr>
        <w:fldChar w:fldCharType="end"/>
      </w:r>
      <w:r w:rsidR="0080786A">
        <w:rPr>
          <w:rFonts w:cstheme="minorHAnsi"/>
        </w:rPr>
        <w:t>.</w:t>
      </w:r>
      <w:r w:rsidR="00573E2C" w:rsidRPr="00F30BF0">
        <w:rPr>
          <w:rFonts w:cstheme="minorHAnsi"/>
        </w:rPr>
        <w:t xml:space="preserve"> It is unclear from our data whether the negative impact of density on fecundity</w:t>
      </w:r>
      <w:r w:rsidR="006C7CA9">
        <w:rPr>
          <w:rFonts w:cstheme="minorHAnsi"/>
        </w:rPr>
        <w:t xml:space="preserve"> of trees between 0.50 and 2.00 m DBH</w:t>
      </w:r>
      <w:r w:rsidR="00573E2C" w:rsidRPr="00F30BF0">
        <w:rPr>
          <w:rFonts w:cstheme="minorHAnsi"/>
        </w:rPr>
        <w:t xml:space="preserve"> is a result of decreased reproduction due to stress of parent trees, or decreased survival </w:t>
      </w:r>
      <w:r w:rsidR="0084135D" w:rsidRPr="00F30BF0">
        <w:rPr>
          <w:rFonts w:cstheme="minorHAnsi"/>
        </w:rPr>
        <w:t xml:space="preserve">and/or growth </w:t>
      </w:r>
      <w:r w:rsidR="00573E2C" w:rsidRPr="00F30BF0">
        <w:rPr>
          <w:rFonts w:cstheme="minorHAnsi"/>
        </w:rPr>
        <w:t>of new recruits due to competition, but both dynamics are plausible</w:t>
      </w:r>
      <w:r w:rsidR="00785480" w:rsidRPr="00F30BF0">
        <w:rPr>
          <w:rFonts w:cstheme="minorHAnsi"/>
        </w:rPr>
        <w:t xml:space="preserve"> </w:t>
      </w:r>
      <w:r w:rsidR="0080786A">
        <w:rPr>
          <w:rFonts w:cstheme="minorHAnsi"/>
        </w:rPr>
        <w:fldChar w:fldCharType="begin" w:fldLock="1"/>
      </w:r>
      <w:r w:rsidR="002C19B3">
        <w:rPr>
          <w:rFonts w:cstheme="minorHAnsi"/>
        </w:rPr>
        <w:instrText>ADDIN CSL_CITATION {"citationItems":[{"id":"ITEM-1","itemData":{"author":[{"dropping-particle":"","family":"Schubert","given":"Gilbert H","non-dropping-particle":"","parse-names":false,"suffix":""}],"id":"ITEM-1","issue":"116","issued":{"date-parts":[["1956"]]},"title":"Effect of fertilizer on cone production of sugar pine","type":"report"},"uris":["http://www.mendeley.com/documents/?uuid=dc286847-3f55-4907-848f-85797a8f5b84"]},{"id":"ITEM-2","itemData":{"DOI":"10.1093/forestry/cpt028","ISSN":"0015752X","abstract":"Concern exists among managers and researchers that sugar pine (Pinus lambertiana), a valuable, moderately shade-tolerant timber species, regeneration appears to be declining. Management and restoration require understanding factors leading to sustained sugar pine regeneration growth and overstorey recruitment. The primary research objective was to identify factors influencing sugar pine regeneration height growth. Data were collected on sugar pine regeneration, including height growth and stand characteristics across six managed and eight unmanaged stands in the Lake Tahoe Basin, CA and NV, USA. Individual tree- and stand-level analyses were conducted using non-parametric statistical comparisons and regression. Results indicated low mean height growth rates and no relationship between canopy closure and either height growth or management history. Individual sugar pine seedlings grew significantly taller under unmanaged stand conditions with higher canopy closures while sapling growth did not differ statistically by management history. Individual tree-level height growth models never explained more than 35 per cent of the variation. Stand-level models explained over 50 per cent of the variation with fewer variables than the individual tree-level models. More research should be conducted to determine whether the regeneration that is persisting in the understorey would respond positively to more aggressive uneven-aged silvicultural treatments designed for enhancing understorey pine growth. © 2013 Institute of Chartered Foresters, All rights reserved.","author":[{"dropping-particle":"","family":"Angell","given":"N.","non-dropping-particle":"","parse-names":false,"suffix":""},{"dropping-particle":"","family":"Waring","given":"K. M.","non-dropping-particle":"","parse-names":false,"suffix":""},{"dropping-particle":"","family":"Graves","given":"T. A.","non-dropping-particle":"","parse-names":false,"suffix":""}],"container-title":"Forestry","id":"ITEM-2","issue":"1","issued":{"date-parts":[["2014"]]},"page":"85-97","title":"Predicting height growth of sugar pine regeneration using stand and individual tree characteristics","type":"article-journal","volume":"87"},"uris":["http://www.mendeley.com/documents/?uuid=538bae05-6bfb-44e5-8085-6e0cd26cbad0"]},{"id":"ITEM-3","itemData":{"DOI":"10.1016/j.foreco.2006.01.015","ISSN":"03781127","abstract":"To elucidate broad-scale environmental controls of coniferous forest reproduction in the Sierra Nevada, California, we monitored reproduction for 5 years in 47 plots arrayed across a steep elevational (climatic) gradient. We found that both absolute seedling densities (stems &lt; 1.37 m) and seedling densities relative to overstory parent tree basal area declined sharply with elevation. Rates of seedling turnover (the average of birth and death rates) also declined with elevation. In contrast, seed production was not predicted by elevation and was highly variable from year to year. During a mast year of seed production, the intensity of masting was uneven among plots. Seedling densities were elevated only during the single year immediately following the mast year, suggesting reproduction in our forests may be primarily limited by abiotic factors such as the availability of suitable sites and weather. Disturbance also clearly affected reproduction; plots that had recently burned had significantly higher seedling to parent tree ratios for Abies species, suggesting that even though established Abies concolor may be relatively susceptible to fire, the species can recover rapidly through prolific reproduction. Since reproductive failures may be our earliest signal of changing forest conditions, seedling dynamics could provide a sensitive, if variable, indicator of environmental changes. © 2006 Elsevier B.V. All rights reserved.","author":[{"dropping-particle":"","family":"Mantgem","given":"Phillip J.","non-dropping-particle":"Van","parse-names":false,"suffix":""},{"dropping-particle":"","family":"Stephenson","given":"Nathan L.","non-dropping-particle":"","parse-names":false,"suffix":""},{"dropping-particle":"","family":"Keeley","given":"Jon E.","non-dropping-particle":"","parse-names":false,"suffix":""}],"container-title":"Forest Ecology and Management","id":"ITEM-3","issue":"1-3","issued":{"date-parts":[["2006"]]},"page":"391-399","title":"Forest reproduction along a climatic gradient in the Sierra Nevada, California","type":"article-journal","volume":"225"},"uris":["http://www.mendeley.com/documents/?uuid=85d94f89-1b3b-4db9-b1cc-2639d2407c1d"]},{"id":"ITEM-4","itemData":{"DOI":"10.1139/cjfr-2015-0406","ISBN":"0045-5067","ISSN":"0045-5067","abstract":"In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Research","id":"ITEM-4","issue":"5","issued":{"date-parts":[["2016"]]},"page":"745-752","title":"Long-term demographic trends in a fire-suppressed mixed-conifer forest","type":"article-journal","volume":"46"},"uris":["http://www.mendeley.com/documents/?uuid=d23a6c87-7bd8-4d6f-9854-d1b054b6fd88"]},{"id":"ITEM-5","itemData":{"DOI":"10.1002/ecs2.2776","ISSN":"21508925","abstract":"Understanding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L.","non-dropping-particle":"","parse-names":false,"suffix":""}],"container-title":"Ecosphere","id":"ITEM-5","issue":"6","issued":{"date-parts":[["2019"]]},"title":"Negative impacts of summer heat on Sierra Nevada tree seedlings","type":"article-journal","volume":"10"},"uris":["http://www.mendeley.com/documents/?uuid=52ae7f69-ba42-496d-827f-0c3f1dd1fb27"]},{"id":"ITEM-6","itemData":{"DOI":"10.1093/forestry/cpr058","ISBN":"0015-752X","ISSN":"0015752X","abstract":"Multi-aged stands in a mixed conifer forest of California were treated to mitigate harvest-related increases in surface fuels and to prepare sites for natural regeneration of Pinus species. The study was designed to (1) assess effectiveness of small gap fuel treatments (piling and burning in 0.04 ha gaps) on surface fuel and modelled fire behaviour; (2) test the effect of substrate quality on germination of Pinus species; (3) measure the influence of gap creation on light availability and stand-level light heterogeneity. While the fuel treatment only covered 10 per cent of stand area, it was effective in avoiding increases in stand-level surface fuel following harvests. Fire behaviour was predicted to be moderate following the treatments. The harvest coupled with the gap surface fuel treatments did not change predicted fire behaviour compared with the pretreatment stands. There was a significant but variable increase in germination of Pinus ponderosa seed when sowed on ash substrates compared with bare soil. No substrate effect was detected for Pinus lambertiana. The 0.04-ha gaps created distinct pockets of light and greatly increased stand-level light heterogeneity. This gap-based approach to regenerating multi-aged stands coupled with small-scale fuel treatments is promising for reducing fire hazard and regenerating shade-intolerant species.","author":[{"dropping-particle":"","family":"York","given":"Robert A.","non-dropping-particle":"","parse-names":false,"suffix":""},{"dropping-particle":"","family":"Battles","given":"John J.","non-dropping-particle":"","parse-names":false,"suffix":""},{"dropping-particle":"","family":"Wenk","given":"Rebecca C.","non-dropping-particle":"","parse-names":false,"suffix":""},{"dropping-particle":"","family":"Saah","given":"David","non-dropping-particle":"","parse-names":false,"suffix":""}],"container-title":"Forestry","id":"ITEM-6","issue":"2","issued":{"date-parts":[["2012"]]},"page":"203-213","title":"A gap-based approach for regenerating pine species and reducing surface fuels in multi-aged mixed conifer stands in the Sierra Nevada, California","type":"article-journal","volume":"85"},"uris":["http://www.mendeley.com/documents/?uuid=3b6aecd3-0825-4c84-b4ec-d17056626afa"]},{"id":"ITEM-7","itemData":{"DOI":"10.1139/x03-222","ISSN":"00455067","abstract":"Replicated circular openings ranging in size from 0.1 to 1 ha were cleared in 1996 at Blodgett Forest Research Station, California, and planted with seedlings of six native species. After 5 years of postharvest growth, heights were measured and analyzed according to species, opening size, and location within opening. The sequence of mean height from tallest to shortest, according to species, was as follows: giant sequoia (Sequoiadendron giganteum (Lindl.) Buchholz) &gt; incense-cedar (Calocedrus decurrens (Torr.) Florin) &gt; Douglas-fir (Pseudotsuga menziesii (Mirb.) Franco var. menziesii) ≈ ponderosa pine (Pinus ponderosa Dougl. ex Laws.) &gt; sugar pine (Pinus lambertiana Dougl.) ≈ white fir (Abies concolor (Gord. &amp; Glend.) Lindl.). To describe the influence of openings size on seedling height, we use an information-theoretic approach to select from competing models that predicted fifth-year height from group selection opening size. Asymptotic fits (modeled with Michaelis-Menton curves) were selected for giant sequoia, ponderosa pine, sugar pine, and incense-cedar. Quadratic fits were selected for white fir and Douglas-fir. Linear models predicting increasing growth with opening size were consistently ruled out for all species. Although a marked depression in seedling-height growth occurred along the edges within the openings, mean annual radial increment of the 90-year-old border trees surrounding the openings increased by 30%, compared with other canopy trees in the forested matrix between openings.","author":[{"dropping-particle":"","family":"York","given":"Robert A.","non-dropping-particle":"","parse-names":false,"suffix":""},{"dropping-particle":"","family":"Heald","given":"Robert C.","non-dropping-particle":"","parse-names":false,"suffix":""},{"dropping-particle":"","family":"Battles","given":"John J.","non-dropping-particle":"","parse-names":false,"suffix":""},{"dropping-particle":"","family":"York","given":"Jennifer D.","non-dropping-particle":"","parse-names":false,"suffix":""}],"container-title":"Canadian Journal of Forest Research","id":"ITEM-7","issue":"3","issued":{"date-parts":[["2004"]]},"page":"630-641","title":"Group selection management in conifer forests: Relationships between opening size and tree growth","type":"article-journal","volume":"34"},"uris":["http://www.mendeley.com/documents/?uuid=99b0ba98-9512-424f-b8f9-5e4fd59cda36"]}],"mendeley":{"formattedCitation":"(Schubert, 1956; York &lt;i&gt;et al.&lt;/i&gt;, 2004, 2012; Van Mantgem, Stephenson and Keeley, 2006; Angell, Waring and Graves, 2014; Levine &lt;i&gt;et al.&lt;/i&gt;, 2016; Moran &lt;i&gt;et al.&lt;/i&gt;, 2019)","plainTextFormattedCitation":"(Schubert, 1956; York et al., 2004, 2012; Van Mantgem, Stephenson and Keeley, 2006; Angell, Waring and Graves, 2014; Levine et al., 2016; Moran et al., 2019)","previouslyFormattedCitation":"(Schubert, 1956; York &lt;i&gt;et al.&lt;/i&gt;, 2004, 2012; Van Mantgem, Stephenson and Keeley, 2006; Angell, Waring and Graves, 2014; Levine &lt;i&gt;et al.&lt;/i&gt;, 2016; Moran &lt;i&gt;et al.&lt;/i&gt;, 2019)"},"properties":{"noteIndex":0},"schema":"https://github.com/citation-style-language/schema/raw/master/csl-citation.json"}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(Schubert, 1956; York </w:t>
      </w:r>
      <w:r w:rsidR="00EB4A84" w:rsidRPr="00EB4A84">
        <w:rPr>
          <w:rFonts w:cstheme="minorHAnsi"/>
          <w:i/>
          <w:noProof/>
        </w:rPr>
        <w:t>et al.</w:t>
      </w:r>
      <w:r w:rsidR="00EB4A84" w:rsidRPr="00EB4A84">
        <w:rPr>
          <w:rFonts w:cstheme="minorHAnsi"/>
          <w:noProof/>
        </w:rPr>
        <w:t xml:space="preserve">, 2004, 2012; Van Mantgem, Stephenson and Keeley, 2006; Angell, Waring and Graves, 2014; Levine </w:t>
      </w:r>
      <w:r w:rsidR="00EB4A84" w:rsidRPr="00EB4A84">
        <w:rPr>
          <w:rFonts w:cstheme="minorHAnsi"/>
          <w:i/>
          <w:noProof/>
        </w:rPr>
        <w:t>et al.</w:t>
      </w:r>
      <w:r w:rsidR="00EB4A84" w:rsidRPr="00EB4A84">
        <w:rPr>
          <w:rFonts w:cstheme="minorHAnsi"/>
          <w:noProof/>
        </w:rPr>
        <w:t xml:space="preserve">, 2016; Moran </w:t>
      </w:r>
      <w:r w:rsidR="00EB4A84" w:rsidRPr="00EB4A84">
        <w:rPr>
          <w:rFonts w:cstheme="minorHAnsi"/>
          <w:i/>
          <w:noProof/>
        </w:rPr>
        <w:t>et al.</w:t>
      </w:r>
      <w:r w:rsidR="00EB4A84" w:rsidRPr="00EB4A84">
        <w:rPr>
          <w:rFonts w:cstheme="minorHAnsi"/>
          <w:noProof/>
        </w:rPr>
        <w:t>, 2019)</w:t>
      </w:r>
      <w:r w:rsidR="0080786A">
        <w:rPr>
          <w:rFonts w:cstheme="minorHAnsi"/>
        </w:rPr>
        <w:fldChar w:fldCharType="end"/>
      </w:r>
      <w:r w:rsidR="008569B1">
        <w:rPr>
          <w:rFonts w:cstheme="minorHAnsi"/>
        </w:rPr>
        <w:t>.</w:t>
      </w:r>
      <w:r w:rsidR="00857722" w:rsidRPr="00F30BF0">
        <w:rPr>
          <w:rFonts w:cstheme="minorHAnsi"/>
        </w:rPr>
        <w:t xml:space="preserve"> In this study, high neighborhood basal area and presence of WPBR both reduced the expected asymptotic growth rate relative to an unstressed site</w:t>
      </w:r>
      <w:r w:rsidR="003C2EB4" w:rsidRPr="00F30BF0">
        <w:rPr>
          <w:rFonts w:cstheme="minorHAnsi"/>
        </w:rPr>
        <w:t>,</w:t>
      </w:r>
      <w:r w:rsidR="00857722" w:rsidRPr="00F30BF0">
        <w:rPr>
          <w:rFonts w:cstheme="minorHAnsi"/>
        </w:rPr>
        <w:t xml:space="preserve"> </w:t>
      </w:r>
      <w:r w:rsidR="003C2EB4" w:rsidRPr="00F30BF0">
        <w:rPr>
          <w:rFonts w:cstheme="minorHAnsi"/>
        </w:rPr>
        <w:t xml:space="preserve">though negative impacts were weaker than that of fire </w:t>
      </w:r>
      <w:r w:rsidR="00857722" w:rsidRPr="00F30BF0">
        <w:rPr>
          <w:rFonts w:cstheme="minorHAnsi"/>
        </w:rPr>
        <w:t>(</w:t>
      </w:r>
      <w:r w:rsidR="00857722" w:rsidRPr="00F30BF0">
        <w:rPr>
          <w:rFonts w:cstheme="minorHAnsi"/>
        </w:rPr>
        <w:fldChar w:fldCharType="begin"/>
      </w:r>
      <w:r w:rsidR="00857722" w:rsidRPr="00F30BF0">
        <w:rPr>
          <w:rFonts w:cstheme="minorHAnsi"/>
        </w:rPr>
        <w:instrText xml:space="preserve"> REF _Ref94616225 \h </w:instrText>
      </w:r>
      <w:r w:rsidR="00F30BF0">
        <w:rPr>
          <w:rFonts w:cstheme="minorHAnsi"/>
        </w:rPr>
        <w:instrText xml:space="preserve"> \* MERGEFORMAT </w:instrText>
      </w:r>
      <w:r w:rsidR="00857722" w:rsidRPr="00F30BF0">
        <w:rPr>
          <w:rFonts w:cstheme="minorHAnsi"/>
        </w:rPr>
      </w:r>
      <w:r w:rsidR="00857722" w:rsidRPr="00F30BF0">
        <w:rPr>
          <w:rFonts w:cstheme="minorHAnsi"/>
        </w:rPr>
        <w:fldChar w:fldCharType="separate"/>
      </w:r>
      <w:r w:rsidR="0002014E">
        <w:t xml:space="preserve">Figure </w:t>
      </w:r>
      <w:r w:rsidR="0002014E">
        <w:rPr>
          <w:noProof/>
        </w:rPr>
        <w:t>6</w:t>
      </w:r>
      <w:r w:rsidR="00857722" w:rsidRPr="00F30BF0">
        <w:rPr>
          <w:rFonts w:cstheme="minorHAnsi"/>
        </w:rPr>
        <w:fldChar w:fldCharType="end"/>
      </w:r>
      <w:r w:rsidR="00857722" w:rsidRPr="00F30BF0">
        <w:rPr>
          <w:rFonts w:cstheme="minorHAnsi"/>
        </w:rPr>
        <w:t>)</w:t>
      </w:r>
      <w:r w:rsidR="003C2EB4" w:rsidRPr="00F30BF0">
        <w:rPr>
          <w:rFonts w:cstheme="minorHAnsi"/>
        </w:rPr>
        <w:t xml:space="preserve">, and </w:t>
      </w:r>
      <w:r w:rsidR="00857722" w:rsidRPr="00F30BF0">
        <w:rPr>
          <w:rFonts w:cstheme="minorHAnsi"/>
        </w:rPr>
        <w:t xml:space="preserve">the credible intervals for </w:t>
      </w:r>
      <m:oMath>
        <m:r>
          <w:rPr>
            <w:rFonts w:ascii="Cambria Math" w:hAnsi="Cambria Math" w:cstheme="minorHAnsi"/>
          </w:rPr>
          <m:t>λ</m:t>
        </m:r>
      </m:oMath>
      <w:r w:rsidR="003C2EB4" w:rsidRPr="00F30BF0">
        <w:rPr>
          <w:rFonts w:cstheme="minorHAnsi"/>
        </w:rPr>
        <w:t xml:space="preserve"> in </w:t>
      </w:r>
      <w:r w:rsidR="00857722" w:rsidRPr="00F30BF0">
        <w:rPr>
          <w:rFonts w:cstheme="minorHAnsi"/>
        </w:rPr>
        <w:t>both the high basal area and WPBR scenarios included 1 (</w:t>
      </w:r>
      <w:r w:rsidR="00857722" w:rsidRPr="00F30BF0">
        <w:rPr>
          <w:rFonts w:cstheme="minorHAnsi"/>
        </w:rPr>
        <w:fldChar w:fldCharType="begin"/>
      </w:r>
      <w:r w:rsidR="00857722" w:rsidRPr="00F30BF0">
        <w:rPr>
          <w:rFonts w:cstheme="minorHAnsi"/>
        </w:rPr>
        <w:instrText xml:space="preserve"> REF _Ref94619410 \h </w:instrText>
      </w:r>
      <w:r w:rsidR="00F30BF0">
        <w:rPr>
          <w:rFonts w:cstheme="minorHAnsi"/>
        </w:rPr>
        <w:instrText xml:space="preserve"> \* MERGEFORMAT </w:instrText>
      </w:r>
      <w:r w:rsidR="00857722" w:rsidRPr="00F30BF0">
        <w:rPr>
          <w:rFonts w:cstheme="minorHAnsi"/>
        </w:rPr>
      </w:r>
      <w:r w:rsidR="00857722" w:rsidRPr="00F30BF0">
        <w:rPr>
          <w:rFonts w:cstheme="minorHAnsi"/>
        </w:rPr>
        <w:fldChar w:fldCharType="separate"/>
      </w:r>
      <w:r w:rsidR="0002014E">
        <w:t xml:space="preserve">Supplementary Table </w:t>
      </w:r>
      <w:r w:rsidR="00857722" w:rsidRPr="00F30BF0">
        <w:rPr>
          <w:rFonts w:cstheme="minorHAnsi"/>
        </w:rPr>
        <w:fldChar w:fldCharType="end"/>
      </w:r>
      <w:r w:rsidR="006C7CA9">
        <w:rPr>
          <w:rFonts w:cstheme="minorHAnsi"/>
        </w:rPr>
        <w:t>1</w:t>
      </w:r>
      <w:r w:rsidR="00857722" w:rsidRPr="00F30BF0">
        <w:rPr>
          <w:rFonts w:cstheme="minorHAnsi"/>
        </w:rPr>
        <w:t>).</w:t>
      </w:r>
      <w:r w:rsidR="003C2EB4" w:rsidRPr="00F30BF0">
        <w:rPr>
          <w:rFonts w:cstheme="minorHAnsi"/>
        </w:rPr>
        <w:t xml:space="preserve"> </w:t>
      </w:r>
      <w:r w:rsidR="008569B1">
        <w:rPr>
          <w:rFonts w:cstheme="minorHAnsi"/>
        </w:rPr>
        <w:t xml:space="preserve">However, reducing </w:t>
      </w:r>
      <w:r w:rsidR="00972A59">
        <w:rPr>
          <w:rFonts w:cstheme="minorHAnsi"/>
        </w:rPr>
        <w:t xml:space="preserve">neighborhood </w:t>
      </w:r>
      <w:r w:rsidR="008569B1">
        <w:rPr>
          <w:rFonts w:cstheme="minorHAnsi"/>
        </w:rPr>
        <w:t>basal area to one standard deviation below the mean had positive effects</w:t>
      </w:r>
      <w:r w:rsidR="006C7CA9">
        <w:rPr>
          <w:rFonts w:cstheme="minorHAnsi"/>
        </w:rPr>
        <w:t xml:space="preserve"> on </w:t>
      </w:r>
      <m:oMath>
        <m:r>
          <w:rPr>
            <w:rFonts w:ascii="Cambria Math" w:hAnsi="Cambria Math" w:cstheme="minorHAnsi"/>
          </w:rPr>
          <m:t>λ</m:t>
        </m:r>
      </m:oMath>
      <w:r w:rsidR="008569B1">
        <w:rPr>
          <w:rFonts w:cstheme="minorHAnsi"/>
        </w:rPr>
        <w:t xml:space="preserve"> (</w:t>
      </w:r>
      <w:r w:rsidR="008569B1">
        <w:rPr>
          <w:rFonts w:cstheme="minorHAnsi"/>
        </w:rPr>
        <w:fldChar w:fldCharType="begin"/>
      </w:r>
      <w:r w:rsidR="008569B1">
        <w:rPr>
          <w:rFonts w:cstheme="minorHAnsi"/>
        </w:rPr>
        <w:instrText xml:space="preserve"> REF _Ref94616225 \h </w:instrText>
      </w:r>
      <w:r w:rsidR="008569B1">
        <w:rPr>
          <w:rFonts w:cstheme="minorHAnsi"/>
        </w:rPr>
      </w:r>
      <w:r w:rsidR="008569B1">
        <w:rPr>
          <w:rFonts w:cstheme="minorHAnsi"/>
        </w:rPr>
        <w:fldChar w:fldCharType="separate"/>
      </w:r>
      <w:r w:rsidR="0002014E">
        <w:t xml:space="preserve">Figure </w:t>
      </w:r>
      <w:r w:rsidR="0002014E">
        <w:rPr>
          <w:noProof/>
        </w:rPr>
        <w:t>6</w:t>
      </w:r>
      <w:r w:rsidR="008569B1">
        <w:rPr>
          <w:rFonts w:cstheme="minorHAnsi"/>
        </w:rPr>
        <w:fldChar w:fldCharType="end"/>
      </w:r>
      <w:r w:rsidR="008569B1">
        <w:rPr>
          <w:rFonts w:cstheme="minorHAnsi"/>
        </w:rPr>
        <w:t>).</w:t>
      </w:r>
    </w:p>
    <w:p w14:paraId="14C4DDB5" w14:textId="1DC94238" w:rsidR="0078488A" w:rsidRDefault="00F72294" w:rsidP="003D3B95">
      <w:pPr>
        <w:spacing w:line="360" w:lineRule="auto"/>
        <w:ind w:firstLine="720"/>
        <w:rPr>
          <w:rFonts w:cstheme="minorHAnsi"/>
        </w:rPr>
      </w:pPr>
      <w:r>
        <w:rPr>
          <w:rFonts w:cstheme="minorHAnsi"/>
        </w:rPr>
        <w:t>A surprising result of this study is t</w:t>
      </w:r>
      <w:r w:rsidR="0038352F" w:rsidRPr="00F30BF0">
        <w:rPr>
          <w:rFonts w:cstheme="minorHAnsi"/>
        </w:rPr>
        <w:t xml:space="preserve">hat drought and climate related variables had </w:t>
      </w:r>
      <w:r w:rsidR="00DD37D1">
        <w:rPr>
          <w:rFonts w:cstheme="minorHAnsi"/>
        </w:rPr>
        <w:t>relatively weak</w:t>
      </w:r>
      <w:r w:rsidR="0038352F" w:rsidRPr="00F30BF0">
        <w:rPr>
          <w:rFonts w:cstheme="minorHAnsi"/>
        </w:rPr>
        <w:t xml:space="preserve"> impact</w:t>
      </w:r>
      <w:r w:rsidR="00DD37D1">
        <w:rPr>
          <w:rFonts w:cstheme="minorHAnsi"/>
        </w:rPr>
        <w:t>s</w:t>
      </w:r>
      <w:r w:rsidR="0038352F" w:rsidRPr="00F30BF0">
        <w:rPr>
          <w:rFonts w:cstheme="minorHAnsi"/>
        </w:rPr>
        <w:t xml:space="preserve"> on sugar pine’s vital rates and asymptotic population growth </w:t>
      </w:r>
      <w:commentRangeStart w:id="67"/>
      <w:r w:rsidR="0038352F" w:rsidRPr="00F30BF0">
        <w:rPr>
          <w:rFonts w:cstheme="minorHAnsi"/>
        </w:rPr>
        <w:t>rat</w:t>
      </w:r>
      <w:r>
        <w:rPr>
          <w:rFonts w:cstheme="minorHAnsi"/>
        </w:rPr>
        <w:t>e</w:t>
      </w:r>
      <w:commentRangeEnd w:id="67"/>
      <w:r w:rsidR="00A47588">
        <w:rPr>
          <w:rStyle w:val="CommentReference"/>
        </w:rPr>
        <w:commentReference w:id="67"/>
      </w:r>
      <w:r w:rsidR="0038352F" w:rsidRPr="00F30BF0">
        <w:rPr>
          <w:rFonts w:cstheme="minorHAnsi"/>
        </w:rPr>
        <w:t xml:space="preserve">. </w:t>
      </w:r>
      <w:r w:rsidR="009B0C1C" w:rsidRPr="00F30BF0">
        <w:rPr>
          <w:rFonts w:cstheme="minorHAnsi"/>
        </w:rPr>
        <w:t>Other literature</w:t>
      </w:r>
      <w:r w:rsidR="003C2EB4" w:rsidRPr="00F30BF0">
        <w:rPr>
          <w:rFonts w:cstheme="minorHAnsi"/>
        </w:rPr>
        <w:t xml:space="preserve"> has emphasized the role of moisture stress in </w:t>
      </w:r>
      <w:r w:rsidR="00B50353" w:rsidRPr="00F30BF0">
        <w:rPr>
          <w:rFonts w:cstheme="minorHAnsi"/>
        </w:rPr>
        <w:t>increased mortality rates</w:t>
      </w:r>
      <w:r w:rsidR="00101105" w:rsidRPr="00F30BF0">
        <w:rPr>
          <w:rFonts w:cstheme="minorHAnsi"/>
        </w:rPr>
        <w:t xml:space="preserve"> and reduced growth</w:t>
      </w:r>
      <w:r w:rsidR="00B50353" w:rsidRPr="00F30BF0">
        <w:rPr>
          <w:rFonts w:cstheme="minorHAnsi"/>
        </w:rPr>
        <w:t xml:space="preserve"> among sugar pine </w:t>
      </w:r>
      <w:r w:rsidR="008569B1">
        <w:rPr>
          <w:rFonts w:cstheme="minorHAnsi"/>
        </w:rPr>
        <w:t xml:space="preserve">directly and indirectly via decreased ability of trees to resist mountain pine beetle </w:t>
      </w:r>
      <w:r w:rsidR="008569B1">
        <w:rPr>
          <w:rFonts w:cstheme="minorHAnsi"/>
        </w:rPr>
        <w:fldChar w:fldCharType="begin" w:fldLock="1"/>
      </w:r>
      <w:r w:rsidR="002C19B3">
        <w:rPr>
          <w:rFonts w:cstheme="minorHAnsi"/>
        </w:rPr>
        <w:instrText>ADDIN CSL_CITATION {"citationItems":[{"id":"ITEM-1","itemData":{"DOI":"10.1002/eap.1902","author":[{"dropping-particle":"","family":"Restaino","given":"Christina","non-dropping-particle":"","parse-names":false,"suffix":""},{"dropping-particle":"","family":"Young","given":"Derek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Applications","id":"ITEM-1","issue":"December 2017","issued":{"date-parts":[["2019"]]},"page":"1-14","title":"Forest structure and climate mediate drought-induced tree mortality in forests of the Sierra Nevada , USA","type":"article-journal","volume":"29"},"uris":["http://www.mendeley.com/documents/?uuid=fab20f86-8948-4d2c-85ba-9a0ff200ff1e"]},{"id":"ITEM-2","itemData":{"DOI":"10.1371/journal.pone.0069917","ISSN":"19326203","PMID":"23936118","abstract":"Recent increases in tree mortality rates across the western USA are correlated with increasing temperatures, but mechanisms remain unresolved. Specifically, increasing mortality could predominantly be a consequence of temperature-induced increases in either (1) drought stress, or (2) the effectiveness of tree-killing insects and pathogens. Using long-term data from California's Sierra Nevada mountain range, we found that in water-limited (low-elevation) forests mortality was unambiguously best modeled by climatic water deficit, consistent with the first mechanism. In energy-limited (high-elevation) forests deficit models were only equivocally better than temperature models, suggesting that the second mechanism is increasingly important in these forests. We could not distinguish between models predicting mortality using absolute versus relative changes in water deficit, and these two model types led to different forecasts of mortality vulnerability under future climate scenarios. Our results provide evidence for differing climatic controls of tree mortality in water- and energy-limited forests, while highlighting the need for an improved understanding of tree mortality processes.","author":[{"dropping-particle":"","family":"Das","given":"Adrian J.","non-dropping-particle":"","parse-names":false,"suffix":""},{"dropping-particle":"","family":"Stephenson","given":"Nathan L.","non-dropping-particle":"","parse-names":false,"suffix":""},{"dropping-particle":"","family":"Flint","given":"Alan","non-dropping-particle":"","parse-names":false,"suffix":""},{"dropping-particle":"","family":"Das","given":"Tapash","non-dropping-particle":"","parse-names":false,"suffix":""},{"dropping-particle":"","family":"Mantgem","given":"Phillip J.","non-dropping-particle":"van","parse-names":false,"suffix":""}],"container-title":"PLoS ONE","id":"ITEM-2","issue":"7","issued":{"date-parts":[["2013"]]},"title":"Climatic Correlates of Tree Mortality in Water- and Energy-Limited Forests","type":"article-journal","volume":"8"},"uris":["http://www.mendeley.com/documents/?uuid=ae6df946-dfb3-4ab5-8ba3-0a59be138901"]},{"id":"ITEM-3","itemData":{"DOI":"10.1111/j.1461-0248.2007.01080.x","ISSN":"1461023X","PMID":"17845291","abstract":"We provide a first detailed analysis of long-term, annual-resolution demographic trends in a temperate forest. After tracking the fates of 21 338 trees in a network of old-growth forest plots in the Sierra Nevada of California, we found that mortality rate, but not the recruitment rate, increased significantly over the 22 years of measurement (1983-2004). Mortality rates increased in both of two dominant taxonomic groups (Abies and Pinus) and in different forest types (different elevational zones). The increase in overall mortality rate resulted from an increase in tree deaths attributed to stress and biotic causes, and coincided with a temperature-driven increase in an index of drought. Our findings suggest that these forests (and by implication, other water-limited forests) may be sensitive to temperature-driven drought stress, and may be poised for die-back if future climates continue to feature rising temperatures without compensating increases in precipitation. © 2007 Blackwell Publishing Ltd/CNRS.","author":[{"dropping-particle":"","family":"Mantgem","given":"Phillip J.","non-dropping-particle":"Van","parse-names":false,"suffix":""},{"dropping-particle":"","family":"Stephenson","given":"Nathan L.","non-dropping-particle":"","parse-names":false,"suffix":""}],"container-title":"Ecology Letters","id":"ITEM-3","issue":"10","issued":{"date-parts":[["2007"]]},"page":"909-916","title":"Apparent climatically induced increase of tree mortality rates in a temperate forest","type":"article-journal","volume":"10"},"uris":["http://www.mendeley.com/documents/?uuid=79dcd8ef-4ad9-462a-be9f-5a6460dbdf52"]},{"id":"ITEM-4","itemData":{"DOI":"10.1002/eap.1620","ISSN":"19395582","PMID":"28871610","abstract":"Severe drought has the potential to cause selective mortality within a forest, thereby inducing shifts in forest species composition. The southern Sierra Nevada foothills and mountains of California have experienced extensive forest dieback due to drought stress and insect outbreak. We used high-fidelity imaging spectroscopy (HiFIS) and light detection and ranging (LiDAR) from the Carnegie Airborne Observatory (CAO) to estimate the effect of forest dieback on species composition in response to drought stress in Sequoia National Park. Our aims were (1) to quantify site-specific conditions that mediate tree mortality along an elevation gradient in the southern Sierra Nevada Mountains, (2) to assess where mortality events have a greater probability of occurring, and (3) to estimate which tree species have a greater likelihood of mortality along the elevation gradient. A series of statistical models were generated to classify species composition and identify tree mortality, and the influences of different environmental factors were spatially quantified and analyzed to assess where mortality events have a greater likelihood of occurring. A higher probability of mortality was observed in the lower portion of the elevation gradient, on southwest- and west-facing slopes, in areas with shallow soils, on shallower slopes, and at greater distances from water. All of these factors are related to site water balance throughout the landscape. Our results also suggest that mortality is species-specific along the elevation gradient, mainly affecting Pinus ponderosa and Pinus lambertiana at lower elevations. Selective mortality within the forest may drive long-term shifts in community composition along the elevation gradient.","author":[{"dropping-particle":"","family":"Paz-Kagan","given":"Tarin","non-dropping-particle":"","parse-names":false,"suffix":""},{"dropping-particle":"","family":"Brodrick","given":"Philip G.","non-dropping-particle":"","parse-names":false,"suffix":""},{"dropping-particle":"","family":"Vaughn","given":"Nicholas R.","non-dropping-particle":"","parse-names":false,"suffix":""},{"dropping-particle":"","family":"Das","given":"Adrian J.","non-dropping-particle":"","parse-names":false,"suffix":""},{"dropping-particle":"","family":"Stephenson","given":"Nathan L.","non-dropping-particle":"","parse-names":false,"suffix":""},{"dropping-particle":"","family":"Nydick","given":"Koren R.","non-dropping-particle":"","parse-names":false,"suffix":""},{"dropping-particle":"","family":"Asner","given":"Gregory P.","non-dropping-particle":"","parse-names":false,"suffix":""}],"container-title":"Ecological Applications","id":"ITEM-4","issue":"8","issued":{"date-parts":[["2017"]]},"page":"2443-2457","title":"What mediates tree mortality during drought in the southern Sierra Nevada","type":"article-journal","volume":"27"},"uris":["http://www.mendeley.com/documents/?uuid=dc39be1d-6fbe-470d-bc94-505e92d410bc"]},{"id":"ITEM-5","itemData":{"DOI":"10.1139/X06-262","ISSN":"00455067","abstract":"We examined mortality of Abies concolor (Gord. &amp; Glend.) Lindl. (white fir) and Pinus lambertiana Dougl. (sugar pine) by developing logistic models using three growth indices obtained from tree rings: average growth, growth trend, and count of abrupt growth declines. For P. lambertiana, models with average growth, growth trend, and count of abrupt declines improved overall prediction (78.6% dead trees correctly classified, 83.7% live trees correctly classified) compared with a model with average recent growth alone (69.6% dead trees correctly classified, 67.3% live trees correctly classified). For A. concolor, counts of abrupt declines and longer time intervals improved overall classification (trees with DBH ≥20 cm: 78.9% dead trees correctly classified and 76.7% live trees correctly classified vs. 64.9% dead trees correctly classified and 77.9% live trees correctly classified; trees with DBH &lt;20 cm: 71.6% dead trees correctly classified and 71.0% live trees correctly classified vs. 67.2% dead trees correctly classified and 66.7% live trees correctly classified). In general, count of abrupt declines improved live-tree classification. External validation of A. concolor models showed that they functioned well at stands not used in model development, and the development of size-specific models demonstrated important differences in mortality risk between understory and canopy trees. Population-level mortality-risk models were developed for A. concolor and generated realistic mortality rates at two sites. Our results support the contention that a more comprehensive use of the growth record yields a more robust assessment of mortality risk. © 2007 NRC.","author":[{"dropping-particle":"","family":"Das","given":"Adrian J.","non-dropping-particle":"","parse-names":false,"suffix":""},{"dropping-particle":"","family":"Battles","given":"John J.","non-dropping-particle":"","parse-names":false,"suffix":""},{"dropping-particle":"","family":"Stephenson","given":"Nathan L.","non-dropping-particle":"","parse-names":false,"suffix":""},{"dropping-particle":"","family":"Mantgem","given":"Phillip J.","non-dropping-particle":"Van","parse-names":false,"suffix":""}],"container-title":"Canadian Journal of Forest Research","id":"ITEM-5","issue":"3","issued":{"date-parts":[["2007"]]},"page":"580-597","title":"The relationship between tree growth patterns and likelihood of mortality: A study of two tree species in the Sierra Nevada","type":"article-journal","volume":"37"},"uris":["http://www.mendeley.com/documents/?uuid=cae3d06a-bb2c-4a92-9822-25e3e253038a"]},{"id":"ITEM-6","itemData":{"DOI":"10.1016/j.scitotenv.2021.147744","ISSN":"00489697","abstract":"Worldwide, increasing severity of droughts threatens to change forest ecosystem functioning and community structure. Understanding how forest resilience is determined by its two underlying components, resistance and recovery, will help elucidate the mechanisms of drought responses and help inform management strategies. However, drought responses are shaped by complex processes across different scales, including species-specific drought strategies, tree size, competition, local environmental conditions, and the intensity of the drought event. Here, we quantified the reduction in tree growth during drought (an inverse measure of drought resistance) and post-drought recovery for three montane conifers (Abies concolor, Pinus jeffreyi, and Pinus lambertiana) in California. We used tree ring analysis to quantify responses to drought events of varying intensity between 1895 and 2018 across a geographic climatic gradient, to examine the roles of tree size (DBH) and competition (tree density) in mediating drought responses. We found that years of more intense drought corresponded with larger growth reductions and recovery rates were lower following drought years where trees suffered larger reductions. We found little variation among species in their growth reductions during drought events, but significant differences among species in their recovery post-drought. Across the geographic gradient, trees in the driest locations were susceptible to large growth reductions, signaling either strong sensitivity to drought intensity or exposure to the most extreme drought conditions. These growth reductions were not always compensated for by higher recovery rates. We also found that larger trees were more susceptible to drought due to a steeper negative relationship between recovery rates and the intensity of growth reduction during the drought. Contrary to expectations, recovery rates following the most detrimental drought years were higher in denser forests. Our results demonstrate the importance of considering how factors at various spatial and temporal scales affect the different components of drought responses.","author":[{"dropping-particle":"","family":"Bohner","given":"Teresa","non-dropping-particle":"","parse-names":false,"suffix":""},{"dropping-particle":"","family":"Diez","given":"Jeffrey","non-dropping-particle":"","parse-names":false,"suffix":""}],"container-title":"Science of The Total Environment","id":"ITEM-6","issued":{"date-parts":[["2021"]]},"page":"147744","publisher":"Elsevier B.V.","title":"Tree resistance and recovery from drought mediated by multiple abiotic and biotic processes across a large geographic gradient","type":"article-journal","volume":"789"},"uris":["http://www.mendeley.com/documents/?uuid=3793b222-188a-4ef5-9faa-857daeae6c29"]}],"mendeley":{"formattedCitation":"(Das &lt;i&gt;et al.&lt;/i&gt;, 2007, 2013; Van Mantgem and Stephenson, 2007; Paz-Kagan &lt;i&gt;et al.&lt;/i&gt;, 2017; Restaino &lt;i&gt;et al.&lt;/i&gt;, 2019; Bohner and Diez, 2021)","plainTextFormattedCitation":"(Das et al., 2007, 2013; Van Mantgem and Stephenson, 2007; Paz-Kagan et al., 2017; Restaino et al., 2019; Bohner and Diez, 2021)","previouslyFormattedCitation":"(Das &lt;i&gt;et al.&lt;/i&gt;, 2007, 2013; Van Mantgem and Stephenson, 2007; Paz-Kagan &lt;i&gt;et al.&lt;/i&gt;, 2017; Restaino &lt;i&gt;et al.&lt;/i&gt;, 2019; Bohner and Diez, 2021)"},"properties":{"noteIndex":0},"schema":"https://github.com/citation-style-language/schema/raw/master/csl-citation.json"}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(Das </w:t>
      </w:r>
      <w:r w:rsidR="00EB4A84" w:rsidRPr="00EB4A84">
        <w:rPr>
          <w:rFonts w:cstheme="minorHAnsi"/>
          <w:i/>
          <w:noProof/>
        </w:rPr>
        <w:t>et al.</w:t>
      </w:r>
      <w:r w:rsidR="00EB4A84" w:rsidRPr="00EB4A84">
        <w:rPr>
          <w:rFonts w:cstheme="minorHAnsi"/>
          <w:noProof/>
        </w:rPr>
        <w:t xml:space="preserve">, 2007, 2013; Van Mantgem and Stephenson, 2007; Paz-Kagan </w:t>
      </w:r>
      <w:r w:rsidR="00EB4A84" w:rsidRPr="00EB4A84">
        <w:rPr>
          <w:rFonts w:cstheme="minorHAnsi"/>
          <w:i/>
          <w:noProof/>
        </w:rPr>
        <w:t>et al.</w:t>
      </w:r>
      <w:r w:rsidR="00EB4A84" w:rsidRPr="00EB4A84">
        <w:rPr>
          <w:rFonts w:cstheme="minorHAnsi"/>
          <w:noProof/>
        </w:rPr>
        <w:t xml:space="preserve">, 2017; Restaino </w:t>
      </w:r>
      <w:r w:rsidR="00EB4A84" w:rsidRPr="00EB4A84">
        <w:rPr>
          <w:rFonts w:cstheme="minorHAnsi"/>
          <w:i/>
          <w:noProof/>
        </w:rPr>
        <w:t>et al.</w:t>
      </w:r>
      <w:r w:rsidR="00EB4A84" w:rsidRPr="00EB4A84">
        <w:rPr>
          <w:rFonts w:cstheme="minorHAnsi"/>
          <w:noProof/>
        </w:rPr>
        <w:t>, 2019; Bohner and Diez, 2021)</w:t>
      </w:r>
      <w:r w:rsidR="008569B1">
        <w:rPr>
          <w:rFonts w:cstheme="minorHAnsi"/>
        </w:rPr>
        <w:fldChar w:fldCharType="end"/>
      </w:r>
      <w:r w:rsidR="005E7ECB">
        <w:rPr>
          <w:rFonts w:cstheme="minorHAnsi"/>
        </w:rPr>
        <w:t xml:space="preserve">, though see </w:t>
      </w:r>
      <w:r w:rsidR="00093A54">
        <w:rPr>
          <w:rFonts w:cstheme="minorHAnsi"/>
        </w:rPr>
        <w:t xml:space="preserve">Furniss et al. (2021) </w:t>
      </w:r>
      <w:r w:rsidR="005E7ECB">
        <w:rPr>
          <w:rFonts w:cstheme="minorHAnsi"/>
        </w:rPr>
        <w:t>which found that stand density played a more important role than climate variables in shaping mortality dynamics after fire and/or drought</w:t>
      </w:r>
      <w:r w:rsidR="008569B1">
        <w:rPr>
          <w:rFonts w:cstheme="minorHAnsi"/>
        </w:rPr>
        <w:t>.</w:t>
      </w:r>
      <w:r w:rsidR="0078488A">
        <w:rPr>
          <w:rFonts w:cstheme="minorHAnsi"/>
        </w:rPr>
        <w:t xml:space="preserve"> Stephenson et al. (2019) </w:t>
      </w:r>
      <w:r w:rsidR="00B50353" w:rsidRPr="00F30BF0">
        <w:rPr>
          <w:rFonts w:cstheme="minorHAnsi"/>
        </w:rPr>
        <w:t xml:space="preserve">examined the role of mountain pine beetle as the primary mortality agent taking advantage of widespread stress among sugar pine populations affected by drought, a finding supported by other assessments </w:t>
      </w:r>
      <w:r w:rsidR="00101105" w:rsidRPr="00F30BF0">
        <w:rPr>
          <w:rFonts w:cstheme="minorHAnsi"/>
        </w:rPr>
        <w:t>of the relationship between drought and bark beetles</w:t>
      </w:r>
      <w:r w:rsidR="00B50353" w:rsidRPr="00F30BF0">
        <w:rPr>
          <w:rFonts w:cstheme="minorHAnsi"/>
        </w:rPr>
        <w:t xml:space="preserve"> </w:t>
      </w:r>
      <w:r w:rsidR="008569B1">
        <w:rPr>
          <w:rFonts w:cstheme="minorHAnsi"/>
        </w:rPr>
        <w:fldChar w:fldCharType="begin" w:fldLock="1"/>
      </w:r>
      <w:r w:rsidR="002C19B3">
        <w:rPr>
          <w:rFonts w:cstheme="minorHAnsi"/>
        </w:rPr>
        <w:instrText>ADDIN CSL_CITATION {"citationItems":[{"id":"ITEM-1","itemData":{"DOI":"10.1016/j.foreco.2018.09.006","ISSN":"03781127","abstract":"Much of California, U.S. experienced a severe drought in 2012–2015 inciting a large tree mortality event in the central and southern Sierra Nevada. We assessed causal agents and rates of tree mortality, and short-term impacts to forest structure and composition based on a network of 11.3-m fixed-radius plots installed within three elevation bands on the Eldorado, Stanislaus, Sierra and Sequoia National Forests (914–1219, 1219–1524 and 1524–1829 m on the Eldorado, Stanislaus, Sierra; 1219–1524, 1524–1829, and 1829–2134 m on the Sequoia), where tree mortality was most severe. About 48.9% of trees died between 2014 and 2017. Tree mortality ranged from 46.1 ± 3.3% on the Eldorado National Forest to 58.7 ± 3.7% on the Sierra National Forest. Significantly higher levels of tree mortality occurred in the low elevation band (60.4 ± 3.0%) compared to the high elevation band (46.1 ± 2.9%). Ponderosa pine, Pinus ponderosa Dougl. ex Laws., exhibited the highest levels of tree mortality (89.6%), with 39.4% of plots losing all P. ponderosa. Mortality of P. ponderosa was highest at the lowest elevations, concentrated in larger-diameter trees, and attributed primarily to colonization by western pine beetle, Dendroctonus brevicomis LeConte. About 89% of P. ponderosa in the three largest diameter classes were killed, representing loss of an important structural component of these forests with implications to wildlife species of conservation concern. Sugar pine, P. lambertiana Dougl., exhibited the second highest levels of tree mortality (48.1%). Mortality of P. lambertiana was concentrated in the mid-diameter classes and attributed primarily to colonization by mountain pine beetle, D. ponderosae Hopkins. White fir, Abies concolor (Gord. &amp; Glend.) Lindl. ex Hildebr., and incense cedar, Calocedrus decurrens (Torr.) Florin, exhibited 26.3% and 23.2% mortality, respectively. Only one Quercus died. Tree mortality (numbers of trees killed) was positively correlated with tree density and slope. A time lag was observed between the occurrence of drought and the majority of tree mortality. Tree regeneration (seedlings and saplings) was dominated by C. decurrens and Quercus spp., representing a potential long-term shift in composition from forests that were dominated by P. ponderosa. About 22.2% of plots contained plant species considered invasive, including cheatgrass, Bromus tectorum L., ripgut brome, Bromus diandrus Roth, bull thistle, Cirsium vulgare (Savi) Ten., and yellow sta…","author":[{"dropping-particle":"","family":"Fettig","given":"Christopher J.","non-dropping-particle":"","parse-names":false,"suffix":""},{"dropping-particle":"","family":"Mortenson","given":"Leif A.","non-dropping-particle":"","parse-names":false,"suffix":""},{"dropping-particle":"","family":"Bulaon","given":"Beverly M.","non-dropping-particle":"","parse-names":false,"suffix":""},{"dropping-particle":"","family":"Foulk","given":"Patra B.","non-dropping-particle":"","parse-names":false,"suffix":""}],"container-title":"Forest Ecology and Management","id":"ITEM-1","issue":"August 2018","issued":{"date-parts":[["2019"]]},"page":"164-178","title":"Tree mortality following drought in the central and southern Sierra Nevada, California, U.S.","type":"article-journal","volume":"432"},"uris":["http://www.mendeley.com/documents/?uuid=45dbf149-6ef3-4399-b560-f190b2178c40"]},{"id":"ITEM-2","itemData":{"DOI":"10.1007/s00468-021-02098-8","ISBN":"0123456789","ISSN":"1432-2285","author":[{"dropping-particle":"","family":"Slack","given":"Andrew W","non-dropping-particle":"","parse-names":false,"suffix":""},{"dropping-particle":"","family":"Kane","given":"Jeffrey M","non-dropping-particle":"","parse-names":false,"suffix":""},{"dropping-particle":"","family":"Knapp","given":"Eric E","non-dropping-particle":"","parse-names":false,"suffix":""}],"container-title":"Trees","id":"ITEM-2","issue":"0123456789","issued":{"date-parts":[["2021"]]},"publisher":"Springer Berlin Heidelberg","title":"Growth and defense inform large sugar pine ( Pinus lambertiana ) mortality in a fire ‐ excluded forest of the central Sierra Nevada","type":"article-journal"},"uris":["http://www.mendeley.com/documents/?uuid=bd0e16be-b004-446b-96c7-c370b5251e9a"]}],"mendeley":{"formattedCitation":"(Fettig &lt;i&gt;et al.&lt;/i&gt;, 2019; Slack, Kane and Knapp, 2021)","plainTextFormattedCitation":"(Fettig et al., 2019; Slack, Kane and Knapp, 2021)","previouslyFormattedCitation":"(Fettig &lt;i&gt;et al.&lt;/i&gt;, 2019; Slack, Kane and Knapp, 2021)"},"properties":{"noteIndex":0},"schema":"https://github.com/citation-style-language/schema/raw/master/csl-citation.json"}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(Fettig </w:t>
      </w:r>
      <w:r w:rsidR="00EB4A84" w:rsidRPr="00EB4A84">
        <w:rPr>
          <w:rFonts w:cstheme="minorHAnsi"/>
          <w:i/>
          <w:noProof/>
        </w:rPr>
        <w:t>et al.</w:t>
      </w:r>
      <w:r w:rsidR="00EB4A84" w:rsidRPr="00EB4A84">
        <w:rPr>
          <w:rFonts w:cstheme="minorHAnsi"/>
          <w:noProof/>
        </w:rPr>
        <w:t>, 2019; Slack, Kane and Knapp, 2021)</w:t>
      </w:r>
      <w:r w:rsidR="008569B1">
        <w:rPr>
          <w:rFonts w:cstheme="minorHAnsi"/>
        </w:rPr>
        <w:fldChar w:fldCharType="end"/>
      </w:r>
      <w:r w:rsidR="00B50353" w:rsidRPr="00F30BF0">
        <w:rPr>
          <w:rFonts w:cstheme="minorHAnsi"/>
        </w:rPr>
        <w:t xml:space="preserve">. </w:t>
      </w:r>
      <w:r w:rsidR="00101105" w:rsidRPr="00F30BF0">
        <w:rPr>
          <w:rFonts w:cstheme="minorHAnsi"/>
        </w:rPr>
        <w:t xml:space="preserve">Intermittent droughts and/or long-term mean climatic conditions may particularly challenge small trees, causing recruitment failures even on sites where adult trees are able to persist </w:t>
      </w:r>
      <w:r w:rsidR="0071532B">
        <w:rPr>
          <w:rFonts w:cstheme="minorHAnsi"/>
        </w:rPr>
        <w:fldChar w:fldCharType="begin" w:fldLock="1"/>
      </w:r>
      <w:r w:rsidR="002C19B3">
        <w:rPr>
          <w:rFonts w:cstheme="minorHAnsi"/>
        </w:rPr>
        <w:instrText>ADDIN CSL_CITATION {"citationItems":[{"id":"ITEM-1","itemData":{"DOI":"10.1007/s11258-013-0295-6","ISSN":"13850237","abstract":"Recruitment success can have significant consequences on forest community dynamics. Seedlings and saplings were studied for 3 five-needled white pine species: sugar pine (Pinus lambertiana), western white pine (P. monticola), and whitebark pine (P. albicaulis) across an elevational gradient, representing three distinct forest types, in the Sierra Nevada. This study was designed to determine the importance of local environmental and biological conditions versus broad regional climate patterns influencing conifer recruitment. No relationships were found between recruitment and precipitation, but increasing nighttime temperature was positively correlated with sugar pine and western white pine recruitment and negatively correlated with whitebark pine recruitment. Recruitment pulses were found for sugar pine and western white pine from 1995 to 2006. Whitebark pine recruitment is low and relatively steady from 1970 to 2000 with no observed new recruits after 2001. Source strength was the most consistent predictor of white pine recruitment along with soil properties, climate, light, and the presence of non-conspecifics. Source, light, and soil explained 71 % of the variation in sugar pine recruitment. The presence of non-conspecifics, source, and climate explained 71 % of the variation in western white pine recruitment, and the presence of non-conspecifics and source explained 36 % of the variation for whitebark pine. Recruitment present in forest communities of the Sierra Nevada have successfully transitioned through critical stages (i.e., seed and germinant) and appear to be influenced by multiple factors at both local and regional scales. © 2014 Springer Science+Business Media Dordrecht.","author":[{"dropping-particle":"","family":"Maloney","given":"Patricia E.","non-dropping-particle":"","parse-names":false,"suffix":""}],"container-title":"Plant Ecology","id":"ITEM-1","issue":"2","issued":{"date-parts":[["2014"]]},"page":"261-274","title":"The multivariate underpinnings of recruitment for three Pinus species in montane forests of the Sierra Nevada, USA","type":"article-journal","volume":"215"},"uris":["http://www.mendeley.com/documents/?uuid=24bb7379-bab4-43fd-a774-2bb01abe3f3f"]},{"id":"ITEM-2","itemData":{"DOI":"10.1111/geb.12109","ISSN":"1466822X","abstract":"Aim: To determine if differences in climate envelopes for six coniferous tree species and two life stages (trees and seedlings) suggest a potential for species range contractions, expansions or shifts in response to climate change and if these patterns differ between subalpine (i.e. cool-climate) and montane (i.e. warm-climate) species. Location: The dry domain of the western United States. Methods: Using data from the Forest Inventory and Analysis National Program, we quantified the relationship between probability of occurrence and climate for adults and seedlings of each species with a Bayesian logistic regression. Assuming that distributional differences between life stages highlight shifting regeneration patterns relative to adult trees, we assessed differences between seedlings and adult trees based on predicted probabilities of occurrence and climate envelope boundaries. Results: Differences between occurrence probabilities for seedlings and adults were greatest for montane, as opposed to subalpine, species and along range margins, especially in the southern and western portions of the study area. Climate envelope boundaries of seedlings differed from adult trees most frequently in montane species and often suggested range contractions or range shifts, as opposed to range expansion. Main conclusions: Our results indicated that climate-induced contractions and shifts in seedling distribution in response to recent change are already under way and are particularly severe in montane tree species. While adult trees may persist for hundreds of years without significant regeneration, tree species ranges will eventually contract where tree regeneration fails. © 2013 John Wiley &amp; Sons Ltd.","author":[{"dropping-particle":"","family":"Bell","given":"David M.","non-dropping-particle":"","parse-names":false,"suffix":""},{"dropping-particle":"","family":"Bradford","given":"John B.","non-dropping-particle":"","parse-names":false,"suffix":""},{"dropping-particle":"","family":"Lauenroth","given":"William K.","non-dropping-particle":"","parse-names":false,"suffix":""}],"container-title":"Global Ecology and Biogeography","id":"ITEM-2","issue":"2","issued":{"date-parts":[["2014"]]},"page":"168-180","title":"Early indicators of change: Divergent climate envelopes between tree life stages imply range shifts in the western United States","type":"article-journal","volume":"23"},"uris":["http://www.mendeley.com/documents/?uuid=5141f6fa-6947-4346-8469-aaf7bc0f8fc5"]},{"id":"ITEM-3","itemData":{"DOI":"10.1002/ecs2.2776","ISSN":"21508925","abstract":"Understanding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L.","non-dropping-particle":"","parse-names":false,"suffix":""}],"container-title":"Ecosphere","id":"ITEM-3","issue":"6","issued":{"date-parts":[["2019"]]},"title":"Negative impacts of summer heat on Sierra Nevada tree seedlings","type":"article-journal","volume":"10"},"uris":["http://www.mendeley.com/documents/?uuid=52ae7f69-ba42-496d-827f-0c3f1dd1fb27"]},{"id":"ITEM-4","itemData":{"DOI":"10.1073/pnas.1815107116","ISSN":"10916490","PMID":"30858310","abstract":"Climate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America","id":"ITEM-4","issue":"13","issued":{"date-parts":[["2019"]]},"page":"6193-6198","title":"Wildfires and climate change push low-elevation forests across a critical climate threshold for tree regeneration","type":"article-journal","volume":"116"},"uris":["http://www.mendeley.com/documents/?uuid=371a7944-1853-43c0-bbe0-6cfe794db39c"]},{"id":"ITEM-5","itemData":{"DOI":"10.1002/eap.2280","ISSN":"19395582","PMID":"33331069","abstract":"Large, severe fires are becoming more frequent in many forest types across the western United States and have resulted in tree mortality across tens of thousands of hectares. Conifer regeneration in these areas is limited because seeds must travel long distances to reach the interior of large burned patches and establishment is jeopardized by increasingly hot and dry conditions. To better inform postfire management in low elevation forests of California, USA, we collected 5-yr postfire recovery data from 1,234 study plots in 19 wildfires that burned from 2004–2012 and 18 yrs of seed production data from 216 seed fall traps (1999–2017). We used these data in conjunction with spatially extensive climate, topography, forest composition, and burn severity surfaces to construct taxon-specific, spatially explicit models of conifer regeneration that incorporate climate conditions and seed availability during postfire recovery windows. We found that after accounting for other predictors both postfire and historical precipitation were strong predictors of regeneration, suggesting that both direct effects of postfire moisture conditions and biological inertia from historical climate may play a role in regeneration. Alternatively, postfire regeneration may simply be driven by postfire climate and apparent relationships with historical climate could be spurious. The estimated sensitivity of regeneration to postfire seed availability was strongest in firs and all conifers combined and weaker in pines. Seed production exhibited high temporal variability with seed production varying by over two orders of magnitude among years. Our models indicate that during droughts postfire conifer regeneration declines most substantially in low-to-moderate elevation forests. These findings enhance our mechanistic understanding of forecasted and historically documented shifts in the distribution of trees.","author":[{"dropping-particle":"","family":"Stewart","given":"Joseph A.E.","non-dropping-particle":"","parse-names":false,"suffix":""},{"dropping-particle":"","family":"Mantgem","given":"Phillip J.","non-dropping-particle":"van","parse-names":false,"suffix":""},{"dropping-particle":"","family":"Young","given":"Derek J.N.","non-dropping-particle":"","parse-names":false,"suffix":""},{"dropping-particle":"","family":"Shive","given":"Kristen L.","non-dropping-particle":"","parse-names":false,"suffix":""},{"dropping-particle":"","family":"Preisler","given":"Haiganoush K.","non-dropping-particle":"","parse-names":false,"suffix":""},{"dropping-particle":"","family":"Das","given":"Adrian J.","non-dropping-particle":"","parse-names":false,"suffix":""},{"dropping-particle":"","family":"Stephenson","given":"Nathan L.","non-dropping-particle":"","parse-names":false,"suffix":""},{"dropping-particle":"","family":"Keeley","given":"Jon E.","non-dropping-particle":"","parse-names":false,"suffix":""},{"dropping-particle":"","family":"Safford","given":"Hugh D.","non-dropping-particle":"","parse-names":false,"suffix":""},{"dropping-particle":"","family":"Wright","given":"Micah C.","non-dropping-particle":"","parse-names":false,"suffix":""},{"dropping-particle":"","family":"Welch","given":"Kevin R.","non-dropping-particle":"","parse-names":false,"suffix":""},{"dropping-particle":"","family":"Thorne","given":"James H.","non-dropping-particle":"","parse-names":false,"suffix":""}],"container-title":"Ecological Applications","id":"ITEM-5","issue":"3","issued":{"date-parts":[["2021"]]},"page":"1-14","title":"Effects of postfire climate and seed availability on postfire conifer regeneration","type":"article-journal","volume":"31"},"uris":["http://www.mendeley.com/documents/?uuid=76e0b1c0-bae5-446e-90ce-1c9503882636"]}],"mendeley":{"formattedCitation":"(Bell, Bradford and Lauenroth, 2014; Maloney, 2014; Davis &lt;i&gt;et al.&lt;/i&gt;, 2019; Moran &lt;i&gt;et al.&lt;/i&gt;, 2019; Stewart &lt;i&gt;et al.&lt;/i&gt;, 2021)","plainTextFormattedCitation":"(Bell, Bradford and Lauenroth, 2014; Maloney, 2014; Davis et al., 2019; Moran et al., 2019; Stewart et al., 2021)","previouslyFormattedCitation":"(Bell, Bradford and Lauenroth, 2014; Maloney, 2014; Davis &lt;i&gt;et al.&lt;/i&gt;, 2019; Moran &lt;i&gt;et al.&lt;/i&gt;, 2019; Stewart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(Bell, Bradford and Lauenroth, 2014; Maloney, 2014; Davis </w:t>
      </w:r>
      <w:r w:rsidR="00EB4A84" w:rsidRPr="00EB4A84">
        <w:rPr>
          <w:rFonts w:cstheme="minorHAnsi"/>
          <w:i/>
          <w:noProof/>
        </w:rPr>
        <w:t>et al.</w:t>
      </w:r>
      <w:r w:rsidR="00EB4A84" w:rsidRPr="00EB4A84">
        <w:rPr>
          <w:rFonts w:cstheme="minorHAnsi"/>
          <w:noProof/>
        </w:rPr>
        <w:t xml:space="preserve">, 2019; Moran </w:t>
      </w:r>
      <w:r w:rsidR="00EB4A84" w:rsidRPr="00EB4A84">
        <w:rPr>
          <w:rFonts w:cstheme="minorHAnsi"/>
          <w:i/>
          <w:noProof/>
        </w:rPr>
        <w:t>et al.</w:t>
      </w:r>
      <w:r w:rsidR="00EB4A84" w:rsidRPr="00EB4A84">
        <w:rPr>
          <w:rFonts w:cstheme="minorHAnsi"/>
          <w:noProof/>
        </w:rPr>
        <w:t xml:space="preserve">, 2019; Stewart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101105" w:rsidRPr="00F30BF0">
        <w:rPr>
          <w:rFonts w:cstheme="minorHAnsi"/>
        </w:rPr>
        <w:t xml:space="preserve">. </w:t>
      </w:r>
      <w:r w:rsidR="006F5E9A" w:rsidRPr="00F30BF0">
        <w:rPr>
          <w:rFonts w:cstheme="minorHAnsi"/>
        </w:rPr>
        <w:t>This study found a weak negative effect of drought on survival (</w:t>
      </w:r>
      <w:r w:rsidR="004639A9" w:rsidRPr="00F30BF0">
        <w:rPr>
          <w:rFonts w:cstheme="minorHAnsi"/>
        </w:rPr>
        <w:fldChar w:fldCharType="begin"/>
      </w:r>
      <w:r w:rsidR="004639A9" w:rsidRPr="00F30BF0">
        <w:rPr>
          <w:rFonts w:cstheme="minorHAnsi"/>
        </w:rPr>
        <w:instrText xml:space="preserve"> REF _Ref93744929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6A10AA">
        <w:t xml:space="preserve">Figure </w:t>
      </w:r>
      <w:r w:rsidR="006A10AA">
        <w:rPr>
          <w:noProof/>
        </w:rPr>
        <w:t>3</w:t>
      </w:r>
      <w:r w:rsidR="004639A9" w:rsidRPr="00F30BF0">
        <w:rPr>
          <w:rFonts w:cstheme="minorHAnsi"/>
        </w:rPr>
        <w:fldChar w:fldCharType="end"/>
      </w:r>
      <w:r w:rsidR="004639A9" w:rsidRPr="00F30BF0">
        <w:rPr>
          <w:rFonts w:cstheme="minorHAnsi"/>
        </w:rPr>
        <w:t>,</w:t>
      </w:r>
      <w:r w:rsidR="00364352">
        <w:rPr>
          <w:rFonts w:cstheme="minorHAnsi"/>
        </w:rPr>
        <w:t xml:space="preserve"> </w:t>
      </w:r>
      <w:r w:rsidR="00364352">
        <w:rPr>
          <w:rFonts w:cstheme="minorHAnsi"/>
        </w:rPr>
        <w:fldChar w:fldCharType="begin"/>
      </w:r>
      <w:r w:rsidR="00364352">
        <w:rPr>
          <w:rFonts w:cstheme="minorHAnsi"/>
        </w:rPr>
        <w:instrText xml:space="preserve"> REF _Ref104545123 \h </w:instrText>
      </w:r>
      <w:r w:rsidR="00364352">
        <w:rPr>
          <w:rFonts w:cstheme="minorHAnsi"/>
        </w:rPr>
      </w:r>
      <w:r w:rsidR="00364352">
        <w:rPr>
          <w:rFonts w:cstheme="minorHAnsi"/>
        </w:rPr>
        <w:fldChar w:fldCharType="separate"/>
      </w:r>
      <w:r w:rsidR="006A10AA">
        <w:t xml:space="preserve">Table </w:t>
      </w:r>
      <w:r w:rsidR="006A10AA">
        <w:rPr>
          <w:noProof/>
        </w:rPr>
        <w:t>1</w:t>
      </w:r>
      <w:r w:rsidR="00364352">
        <w:rPr>
          <w:rFonts w:cstheme="minorHAnsi"/>
        </w:rPr>
        <w:fldChar w:fldCharType="end"/>
      </w:r>
      <w:r w:rsidR="006F5E9A" w:rsidRPr="00F30BF0">
        <w:rPr>
          <w:rFonts w:cstheme="minorHAnsi"/>
        </w:rPr>
        <w:t xml:space="preserve">) and a </w:t>
      </w:r>
      <w:r w:rsidR="004639A9" w:rsidRPr="00F30BF0">
        <w:rPr>
          <w:rFonts w:cstheme="minorHAnsi"/>
        </w:rPr>
        <w:t>size-dependent</w:t>
      </w:r>
      <w:r w:rsidR="006F5E9A" w:rsidRPr="00F30BF0">
        <w:rPr>
          <w:rFonts w:cstheme="minorHAnsi"/>
        </w:rPr>
        <w:t xml:space="preserve"> effect of site dryness on growth</w:t>
      </w:r>
      <w:r w:rsidR="004639A9" w:rsidRPr="00F30BF0">
        <w:rPr>
          <w:rFonts w:cstheme="minorHAnsi"/>
        </w:rPr>
        <w:t xml:space="preserve">, where smaller stems grew </w:t>
      </w:r>
      <w:r w:rsidR="006271C9" w:rsidRPr="00F30BF0">
        <w:rPr>
          <w:rFonts w:cstheme="minorHAnsi"/>
        </w:rPr>
        <w:t>slow</w:t>
      </w:r>
      <w:r w:rsidR="0071532B">
        <w:rPr>
          <w:rFonts w:cstheme="minorHAnsi"/>
        </w:rPr>
        <w:t>er</w:t>
      </w:r>
      <w:r w:rsidR="004639A9" w:rsidRPr="00F30BF0">
        <w:rPr>
          <w:rFonts w:cstheme="minorHAnsi"/>
        </w:rPr>
        <w:t xml:space="preserve"> on dry sites and larger stems grew </w:t>
      </w:r>
      <w:r w:rsidR="006271C9" w:rsidRPr="00F30BF0">
        <w:rPr>
          <w:rFonts w:cstheme="minorHAnsi"/>
        </w:rPr>
        <w:t>faster</w:t>
      </w:r>
      <w:r w:rsidR="004639A9" w:rsidRPr="00F30BF0">
        <w:rPr>
          <w:rFonts w:cstheme="minorHAnsi"/>
        </w:rPr>
        <w:t xml:space="preserve"> on dry sites</w:t>
      </w:r>
      <w:r w:rsidR="006F5E9A"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_Ref94611931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02014E">
        <w:t xml:space="preserve">Figure </w:t>
      </w:r>
      <w:r w:rsidR="0002014E">
        <w:rPr>
          <w:noProof/>
        </w:rPr>
        <w:t>4</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_Ref94609644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02014E">
        <w:t>Table 2</w:t>
      </w:r>
      <w:r w:rsidR="004639A9" w:rsidRPr="00F30BF0">
        <w:rPr>
          <w:rFonts w:cstheme="minorHAnsi"/>
        </w:rPr>
        <w:fldChar w:fldCharType="end"/>
      </w:r>
      <w:r w:rsidR="006F5E9A" w:rsidRPr="00F30BF0">
        <w:rPr>
          <w:rFonts w:cstheme="minorHAnsi"/>
        </w:rPr>
        <w:t>)</w:t>
      </w:r>
      <w:r w:rsidR="004639A9" w:rsidRPr="00F30BF0">
        <w:rPr>
          <w:rFonts w:cstheme="minorHAnsi"/>
        </w:rPr>
        <w:t>. However, n</w:t>
      </w:r>
      <w:r w:rsidR="006F5E9A" w:rsidRPr="00F30BF0">
        <w:rPr>
          <w:rFonts w:cstheme="minorHAnsi"/>
        </w:rPr>
        <w:t xml:space="preserve">either effect was strong enough to </w:t>
      </w:r>
      <w:r w:rsidR="004639A9" w:rsidRPr="00F30BF0">
        <w:rPr>
          <w:rFonts w:cstheme="minorHAnsi"/>
        </w:rPr>
        <w:t>substantially reduce the asymptotic population growth rate relative to the unstressed scenario (</w:t>
      </w:r>
      <w:r w:rsidR="004639A9" w:rsidRPr="00F30BF0">
        <w:rPr>
          <w:rFonts w:cstheme="minorHAnsi"/>
        </w:rPr>
        <w:fldChar w:fldCharType="begin"/>
      </w:r>
      <w:r w:rsidR="004639A9" w:rsidRPr="00F30BF0">
        <w:rPr>
          <w:rFonts w:cstheme="minorHAnsi"/>
        </w:rPr>
        <w:instrText xml:space="preserve"> REF _Ref94616225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02014E">
        <w:t xml:space="preserve">Figure </w:t>
      </w:r>
      <w:r w:rsidR="0002014E">
        <w:rPr>
          <w:noProof/>
        </w:rPr>
        <w:t>6</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_Ref94619410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02014E">
        <w:t xml:space="preserve">Supplementary Table </w:t>
      </w:r>
      <w:r w:rsidR="004639A9" w:rsidRPr="00F30BF0">
        <w:rPr>
          <w:rFonts w:cstheme="minorHAnsi"/>
        </w:rPr>
        <w:fldChar w:fldCharType="end"/>
      </w:r>
      <w:r w:rsidR="00364352">
        <w:rPr>
          <w:rFonts w:cstheme="minorHAnsi"/>
        </w:rPr>
        <w:t>1</w:t>
      </w:r>
      <w:r w:rsidR="004639A9" w:rsidRPr="00F30BF0">
        <w:rPr>
          <w:rFonts w:cstheme="minorHAnsi"/>
        </w:rPr>
        <w:t xml:space="preserve">). </w:t>
      </w:r>
      <w:r w:rsidR="00A37AF9">
        <w:rPr>
          <w:rFonts w:cstheme="minorHAnsi"/>
        </w:rPr>
        <w:t xml:space="preserve">Though the extreme drought from 2012-2016 resulted in beetle epidemics that </w:t>
      </w:r>
      <w:r w:rsidR="00A37AF9">
        <w:rPr>
          <w:rFonts w:cstheme="minorHAnsi"/>
        </w:rPr>
        <w:lastRenderedPageBreak/>
        <w:t xml:space="preserve">caused massive mortality among sugar pine </w:t>
      </w:r>
      <w:r w:rsidR="00A37AF9">
        <w:rPr>
          <w:rFonts w:cstheme="minorHAnsi"/>
        </w:rPr>
        <w:fldChar w:fldCharType="begin" w:fldLock="1"/>
      </w:r>
      <w:r w:rsidR="000144C2">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rsidR="00A37AF9">
        <w:rPr>
          <w:rFonts w:cstheme="minorHAnsi"/>
        </w:rPr>
        <w:fldChar w:fldCharType="separate"/>
      </w:r>
      <w:r w:rsidR="00A37AF9" w:rsidRPr="00A37AF9">
        <w:rPr>
          <w:rFonts w:cstheme="minorHAnsi"/>
          <w:noProof/>
        </w:rPr>
        <w:t xml:space="preserve">(Stephenson </w:t>
      </w:r>
      <w:r w:rsidR="00A37AF9" w:rsidRPr="00A37AF9">
        <w:rPr>
          <w:rFonts w:cstheme="minorHAnsi"/>
          <w:i/>
          <w:noProof/>
        </w:rPr>
        <w:t>et al.</w:t>
      </w:r>
      <w:r w:rsidR="00A37AF9" w:rsidRPr="00A37AF9">
        <w:rPr>
          <w:rFonts w:cstheme="minorHAnsi"/>
          <w:noProof/>
        </w:rPr>
        <w:t>, 2019)</w:t>
      </w:r>
      <w:r w:rsidR="00A37AF9">
        <w:rPr>
          <w:rFonts w:cstheme="minorHAnsi"/>
        </w:rPr>
        <w:fldChar w:fldCharType="end"/>
      </w:r>
      <w:r w:rsidR="00A37AF9">
        <w:rPr>
          <w:rFonts w:cstheme="minorHAnsi"/>
        </w:rPr>
        <w:t xml:space="preserve">, drought may be a necessary but not sufficient condition for causing such epidemics, with some droughts not resulting in widespread mortality. </w:t>
      </w:r>
      <w:r w:rsidR="00093A54">
        <w:rPr>
          <w:rFonts w:cstheme="minorHAnsi"/>
        </w:rPr>
        <w:t>In addition, t</w:t>
      </w:r>
      <w:r w:rsidR="00093A54" w:rsidRPr="00F30BF0">
        <w:rPr>
          <w:rFonts w:cstheme="minorHAnsi"/>
        </w:rPr>
        <w:t xml:space="preserve">hough the resolution of the </w:t>
      </w:r>
      <w:proofErr w:type="spellStart"/>
      <w:r w:rsidR="00093A54" w:rsidRPr="00F30BF0">
        <w:rPr>
          <w:rFonts w:cstheme="minorHAnsi"/>
        </w:rPr>
        <w:t>terraClimate</w:t>
      </w:r>
      <w:proofErr w:type="spellEnd"/>
      <w:r w:rsidR="00093A54" w:rsidRPr="00F30BF0">
        <w:rPr>
          <w:rFonts w:cstheme="minorHAnsi"/>
        </w:rPr>
        <w:t xml:space="preserve"> data is </w:t>
      </w:r>
      <w:proofErr w:type="gramStart"/>
      <w:r w:rsidR="00093A54" w:rsidRPr="00F30BF0">
        <w:rPr>
          <w:rFonts w:cstheme="minorHAnsi"/>
        </w:rPr>
        <w:t>similar to</w:t>
      </w:r>
      <w:proofErr w:type="gramEnd"/>
      <w:r w:rsidR="00093A54" w:rsidRPr="00F30BF0">
        <w:rPr>
          <w:rFonts w:cstheme="minorHAnsi"/>
        </w:rPr>
        <w:t xml:space="preserve"> the scale at which plot coordinates are fuzzed, the </w:t>
      </w:r>
      <w:r w:rsidR="00093A54">
        <w:rPr>
          <w:rFonts w:cstheme="minorHAnsi"/>
        </w:rPr>
        <w:t xml:space="preserve">fuzzing and </w:t>
      </w:r>
      <w:r w:rsidR="00093A54" w:rsidRPr="00F30BF0">
        <w:rPr>
          <w:rFonts w:cstheme="minorHAnsi"/>
        </w:rPr>
        <w:t xml:space="preserve">swapping of plot coordinates likely introduced error between the true drought and site dryness experienced on a plot and the measured drought and site dryness appearing in our data. This </w:t>
      </w:r>
      <w:r w:rsidR="00093A54">
        <w:rPr>
          <w:rFonts w:cstheme="minorHAnsi"/>
        </w:rPr>
        <w:t xml:space="preserve">noisy measurement of climate conditions </w:t>
      </w:r>
      <w:r w:rsidR="00093A54" w:rsidRPr="00F30BF0">
        <w:rPr>
          <w:rFonts w:cstheme="minorHAnsi"/>
        </w:rPr>
        <w:t xml:space="preserve">could result in an underestimation of the </w:t>
      </w:r>
      <w:r w:rsidR="00093A54">
        <w:rPr>
          <w:rFonts w:cstheme="minorHAnsi"/>
        </w:rPr>
        <w:t xml:space="preserve">true </w:t>
      </w:r>
      <w:r w:rsidR="00093A54" w:rsidRPr="00F30BF0">
        <w:rPr>
          <w:rFonts w:cstheme="minorHAnsi"/>
        </w:rPr>
        <w:t>effects of drought and site dryness.</w:t>
      </w:r>
    </w:p>
    <w:p w14:paraId="2FEC3842" w14:textId="6D2CA438" w:rsidR="009B0C1C" w:rsidRPr="00F30BF0" w:rsidRDefault="0078488A" w:rsidP="003D3B95">
      <w:pPr>
        <w:spacing w:line="360" w:lineRule="auto"/>
        <w:ind w:firstLine="720"/>
        <w:rPr>
          <w:rFonts w:cstheme="minorHAnsi"/>
        </w:rPr>
      </w:pPr>
      <w:r>
        <w:rPr>
          <w:rFonts w:cstheme="minorHAnsi"/>
        </w:rPr>
        <w:t xml:space="preserve">One unexplained but troubling finding of this study was the low survival rates observed for the largest sugar pines </w:t>
      </w:r>
      <w:r w:rsidR="00BA5424">
        <w:rPr>
          <w:rFonts w:cstheme="minorHAnsi"/>
        </w:rPr>
        <w:t>(</w:t>
      </w:r>
      <w:r w:rsidR="00BA5424">
        <w:rPr>
          <w:rFonts w:cstheme="minorHAnsi"/>
        </w:rPr>
        <w:fldChar w:fldCharType="begin"/>
      </w:r>
      <w:r w:rsidR="00BA5424">
        <w:rPr>
          <w:rFonts w:cstheme="minorHAnsi"/>
        </w:rPr>
        <w:instrText xml:space="preserve"> REF _Ref93744929 \h </w:instrText>
      </w:r>
      <w:r w:rsidR="00BA5424">
        <w:rPr>
          <w:rFonts w:cstheme="minorHAnsi"/>
        </w:rPr>
      </w:r>
      <w:r w:rsidR="00BA5424">
        <w:rPr>
          <w:rFonts w:cstheme="minorHAnsi"/>
        </w:rPr>
        <w:fldChar w:fldCharType="separate"/>
      </w:r>
      <w:r w:rsidR="006A10AA">
        <w:t xml:space="preserve">Figure </w:t>
      </w:r>
      <w:r w:rsidR="006A10AA">
        <w:rPr>
          <w:noProof/>
        </w:rPr>
        <w:t>3</w:t>
      </w:r>
      <w:r w:rsidR="00BA5424">
        <w:rPr>
          <w:rFonts w:cstheme="minorHAnsi"/>
        </w:rPr>
        <w:fldChar w:fldCharType="end"/>
      </w:r>
      <w:r w:rsidR="00BA5424">
        <w:rPr>
          <w:rFonts w:cstheme="minorHAnsi"/>
        </w:rPr>
        <w:t>)</w:t>
      </w:r>
      <w:r>
        <w:rPr>
          <w:rFonts w:cstheme="minorHAnsi"/>
        </w:rPr>
        <w:t xml:space="preserve">. </w:t>
      </w:r>
      <w:r w:rsidR="00BA5424">
        <w:rPr>
          <w:rFonts w:cstheme="minorHAnsi"/>
        </w:rPr>
        <w:t xml:space="preserve">Bark beetles are a driver of mortality for these trees: </w:t>
      </w:r>
      <w:r w:rsidR="000144C2">
        <w:rPr>
          <w:rFonts w:cstheme="minorHAnsi"/>
        </w:rPr>
        <w:t xml:space="preserve">Once an outbreak is underway, beetles often preferentially kill large individuals </w:t>
      </w:r>
      <w:r w:rsidR="000144C2">
        <w:rPr>
          <w:rFonts w:cstheme="minorHAnsi"/>
        </w:rPr>
        <w:fldChar w:fldCharType="begin" w:fldLock="1"/>
      </w:r>
      <w:r w:rsidR="00047C53">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rsidR="000144C2">
        <w:rPr>
          <w:rFonts w:cstheme="minorHAnsi"/>
        </w:rPr>
        <w:fldChar w:fldCharType="separate"/>
      </w:r>
      <w:r w:rsidR="000144C2" w:rsidRPr="000144C2">
        <w:rPr>
          <w:rFonts w:cstheme="minorHAnsi"/>
          <w:noProof/>
        </w:rPr>
        <w:t xml:space="preserve">(Stephenson </w:t>
      </w:r>
      <w:r w:rsidR="000144C2" w:rsidRPr="000144C2">
        <w:rPr>
          <w:rFonts w:cstheme="minorHAnsi"/>
          <w:i/>
          <w:noProof/>
        </w:rPr>
        <w:t>et al.</w:t>
      </w:r>
      <w:r w:rsidR="000144C2" w:rsidRPr="000144C2">
        <w:rPr>
          <w:rFonts w:cstheme="minorHAnsi"/>
          <w:noProof/>
        </w:rPr>
        <w:t>, 2019)</w:t>
      </w:r>
      <w:r w:rsidR="000144C2">
        <w:rPr>
          <w:rFonts w:cstheme="minorHAnsi"/>
        </w:rPr>
        <w:fldChar w:fldCharType="end"/>
      </w:r>
      <w:r w:rsidR="003E41BD">
        <w:rPr>
          <w:rFonts w:cstheme="minorHAnsi"/>
        </w:rPr>
        <w:t>, and localized beetle outbreaks could explain the low survival of the largest trees in our data. However, this finding is based on relatively few data points and should be interpreted with caution.</w:t>
      </w:r>
      <w:r w:rsidR="000144C2">
        <w:rPr>
          <w:rFonts w:cstheme="minorHAnsi"/>
        </w:rPr>
        <w:t xml:space="preserve"> </w:t>
      </w:r>
      <w:r w:rsidR="002C7D13" w:rsidRPr="00F30BF0">
        <w:rPr>
          <w:rFonts w:cstheme="minorHAnsi"/>
        </w:rPr>
        <w:t xml:space="preserve">This uncertainty regarding the </w:t>
      </w:r>
      <w:r w:rsidR="00047C53">
        <w:rPr>
          <w:rFonts w:cstheme="minorHAnsi"/>
        </w:rPr>
        <w:t xml:space="preserve">outlook for the largest individuals, which are an important ecological resource </w:t>
      </w:r>
      <w:r w:rsidR="00047C53">
        <w:rPr>
          <w:rFonts w:cstheme="minorHAnsi"/>
        </w:rPr>
        <w:fldChar w:fldCharType="begin" w:fldLock="1"/>
      </w:r>
      <w:r w:rsidR="00047C53">
        <w:rPr>
          <w:rFonts w:cstheme="minorHAnsi"/>
        </w:rPr>
        <w:instrText>ADDIN CSL_CITATION {"citationItems":[{"id":"ITEM-1","itemData":{"DOI":"10.1111/geb.12747","ISSN":"14668238","abstract":"Aim: To examine the contribution of large-diameter trees to biomass, stand structure, and species richness across forest biomes. Location: Global. Time period: Early 21st century. Major taxa studied: Woody plants. Methods: We examined the contribution of large trees to forest density, richness and biomass using a global network of 48 large (from 2 to 60 ha) forest plots representing 5,601,473 stems across 9,298 species and 210 plant families. This contribution was assessed using three metrics: the largest 1% of trees ≥ 1 cm diameter at breast height (DBH), all trees ≥ 60 cm DBH, and those rank-ordered largest trees that cumulatively comprise 50% of forest biomass. Results: Averaged across these 48 forest plots, the largest 1% of trees ≥ 1 cm DBH comprised 50% of aboveground live biomass, with hectare-scale standard deviation of 26%. Trees ≥ 60 cm DBH comprised 41% of aboveground live tree biomass. The size of the largest trees correlated with total forest biomass (r2 =.62, p &lt;.001). Large-diameter trees in high biomass forests represented far fewer species relative to overall forest richness (r2 =.45, p &lt;.001). Forests with more diverse large-diameter tree communities were comprised of smaller trees (r2 =.33, p &lt;.001). Lower large-diameter richness was associated with large-diameter trees being individuals of more common species (r2 =.17, p =.002). The concentration of biomass in the largest 1% of trees declined with increasing absolute latitude (r2 =.46, p &lt;.001), as did forest density (r2 =.31, p &lt;.001). Forest structural complexity increased with increasing absolute latitude (r2 =.26, p &lt;.001). Main conclusions: Because large-diameter trees constitute roughly half of the mature forest biomass worldwide, their dynamics and sensitivities to environmental change represent potentially large controls on global forest carbon cycling. We recommend managing forests for conservation of existing large-diameter trees or those that can soon reach large diameters as a simple way to conserve and potentially enhance ecosystem services.","author":[{"dropping-particle":"","family":"Lutz","given":"James A.","non-dropping-particle":"","parse-names":false,"suffix":""},{"dropping-particle":"","family":"Furniss","given":"Tucker J.","non-dropping-particle":"","parse-names":false,"suffix":""},{"dropping-particle":"","family":"Johnson","given":"Daniel J.","non-dropping-particle":"","parse-names":false,"suffix":""},{"dropping-particle":"","family":"Davies","given":"Stuart J.","non-dropping-particle":"","parse-names":false,"suffix":""},{"dropping-particle":"","family":"Allen","given":"David","non-dropping-particle":"","parse-names":false,"suffix":""},{"dropping-particle":"","family":"Alonso","given":"Alfonso","non-dropping-particle":"","parse-names":false,"suffix":""},{"dropping-particle":"","family":"Anderson-Teixeira","given":"Kristina J.","non-dropping-particle":"","parse-names":false,"suffix":""},{"dropping-particle":"","family":"Andrade","given":"Ana","non-dropping-particle":"","parse-names":false,"suffix":""},{"dropping-particle":"","family":"Baltzer","given":"Jennifer","non-dropping-particle":"","parse-names":false,"suffix":""},{"dropping-particle":"","family":"Becker","given":"Kendall M.L.","non-dropping-particle":"","parse-names":false,"suffix":""},{"dropping-particle":"","family":"Blomdahl","given":"Erika M.","non-dropping-particle":"","parse-names":false,"suffix":""},{"dropping-particle":"","family":"Bourg","given":"Norman A.","non-dropping-particle":"","parse-names":false,"suffix":""},{"dropping-particle":"","family":"Bunyavejchewin","given":"Sarayudh","non-dropping-particle":"","parse-names":false,"suffix":""},{"dropping-particle":"","family":"Burslem","given":"David F.R.P.","non-dropping-particle":"","parse-names":false,"suffix":""},{"dropping-particle":"","family":"Cansler","given":"C. Alina","non-dropping-particle":"","parse-names":false,"suffix":""},{"dropping-particle":"","family":"Cao","given":"Ke","non-dropping-particle":"","parse-names":false,"suffix":""},{"dropping-particle":"","family":"Cao","given":"Min","non-dropping-particle":"","parse-names":false,"suffix":""},{"dropping-particle":"","family":"Cárdenas","given":"Dairon","non-dropping-particle":"","parse-names":false,"suffix":""},{"dropping-particle":"","family":"Chang","given":"Li Wan","non-dropping-particle":"","parse-names":false,"suffix":""},{"dropping-particle":"","family":"Chao","given":"Kuo Jung","non-dropping-particle":"","parse-names":false,"suffix":""},{"dropping-particle":"","family":"Chao","given":"Wei Chun","non-dropping-particle":"","parse-names":false,"suffix":""},{"dropping-particle":"","family":"Chiang","given":"Jyh Min","non-dropping-particle":"","parse-names":false,"suffix":""},{"dropping-particle":"","family":"Chu","given":"Chengjin","non-dropping-particle":"","parse-names":false,"suffix":""},{"dropping-particle":"","family":"Chuyong","given":"George B.","non-dropping-particle":"","parse-names":false,"suffix":""},{"dropping-particle":"","family":"Clay","given":"Keith","non-dropping-particle":"","parse-names":false,"suffix":""},{"dropping-particle":"","family":"Condit","given":"Richard","non-dropping-particle":"","parse-names":false,"suffix":""},{"dropping-particle":"","family":"Cordell","given":"Susan","non-dropping-particle":"","parse-names":false,"suffix":""},{"dropping-particle":"","family":"Dattaraja","given":"Handanakere S.","non-dropping-particle":"","parse-names":false,"suffix":""},{"dropping-particle":"","family":"Duque","given":"Alvaro","non-dropping-particle":"","parse-names":false,"suffix":""},{"dropping-particle":"","family":"Ewango","given":"Corneille E.N.","non-dropping-particle":"","parse-names":false,"suffix":""},{"dropping-particle":"","family":"Fischer","given":"Gunter A.","non-dropping-particle":"","parse-names":false,"suffix":""},{"dropping-particle":"","family":"Fletcher","given":"Christine","non-dropping-particle":"","parse-names":false,"suffix":""},{"dropping-particle":"","family":"Freund","given":"James A.","non-dropping-particle":"","parse-names":false,"suffix":""},{"dropping-particle":"","family":"Giardina","given":"Christian","non-dropping-particle":"","parse-names":false,"suffix":""},{"dropping-particle":"","family":"Germain","given":"Sara J.","non-dropping-particle":"","parse-names":false,"suffix":""},{"dropping-particle":"","family":"Gilbert","given":"Gregory S.","non-dropping-particle":"","parse-names":false,"suffix":""},{"dropping-particle":"","family":"Hao","given":"Zhanqing","non-dropping-particle":"","parse-names":false,"suffix":""},{"dropping-particle":"","family":"Hart","given":"Terese","non-dropping-particle":"","parse-names":false,"suffix":""},{"dropping-particle":"","family":"Hau","given":"Billy C.H.","non-dropping-particle":"","parse-names":false,"suffix":""},{"dropping-particle":"","family":"He","given":"Fangliang","non-dropping-particle":"","parse-names":false,"suffix":""},{"dropping-particle":"","family":"Hector","given":"Andrew","non-dropping-particle":"","parse-names":false,"suffix":""},{"dropping-particle":"","family":"Howe","given":"Robert W.","non-dropping-particle":"","parse-names":false,"suffix":""},{"dropping-particle":"","family":"Hsieh","given":"Chang Fu","non-dropping-particle":"","parse-names":false,"suffix":""},{"dropping-particle":"","family":"Hu","given":"Yue Hua","non-dropping-particle":"","parse-names":false,"suffix":""},{"dropping-particle":"","family":"Hubbell","given":"Stephen P.","non-dropping-particle":"","parse-names":false,"suffix":""},{"dropping-particle":"","family":"Inman-Narahari","given":"Faith M.","non-dropping-particle":"","parse-names":false,"suffix":""},{"dropping-particle":"","family":"Itoh","given":"Akira","non-dropping-particle":"","parse-names":false,"suffix":""},{"dropping-particle":"","family":"Janík","given":"David","non-dropping-particle":"","parse-names":false,"suffix":""},{"dropping-particle":"","family":"Kassim","given":"Abdul Rahman","non-dropping-particle":"","parse-names":false,"suffix":""},{"dropping-particle":"","family":"Kenfack","given":"David","non-dropping-particle":"","parse-names":false,"suffix":""},{"dropping-particle":"","family":"Korte","given":"Lisa","non-dropping-particle":"","parse-names":false,"suffix":""},{"dropping-particle":"","family":"Král","given":"Kamil","non-dropping-particle":"","parse-names":false,"suffix":""},{"dropping-particle":"","family":"Larson","given":"Andrew J.","non-dropping-particle":"","parse-names":false,"suffix":""},{"dropping-particle":"De","family":"Li","given":"Yi","non-dropping-particle":"","parse-names":false,"suffix":""},{"dropping-particle":"","family":"Lin","given":"Yiching","non-dropping-particle":"","parse-names":false,"suffix":""},{"dropping-particle":"","family":"Liu","given":"Shirong","non-dropping-particle":"","parse-names":false,"suffix":""},{"dropping-particle":"","family":"Lum","given":"Shawn","non-dropping-particle":"","parse-names":false,"suffix":""},{"dropping-particle":"","family":"Ma","given":"Keping","non-dropping-particle":"","parse-names":false,"suffix":""},{"dropping-particle":"","family":"Makana","given":"Jean Remy","non-dropping-particle":"","parse-names":false,"suffix":""},{"dropping-particle":"","family":"Malhi","given":"Yadvinder","non-dropping-particle":"","parse-names":false,"suffix":""},{"dropping-particle":"","family":"McMahon","given":"Sean M.","non-dropping-particle":"","parse-names":false,"suffix":""},{"dropping-particle":"","family":"McShea","given":"William J.","non-dropping-particle":"","parse-names":false,"suffix":""},{"dropping-particle":"","family":"Memiaghe","given":"Hervé R.","non-dropping-particle":"","parse-names":false,"suffix":""},{"dropping-particle":"","family":"Mi","given":"Xiangcheng","non-dropping-particle":"","parse-names":false,"suffix":""},{"dropping-particle":"","family":"Morecroft","given":"Michael","non-dropping-particle":"","parse-names":false,"suffix":""},{"dropping-particle":"","family":"Musili","given":"Paul M.","non-dropping-particle":"","parse-names":false,"suffix":""},{"dropping-particle":"","family":"Myers","given":"Jonathan A.","non-dropping-particle":"","parse-names":false,"suffix":""},{"dropping-particle":"","family":"Novotny","given":"Vojtech","non-dropping-particle":"","parse-names":false,"suffix":""},{"dropping-particle":"","family":"Oliveira","given":"Alexandre","non-dropping-particle":"de","parse-names":false,"suffix":""},{"dropping-particle":"","family":"Ong","given":"Perry","non-dropping-particle":"","parse-names":false,"suffix":""},{"dropping-particle":"","family":"Orwig","given":"David A.","non-dropping-particle":"","parse-names":false,"suffix":""},{"dropping-particle":"","family":"Ostertag","given":"Rebecca","non-dropping-particle":"","parse-names":false,"suffix":""},{"dropping-particle":"","family":"Parker","given":"Geoffrey G.","non-dropping-particle":"","parse-names":false,"suffix":""},{"dropping-particle":"","family":"Patankar","given":"Rajit","non-dropping-particle":"","parse-names":false,"suffix":""},{"dropping-particle":"","family":"Phillips","given":"Richard P.","non-dropping-particle":"","parse-names":false,"suffix":""},{"dropping-particle":"","family":"Reynolds","given":"Glen","non-dropping-particle":"","parse-names":false,"suffix":""},{"dropping-particle":"","family":"Sack","given":"Lawren","non-dropping-particle":"","parse-names":false,"suffix":""},{"dropping-particle":"","family":"Song","given":"Guo Zhang M.","non-dropping-particle":"","parse-names":false,"suffix":""},{"dropping-particle":"","family":"Su","given":"Sheng Hsin","non-dropping-particle":"","parse-names":false,"suffix":""},{"dropping-particle":"","family":"Sukumar","given":"Raman","non-dropping-particle":"","parse-names":false,"suffix":""},{"dropping-particle":"","family":"Sun","given":"I. Fang","non-dropping-particle":"","parse-names":false,"suffix":""},{"dropping-particle":"","family":"Suresh","given":"Hebbalalu S.","non-dropping-particle":"","parse-names":false,"suffix":""},{"dropping-particle":"","family":"Swanson","given":"Mark E.","non-dropping-particle":"","parse-names":false,"suffix":""},{"dropping-particle":"","family":"Tan","given":"Sylvester","non-dropping-particle":"","parse-names":false,"suffix":""},{"dropping-particle":"","family":"Thomas","given":"Duncan W.","non-dropping-particle":"","parse-names":false,"suffix":""},{"dropping-particle":"","family":"Thompson","given":"Jill","non-dropping-particle":"","parse-names":false,"suffix":""},{"dropping-particle":"","family":"Uriarte","given":"Maria","non-dropping-particle":"","parse-names":false,"suffix":""},{"dropping-particle":"","family":"Valencia","given":"Renato","non-dropping-particle":"","parse-names":false,"suffix":""},{"dropping-particle":"","family":"Vicentini","given":"Alberto","non-dropping-particle":"","parse-names":false,"suffix":""},{"dropping-particle":"","family":"Vrška","given":"Tomáš","non-dropping-particle":"","parse-names":false,"suffix":""},{"dropping-particle":"","family":"Wang","given":"Xugao","non-dropping-particle":"","parse-names":false,"suffix":""},{"dropping-particle":"","family":"Weiblen","given":"George D.","non-dropping-particle":"","parse-names":false,"suffix":""},{"dropping-particle":"","family":"Wolf","given":"Amy","non-dropping-particle":"","parse-names":false,"suffix":""},{"dropping-particle":"","family":"Wu","given":"Shu Hui","non-dropping-particle":"","parse-names":false,"suffix":""},{"dropping-particle":"","family":"Xu","given":"Han","non-dropping-particle":"","parse-names":false,"suffix":""},{"dropping-particle":"","family":"Yamakura","given":"Takuo","non-dropping-particle":"","parse-names":false,"suffix":""},{"dropping-particle":"","family":"Yap","given":"Sandra","non-dropping-particle":"","parse-names":false,"suffix":""},{"dropping-particle":"","family":"Zimmerman","given":"Jess K.","non-dropping-particle":"","parse-names":false,"suffix":""}],"container-title":"Global Ecology and Biogeography","id":"ITEM-1","issue":"7","issued":{"date-parts":[["2018"]]},"page":"849-864","title":"Global importance of large-diameter trees","type":"article-journal","volume":"27"},"uris":["http://www.mendeley.com/documents/?uuid=4cce4722-d96c-497f-987b-7ff4cf9cc13a"]}],"mendeley":{"formattedCitation":"(Lutz &lt;i&gt;et al.&lt;/i&gt;, 2018)","plainTextFormattedCitation":"(Lutz et al., 2018)","previouslyFormattedCitation":"(Lutz &lt;i&gt;et al.&lt;/i&gt;, 2018)"},"properties":{"noteIndex":0},"schema":"https://github.com/citation-style-language/schema/raw/master/csl-citation.json"}</w:instrText>
      </w:r>
      <w:r w:rsidR="00047C53">
        <w:rPr>
          <w:rFonts w:cstheme="minorHAnsi"/>
        </w:rPr>
        <w:fldChar w:fldCharType="separate"/>
      </w:r>
      <w:r w:rsidR="00047C53" w:rsidRPr="00047C53">
        <w:rPr>
          <w:rFonts w:cstheme="minorHAnsi"/>
          <w:noProof/>
        </w:rPr>
        <w:t xml:space="preserve">(Lutz </w:t>
      </w:r>
      <w:r w:rsidR="00047C53" w:rsidRPr="00047C53">
        <w:rPr>
          <w:rFonts w:cstheme="minorHAnsi"/>
          <w:i/>
          <w:noProof/>
        </w:rPr>
        <w:t>et al.</w:t>
      </w:r>
      <w:r w:rsidR="00047C53" w:rsidRPr="00047C53">
        <w:rPr>
          <w:rFonts w:cstheme="minorHAnsi"/>
          <w:noProof/>
        </w:rPr>
        <w:t>, 2018)</w:t>
      </w:r>
      <w:r w:rsidR="00047C53">
        <w:rPr>
          <w:rFonts w:cstheme="minorHAnsi"/>
        </w:rPr>
        <w:fldChar w:fldCharType="end"/>
      </w:r>
      <w:r w:rsidR="00047C53">
        <w:rPr>
          <w:rFonts w:cstheme="minorHAnsi"/>
        </w:rPr>
        <w:t>, highlights a need</w:t>
      </w:r>
      <w:r w:rsidR="002C7D13" w:rsidRPr="00F30BF0">
        <w:rPr>
          <w:rFonts w:cstheme="minorHAnsi"/>
        </w:rPr>
        <w:t xml:space="preserve"> for fu</w:t>
      </w:r>
      <w:r w:rsidR="00047C53">
        <w:rPr>
          <w:rFonts w:cstheme="minorHAnsi"/>
        </w:rPr>
        <w:t>rther</w:t>
      </w:r>
      <w:r w:rsidR="002C7D13" w:rsidRPr="00F30BF0">
        <w:rPr>
          <w:rFonts w:cstheme="minorHAnsi"/>
        </w:rPr>
        <w:t xml:space="preserve"> research. </w:t>
      </w:r>
    </w:p>
    <w:p w14:paraId="124BCF37" w14:textId="34E563E6" w:rsidR="009B0C1C" w:rsidRPr="00F30BF0" w:rsidRDefault="009B0C1C" w:rsidP="003D3B95">
      <w:pPr>
        <w:spacing w:line="360" w:lineRule="auto"/>
        <w:ind w:firstLine="720"/>
        <w:rPr>
          <w:rFonts w:cstheme="minorHAnsi"/>
        </w:rPr>
      </w:pPr>
      <w:r w:rsidRPr="00F30BF0">
        <w:rPr>
          <w:rFonts w:cstheme="minorHAnsi"/>
        </w:rPr>
        <w:t>An important limitation of this study is that we did not test for interaction between stressors in shaping vital rates of sugar pine. The literature suggests that</w:t>
      </w:r>
      <w:r w:rsidR="00BF1ABD" w:rsidRPr="00F30BF0">
        <w:rPr>
          <w:rFonts w:cstheme="minorHAnsi"/>
        </w:rPr>
        <w:t xml:space="preserve"> a variety</w:t>
      </w:r>
      <w:r w:rsidRPr="00F30BF0">
        <w:rPr>
          <w:rFonts w:cstheme="minorHAnsi"/>
        </w:rPr>
        <w:t xml:space="preserve"> such interactions may be important</w:t>
      </w:r>
      <w:r w:rsidR="00BF1ABD" w:rsidRPr="00F30BF0">
        <w:rPr>
          <w:rFonts w:cstheme="minorHAnsi"/>
        </w:rPr>
        <w:t xml:space="preserve">. For example, moisture stress increases the likelihood of regeneration failure, which may be a particularly acute problem in postfire landscapes where seed sources and shade trees may be limited </w:t>
      </w:r>
      <w:r w:rsidR="0071532B">
        <w:rPr>
          <w:rFonts w:cstheme="minorHAnsi"/>
        </w:rPr>
        <w:fldChar w:fldCharType="begin" w:fldLock="1"/>
      </w:r>
      <w:r w:rsidR="002C19B3">
        <w:rPr>
          <w:rFonts w:cstheme="minorHAnsi"/>
        </w:rPr>
        <w:instrText>ADDIN CSL_CITATION {"citationItems":[{"id":"ITEM-1","itemData":{"DOI":"10.1073/pnas.1815107116","ISSN":"10916490","PMID":"30858310","abstract":"Climate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America","id":"ITEM-1","issue":"13","issued":{"date-parts":[["2019"]]},"page":"6193-6198","title":"Wildfires and climate change push low-elevation forests across a critical climate threshold for tree regeneration","type":"article-journal","volume":"116"},"uris":["http://www.mendeley.com/documents/?uuid=371a7944-1853-43c0-bbe0-6cfe794db39c"]},{"id":"ITEM-2","itemData":{"DOI":"10.1002/eap.2280","ISSN":"19395582","PMID":"33331069","abstract":"Large, severe fires are becoming more frequent in many forest types across the western United States and have resulted in tree mortality across tens of thousands of hectares. Conifer regeneration in these areas is limited because seeds must travel long distances to reach the interior of large burned patches and establishment is jeopardized by increasingly hot and dry conditions. To better inform postfire management in low elevation forests of California, USA, we collected 5-yr postfire recovery data from 1,234 study plots in 19 wildfires that burned from 2004–2012 and 18 yrs of seed production data from 216 seed fall traps (1999–2017). We used these data in conjunction with spatially extensive climate, topography, forest composition, and burn severity surfaces to construct taxon-specific, spatially explicit models of conifer regeneration that incorporate climate conditions and seed availability during postfire recovery windows. We found that after accounting for other predictors both postfire and historical precipitation were strong predictors of regeneration, suggesting that both direct effects of postfire moisture conditions and biological inertia from historical climate may play a role in regeneration. Alternatively, postfire regeneration may simply be driven by postfire climate and apparent relationships with historical climate could be spurious. The estimated sensitivity of regeneration to postfire seed availability was strongest in firs and all conifers combined and weaker in pines. Seed production exhibited high temporal variability with seed production varying by over two orders of magnitude among years. Our models indicate that during droughts postfire conifer regeneration declines most substantially in low-to-moderate elevation forests. These findings enhance our mechanistic understanding of forecasted and historically documented shifts in the distribution of trees.","author":[{"dropping-particle":"","family":"Stewart","given":"Joseph A.E.","non-dropping-particle":"","parse-names":false,"suffix":""},{"dropping-particle":"","family":"Mantgem","given":"Phillip J.","non-dropping-particle":"van","parse-names":false,"suffix":""},{"dropping-particle":"","family":"Young","given":"Derek J.N.","non-dropping-particle":"","parse-names":false,"suffix":""},{"dropping-particle":"","family":"Shive","given":"Kristen L.","non-dropping-particle":"","parse-names":false,"suffix":""},{"dropping-particle":"","family":"Preisler","given":"Haiganoush K.","non-dropping-particle":"","parse-names":false,"suffix":""},{"dropping-particle":"","family":"Das","given":"Adrian J.","non-dropping-particle":"","parse-names":false,"suffix":""},{"dropping-particle":"","family":"Stephenson","given":"Nathan L.","non-dropping-particle":"","parse-names":false,"suffix":""},{"dropping-particle":"","family":"Keeley","given":"Jon E.","non-dropping-particle":"","parse-names":false,"suffix":""},{"dropping-particle":"","family":"Safford","given":"Hugh D.","non-dropping-particle":"","parse-names":false,"suffix":""},{"dropping-particle":"","family":"Wright","given":"Micah C.","non-dropping-particle":"","parse-names":false,"suffix":""},{"dropping-particle":"","family":"Welch","given":"Kevin R.","non-dropping-particle":"","parse-names":false,"suffix":""},{"dropping-particle":"","family":"Thorne","given":"James H.","non-dropping-particle":"","parse-names":false,"suffix":""}],"container-title":"Ecological Applications","id":"ITEM-2","issue":"3","issued":{"date-parts":[["2021"]]},"page":"1-14","title":"Effects of postfire climate and seed availability on postfire conifer regeneration","type":"article-journal","volume":"31"},"uris":["http://www.mendeley.com/documents/?uuid=76e0b1c0-bae5-446e-90ce-1c9503882636"]}],"mendeley":{"formattedCitation":"(Davis &lt;i&gt;et al.&lt;/i&gt;, 2019; Stewart &lt;i&gt;et al.&lt;/i&gt;, 2021)","plainTextFormattedCitation":"(Davis et al., 2019; Stewart et al., 2021)","previouslyFormattedCitation":"(Davis &lt;i&gt;et al.&lt;/i&gt;, 2019; Stewart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(Davis </w:t>
      </w:r>
      <w:r w:rsidR="00EB4A84" w:rsidRPr="00EB4A84">
        <w:rPr>
          <w:rFonts w:cstheme="minorHAnsi"/>
          <w:i/>
          <w:noProof/>
        </w:rPr>
        <w:t>et al.</w:t>
      </w:r>
      <w:r w:rsidR="00EB4A84" w:rsidRPr="00EB4A84">
        <w:rPr>
          <w:rFonts w:cstheme="minorHAnsi"/>
          <w:noProof/>
        </w:rPr>
        <w:t xml:space="preserve">, 2019; Stewart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BF1ABD" w:rsidRPr="00F30BF0">
        <w:rPr>
          <w:rFonts w:cstheme="minorHAnsi"/>
        </w:rPr>
        <w:t xml:space="preserve">. A warmer and dryer climate may provide some relief from WPBR for sugar pine, as the disease’s climatic envelope shifts upslope away from existing populations of sugar pine </w:t>
      </w:r>
      <w:r w:rsidR="0071532B">
        <w:rPr>
          <w:rFonts w:cstheme="minorHAnsi"/>
        </w:rPr>
        <w:fldChar w:fldCharType="begin" w:fldLock="1"/>
      </w:r>
      <w:r w:rsidR="002C19B3">
        <w:rPr>
          <w:rFonts w:cstheme="minorHAnsi"/>
        </w:rPr>
        <w:instrText>ADDIN CSL_CITATION {"citationItems":[{"id":"ITEM-1","itemData":{"DOI":"10.1111/j.1439-0329.2011.00732.x","ISSN":"14374781","abstract":"In 2004-2006, a California-wide survey was conducted to evaluate the incidence and distribution of Cronartium ribicola, cause of white pine blister rust (WPBR), in the high-elevation white pine forests. WPBR occurrence varied considerably within and between regions, and little to no disease was found in the Basin and Range, eastern Sierra Nevada and Transverse and Peninsular mountain ranges. Field surveys revealed no evidence of rust on Great Basin bristlecone, limber or the southern subspecies of foxtail pine. Rust incidence for western white pine was highest in the North Coast region (42% of trees surveyed), followed by the Klamath (18%) and northern Sierra Nevada (14%). For whitebark pine, WPBR incidence averaged 24% in the northern Sierra Nevada; this was considerably greater than other regions where whitebark pine was found infected. Latitudinal trends in WPBR incidence (i.e. greater in the north) may correspond with earlier introductions of C. ribicola into these regions, reflecting the southward spread of the pathogen since its introduction from the north in the early 1900s and environmental conditions favourable for infection. Distance from inoculum sources and potentially host phenology may also be important factors influencing the distribution of C. ribicola. © 2011 Blackwell Verlag GmbH.","author":[{"dropping-particle":"","family":"Maloney","given":"P. E.","non-dropping-particle":"","parse-names":false,"suffix":""}],"container-title":"Forest Pathology","id":"ITEM-1","issue":"4","issued":{"date-parts":[["2011"]]},"page":"308-316","title":"Incidence and distribution of white pine blister rust in the high-elevation forests of California","type":"article-journal","volume":"41"},"uris":["http://www.mendeley.com/documents/?uuid=4592bd57-75a0-43be-a1f5-6088cf4dc878"]},{"id":"ITEM-2","itemData":{"DOI":"10.1038/s41467-021-25182-6","ISSN":"20411723","abstract":"Range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change.","author":[{"dropping-particle":"","family":"Dudney","given":"Joan","non-dropping-particle":"","parse-names":false,"suffix":""},{"dropping-particle":"","family":"Willing","given":"Claire E.","non-dropping-particle":"","parse-names":false,"suffix":""},{"dropping-particle":"","family":"Das","given":"Adrian J.","non-dropping-particle":"","parse-names":false,"suffix":""},{"dropping-particle":"","family":"Latimer","given":"Andrew M.","non-dropping-particle":"","parse-names":false,"suffix":""},{"dropping-particle":"","family":"Nesmith","given":"Jonathan C. B.","non-dropping-particle":"","parse-names":false,"suffix":""},{"dropping-particle":"","family":"Battles","given":"John J.","non-dropping-particle":"","parse-names":false,"suffix":""}],"container-title":"Nature Communications","id":"ITEM-2","issue":"1","issued":{"date-parts":[["2021"]]},"publisher":"Springer US","title":"Nonlinear shifts in infectious rust disease due to climate change","type":"article-journal","volume":"12"},"uris":["http://www.mendeley.com/documents/?uuid=10496e7a-ba49-4a8b-bdc2-011e99900f4a"]}],"mendeley":{"formattedCitation":"(Maloney, 2011; Dudney &lt;i&gt;et al.&lt;/i&gt;, 2021)","plainTextFormattedCitation":"(Maloney, 2011; Dudney et al., 2021)","previouslyFormattedCitation":"(Maloney, 2011; Dudney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(Maloney, 2011; Dudney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BF1ABD" w:rsidRPr="00F30BF0">
        <w:rPr>
          <w:rFonts w:cstheme="minorHAnsi"/>
        </w:rPr>
        <w:t xml:space="preserve">. </w:t>
      </w:r>
      <w:commentRangeStart w:id="68"/>
      <w:r w:rsidR="00BF1ABD" w:rsidRPr="00F30BF0">
        <w:rPr>
          <w:rFonts w:cstheme="minorHAnsi"/>
        </w:rPr>
        <w:t>A relationship between fire exclusion, stand density, and WPBR infection has been suggested</w:t>
      </w:r>
      <w:r w:rsidR="00832E90">
        <w:rPr>
          <w:rFonts w:cstheme="minorHAnsi"/>
        </w:rPr>
        <w:t xml:space="preserve"> </w:t>
      </w:r>
      <w:r w:rsidR="00047C53">
        <w:rPr>
          <w:rFonts w:cstheme="minorHAnsi"/>
        </w:rPr>
        <w:fldChar w:fldCharType="begin" w:fldLock="1"/>
      </w:r>
      <w:r w:rsidR="002F38CC">
        <w:rPr>
          <w:rFonts w:cstheme="minorHAnsi"/>
        </w:rPr>
        <w:instrText>ADDIN CSL_CITATION {"citationItems":[{"id":"ITEM-1","itemData":{"DOI":"10.1002/ecs2.3263","author":[{"dropping-particle":"","family":"Dudney","given":"Joan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J.","non-dropping-particle":"","parse-names":false,"suffix":""}],"container-title":"Ecosphere","id":"ITEM-1","issue":"October","issued":{"date-parts":[["2020"]]},"page":"e03263","title":"Compounding effects of white pine blister rust, mountain pine beetle, and fire threaten four white pine species","type":"article-journal","volume":"11"},"uris":["http://www.mendeley.com/documents/?uuid=54eba3d7-5ed4-4e44-a51e-b1150e7c2215"]}],"mendeley":{"formattedCitation":"(Dudney &lt;i&gt;et al.&lt;/i&gt;, 2020)","plainTextFormattedCitation":"(Dudney et al., 2020)","previouslyFormattedCitation":"(Dudney &lt;i&gt;et al.&lt;/i&gt;, 2020)"},"properties":{"noteIndex":0},"schema":"https://github.com/citation-style-language/schema/raw/master/csl-citation.json"}</w:instrText>
      </w:r>
      <w:r w:rsidR="00047C53">
        <w:rPr>
          <w:rFonts w:cstheme="minorHAnsi"/>
        </w:rPr>
        <w:fldChar w:fldCharType="separate"/>
      </w:r>
      <w:r w:rsidR="00047C53" w:rsidRPr="00047C53">
        <w:rPr>
          <w:rFonts w:cstheme="minorHAnsi"/>
          <w:noProof/>
        </w:rPr>
        <w:t xml:space="preserve">(Dudney </w:t>
      </w:r>
      <w:r w:rsidR="00047C53" w:rsidRPr="00047C53">
        <w:rPr>
          <w:rFonts w:cstheme="minorHAnsi"/>
          <w:i/>
          <w:noProof/>
        </w:rPr>
        <w:t>et al.</w:t>
      </w:r>
      <w:r w:rsidR="00047C53" w:rsidRPr="00047C53">
        <w:rPr>
          <w:rFonts w:cstheme="minorHAnsi"/>
          <w:noProof/>
        </w:rPr>
        <w:t>, 2020)</w:t>
      </w:r>
      <w:r w:rsidR="00047C53">
        <w:rPr>
          <w:rFonts w:cstheme="minorHAnsi"/>
        </w:rPr>
        <w:fldChar w:fldCharType="end"/>
      </w:r>
      <w:r w:rsidR="00BF1ABD" w:rsidRPr="00F30BF0">
        <w:rPr>
          <w:rFonts w:cstheme="minorHAnsi"/>
        </w:rPr>
        <w:t xml:space="preserve">, but evidence is mixed with some studies finding that conspecific basal area was an important driver of sugar pine mortality </w:t>
      </w:r>
      <w:r w:rsidR="0071532B">
        <w:rPr>
          <w:rFonts w:cstheme="minorHAnsi"/>
        </w:rPr>
        <w:fldChar w:fldCharType="begin" w:fldLock="1"/>
      </w:r>
      <w:r w:rsidR="002C19B3">
        <w:rPr>
          <w:rFonts w:cstheme="minorHAnsi"/>
        </w:rPr>
        <w:instrText>ADDIN CSL_CITATION {"citationItems":[{"id":"ITEM-1","itemData":{"DOI":"10.1890/07-0524.1","ISSN":"00129658","PMID":"18589538","abstract":"For many species of long-lived organisms, such as trees, survival appears to be the most critical vital rate affecting population persistence. However, methods commonly used to quantify tree death, such as relating tree mortality risk solely to diameter growth, almost certainly do not account for important spatial processes. Our goal in this study was to detect and, if present, to quantify the relevance of such processes. For this purpose, we examined purely spatial aspects of mortality for four species, Abies concolor, Abies magnifica, Calocedrus decurrens, and Pinus lambertiana, in an old-growth conifer forest in the Sierra Nevada of California, USA. The analysis was performed using data from nine fully mapped long-term monitoring plots. In three cases, the results unequivocally supported the inclusion of spatial information in models used to predict mortality. For Abies concolor, our results suggested that growth rate may not always adequately capture increased mortality risk due to competition. We also found evidence of a facilitative effect for this species, with mortality risk decreasing with proximity to conspecific neighbors. For Pinus lambertiana, mortality risk increased with density of conspecific neighbors, in keeping with a mechanism of increased pathogen or insect pressure (i.e., a Janzen-Connell type effect). Finally, we found that models estimating risk of being crushed were strongly improved by the inclusion of a simple index of spatial proximity. Not only did spatial indices improve models, those improvements were relevant for mortality prediction. For P. lambertiana, spatial factors were important for estimation of mortality risk regardless of growth rate. For A. concolor, although most of the population fell within spatial conditions in which mortality risk was well described by growth, trees that died occurred outside those conditions in a disproportionate fashion. Furthermore, as stands of A. concolor become increasingly dense, such spatial factors are likely to become increasingly important. In general, models that fail to account for spatial pattern are at risk of failure as conditions change. © 2008 by the Ecological Society of America.","author":[{"dropping-particle":"","family":"Das","given":"Adrian","non-dropping-particle":"","parse-names":false,"suffix":""},{"dropping-particle":"","family":"Battles","given":"John","non-dropping-particle":"","parse-names":false,"suffix":""},{"dropping-particle":"","family":"Mantgem","given":"Phillip J.","non-dropping-particle":"Van","parse-names":false,"suffix":""},{"dropping-particle":"","family":"Stephenson","given":"Nathan L.","non-dropping-particle":"","parse-names":false,"suffix":""}],"container-title":"Ecology","id":"ITEM-1","issue":"6","issued":{"date-parts":[["2008"]]},"page":"1744-1756","title":"Spatial elements of mortality risk in old-growth forests","type":"article-journal","volume":"89"},"uris":["http://www.mendeley.com/documents/?uuid=883aefb5-9323-4312-8f8f-ea507ebf99cb"]}],"mendeley":{"formattedCitation":"(Das &lt;i&gt;et al.&lt;/i&gt;, 2008)","plainTextFormattedCitation":"(Das et al., 2008)","previouslyFormattedCitation":"(Das &lt;i&gt;et al.&lt;/i&gt;, 2008)"},"properties":{"noteIndex":0},"schema":"https://github.com/citation-style-language/schema/raw/master/csl-citation.json"}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(Das </w:t>
      </w:r>
      <w:r w:rsidR="00EB4A84" w:rsidRPr="00EB4A84">
        <w:rPr>
          <w:rFonts w:cstheme="minorHAnsi"/>
          <w:i/>
          <w:noProof/>
        </w:rPr>
        <w:t>et al.</w:t>
      </w:r>
      <w:r w:rsidR="00EB4A84" w:rsidRPr="00EB4A84">
        <w:rPr>
          <w:rFonts w:cstheme="minorHAnsi"/>
          <w:noProof/>
        </w:rPr>
        <w:t>, 2008)</w:t>
      </w:r>
      <w:r w:rsidR="0071532B">
        <w:rPr>
          <w:rFonts w:cstheme="minorHAnsi"/>
        </w:rPr>
        <w:fldChar w:fldCharType="end"/>
      </w:r>
      <w:r w:rsidR="00BF1ABD" w:rsidRPr="00F30BF0">
        <w:rPr>
          <w:rFonts w:cstheme="minorHAnsi"/>
        </w:rPr>
        <w:t xml:space="preserve"> but others </w:t>
      </w:r>
      <w:r w:rsidR="006838F2" w:rsidRPr="00F30BF0">
        <w:rPr>
          <w:rFonts w:cstheme="minorHAnsi"/>
        </w:rPr>
        <w:t xml:space="preserve">failing to find evidence linking fire exclusion to elevated rates of WPBR infection </w:t>
      </w:r>
      <w:r w:rsidR="00E813D6">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species","type":"article-journal","volume":"11"},"uris":["http://www.mendeley.com/documents/?uuid=54eba3d7-5ed4-4e44-a51e-b1150e7c2215"]}],"mendeley":{"formattedCitation":"(Van Mantgem &lt;i&gt;et al.&lt;/i&gt;, 2004; Dudney &lt;i&gt;et al.&lt;/i&gt;, 2020)","plainTextFormattedCitation":"(Van Mantgem et al., 2004; Dudney et al., 2020)","previouslyFormattedCitation":"(Van Mantgem &lt;i&gt;et al.&lt;/i&gt;, 2004; Dudney &lt;i&gt;et al.&lt;/i&gt;, 2020)"},"properties":{"noteIndex":0},"schema":"https://github.com/citation-style-language/schema/raw/master/csl-citation.json"}</w:instrText>
      </w:r>
      <w:r w:rsidR="00E813D6">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Dudney </w:t>
      </w:r>
      <w:r w:rsidR="00EB4A84" w:rsidRPr="00EB4A84">
        <w:rPr>
          <w:rFonts w:cstheme="minorHAnsi"/>
          <w:i/>
          <w:noProof/>
        </w:rPr>
        <w:t>et al.</w:t>
      </w:r>
      <w:r w:rsidR="00EB4A84" w:rsidRPr="00EB4A84">
        <w:rPr>
          <w:rFonts w:cstheme="minorHAnsi"/>
          <w:noProof/>
        </w:rPr>
        <w:t>, 2020)</w:t>
      </w:r>
      <w:r w:rsidR="00E813D6">
        <w:rPr>
          <w:rFonts w:cstheme="minorHAnsi"/>
        </w:rPr>
        <w:fldChar w:fldCharType="end"/>
      </w:r>
      <w:r w:rsidR="006838F2" w:rsidRPr="00F30BF0">
        <w:rPr>
          <w:rFonts w:cstheme="minorHAnsi"/>
        </w:rPr>
        <w:t xml:space="preserve">. </w:t>
      </w:r>
      <w:r w:rsidR="00D70E5C" w:rsidRPr="00F30BF0">
        <w:rPr>
          <w:rFonts w:cstheme="minorHAnsi"/>
        </w:rPr>
        <w:t xml:space="preserve">Stress caused by drought and/or competition may decrease trees’ ability to resist wildfire </w:t>
      </w:r>
      <w:r w:rsidR="00E813D6">
        <w:rPr>
          <w:rFonts w:cstheme="minorHAnsi"/>
        </w:rPr>
        <w:fldChar w:fldCharType="begin" w:fldLock="1"/>
      </w:r>
      <w:r w:rsidR="00AE693D">
        <w:rPr>
          <w:rFonts w:cstheme="minorHAnsi"/>
        </w:rPr>
        <w:instrText>ADDIN CSL_CITATION {"citationItems":[{"id":"ITEM-1","itemData":{"DOI":"10.1139/cjfr-2014-0449","ISSN":"12086037","abstract":"Tree mortality is a vital component of forest management in the context of prescribed fires: however, few studies have examined the effect of prefire tree health on postfire mortality. This is especially relevant for sugar pine (Pinus lambertiana Douglas), a species experiencing population declines due to a suite of anthropogenic factors. Using data from an old-growth mixed-conifer forest in Sequoia National Park, we evaluated the effects of fire, tree size, prefire radial growth, and crown condition on postfire mortality. Models based only on tree size and measures of fire damage were compared with models that included tree size, fire damage, and prefire tree health (e.g., measures of prefire tree radial growth or crown condition). Immediately following the fire, the inclusion of different metrics of prefire tree health produced variable improvements over the models that included only tree size and measures of fire damage, as models that included measures of crown condition performed better than fire-only models, but models that included measures of prefire radial growth did not perform better. However, 5 years following the fire, sugar pine mortality was best predicted by models that included measures of both fire damage and prefire tree health, specifically, diameter at breast height (DBH, 1.37 m), crown scorch, 30-year mean growth, and the number of sharp declines in growth over a 30-year period. This suggests that factors that influence prefire tree health (e.g., drought, competition, pathogens, etc.) may partially determine postfire mortality, especially when accounting for delayed mortality following fire.","author":[{"dropping-particle":"","family":"Nesmith","given":"Jonathan C.B.","non-dropping-particle":"","parse-names":false,"suffix":""},{"dropping-particle":"","family":"Das","given":"Adrian J.","non-dropping-particle":"","parse-names":false,"suffix":""},{"dropping-particle":"","family":"O’Hara","given":"Kevin L.","non-dropping-particle":"","parse-names":false,"suffix":""},{"dropping-particle":"","family":"Mantgem","given":"Phillip J.","non-dropping-particle":"van","parse-names":false,"suffix":""}],"container-title":"Canadian Journal of Forest Research","id":"ITEM-1","issue":"7","issued":{"date-parts":[["2015"]]},"page":"910-919","title":"The influence of prefire tree growth and crown condition on postfire mortality of sugar pine following prescribed fire in Sequoia National Park","type":"article-journal","volume":"45"},"uris":["http://www.mendeley.com/documents/?uuid=cd8ba33c-48ac-44de-90c9-962cbecf6d95"]},{"id":"ITEM-2","itemData":{"DOI":"10.1002/eap.1778","ISSN":"19395582","PMID":"30151923","abstract":"Tree mortality is an important outcome of many forest fires. Extensive tree injuries from fire may lead directly to mortality, but environmental and biological stressors may also contribute to tree death. However, there is little evidence showing how the combined effects of two common stressors, drought and competition, influence post-fire mortality. Geographically broad observations of three common western coniferous trees subjected to prescribed fire showed the likelihood of post-fire mortality was related to intermediate-term (10 yr) pre-fire average radial growth, an important component of tree vigor. Path analysis showed that indices of competition and drought stress prior to fire can be described in terms of joint effects on growth, indirectly affecting post-fire mortality. Our results suggest that the conditions that govern the relationship between growth and mortality in unburned stands may also apply to post-fire environments. Thus, biotic and abiotic changes that affect growth negatively (e.g., drought stress) or positively (e.g., growth releases following thinning treatments) prior to fire may influence expressed fire severity, independent of fire intensity (e.g., heat flux, residence time). These relationships suggest that tree mortality may increase under stressful climatic or stand conditions even if fire behavior remains constant.","author":[{"dropping-particle":"","family":"Mantgem","given":"Phillip J.","non-dropping-particle":"van","parse-names":false,"suffix":""},{"dropping-particle":"","family":"Falk","given":"Donald A.","non-dropping-particle":"","parse-names":false,"suffix":""},{"dropping-particle":"","family":"Williams","given":"Emma C.","non-dropping-particle":"","parse-names":false,"suffix":""},{"dropping-particle":"","family":"Das","given":"Adrian J.","non-dropping-particle":"","parse-names":false,"suffix":""},{"dropping-particle":"","family":"Stephenson","given":"Nathan L.","non-dropping-particle":"","parse-names":false,"suffix":""}],"container-title":"Ecological Applications","id":"ITEM-2","issue":"7","issued":{"date-parts":[["2018"]]},"page":"1730-1739","title":"Pre-fire drought and competition mediate post-fire conifer mortality in western U.S. National Parks","type":"article-journal","volume":"28"},"uris":["http://www.mendeley.com/documents/?uuid=58cc14e0-6ea7-4354-b0b5-262696f8bc85"]},{"id":"ITEM-3","itemData":{"DOI":"10.1071/WF19020","ISSN":"10498001","abstract":"Fire severity in forests is often defined in terms of post-fire tree mortality, yet the influences on tree mortality following fire are not fully understood. Pre-fire growth may serve as an index of vigour, indicating resource availability and the capacity to recover from injury and defend against pests. For trees that are not killed immediately by severe fire injury, tree growth patterns could therefore partially predict post-fire mortality probabilities. Here, we consider the influence of multiple growth patterns on post-fire tree mortality for three common conifer species in the western USA. Using observations from 1 to 9 years following prescribed fires in USA national parks across five western states, we show that post-fire conifer mortality was related not only to fire-caused injuries (crown scorch and bole char), but also to average growth rate and long-term (25 years) growth patterns (counts of abrupt growth declines and possibly growth trends). Our results suggest that pre-fire conditions affecting tree vigour may influence post-fire tree mortality probabilities. Environmental conditions (such as rising temperatures and moisture stress), independent of fire intensity, may thus cause expressed fire severity to increase in western forests.","author":[{"dropping-particle":"","family":"Mantgem","given":"Phillip J.","non-dropping-particle":"Van","parse-names":false,"suffix":""},{"dropping-particle":"","family":"Falk","given":"Donald A.","non-dropping-particle":"","parse-names":false,"suffix":""},{"dropping-particle":"","family":"Williams","given":"Emma C.","non-dropping-particle":"","parse-names":false,"suffix":""},{"dropping-particle":"","family":"Das","given":"Adrian J.","non-dropping-particle":"","parse-names":false,"suffix":""},{"dropping-particle":"","family":"Stephenson","given":"Nathan L.","non-dropping-particle":"","parse-names":false,"suffix":""}],"container-title":"International Journal of Wildland Fire","id":"ITEM-3","issue":"6","issued":{"date-parts":[["2020"]]},"page":"513-518","title":"The influence of pre-fire growth patterns on post-fire tree mortality for common conifers in western US parks","type":"article-journal","volume":"29"},"uris":["http://www.mendeley.com/documents/?uuid=b3d0e54b-2bb5-4c84-8aca-648ac7a9fb32"]},{"id":"ITEM-4","itemData":{"DOI":"10.1071/WF18031","ISSN":"1049-8001","author":[{"dropping-particle":"","family":"Furniss","given":"T.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Fire","id":"ITEM-4","issued":{"date-parts":[["2018"]]},"page":"in press","title":"Multi-scale assessment of post-fire tree mortality models","type":"article-journal"},"uris":["http://www.mendeley.com/documents/?uuid=5dce8c9b-16a7-4930-9de8-231f1ca41bb7"]},{"id":"ITEM-5","itemData":{"DOI":"10.1002/eap.2507","ISSN":"1051-0761","abstract":"In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Applications","id":"ITEM-5","issue":"June 2021","issued":{"date-parts":[["2021"]]},"page":"1-14","title":"Crowding, climate, and the case for social distancing among trees","type":"article-journal"},"uris":["http://www.mendeley.com/documents/?uuid=923f9f80-0634-4566-ac74-bb9eb698fef4"]}],"mendeley":{"formattedCitation":"(Nesmith &lt;i&gt;et al.&lt;/i&gt;, 2015; Furniss &lt;i&gt;et al.&lt;/i&gt;, 2018, 2021; van Mantgem &lt;i&gt;et al.&lt;/i&gt;, 2018; Van Mantgem &lt;i&gt;et al.&lt;/i&gt;, 2020)","plainTextFormattedCitation":"(Nesmith et al., 2015; Furniss et al., 2018, 2021; van Mantgem et al., 2018; Van Mantgem et al., 2020)","previouslyFormattedCitation":"(Nesmith &lt;i&gt;et al.&lt;/i&gt;, 2015; Furniss &lt;i&gt;et al.&lt;/i&gt;, 2018, 2021; van Mantgem &lt;i&gt;et al.&lt;/i&gt;, 2018; Van Mantgem &lt;i&gt;et al.&lt;/i&gt;, 2020)"},"properties":{"noteIndex":0},"schema":"https://github.com/citation-style-language/schema/raw/master/csl-citation.json"}</w:instrText>
      </w:r>
      <w:r w:rsidR="00E813D6">
        <w:rPr>
          <w:rFonts w:cstheme="minorHAnsi"/>
        </w:rPr>
        <w:fldChar w:fldCharType="separate"/>
      </w:r>
      <w:r w:rsidR="00AE693D" w:rsidRPr="00AE693D">
        <w:rPr>
          <w:rFonts w:cstheme="minorHAnsi"/>
          <w:noProof/>
        </w:rPr>
        <w:t xml:space="preserve">(Nesmith </w:t>
      </w:r>
      <w:r w:rsidR="00AE693D" w:rsidRPr="00AE693D">
        <w:rPr>
          <w:rFonts w:cstheme="minorHAnsi"/>
          <w:i/>
          <w:noProof/>
        </w:rPr>
        <w:t>et al.</w:t>
      </w:r>
      <w:r w:rsidR="00AE693D" w:rsidRPr="00AE693D">
        <w:rPr>
          <w:rFonts w:cstheme="minorHAnsi"/>
          <w:noProof/>
        </w:rPr>
        <w:t xml:space="preserve">, 2015; Furniss </w:t>
      </w:r>
      <w:r w:rsidR="00AE693D" w:rsidRPr="00AE693D">
        <w:rPr>
          <w:rFonts w:cstheme="minorHAnsi"/>
          <w:i/>
          <w:noProof/>
        </w:rPr>
        <w:t>et al.</w:t>
      </w:r>
      <w:r w:rsidR="00AE693D" w:rsidRPr="00AE693D">
        <w:rPr>
          <w:rFonts w:cstheme="minorHAnsi"/>
          <w:noProof/>
        </w:rPr>
        <w:t xml:space="preserve">, 2018, 2021; van Mantgem </w:t>
      </w:r>
      <w:r w:rsidR="00AE693D" w:rsidRPr="00AE693D">
        <w:rPr>
          <w:rFonts w:cstheme="minorHAnsi"/>
          <w:i/>
          <w:noProof/>
        </w:rPr>
        <w:t>et al.</w:t>
      </w:r>
      <w:r w:rsidR="00AE693D" w:rsidRPr="00AE693D">
        <w:rPr>
          <w:rFonts w:cstheme="minorHAnsi"/>
          <w:noProof/>
        </w:rPr>
        <w:t xml:space="preserve">, 2018; Van Mantgem </w:t>
      </w:r>
      <w:r w:rsidR="00AE693D" w:rsidRPr="00AE693D">
        <w:rPr>
          <w:rFonts w:cstheme="minorHAnsi"/>
          <w:i/>
          <w:noProof/>
        </w:rPr>
        <w:t>et al.</w:t>
      </w:r>
      <w:r w:rsidR="00AE693D" w:rsidRPr="00AE693D">
        <w:rPr>
          <w:rFonts w:cstheme="minorHAnsi"/>
          <w:noProof/>
        </w:rPr>
        <w:t>, 2020)</w:t>
      </w:r>
      <w:r w:rsidR="00E813D6">
        <w:rPr>
          <w:rFonts w:cstheme="minorHAnsi"/>
        </w:rPr>
        <w:fldChar w:fldCharType="end"/>
      </w:r>
      <w:r w:rsidR="00D70E5C" w:rsidRPr="00F30BF0">
        <w:rPr>
          <w:rFonts w:cstheme="minorHAnsi"/>
        </w:rPr>
        <w:t xml:space="preserve">, and beetle epidemics may kill off the largest and most fire-resistant individuals </w:t>
      </w:r>
      <w:r w:rsidR="00E813D6">
        <w:rPr>
          <w:rFonts w:cstheme="minorHAnsi"/>
        </w:rPr>
        <w:fldChar w:fldCharType="begin" w:fldLock="1"/>
      </w:r>
      <w:r w:rsidR="00021D10">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id":"ITEM-2","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D.","non-dropping-particle":"","parse-names":false,"suffix":""}],"container-title":"Ecosphere","id":"ITEM-2","issue":"January","issued":{"date-parts":[["2021"]]},"title":"Do Forest Fuel Reduction Treatments Confer Resistance to Beetle Infestation and Drought Mortality?","type":"article-journal","volume":"12"},"uris":["http://www.mendeley.com/documents/?uuid=27f300f3-6aa3-4e67-9ff2-302a5568e9e8"]}],"mendeley":{"formattedCitation":"(Stephenson &lt;i&gt;et al.&lt;/i&gt;, 2019; Steel &lt;i&gt;et al.&lt;/i&gt;, 2021)","plainTextFormattedCitation":"(Stephenson et al., 2019; Steel et al., 2021)","previouslyFormattedCitation":"(Stephenson &lt;i&gt;et al.&lt;/i&gt;, 2019; Steel &lt;i&gt;et al.&lt;/i&gt;, 2021)"},"properties":{"noteIndex":0},"schema":"https://github.com/citation-style-language/schema/raw/master/csl-citation.json"}</w:instrText>
      </w:r>
      <w:r w:rsidR="00E813D6">
        <w:rPr>
          <w:rFonts w:cstheme="minorHAnsi"/>
        </w:rPr>
        <w:fldChar w:fldCharType="separate"/>
      </w:r>
      <w:r w:rsidR="00021D10" w:rsidRPr="00021D10">
        <w:rPr>
          <w:rFonts w:cstheme="minorHAnsi"/>
          <w:noProof/>
        </w:rPr>
        <w:t xml:space="preserve">(Stephenson </w:t>
      </w:r>
      <w:r w:rsidR="00021D10" w:rsidRPr="00021D10">
        <w:rPr>
          <w:rFonts w:cstheme="minorHAnsi"/>
          <w:i/>
          <w:noProof/>
        </w:rPr>
        <w:t>et al.</w:t>
      </w:r>
      <w:r w:rsidR="00021D10" w:rsidRPr="00021D10">
        <w:rPr>
          <w:rFonts w:cstheme="minorHAnsi"/>
          <w:noProof/>
        </w:rPr>
        <w:t xml:space="preserve">, 2019; Steel </w:t>
      </w:r>
      <w:r w:rsidR="00021D10" w:rsidRPr="00021D10">
        <w:rPr>
          <w:rFonts w:cstheme="minorHAnsi"/>
          <w:i/>
          <w:noProof/>
        </w:rPr>
        <w:t>et al.</w:t>
      </w:r>
      <w:r w:rsidR="00021D10" w:rsidRPr="00021D10">
        <w:rPr>
          <w:rFonts w:cstheme="minorHAnsi"/>
          <w:noProof/>
        </w:rPr>
        <w:t>, 2021)</w:t>
      </w:r>
      <w:r w:rsidR="00E813D6">
        <w:rPr>
          <w:rFonts w:cstheme="minorHAnsi"/>
        </w:rPr>
        <w:fldChar w:fldCharType="end"/>
      </w:r>
      <w:r w:rsidR="00D70E5C" w:rsidRPr="00F30BF0">
        <w:rPr>
          <w:rFonts w:cstheme="minorHAnsi"/>
        </w:rPr>
        <w:t xml:space="preserve">. Drought and density both alter the </w:t>
      </w:r>
      <w:proofErr w:type="spellStart"/>
      <w:r w:rsidR="00D70E5C" w:rsidRPr="00F30BF0">
        <w:rPr>
          <w:rFonts w:cstheme="minorHAnsi"/>
        </w:rPr>
        <w:t>fuelbed</w:t>
      </w:r>
      <w:proofErr w:type="spellEnd"/>
      <w:r w:rsidR="00D70E5C" w:rsidRPr="00F30BF0">
        <w:rPr>
          <w:rFonts w:cstheme="minorHAnsi"/>
        </w:rPr>
        <w:t xml:space="preserve"> in ways that may increase the intensity of wildfires</w:t>
      </w:r>
      <w:r w:rsidR="00D45C6F" w:rsidRPr="00F30BF0">
        <w:rPr>
          <w:rFonts w:cstheme="minorHAnsi"/>
        </w:rPr>
        <w:t xml:space="preserve"> </w:t>
      </w:r>
      <w:r w:rsidR="00E813D6">
        <w:rPr>
          <w:rFonts w:cstheme="minorHAnsi"/>
        </w:rPr>
        <w:fldChar w:fldCharType="begin" w:fldLock="1"/>
      </w:r>
      <w:r w:rsidR="002C19B3">
        <w:rPr>
          <w:rFonts w:cstheme="minorHAnsi"/>
        </w:rPr>
        <w:instrText>ADDIN CSL_CITATION {"citationItems":[{"id":"ITEM-1","itemData":{"DOI":"10.1093/biosci/bix146","ISBN":"0006-3568","ISSN":"0006-3568","abstract":"Massive tree mortality has occurred rapidly in frequent-fire-adapted forests of the Sierra Nevada, California. This mortality is a product of acute drought compounded by the long-established removal of a key ecosystem process: frequent, low- to moderate-intensity fire. The recent tree mortality has many implications for the future of these forests and the ecological goods and services they provide to society. Future wildfire hazard following this mortality can be generally characterized by decreased crown fire potential and increased surface fire intensity in the short to intermediate term. The scale of present tree mortality is so large that greater potential for “mass fire” exists in the coming decades, driven by the amount and continuity of dry, combustible, large woody material that could produce large, severe fires. For long-term adaptation to climate change, we highlight the importance of moving beyond triage of dead and dying trees to making “green” (live) forests more resilient.","author":[{"dropping-particle":"","family":"Stephens","given":"Scott L.","non-dropping-particle":"","parse-names":false,"suffix":""},{"dropping-particle":"","family":"Collins","given":"Brandon M.","non-dropping-particle":"","parse-names":false,"suffix":""},{"dropping-particle":"","family":"Fettig","given":"Christopher J.","non-dropping-particle":"","parse-names":false,"suffix":""},{"dropping-particle":"","family":"Finney","given":"Mark A.","non-dropping-particle":"","parse-names":false,"suffix":""},{"dropping-particle":"","family":"Hoffman","given":"Chad M.","non-dropping-particle":"","parse-names":false,"suffix":""},{"dropping-particle":"","family":"Knapp","given":"Eric E.","non-dropping-particle":"","parse-names":false,"suffix":""},{"dropping-particle":"","family":"North","given":"Malcolm P.","non-dropping-particle":"","parse-names":false,"suffix":""},{"dropping-particle":"","family":"Safford","given":"Hugh","non-dropping-particle":"","parse-names":false,"suffix":""},{"dropping-particle":"","family":"Wayman","given":"Rebecca B.","non-dropping-particle":"","parse-names":false,"suffix":""}],"container-title":"BioScience","id":"ITEM-1","issue":"X","issued":{"date-parts":[["2018"]]},"page":"1-12","title":"Drought, Tree Mortality, and Wildfire in Forests Adapted to Frequent Fire","type":"article-journal","volume":"XX"},"uris":["http://www.mendeley.com/documents/?uuid=83a571e8-0d79-4b5a-8bd3-aaef26a39cd2"]},{"id":"ITEM-2","itemData":{"DOI":"10.1016/j.foreco.2012.02.005","ISSN":"03781127","abstract":"Millions of trees killed by bark beetles in western North America have raised concerns about subsequent wildfire, but studies have reported a range of conclusions, often seemingly contradictory, about effects on fuels and wildfire. In this study, we reviewed and synthesized the published literature on modifications to fuels and fire characteristics following beetle-caused tree mortality. We found 39 studies addressing this topic with a variety of methods including fuels measurements, fire behavior simulations, an experiment, and observations of fire occurrence, severity, or frequency. From these publications, we developed a conceptual framework describing expected changes of fuels and fire behavior. Some characteristics of fuels and fire are enhanced following outbreaks and others are unchanged or diminished, with time since outbreak a key factor influencing changes. We also quantified areas of higher and lower confidence in our framework based on the number of studies addressing a particular area as well as agreement among studies. The published literature agrees about responses in many conditions, including fuels measurements and changes in stands with longer times since outbreak, and so we assigned higher confidence to our conceptual framework for these conditions. Disagreement or gaps in knowledge exist in several conditions, particularly in early postoutbreak phases and crown fire behavior responses, leading to low confidence in our framework in these areas and highlighting the need for future research. Our findings resolved some of the controversy about effects of bark beetles on fire through more specificity about time since outbreak and fuels or fire characteristic. Recognition of the type of study question was also important in resolving controversy: some publications assessed whether beetle-caused tree mortality caused differences relative to unattacked locations, whereas other publications assessed differences relative to other drivers of wildfire such as climate. However, some disagreement among studies remained. Given the large areas of recent bark beetle and wildfire disturbances and expected effects of climate change, land and fire managers need more confidence in key areas when making decisions about treatments to reduce future fire hazard and when fighting fires. © 2012 Elsevier B.V.","author":[{"dropping-particle":"","family":"Hicke","given":"Jeffrey A.","non-dropping-particle":"","parse-names":false,"suffix":""},{"dropping-particle":"","family":"Johnson","given":"Morris C.","non-dropping-particle":"","parse-names":false,"suffix":""},{"dropping-particle":"","family":"Hayes","given":"Jane L.","non-dropping-particle":"","parse-names":false,"suffix":""},{"dropping-particle":"","family":"Preisler","given":"Haiganoush K.","non-dropping-particle":"","parse-names":false,"suffix":""}],"container-title":"Forest Ecology and Management","id":"ITEM-2","issued":{"date-parts":[["2012"]]},"page":"81-90","publisher":"Elsevier B.V.","title":"Effects of bark beetle-caused tree mortality on wildfire","type":"article-journal","volume":"271"},"uris":["http://www.mendeley.com/documents/?uuid=bdfd1573-8416-4817-b574-9059b40c9bdf"]},{"id":"ITEM-3","itemData":{"DOI":"10.1002/eap.2287","ISSN":"19395582","PMID":"33426715","abstract":"In temperate forests, elevated frequency of drought related disturbances will likely increase the incidence of interactions between disturbances such as bark beetle epidemics and wildfires. Our understanding of the influence of recent drought and insect-induced tree mortality on wildfire severity has largely lacked information from forests adapted to frequent fire. A recent unprecedented tree mortality event in California’s Sierra Nevada provides an opportunity to examine this disturbance interaction in historically frequent-fire forests. Using field data collected within areas of recent tree mortality that subsequently burned in wildfire, we examined whether and under what conditions wildfire severity relates to severity of prefire tree mortality in Sierra Nevada mixed-conifer forests. We collected data on 180 plots within the 2015 Rough Fire and 2016 Cedar Fire footprints (California, USA). Our analyses identified prefire tree mortality as influential on all measures of wildfire severity (basal area killed by fire, RdNBR, and canopy torch) on the Cedar Fire, although it was less influential than fire weather (relative humidity). Prefire tree mortality was influential on two of three fire-severity measures on the Rough Fire, and was the most important predictor of basal area killed by fire; topographic position was influential on two metrics. On the Cedar Fire, the influence of prefire mortality on basal area killed by fire was greater under milder weather conditions. All measures of fire severity increased as prefire mortality increased up to prefire mortality levels of approximately 30–40%; further increases did not result in greater fire severity. The interacting disturbances shifted a pine-dominated system (Rough Fire) to a cedar–pine–fir system, while the pre-disturbance fir–cedar system (Cedar Fire) saw its dominant species unchanged. Managers of historically frequent-fire forests will benefit from utilizing this information when prioritizing fuels reduction treatments in areas of recent tree mortality, as it is the first empirical study to document a relationship between prefire mortality and subsequent wildfire severity in these systems. This study contributes to a growing body of evidence that the influence of prefire tree mortality on wildfire severity in temperate coniferous forests may depend on other conditions capable of driving extreme wildfire behavior, such as weather.","author":[{"dropping-particle":"","family":"Wayman","given":"Rebecca B.","non-dropping-particle":"","parse-names":false,"suffix":""},{"dropping-particle":"","family":"Safford","given":"Hugh D.","non-dropping-particle":"","parse-names":false,"suffix":""}],"container-title":"Ecological Applications","id":"ITEM-3","issue":"3","issued":{"date-parts":[["2021"]]},"note":"severe weather can swamp fuel and topographic conditions\n\nimplication is causal (red phase -&amp;gt; changes in fuel structure), but equally plausible is a correlation (drought stress / epidemic BB pop -&amp;gt; red phase mortality AND reduced individual-level file resistance)\n\npositive effect of drought mortality on fire severity caps out at ~40% drought mortality, but well below 100% severity; this is super interesting","page":"1-19","title":"Recent bark beetle outbreaks influence wildfire severity in mixed-conifer forests of the Sierra Nevada, California, USA","type":"article-journal","volume":"31"},"uris":["http://www.mendeley.com/documents/?uuid=6b2a85d6-0253-4578-b2ab-f78ffe9b857e"]}],"mendeley":{"formattedCitation":"(Hicke &lt;i&gt;et al.&lt;/i&gt;, 2012; Stephens &lt;i&gt;et al.&lt;/i&gt;, 2018; Wayman and Safford, 2021)","plainTextFormattedCitation":"(Hicke et al., 2012; Stephens et al., 2018; Wayman and Safford, 2021)","previouslyFormattedCitation":"(Hicke &lt;i&gt;et al.&lt;/i&gt;, 2012; Stephens &lt;i&gt;et al.&lt;/i&gt;, 2018; Wayman and Safford, 2021)"},"properties":{"noteIndex":0},"schema":"https://github.com/citation-style-language/schema/raw/master/csl-citation.json"}</w:instrText>
      </w:r>
      <w:r w:rsidR="00E813D6">
        <w:rPr>
          <w:rFonts w:cstheme="minorHAnsi"/>
        </w:rPr>
        <w:fldChar w:fldCharType="separate"/>
      </w:r>
      <w:r w:rsidR="00EB4A84" w:rsidRPr="00EB4A84">
        <w:rPr>
          <w:rFonts w:cstheme="minorHAnsi"/>
          <w:noProof/>
        </w:rPr>
        <w:t xml:space="preserve">(Hicke </w:t>
      </w:r>
      <w:r w:rsidR="00EB4A84" w:rsidRPr="00EB4A84">
        <w:rPr>
          <w:rFonts w:cstheme="minorHAnsi"/>
          <w:i/>
          <w:noProof/>
        </w:rPr>
        <w:t>et al.</w:t>
      </w:r>
      <w:r w:rsidR="00EB4A84" w:rsidRPr="00EB4A84">
        <w:rPr>
          <w:rFonts w:cstheme="minorHAnsi"/>
          <w:noProof/>
        </w:rPr>
        <w:t xml:space="preserve">, 2012; Stephens </w:t>
      </w:r>
      <w:r w:rsidR="00EB4A84" w:rsidRPr="00EB4A84">
        <w:rPr>
          <w:rFonts w:cstheme="minorHAnsi"/>
          <w:i/>
          <w:noProof/>
        </w:rPr>
        <w:t>et al.</w:t>
      </w:r>
      <w:r w:rsidR="00EB4A84" w:rsidRPr="00EB4A84">
        <w:rPr>
          <w:rFonts w:cstheme="minorHAnsi"/>
          <w:noProof/>
        </w:rPr>
        <w:t>, 2018; Wayman and Safford, 2021)</w:t>
      </w:r>
      <w:r w:rsidR="00E813D6">
        <w:rPr>
          <w:rFonts w:cstheme="minorHAnsi"/>
        </w:rPr>
        <w:fldChar w:fldCharType="end"/>
      </w:r>
      <w:r w:rsidR="00D45C6F" w:rsidRPr="00F30BF0">
        <w:rPr>
          <w:rFonts w:cstheme="minorHAnsi"/>
        </w:rPr>
        <w:t xml:space="preserve">. </w:t>
      </w:r>
      <w:r w:rsidR="009F381B" w:rsidRPr="00F30BF0">
        <w:rPr>
          <w:rFonts w:cstheme="minorHAnsi"/>
        </w:rPr>
        <w:t xml:space="preserve">Likewise, wildfires may decrease trees’ ability to resist bark beetles, facilitating epidemic outbreaks in the event of a post-fire drought </w:t>
      </w:r>
      <w:r w:rsidR="00E813D6">
        <w:rPr>
          <w:rFonts w:cstheme="minorHAnsi"/>
        </w:rPr>
        <w:fldChar w:fldCharType="begin" w:fldLock="1"/>
      </w:r>
      <w:r w:rsidR="00307D27">
        <w:rPr>
          <w:rFonts w:cstheme="minorHAnsi"/>
        </w:rPr>
        <w:instrText>ADDIN CSL_CITATION {"citationItems":[{"id":"ITEM-1","itemData":{"DOI":"10.1139/x2012-147","ISBN":"0045-5067","ISSN":"0045-5067","abstract":"Bark beetles can cause substantial mortality of trees that would otherwise survive fire injuries. Resin response of fire-injured northern Rocky Mountain ponderosa pine (Pinus ponderosa Douglas ex P. Lawson &amp; C. Lawson) and specific injuries that contribute to increased bark beetle attack susceptibility and brood production are unknown. We monitored ponderosa pine mortality and resin flow and bark beetle colonization and reproduction following a prescribed fire in Idaho and a wildfire in Montana. The level of fire-caused tree injury differed between the two sites, and the level of tree injury most susceptible to bark beetle attack and colonization also differed. Strip-attacked trees alive 3 years post-fire had lower levels of bole and crown injury than trees mass attacked and killed by bark beetles, suggesting that fire-injured trees were less well defended. Brood production of western pine beetle (Dendroctonus brevicomis LeConte) did not differ between fire-injured and uninjured trees, although mountain pine beetle (Dendroctonus ponderosae Hopkins) brood production was low in both tree types, potentially due to competition with faster developing bark beetle species that also colonized trees. Despite a large number of live trees remaining at both sites, bark beetle response to fire-injured trees pulsed and receded within 2 years post-fire, potentially due to a limited number of trees that could be easily colonized.","author":[{"dropping-particle":"","family":"Davis","given":"Ryan S","non-dropping-particle":"","parse-names":false,"suffix":""},{"dropping-particle":"","family":"Hood","given":"Sharon","non-dropping-particle":"","parse-names":false,"suffix":""},{"dropping-particle":"","family":"Bentz","given":"Barbara J","non-dropping-particle":"","parse-names":false,"suffix":""}],"container-title":"Canadian Journal of Forest Research-Revue Canadienne De Recherche Forestiere","id":"ITEM-1","issue":"12","issued":{"date-parts":[["2012"]]},"page":"2022-2036","title":"Fire-injured ponderosa pine provide a pulsed resource for bark beetles","type":"article-journal","volume":"42"},"uris":["http://www.mendeley.com/documents/?uuid=b48fe7a1-921e-4743-b78b-7bb3d931a4bf"]},{"id":"ITEM-2","itemData":{"DOI":"10.1002/eap.2507","ISSN":"1051-0761","abstract":"In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Applications","id":"ITEM-2","issue":"June 2021","issued":{"date-parts":[["2021"]]},"page":"1-14","title":"Crowding, climate, and the case for social distancing among trees","type":"article-journal"},"uris":["http://www.mendeley.com/documents/?uuid=923f9f80-0634-4566-ac74-bb9eb698fef4"]}],"mendeley":{"formattedCitation":"(Davis, Hood and Bentz, 2012; Furniss &lt;i&gt;et al.&lt;/i&gt;, 2021)","plainTextFormattedCitation":"(Davis, Hood and Bentz, 2012; Furniss et al., 2021)","previouslyFormattedCitation":"(Davis, Hood and Bentz, 2012; Furniss &lt;i&gt;et al.&lt;/i&gt;, 2021)"},"properties":{"noteIndex":0},"schema":"https://github.com/citation-style-language/schema/raw/master/csl-citation.json"}</w:instrText>
      </w:r>
      <w:r w:rsidR="00E813D6">
        <w:rPr>
          <w:rFonts w:cstheme="minorHAnsi"/>
        </w:rPr>
        <w:fldChar w:fldCharType="separate"/>
      </w:r>
      <w:r w:rsidR="00AE693D" w:rsidRPr="00AE693D">
        <w:rPr>
          <w:rFonts w:cstheme="minorHAnsi"/>
          <w:noProof/>
        </w:rPr>
        <w:t xml:space="preserve">(Davis, Hood and Bentz, 2012; Furniss </w:t>
      </w:r>
      <w:r w:rsidR="00AE693D" w:rsidRPr="00AE693D">
        <w:rPr>
          <w:rFonts w:cstheme="minorHAnsi"/>
          <w:i/>
          <w:noProof/>
        </w:rPr>
        <w:t>et al.</w:t>
      </w:r>
      <w:r w:rsidR="00AE693D" w:rsidRPr="00AE693D">
        <w:rPr>
          <w:rFonts w:cstheme="minorHAnsi"/>
          <w:noProof/>
        </w:rPr>
        <w:t>, 2021)</w:t>
      </w:r>
      <w:r w:rsidR="00E813D6">
        <w:rPr>
          <w:rFonts w:cstheme="minorHAnsi"/>
        </w:rPr>
        <w:fldChar w:fldCharType="end"/>
      </w:r>
      <w:r w:rsidR="009F381B" w:rsidRPr="00F30BF0">
        <w:rPr>
          <w:rFonts w:cstheme="minorHAnsi"/>
        </w:rPr>
        <w:t>.</w:t>
      </w:r>
      <w:r w:rsidR="00D45C6F" w:rsidRPr="00F30BF0">
        <w:rPr>
          <w:rFonts w:cstheme="minorHAnsi"/>
        </w:rPr>
        <w:t xml:space="preserve"> </w:t>
      </w:r>
      <w:r w:rsidR="00307D27">
        <w:rPr>
          <w:rFonts w:cstheme="minorHAnsi"/>
        </w:rPr>
        <w:t xml:space="preserve">Competition tends </w:t>
      </w:r>
      <w:r w:rsidR="00307D27">
        <w:rPr>
          <w:rFonts w:cstheme="minorHAnsi"/>
        </w:rPr>
        <w:lastRenderedPageBreak/>
        <w:t xml:space="preserve">to reduce trees’ ability to resist drought and beetle epidemics </w:t>
      </w:r>
      <w:r w:rsidR="00307D27">
        <w:rPr>
          <w:rFonts w:cstheme="minorHAnsi"/>
        </w:rPr>
        <w:fldChar w:fldCharType="begin" w:fldLock="1"/>
      </w:r>
      <w:r w:rsidR="005E7ECB">
        <w:rPr>
          <w:rFonts w:cstheme="minorHAnsi"/>
        </w:rPr>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trees","type":"article-journal"},"uris":["http://www.mendeley.com/documents/?uuid=923f9f80-0634-4566-ac74-bb9eb698fef4"]},{"id":"ITEM-2","itemData":{"DOI":"10.1111/ele.12711","ISSN":"1461023X","author":[{"dropping-particle":"","family":"Young","given":"Derek J. N.","non-dropping-particle":"","parse-names":false,"suffix":""},{"dropping-particle":"","family":"Stevens","given":"Jens T.","non-dropping-particle":"","parse-names":false,"suffix":""},{"dropping-particle":"","family":"Earles","given":"J. Mason","non-dropping-particle":"","parse-names":false,"suffix":""},{"dropping-particle":"","family":"Moore","given":"Jeffrey","non-dropping-particle":"","parse-names":false,"suffix":""},{"dropping-particle":"","family":"Ellis","given":"Adam","non-dropping-particle":"","parse-names":false,"suffix":""},{"dropping-particle":"","family":"Jirka","given":"Amy L.","non-dropping-particle":"","parse-names":false,"suffix":""},{"dropping-particle":"","family":"Latimer","given":"Andrew M.","non-dropping-particle":"","parse-names":false,"suffix":""}],"container-title":"Ecology Letters","id":"ITEM-2","issue":"1","issued":{"date-parts":[["2017"]]},"page":"78-86","title":"Long-term climate and competition explain forest mortality patterns under extreme drought","type":"article-journal","volume":"20"},"uris":["http://www.mendeley.com/documents/?uuid=11db3a96-5a65-4eb7-b92a-5cde2681bbb2"]}],"mendeley":{"formattedCitation":"(Young &lt;i&gt;et al.&lt;/i&gt;, 2017; Furniss &lt;i&gt;et al.&lt;/i&gt;, 2021)","plainTextFormattedCitation":"(Young et al., 2017; Furniss et al., 2021)","previouslyFormattedCitation":"(Young &lt;i&gt;et al.&lt;/i&gt;, 2017; Furniss &lt;i&gt;et al.&lt;/i&gt;, 2021)"},"properties":{"noteIndex":0},"schema":"https://github.com/citation-style-language/schema/raw/master/csl-citation.json"}</w:instrText>
      </w:r>
      <w:r w:rsidR="00307D27">
        <w:rPr>
          <w:rFonts w:cstheme="minorHAnsi"/>
        </w:rPr>
        <w:fldChar w:fldCharType="separate"/>
      </w:r>
      <w:r w:rsidR="00307D27" w:rsidRPr="00307D27">
        <w:rPr>
          <w:rFonts w:cstheme="minorHAnsi"/>
          <w:noProof/>
        </w:rPr>
        <w:t xml:space="preserve">(Young </w:t>
      </w:r>
      <w:r w:rsidR="00307D27" w:rsidRPr="00307D27">
        <w:rPr>
          <w:rFonts w:cstheme="minorHAnsi"/>
          <w:i/>
          <w:noProof/>
        </w:rPr>
        <w:t>et al.</w:t>
      </w:r>
      <w:r w:rsidR="00307D27" w:rsidRPr="00307D27">
        <w:rPr>
          <w:rFonts w:cstheme="minorHAnsi"/>
          <w:noProof/>
        </w:rPr>
        <w:t xml:space="preserve">, 2017; Furniss </w:t>
      </w:r>
      <w:r w:rsidR="00307D27" w:rsidRPr="00307D27">
        <w:rPr>
          <w:rFonts w:cstheme="minorHAnsi"/>
          <w:i/>
          <w:noProof/>
        </w:rPr>
        <w:t>et al.</w:t>
      </w:r>
      <w:r w:rsidR="00307D27" w:rsidRPr="00307D27">
        <w:rPr>
          <w:rFonts w:cstheme="minorHAnsi"/>
          <w:noProof/>
        </w:rPr>
        <w:t>, 2021)</w:t>
      </w:r>
      <w:r w:rsidR="00307D27">
        <w:rPr>
          <w:rFonts w:cstheme="minorHAnsi"/>
        </w:rPr>
        <w:fldChar w:fldCharType="end"/>
      </w:r>
      <w:r w:rsidR="00307D27">
        <w:rPr>
          <w:rFonts w:cstheme="minorHAnsi"/>
        </w:rPr>
        <w:t xml:space="preserve">. </w:t>
      </w:r>
      <w:commentRangeStart w:id="69"/>
      <w:r w:rsidR="00D45C6F" w:rsidRPr="00F30BF0">
        <w:rPr>
          <w:rFonts w:cstheme="minorHAnsi"/>
        </w:rPr>
        <w:t xml:space="preserve">Finally, there is potential for stressors to mitigate one another, primarily by a mechanism where mortality caused by one stressor results in less competitive stress and increased resilience to other stressors </w:t>
      </w:r>
      <w:r w:rsidR="006E2D9F">
        <w:rPr>
          <w:rFonts w:cstheme="minorHAnsi"/>
        </w:rPr>
        <w:fldChar w:fldCharType="begin" w:fldLock="1"/>
      </w:r>
      <w:r w:rsidR="002C19B3">
        <w:rPr>
          <w:rFonts w:cstheme="minorHAnsi"/>
        </w:rPr>
        <w:instrText>ADDIN CSL_CITATION {"citationItems":[{"id":"ITEM-1","itemData":{"DOI":"10.1016/j.foreco.2021.120004","ISSN":"03781127","author":[{"dropping-particle":"","family":"North","given":"Malcolm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Management","id":"ITEM-1","issue":"November 2021","issued":{"date-parts":[["2022"]]},"page":"120004","publisher":"Elsevier B.V.","title":"Operational resilience in western US frequent-fire forests","type":"article-journal","volume":"507"},"uris":["http://www.mendeley.com/documents/?uuid=465230a6-1d96-4a43-8dec-1e3c5870286d"]},{"id":"ITEM-2","itemData":{"DOI":"10.4996/fireecology.1201013","author":[{"dropping-particle":"","family":"Mantgem","given":"Philip J.","non-dropping-particle":"van","parse-names":false,"suffix":""},{"dropping-particle":"","family":"Caprio","given":"Anthony C.","non-dropping-particle":"","parse-names":false,"suffix":""},{"dropping-particle":"","family":"Stephenson","given":"Nathan L.","non-dropping-particle":"","parse-names":false,"suffix":""},{"dropping-particle":"","family":"Das","given":"Adrian J.","non-dropping-particle":"","parse-names":false,"suffix":""}],"container-title":"Fire Ecology","id":"ITEM-2","issue":"1","issued":{"date-parts":[["2016"]]},"page":"5-15","title":"Does Prescribed Fire Promote Resistance To Drought in Low Elevation Forests of the Sierra Nevada, California, Usa?","type":"article-journal","volume":"12"},"uris":["http://www.mendeley.com/documents/?uuid=a2a16642-586b-4123-bc0c-4ec90fc1da8b"]},{"id":"ITEM-3","itemData":{"DOI":"10.1111/gcb.14543","ISSN":"13652486","abstract":"A century of fire suppression across the Western United States has led to more crowded forests and increased competition for resources. Studies of forest thinning or stand conditions after mortality events have provided indirect evidence for how competition can promote drought stress and predispose forests to severe fire and/or bark beetle outbreaks. Here, we demonstrate linkages between fire deficits and increasing drought stress through analyses of annually resolved tree-ring growth, fire scars, and carbon isotope discrimination (Δ 13 C) across a dry mixed-conifer forest landscape. Fire deficits across the study area have increased the sensitivity of leaf gas exchange to drought stress over the past &gt;100 years. Since 1910, stand basal area in these forests has more than doubled and fire-return intervals have increased from 25 to 140 years. Meanwhile, the portion of interannual variation in tree-ring Δ 13 C explained by the Palmer Drought Severity Index has more than doubled in ca. 300–500-year-old Pinus ponderosa as well as in fire-intolerant, ca. 90–190-year-old Abies grandis. Drought stress has increased in stands with a basal area of ≥25 m 2 /ha in 1910, as indicated by negative temporal Δ 13 C trends, whereas stands with basal area ≤25 m 2 /ha in 1910, due to frequent or intense wildfire activity in decades beforehand, were initially buffered from increased drought stress and have benefited more from rising ambient carbon dioxide concentrations, [CO 2 ], as demonstrated by positive temporal Δ 13 C trends. Furthermore, the average Δ 13 C response across all P. ponderosa since 1830 indicates that photosynthetic assimilation rates and stomatal conductance have been reduced by ~10% and ~20%, respectively, compared to expected trends due to increasing [CO 2 ]. Although disturbance legacies contribute to local-scale intensity of drought stress, fire deficits have reduced drought resistance of mixed-conifer forests and made them more susceptible to challenges by pests and pathogens and other disturbances.","author":[{"dropping-particle":"","family":"Voelker","given":"Steven L.","non-dropping-particle":"","parse-names":false,"suffix":""},{"dropping-particle":"","family":"Merschel","given":"Andrew G.","non-dropping-particle":"","parse-names":false,"suffix":""},{"dropping-particle":"","family":"Meinzer","given":"Frederick C.","non-dropping-particle":"","parse-names":false,"suffix":""},{"dropping-particle":"","family":"Ulrich","given":"Danielle E.M.","non-dropping-particle":"","parse-names":false,"suffix":""},{"dropping-particle":"","family":"Spies","given":"Thomas A.","non-dropping-particle":"","parse-names":false,"suffix":""},{"dropping-particle":"","family":"Still","given":"Christopher J.","non-dropping-particle":"","parse-names":false,"suffix":""}],"container-title":"Global Change Biology","id":"ITEM-3","issue":"4","issued":{"date-parts":[["2019"]]},"page":"1247-1262","title":"Fire deficits have increased drought sensitivity in dry conifer forests: Fire frequency and tree-ring carbon isotope evidence from Central Oregon","type":"article-journal","volume":"25"},"uris":["http://www.mendeley.com/documents/?uuid=9142c91d-cd4f-4631-ad88-9407d08c0bc5"]}],"mendeley":{"formattedCitation":"(van Mantgem &lt;i&gt;et al.&lt;/i&gt;, 2016; Voelker &lt;i&gt;et al.&lt;/i&gt;, 2019; North &lt;i&gt;et al.&lt;/i&gt;, 2022)","plainTextFormattedCitation":"(van Mantgem et al., 2016; Voelker et al., 2019; North et al., 2022)","previouslyFormattedCitation":"(van Mantgem &lt;i&gt;et al.&lt;/i&gt;, 2016; Voelker &lt;i&gt;et al.&lt;/i&gt;, 2019; North &lt;i&gt;et al.&lt;/i&gt;, 2022)"},"properties":{"noteIndex":0},"schema":"https://github.com/citation-style-language/schema/raw/master/csl-citation.json"}</w:instrText>
      </w:r>
      <w:r w:rsidR="006E2D9F">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2016; Voelker </w:t>
      </w:r>
      <w:r w:rsidR="00EB4A84" w:rsidRPr="00EB4A84">
        <w:rPr>
          <w:rFonts w:cstheme="minorHAnsi"/>
          <w:i/>
          <w:noProof/>
        </w:rPr>
        <w:t>et al.</w:t>
      </w:r>
      <w:r w:rsidR="00EB4A84" w:rsidRPr="00EB4A84">
        <w:rPr>
          <w:rFonts w:cstheme="minorHAnsi"/>
          <w:noProof/>
        </w:rPr>
        <w:t xml:space="preserve">, 2019; North </w:t>
      </w:r>
      <w:r w:rsidR="00EB4A84" w:rsidRPr="00EB4A84">
        <w:rPr>
          <w:rFonts w:cstheme="minorHAnsi"/>
          <w:i/>
          <w:noProof/>
        </w:rPr>
        <w:t>et al.</w:t>
      </w:r>
      <w:r w:rsidR="00EB4A84" w:rsidRPr="00EB4A84">
        <w:rPr>
          <w:rFonts w:cstheme="minorHAnsi"/>
          <w:noProof/>
        </w:rPr>
        <w:t>, 2022)</w:t>
      </w:r>
      <w:r w:rsidR="006E2D9F">
        <w:rPr>
          <w:rFonts w:cstheme="minorHAnsi"/>
        </w:rPr>
        <w:fldChar w:fldCharType="end"/>
      </w:r>
      <w:r w:rsidR="00D45C6F" w:rsidRPr="00F30BF0">
        <w:rPr>
          <w:rFonts w:cstheme="minorHAnsi"/>
        </w:rPr>
        <w:t xml:space="preserve">. </w:t>
      </w:r>
      <w:r w:rsidR="00EA5263">
        <w:rPr>
          <w:rFonts w:cstheme="minorHAnsi"/>
        </w:rPr>
        <w:t>For example, wildfire could reduce basal area, leaving the surviving trees better able to resist drought over the long term.</w:t>
      </w:r>
      <w:r w:rsidR="009F381B" w:rsidRPr="00F30BF0">
        <w:rPr>
          <w:rFonts w:cstheme="minorHAnsi"/>
        </w:rPr>
        <w:t xml:space="preserve"> </w:t>
      </w:r>
      <w:commentRangeEnd w:id="69"/>
      <w:r w:rsidR="002626E1">
        <w:rPr>
          <w:rStyle w:val="CommentReference"/>
        </w:rPr>
        <w:commentReference w:id="69"/>
      </w:r>
      <w:r w:rsidR="006838F2" w:rsidRPr="00F30BF0">
        <w:rPr>
          <w:rFonts w:cstheme="minorHAnsi"/>
        </w:rPr>
        <w:t xml:space="preserve">Exploring how stressors are likely to interact and shape population dynamics is another goal for future research. </w:t>
      </w:r>
      <w:commentRangeEnd w:id="68"/>
      <w:r w:rsidR="00832E90">
        <w:rPr>
          <w:rStyle w:val="CommentReference"/>
        </w:rPr>
        <w:commentReference w:id="68"/>
      </w:r>
    </w:p>
    <w:p w14:paraId="1734FEBC" w14:textId="0A1C62DC" w:rsidR="009B0C1C" w:rsidRDefault="00581B9B" w:rsidP="003D3B95">
      <w:pPr>
        <w:spacing w:line="360" w:lineRule="auto"/>
        <w:ind w:firstLine="720"/>
        <w:rPr>
          <w:rFonts w:cstheme="minorHAnsi"/>
          <w:sz w:val="20"/>
          <w:szCs w:val="20"/>
        </w:rPr>
      </w:pPr>
      <w:r>
        <w:rPr>
          <w:rFonts w:cstheme="minorHAnsi"/>
        </w:rPr>
        <w:t xml:space="preserve">The results of this study provide clear guidance for managers interested in conserving sugar pine. </w:t>
      </w:r>
      <w:r w:rsidR="00277ED1" w:rsidRPr="00F30BF0">
        <w:rPr>
          <w:rFonts w:cstheme="minorHAnsi"/>
        </w:rPr>
        <w:t xml:space="preserve">This study’s findings, which point at fire and neighborhood basal area as major stressors of sugar pine, suggest that fuel treatments with a density reduction component could substantially benefit sugar pine populations. </w:t>
      </w:r>
      <w:r w:rsidR="006E2387" w:rsidRPr="00F30BF0">
        <w:rPr>
          <w:rFonts w:cstheme="minorHAnsi"/>
        </w:rPr>
        <w:t xml:space="preserve">Fuel treatments to reduce or rearrange the dead biomass which fuels wildfires have been proven to reduce the hazard of severe wildfire </w:t>
      </w:r>
      <w:commentRangeStart w:id="70"/>
      <w:r w:rsidR="00EB4A84">
        <w:rPr>
          <w:rFonts w:cstheme="minorHAnsi"/>
        </w:rPr>
        <w:fldChar w:fldCharType="begin" w:fldLock="1"/>
      </w:r>
      <w:r w:rsidR="00545F95">
        <w:rPr>
          <w:rFonts w:cstheme="minorHAnsi"/>
        </w:rPr>
        <w:instrText>ADDIN CSL_CITATION {"citationItems":[{"id":"ITEM-1","itemData":{"DOI":"10.1002/ecs2.3198","ISSN":"21508925","abstract":"Forests are the largest terrestrial carbon stock, and disturbance regimes can have large effects on the structure and function of forests. Many dry temperate forests in the western United States are adapted to a regime of frequent, low-to-moderate severity fire. The disruption of this disturbance regime over the last century has shifted forest conditions, making them more susceptible to high-severity fire. Fuel treatments have been shown to effectively reduce wildfire hazard, often with co-benefits to ecological values. However, the effects of fuel treatments on forest carbon are complex, often characterized by direct costs (e.g., carbon emissions from prescribed fire) and wildfire-contingent benefits (increased resistance of live tree carbon to wildfire). In this study, we employ risk-sensitive carbon accounting and empirical data from a replicated field experiment to evaluate the stand-scale carbon effects of four management regimes over a 14-yr period in a historically frequent-fire adapted forest. All three active treatment regimes immediately increased stable live tree carbon stocks over no-treatment controls. In most contexts examined, mechanical-only or no-treatment controls will maximize expected total carbon stocks when incorporating wildfire risk and the carbon stability of live biomass, dead biomass, and offsite forest products, although we acknowledge our wildfire modeling may underestimate C losses, particularly in the control stands. Undoubtedly, many other ecosystem and social values besides carbon will be important factors that influence fuel and restoration treatments.","author":[{"dropping-particle":"","family":"Foster","given":"Daniel E.","non-dropping-particle":"","parse-names":false,"suffix":""},{"dropping-particle":"","family":"Battles","given":"John J.","non-dropping-particle":"","parse-names":false,"suffix":""},{"dropping-particle":"","family":"Collins","given":"Brandon M.","non-dropping-particle":"","parse-names":false,"suffix":""},{"dropping-particle":"","family":"York","given":"Robert A.","non-dropping-particle":"","parse-names":false,"suffix":""},{"dropping-particle":"","family":"Stephens","given":"Scott L.","non-dropping-particle":"","parse-names":false,"suffix":""}],"container-title":"Ecosphere","id":"ITEM-1","issue":"8","issued":{"date-parts":[["2020"]]},"title":"Potential wildfire and carbon stability in frequent-fire forests in the Sierra Nevada: trade-offs from a long-term study","type":"article-journal","volume":"11"},"uris":["http://www.mendeley.com/documents/?uuid=eb2bae80-149d-4e46-be37-b171fce5c7f0"]},{"id":"ITEM-2","itemData":{"DOI":"10.1016/j.foreco.2005.03.070","ISBN":"0378-1127","ISSN":"03781127","abstract":"Fuel treatments have been suggested as a means to limit the size and intensity of wildfires but few experiments are available to analyze the effectiveness of different treatments. This paper presents information from a replicated, stand level experiment from mixed conifer forests in the north-central Sierra Nevada that investigated how control, mechanical (crown thinning, thinning from below followed, rotary mastication), prescribed fire, and mechanical followed by prescribed fire treatments affected fuels, forest structure, potential fire behavior, and modeled tree mortality at 80th, 90th, and 97.5th percentile fire weather conditions. Fuels Management Analyst was used to model fire behavior and tree mortality. Thinning and mastication each reduced crown bulk density by approximately 19% in mechanical only and mechanical plus fire treatments. Prescribed burning significantly reduced the total combined fuel load of litter, duff, 1, 10, 100, and 1000 h fuels by as much as 90%. This reduction significantly altered modeled fire behavior in both mechanical plus fire and fire only treatments in terms of fireline intensity and predicted mortality. The prescribed fire only and mechanical followed by prescribed fire treatments resulted in the lowest average fireline intensities, rate of spread, and predicted mortality. The control treatment resulted in the most severe modeled fire behavior and tree mortality. Mechanical only treatments were an improvement over controls but still resulted in tree mortality at severe fire weather when compared with the treatments that included prescribed fire. Restoration of mixed conifer ecosystems must include an examination of how proposed treatments affect fire behavior and effects. Variation in existing stand structures will require solutions that are site specific but the principals outlined in this work should help managers make better decisions. ?? 2005 Elsevier B.V. All rights reserved.","author":[{"dropping-particle":"","family":"Stephens","given":"Scott L.","non-dropping-particle":"","parse-names":false,"suffix":""},{"dropping-particle":"","family":"Moghaddas","given":"Jason J.","non-dropping-particle":"","parse-names":false,"suffix":""}],"container-title":"Forest Ecology and Management","id":"ITEM-2","issue":"1-3","issued":{"date-parts":[["2005"]]},"page":"21-36","title":"Experimental fuel treatment impacts on forest structure, potential fire behavior, and predicted tree mortality in a California mixed conifer forest","type":"article-journal","volume":"215"},"uris":["http://www.mendeley.com/documents/?uuid=220a22bb-3b31-484c-9a62-065eed2a07c1"]}],"mendeley":{"formattedCitation":"(Stephens and Moghaddas, 2005; Foster &lt;i&gt;et al.&lt;/i&gt;, 2020)","plainTextFormattedCitation":"(Stephens and Moghaddas, 2005; Foster et al., 2020)","previouslyFormattedCitation":"(Stephens and Moghaddas, 2005; Foster &lt;i&gt;et al.&lt;/i&gt;, 2020)"},"properties":{"noteIndex":0},"schema":"https://github.com/citation-style-language/schema/raw/master/csl-citation.json"}</w:instrText>
      </w:r>
      <w:r w:rsidR="00EB4A84">
        <w:rPr>
          <w:rFonts w:cstheme="minorHAnsi"/>
        </w:rPr>
        <w:fldChar w:fldCharType="separate"/>
      </w:r>
      <w:r w:rsidR="002F38CC" w:rsidRPr="002F38CC">
        <w:rPr>
          <w:rFonts w:cstheme="minorHAnsi"/>
          <w:noProof/>
        </w:rPr>
        <w:t xml:space="preserve">(Stephens and Moghaddas, 2005; Foster </w:t>
      </w:r>
      <w:r w:rsidR="002F38CC" w:rsidRPr="002F38CC">
        <w:rPr>
          <w:rFonts w:cstheme="minorHAnsi"/>
          <w:i/>
          <w:noProof/>
        </w:rPr>
        <w:t>et al.</w:t>
      </w:r>
      <w:r w:rsidR="002F38CC" w:rsidRPr="002F38CC">
        <w:rPr>
          <w:rFonts w:cstheme="minorHAnsi"/>
          <w:noProof/>
        </w:rPr>
        <w:t>, 2020)</w:t>
      </w:r>
      <w:r w:rsidR="00EB4A84">
        <w:rPr>
          <w:rFonts w:cstheme="minorHAnsi"/>
        </w:rPr>
        <w:fldChar w:fldCharType="end"/>
      </w:r>
      <w:commentRangeEnd w:id="70"/>
      <w:r w:rsidR="00B13331">
        <w:rPr>
          <w:rStyle w:val="CommentReference"/>
        </w:rPr>
        <w:commentReference w:id="70"/>
      </w:r>
      <w:r w:rsidR="006E2387" w:rsidRPr="00F30BF0">
        <w:rPr>
          <w:rFonts w:cstheme="minorHAnsi"/>
        </w:rPr>
        <w:t xml:space="preserve">, and in many cases have the co-benefit of reducing basal area </w:t>
      </w:r>
      <w:r w:rsidR="00CB550D">
        <w:rPr>
          <w:rFonts w:cstheme="minorHAnsi"/>
        </w:rPr>
        <w:fldChar w:fldCharType="begin" w:fldLock="1"/>
      </w:r>
      <w:r w:rsidR="002C19B3">
        <w:rPr>
          <w:rFonts w:cstheme="minorHAnsi"/>
        </w:rPr>
        <w:instrText>ADDIN CSL_CITATION {"citationItems":[{"id":"ITEM-1","itemData":{"DOI":"10.1093/jofore/fvab026","abstract":"A significant increase in treatment pace and scale is needed to restore dry western US forest resilience owing to increasingly frequent and severe wildfire and drought. We propose a pyrosilviculture approach to directly increase large-scale fire use and modify current thinning treatments to optimize future fire incorporation. Recommendations include leveraging wildfire’s “treatment” in areas burned at low and moderate severity with subsequent pyrosilviculture management, identifying managed wildfire zones, and facilitating and financing prescribed fire with “anchor,” “ecosystem asset,” and “revenue” focused thinning treatments. Pyrosilviculture would also expand prescribed-burn and managed-wildfire objectives to include reducing stand density, increasing forest heterogeneity, and selecting for tree species and phenotypes better adapted to changing climate and disturbance regimes. The potential benefits and limitations of this approach are discussed. Fire is inevitable in dry western US forests and pyrosilviculture focuses on proactively shifting more of that fire into managed large-scale burns needed to restore ecosystem resilience.A management paradigm shift in fire use is needed to restore western forest landscape resilience. We propose a “pyrosilviculture” approach with the goals of directly increasing prescribed fire and managed wildfire and modifying thinning treatments to optimize more managed fire. Changes include leveraging low- and moderate-wildfire burn areas as treatments, identifying managed wildfire zones, and three thinning treatments designed to expand and finance prescribed fire to connect dispersed treatments. We also suggest that large-scale fire be used to reduce forest density, increase structural heterogeneity, and select for tree species and phenotypes adapted to changing climate and fire conditions.","author":[{"dropping-particle":"","family":"North","given":"Malcolm P.","non-dropping-particle":"","parse-names":false,"suffix":""},{"dropping-particle":"","family":"York","given":"R A","non-dropping-particle":"","parse-names":false,"suffix":""},{"dropping-particle":"","family":"Collins","given":"B M","non-dropping-particle":"","parse-names":false,"suffix":""},{"dropping-particle":"","family":"Hurteau","given":"M D","non-dropping-particle":"","parse-names":false,"suffix":""},{"dropping-particle":"","family":"Jones","given":"G M","non-dropping-particle":"","parse-names":false,"suffix":""},{"dropping-particle":"","family":"Knapp","given":"E E","non-dropping-particle":"","parse-names":false,"suffix":""},{"dropping-particle":"","family":"Kobziar","given":"L","non-dropping-particle":"","parse-names":false,"suffix":""},{"dropping-particle":"","family":"Mccann","given":"H","non-dropping-particle":"","parse-names":false,"suffix":""},{"dropping-particle":"","family":"Meyer","given":"M D","non-dropping-particle":"","parse-names":false,"suffix":""},{"dropping-particle":"","family":"Stephens","given":"S L","non-dropping-particle":"","parse-names":false,"suffix":""},{"dropping-particle":"","family":"Tompkins","given":"R E","non-dropping-particle":"","parse-names":false,"suffix":""},{"dropping-particle":"","family":"Tubbesing","given":"C L","non-dropping-particle":"","parse-names":false,"suffix":""}],"container-title":"Journal of Forestry","id":"ITEM-1","issued":{"date-parts":[["2021"]]},"page":"1-25","title":"Pyrosilviculture needed for landscape resilience of dry western United States forests","type":"article-journal"},"uris":["http://www.mendeley.com/documents/?uuid=b3619aba-ae0c-4035-a4b8-a3472681f9cd"]},{"id":"ITEM-2","itemData":{"DOI":"10.1016/j.foreco.2016.01.034","ISSN":"03781127","abstract":"Increasingly, objectives for forests with moderate- or mixed-severity fire regimes are to restore successionally diverse landscapes that are resistant and resilient to current and future stressors. Maintaining native species and characteristic processes requires this successional diversity, but methods to achieve it are poorly explained in the literature. In the Inland Pacific US, large, old, early seral trees were a key historical feature of many young and old forest successional patches, especially where fires frequently occurred. Large, old trees are naturally fire-tolerant, but today are often threatened by dense understory cohorts that create fuel ladders that alter likely post-fire successional pathways. Reducing these understories can contribute to resistance by creating conditions where canopy trees will survive disturbances and climatic stressors; these survivors are important seed sources, soil protectors, and critical habitat elements. Historical timber harvesting has skewed tree size and age class distributions, created hard edges, and altered native patch sizes. Manipulating these altered forests to promote development of larger patches of older, larger, and more widely-spaced trees with diverse understories will increase landscape resistance to severe fires, and enhance wildlife habitat for underrepresented conditions.Closed-canopy, multi-layered patches that develop in hot, dry summer environments are vulnerable to droughts, and they increase landscape vulnerability to insect outbreaks and severe wildfires. These same patches provide habitat for species such as the northern spotted owl, which has benefited from increased habitat area. Regional and local planning will be critical for gauging risks, evaluating trade-offs, and restoring dynamics that can support these and other species. The goal will be to manage for heterogeneous landscapes that include variably-sized patches of (1) young, middle-aged, and old, closed-canopy forests growing in upper montane, northerly aspect, and valley bottom settings, (2) a similar diversity of open-canopy, fire-tolerant patches growing on ridgetops, southerly aspects, and lower montane settings, and (3) significant montane chaparral and grassland areas. Tools to achieve this goal include managed wildfire, prescribed burning, and variable density thinning at small to large scales. Specifics on \"how much and where?\" will vary according to physiographic, topographic and historical templates, and regulatory …","author":[{"dropping-particle":"","family":"Hessburg","given":"Paul F.","non-dropping-particle":"","parse-names":false,"suffix":""},{"dropping-particle":"","family":"Spies","given":"Thomas A.","non-dropping-particle":"","parse-names":false,"suffix":""},{"dropping-particle":"","family":"Perry","given":"David A.","non-dropping-particle":"","parse-names":false,"suffix":""},{"dropping-particle":"","family":"Skinner","given":"Carl N.","non-dropping-particle":"","parse-names":false,"suffix":""},{"dropping-particle":"","family":"Taylor","given":"Alan H.","non-dropping-particle":"","parse-names":false,"suffix":""},{"dropping-particle":"","family":"Brown","given":"Peter M.","non-dropping-particle":"","parse-names":false,"suffix":""},{"dropping-particle":"","family":"Stephens","given":"Scott L.","non-dropping-particle":"","parse-names":false,"suffix":""},{"dropping-particle":"","family":"Larson","given":"Andrew J.","non-dropping-particle":"","parse-names":false,"suffix":""},{"dropping-particle":"","family":"Churchill","given":"Derek J.","non-dropping-particle":"","parse-names":false,"suffix":""},{"dropping-particle":"","family":"Povak","given":"Nicholas A.","non-dropping-particle":"","parse-names":false,"suffix":""},{"dropping-particle":"","family":"Singleton","given":"Peter H.","non-dropping-particle":"","parse-names":false,"suffix":""},{"dropping-particle":"","family":"McComb","given":"Brenda","non-dropping-particle":"","parse-names":false,"suffix":""},{"dropping-particle":"","family":"Zielinski","given":"William J.","non-dropping-particle":"","parse-names":false,"suffix":""},{"dropping-particle":"","family":"Collins","given":"Brandon M.","non-dropping-particle":"","parse-names":false,"suffix":""},{"dropping-particle":"","family":"Salter","given":"R. Brion","non-dropping-particle":"","parse-names":false,"suffix":""},{"dropping-particle":"","family":"Keane","given":"John J.","non-dropping-particle":"","parse-names":false,"suffix":""},{"dropping-particle":"","family":"Franklin","given":"Jerry F.","non-dropping-particle":"","parse-names":false,"suffix":""},{"dropping-particle":"","family":"Riegel","given":"Greg","non-dropping-particle":"","parse-names":false,"suffix":""}],"container-title":"Forest Ecology and Management","id":"ITEM-2","issued":{"date-parts":[["2016"]]},"page":"221-250","publisher":"Elsevier B.V.","title":"Tamm Review: Management of mixed-severity fire regime forests in Oregon, Washington, and Northern California","type":"article-journal","volume":"366"},"uris":["http://www.mendeley.com/documents/?uuid=dcb615f9-320f-4ed4-9c01-338995dd9133"]}],"mendeley":{"formattedCitation":"(Hessburg &lt;i&gt;et al.&lt;/i&gt;, 2016; North &lt;i&gt;et al.&lt;/i&gt;, 2021)","plainTextFormattedCitation":"(Hessburg et al., 2016; North et al., 2021)","previouslyFormattedCitation":"(Hessburg &lt;i&gt;et al.&lt;/i&gt;, 2016; North &lt;i&gt;et al.&lt;/i&gt;, 2021)"},"properties":{"noteIndex":0},"schema":"https://github.com/citation-style-language/schema/raw/master/csl-citation.json"}</w:instrText>
      </w:r>
      <w:r w:rsidR="00CB550D">
        <w:rPr>
          <w:rFonts w:cstheme="minorHAnsi"/>
        </w:rPr>
        <w:fldChar w:fldCharType="separate"/>
      </w:r>
      <w:r w:rsidR="00EB4A84" w:rsidRPr="00EB4A84">
        <w:rPr>
          <w:rFonts w:cstheme="minorHAnsi"/>
          <w:noProof/>
        </w:rPr>
        <w:t xml:space="preserve">(Hessburg </w:t>
      </w:r>
      <w:r w:rsidR="00EB4A84" w:rsidRPr="00EB4A84">
        <w:rPr>
          <w:rFonts w:cstheme="minorHAnsi"/>
          <w:i/>
          <w:noProof/>
        </w:rPr>
        <w:t>et al.</w:t>
      </w:r>
      <w:r w:rsidR="00EB4A84" w:rsidRPr="00EB4A84">
        <w:rPr>
          <w:rFonts w:cstheme="minorHAnsi"/>
          <w:noProof/>
        </w:rPr>
        <w:t xml:space="preserve">, 2016; North </w:t>
      </w:r>
      <w:r w:rsidR="00EB4A84" w:rsidRPr="00EB4A84">
        <w:rPr>
          <w:rFonts w:cstheme="minorHAnsi"/>
          <w:i/>
          <w:noProof/>
        </w:rPr>
        <w:t>et al.</w:t>
      </w:r>
      <w:r w:rsidR="00EB4A84" w:rsidRPr="00EB4A84">
        <w:rPr>
          <w:rFonts w:cstheme="minorHAnsi"/>
          <w:noProof/>
        </w:rPr>
        <w:t>, 2021)</w:t>
      </w:r>
      <w:r w:rsidR="00CB550D">
        <w:rPr>
          <w:rFonts w:cstheme="minorHAnsi"/>
        </w:rPr>
        <w:fldChar w:fldCharType="end"/>
      </w:r>
      <w:r w:rsidR="006E2387" w:rsidRPr="00F30BF0">
        <w:rPr>
          <w:rFonts w:cstheme="minorHAnsi"/>
        </w:rPr>
        <w:t>. Our findings, and other studies examining the effects of prescribed fire on sugar pine mortality</w:t>
      </w:r>
      <w:r w:rsidR="00213912" w:rsidRPr="00F30BF0">
        <w:rPr>
          <w:rFonts w:cstheme="minorHAnsi"/>
        </w:rPr>
        <w:t xml:space="preserve"> </w:t>
      </w:r>
      <w:r w:rsidR="00CB550D">
        <w:rPr>
          <w:rFonts w:cstheme="minorHAnsi"/>
        </w:rPr>
        <w:fldChar w:fldCharType="begin" w:fldLock="1"/>
      </w:r>
      <w:r w:rsidR="00021D10">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D.","non-dropping-particle":"","parse-names":false,"suffix":""}],"container-title":"Ecosphere","id":"ITEM-2","issue":"January","issued":{"date-parts":[["2021"]]},"title":"Do Forest Fuel Reduction Treatments Confer Resistance to Beetle Infestation and Drought Mortality?","type":"article-journal","volume":"12"},"uris":["http://www.mendeley.com/documents/?uuid=27f300f3-6aa3-4e67-9ff2-302a5568e9e8"]}],"mendeley":{"formattedCitation":"(Van Mantgem &lt;i&gt;et al.&lt;/i&gt;, 2004; Steel &lt;i&gt;et al.&lt;/i&gt;, 2021)","plainTextFormattedCitation":"(Van Mantgem et al., 2004; Steel et al., 2021)","previouslyFormattedCitation":"(Van Mantgem &lt;i&gt;et al.&lt;/i&gt;, 2004; Steel &lt;i&gt;et al.&lt;/i&gt;, 2021)"},"properties":{"noteIndex":0},"schema":"https://github.com/citation-style-language/schema/raw/master/csl-citation.json"}</w:instrText>
      </w:r>
      <w:r w:rsidR="00CB550D">
        <w:rPr>
          <w:rFonts w:cstheme="minorHAnsi"/>
        </w:rPr>
        <w:fldChar w:fldCharType="separate"/>
      </w:r>
      <w:r w:rsidR="00021D10" w:rsidRPr="00021D10">
        <w:rPr>
          <w:rFonts w:cstheme="minorHAnsi"/>
          <w:noProof/>
        </w:rPr>
        <w:t xml:space="preserve">(Van Mantgem </w:t>
      </w:r>
      <w:r w:rsidR="00021D10" w:rsidRPr="00021D10">
        <w:rPr>
          <w:rFonts w:cstheme="minorHAnsi"/>
          <w:i/>
          <w:noProof/>
        </w:rPr>
        <w:t>et al.</w:t>
      </w:r>
      <w:r w:rsidR="00021D10" w:rsidRPr="00021D10">
        <w:rPr>
          <w:rFonts w:cstheme="minorHAnsi"/>
          <w:noProof/>
        </w:rPr>
        <w:t xml:space="preserve">, 2004; Steel </w:t>
      </w:r>
      <w:r w:rsidR="00021D10" w:rsidRPr="00021D10">
        <w:rPr>
          <w:rFonts w:cstheme="minorHAnsi"/>
          <w:i/>
          <w:noProof/>
        </w:rPr>
        <w:t>et al.</w:t>
      </w:r>
      <w:r w:rsidR="00021D10" w:rsidRPr="00021D10">
        <w:rPr>
          <w:rFonts w:cstheme="minorHAnsi"/>
          <w:noProof/>
        </w:rPr>
        <w:t>, 2021)</w:t>
      </w:r>
      <w:r w:rsidR="00CB550D">
        <w:rPr>
          <w:rFonts w:cstheme="minorHAnsi"/>
        </w:rPr>
        <w:fldChar w:fldCharType="end"/>
      </w:r>
      <w:r w:rsidR="006E2387" w:rsidRPr="00F30BF0">
        <w:rPr>
          <w:rFonts w:cstheme="minorHAnsi"/>
        </w:rPr>
        <w:t xml:space="preserve">, suggest that </w:t>
      </w:r>
      <w:r w:rsidR="00213912" w:rsidRPr="00F30BF0">
        <w:rPr>
          <w:rFonts w:cstheme="minorHAnsi"/>
        </w:rPr>
        <w:t>managers should be deliberate in their application of prescribed fire to reduce wildfire hazard</w:t>
      </w:r>
      <w:r w:rsidR="0046219E" w:rsidRPr="00F30BF0">
        <w:rPr>
          <w:rFonts w:cstheme="minorHAnsi"/>
        </w:rPr>
        <w:t xml:space="preserve"> and consider</w:t>
      </w:r>
      <w:r w:rsidR="00504371" w:rsidRPr="00F30BF0">
        <w:rPr>
          <w:rFonts w:cstheme="minorHAnsi"/>
        </w:rPr>
        <w:t xml:space="preserve"> </w:t>
      </w:r>
      <w:r w:rsidR="00021D10">
        <w:rPr>
          <w:rFonts w:cstheme="minorHAnsi"/>
        </w:rPr>
        <w:t xml:space="preserve">measures such as raking or local density reduction </w:t>
      </w:r>
      <w:r w:rsidR="00504371" w:rsidRPr="00F30BF0">
        <w:rPr>
          <w:rFonts w:cstheme="minorHAnsi"/>
        </w:rPr>
        <w:t xml:space="preserve">to protect individual trees where pre-fire fuels are abundant </w:t>
      </w:r>
      <w:r w:rsidR="00CB550D">
        <w:rPr>
          <w:rFonts w:cstheme="minorHAnsi"/>
        </w:rPr>
        <w:fldChar w:fldCharType="begin" w:fldLock="1"/>
      </w:r>
      <w:r w:rsidR="00B23450">
        <w:rPr>
          <w:rFonts w:cstheme="minorHAnsi"/>
        </w:rPr>
        <w:instrText>ADDIN CSL_CITATION {"citationItems":[{"id":"ITEM-1","itemData":{"DOI":"10.4996/fireecology.0603097","ISSN":"19339747","abstract":"Prescribed fire is an important tool for fuel reduction, the control of competing vegetation, and forest restoration. The accumulated fuels associated with historical fire exclusion can cause undesirably high tree mortality rates following prescribed fires and wildfires. This is especially true for sugar pine (Pinus lambertiana Douglas), which is already negatively affected by the introduced pathogen white pine blister rust (Cronartium ribicola J.C. Fisch. ex Rabenh). We tested the efficacy of raking away fuels around the base of sugar pine to reduce mortality following prescribed fire in Sequoia and Kings Canyon national parks, California, USA. This study was conducted in three prescribed fires and included 457 trees, half of which had the fuels around their bases raked away to mineral soil to 0.5 m away from the stem. Fire effects were assessed and tree mortality was recorded for three years after prescribed fires. Overall, raking had no detectable effect on mortality: raked trees averaged 30 % mortality compared to 36 % for unraked trees. There was a significant effect, however, between the interaction of raking and average pre-treatment forest floor fuel depth: the predicted probability of survival of a 50 cm dbh tree was 0.94 vs. 0.96 when average pre-treatment fuel depth was 0 cm for a raked and unraked tree, respectively. When average pre-treatment forest floor fuel depth was 30 cm, the predicted probability of survival for a raked 50 cm dbh tree was 0.60 compared to only 0.07 for an unraked tree. Raking did not affect mortality when fire intensity, measured as percent crown volume scorched, was very low (0 % scorch) or very high (&gt;80 % scorch), but the raking treatment significantly increased the proportion of trees that survived by 9.6 % for trees that burned under moderate fire intensity (1 % to 80 % scorch). Raking significantly reduced the likelihood of bole charring and bark beetle activity three years post fire. Fuel depth and anticipated fire intensity need to be accounted for to maximize the effectiveness of the treatments. Raking is an important management option to reduce tree mortality from prescribed fire, but is most effective under specific fuel and burning conditions.","author":[{"dropping-particle":"","family":"Nesmith","given":"Jonathan C.B.","non-dropping-particle":"","parse-names":false,"suffix":""},{"dropping-particle":"","family":"O'Hara","given":"Kevin L.","non-dropping-particle":"","parse-names":false,"suffix":""},{"dropping-particle":"","family":"Mantgem","given":"Phillip J.","non-dropping-particle":"van","parse-names":false,"suffix":""},{"dropping-particle":"","family":"Valpine","given":"Perry","non-dropping-particle":"de","parse-names":false,"suffix":""}],"container-title":"Fire Ecology","id":"ITEM-1","issue":"3","issued":{"date-parts":[["2010"]]},"page":"97-116","title":"The effects of raking on sugar pine mortality following prescribed fire in sequoia and kings canyon national parks, California, USA","type":"article-journal","volume":"6"},"uris":["http://www.mendeley.com/documents/?uuid=91857416-acb2-4d75-832b-dd4e289658a4"]},{"id":"ITEM-2","itemData":{"DOI":"10.1002/eap.2507","ISSN":"1051-0761","abstract":"In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Applications","id":"ITEM-2","issue":"June 2021","issued":{"date-parts":[["2021"]]},"page":"1-14","title":"Crowding, climate, and the case for social distancing among trees","type":"article-journal"},"uris":["http://www.mendeley.com/documents/?uuid=923f9f80-0634-4566-ac74-bb9eb698fef4"]}],"mendeley":{"formattedCitation":"(Nesmith &lt;i&gt;et al.&lt;/i&gt;, 2010; Furniss &lt;i&gt;et al.&lt;/i&gt;, 2021)","plainTextFormattedCitation":"(Nesmith et al., 2010; Furniss et al., 2021)","previouslyFormattedCitation":"(Nesmith &lt;i&gt;et al.&lt;/i&gt;, 2010; Furniss &lt;i&gt;et al.&lt;/i&gt;, 2021)"},"properties":{"noteIndex":0},"schema":"https://github.com/citation-style-language/schema/raw/master/csl-citation.json"}</w:instrText>
      </w:r>
      <w:r w:rsidR="00CB550D">
        <w:rPr>
          <w:rFonts w:cstheme="minorHAnsi"/>
        </w:rPr>
        <w:fldChar w:fldCharType="separate"/>
      </w:r>
      <w:r w:rsidR="00021D10" w:rsidRPr="00021D10">
        <w:rPr>
          <w:rFonts w:cstheme="minorHAnsi"/>
          <w:noProof/>
        </w:rPr>
        <w:t xml:space="preserve">(Nesmith </w:t>
      </w:r>
      <w:r w:rsidR="00021D10" w:rsidRPr="00021D10">
        <w:rPr>
          <w:rFonts w:cstheme="minorHAnsi"/>
          <w:i/>
          <w:noProof/>
        </w:rPr>
        <w:t>et al.</w:t>
      </w:r>
      <w:r w:rsidR="00021D10" w:rsidRPr="00021D10">
        <w:rPr>
          <w:rFonts w:cstheme="minorHAnsi"/>
          <w:noProof/>
        </w:rPr>
        <w:t xml:space="preserve">, 2010; Furniss </w:t>
      </w:r>
      <w:r w:rsidR="00021D10" w:rsidRPr="00021D10">
        <w:rPr>
          <w:rFonts w:cstheme="minorHAnsi"/>
          <w:i/>
          <w:noProof/>
        </w:rPr>
        <w:t>et al.</w:t>
      </w:r>
      <w:r w:rsidR="00021D10" w:rsidRPr="00021D10">
        <w:rPr>
          <w:rFonts w:cstheme="minorHAnsi"/>
          <w:noProof/>
        </w:rPr>
        <w:t>, 2021)</w:t>
      </w:r>
      <w:r w:rsidR="00CB550D">
        <w:rPr>
          <w:rFonts w:cstheme="minorHAnsi"/>
        </w:rPr>
        <w:fldChar w:fldCharType="end"/>
      </w:r>
      <w:r w:rsidR="00504371" w:rsidRPr="00F30BF0">
        <w:rPr>
          <w:rFonts w:cstheme="minorHAnsi"/>
        </w:rPr>
        <w:t xml:space="preserve">. </w:t>
      </w:r>
      <w:r w:rsidR="0046219E" w:rsidRPr="00F30BF0">
        <w:rPr>
          <w:rFonts w:cstheme="minorHAnsi"/>
        </w:rPr>
        <w:t xml:space="preserve">Mechanical fuel treatments will provide some protection from wildfire and </w:t>
      </w:r>
      <w:r w:rsidR="002F38CC">
        <w:rPr>
          <w:rFonts w:cstheme="minorHAnsi"/>
        </w:rPr>
        <w:t>can be</w:t>
      </w:r>
      <w:r w:rsidR="0046219E" w:rsidRPr="00F30BF0">
        <w:rPr>
          <w:rFonts w:cstheme="minorHAnsi"/>
        </w:rPr>
        <w:t xml:space="preserve"> </w:t>
      </w:r>
      <w:commentRangeStart w:id="71"/>
      <w:r w:rsidR="0046219E" w:rsidRPr="00F30BF0">
        <w:rPr>
          <w:rFonts w:cstheme="minorHAnsi"/>
        </w:rPr>
        <w:t xml:space="preserve">applied </w:t>
      </w:r>
      <w:r w:rsidR="002F38CC">
        <w:rPr>
          <w:rFonts w:cstheme="minorHAnsi"/>
        </w:rPr>
        <w:t>in combination with</w:t>
      </w:r>
      <w:r w:rsidR="0046219E" w:rsidRPr="00F30BF0">
        <w:rPr>
          <w:rFonts w:cstheme="minorHAnsi"/>
        </w:rPr>
        <w:t xml:space="preserve"> timber harvests</w:t>
      </w:r>
      <w:commentRangeEnd w:id="71"/>
      <w:r w:rsidR="00832E90">
        <w:rPr>
          <w:rStyle w:val="CommentReference"/>
        </w:rPr>
        <w:commentReference w:id="71"/>
      </w:r>
      <w:r w:rsidR="0046219E" w:rsidRPr="00F30BF0">
        <w:rPr>
          <w:rFonts w:cstheme="minorHAnsi"/>
        </w:rPr>
        <w:t xml:space="preserve">, for a dual benefit of reducing wildfire hazard and competition </w:t>
      </w:r>
      <w:r w:rsidR="00CB550D">
        <w:rPr>
          <w:rFonts w:cstheme="minorHAnsi"/>
        </w:rPr>
        <w:fldChar w:fldCharType="begin" w:fldLock="1"/>
      </w:r>
      <w:r w:rsidR="002C19B3">
        <w:rPr>
          <w:rFonts w:cstheme="minorHAnsi"/>
        </w:rPr>
        <w:instrText>ADDIN CSL_CITATION {"citationItems":[{"id":"ITEM-1","itemData":{"DOI":"10.1890/14-0971.1","abstract":"Fuel treatment implementation in dry forest types throughout the western United States is likely to increase in pace and scale in response to increasing incidence of large wildfires. While it is clear that properly implemented fuel treatments are effective at reducing hazardous fire potential, there are ancillary ecological effects that can impact forest resilience either positively or negatively depending on the specific elements examined, as well as treatment type, timing, and intensity. In this study, we use overstory tree growth responses, measured seven years after the most common fuel treatments, to estimate forest health. Across the five species analyzed, observed mortality and future vulnerability were consistently low in the mechanical- only treatment. Fire-only was similar to the control for all species except Douglas-fir, while mechanical-plus-fire had high observed mortality and future vulnerability for white fir and sugar pine. Given that overstory trees largely dictate the function of forests and services they provide (e.g., wildlife habitat, carbon sequestration, soil stability) these results have implications for understanding longer-term impacts of common fuel treatments on forest resilience.","author":[{"dropping-particle":"","family":"Collins","given":"B. M.","non-dropping-particle":"","parse-names":false,"suffix":""},{"dropping-particle":"","family":"Das","given":"Adrian J.","non-dropping-particle":"","parse-names":false,"suffix":""},{"dropping-particle":"","family":"Battles","given":"John J","non-dropping-particle":"","parse-names":false,"suffix":""},{"dropping-particle":"","family":"Fry","given":"Danny L.","non-dropping-particle":"","parse-names":false,"suffix":""},{"dropping-particle":"","family":"Krasnow","given":"Kevin D.","non-dropping-particle":"","parse-names":false,"suffix":""},{"dropping-particle":"","family":"Stephens","given":"Scott L.","non-dropping-particle":"","parse-names":false,"suffix":""}],"container-title":"Ecological Applications","id":"ITEM-1","issue":"8","issued":{"date-parts":[["2014"]]},"page":"1879-1886","title":"Beyond Reducing Fire Hazard","type":"article-journal","volume":"24"},"uris":["http://www.mendeley.com/documents/?uuid=5d441a06-fa7d-41bd-a013-5a6bab0ce109"]},{"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USA","type":"article-journal","volume":"29"},"uris":["http://www.mendeley.com/documents/?uuid=fab20f86-8948-4d2c-85ba-9a0ff200ff1e"]}],"mendeley":{"formattedCitation":"(Collins &lt;i&gt;et al.&lt;/i&gt;, 2014; Restaino &lt;i&gt;et al.&lt;/i&gt;, 2019)","plainTextFormattedCitation":"(Collins et al., 2014; Restaino et al., 2019)","previouslyFormattedCitation":"(Collins &lt;i&gt;et al.&lt;/i&gt;, 2014; Restaino &lt;i&gt;et al.&lt;/i&gt;, 2019)"},"properties":{"noteIndex":0},"schema":"https://github.com/citation-style-language/schema/raw/master/csl-citation.json"}</w:instrText>
      </w:r>
      <w:r w:rsidR="00CB550D">
        <w:rPr>
          <w:rFonts w:cstheme="minorHAnsi"/>
        </w:rPr>
        <w:fldChar w:fldCharType="separate"/>
      </w:r>
      <w:r w:rsidR="00EB4A84" w:rsidRPr="00EB4A84">
        <w:rPr>
          <w:rFonts w:cstheme="minorHAnsi"/>
          <w:noProof/>
        </w:rPr>
        <w:t xml:space="preserve">(Collins </w:t>
      </w:r>
      <w:r w:rsidR="00EB4A84" w:rsidRPr="00EB4A84">
        <w:rPr>
          <w:rFonts w:cstheme="minorHAnsi"/>
          <w:i/>
          <w:noProof/>
        </w:rPr>
        <w:t>et al.</w:t>
      </w:r>
      <w:r w:rsidR="00EB4A84" w:rsidRPr="00EB4A84">
        <w:rPr>
          <w:rFonts w:cstheme="minorHAnsi"/>
          <w:noProof/>
        </w:rPr>
        <w:t xml:space="preserve">, 2014; Restaino </w:t>
      </w:r>
      <w:r w:rsidR="00EB4A84" w:rsidRPr="00EB4A84">
        <w:rPr>
          <w:rFonts w:cstheme="minorHAnsi"/>
          <w:i/>
          <w:noProof/>
        </w:rPr>
        <w:t>et al.</w:t>
      </w:r>
      <w:r w:rsidR="00EB4A84" w:rsidRPr="00EB4A84">
        <w:rPr>
          <w:rFonts w:cstheme="minorHAnsi"/>
          <w:noProof/>
        </w:rPr>
        <w:t>, 2019)</w:t>
      </w:r>
      <w:r w:rsidR="00CB550D">
        <w:rPr>
          <w:rFonts w:cstheme="minorHAnsi"/>
        </w:rPr>
        <w:fldChar w:fldCharType="end"/>
      </w:r>
      <w:r w:rsidR="0046219E" w:rsidRPr="00F30BF0">
        <w:rPr>
          <w:rFonts w:cstheme="minorHAnsi"/>
        </w:rPr>
        <w:t xml:space="preserve">. On burned landscapes, managers can take advantage of established programs producing WPBR-resistant seedlings </w:t>
      </w:r>
      <w:r w:rsidR="00277ED1" w:rsidRPr="00F30BF0">
        <w:rPr>
          <w:rFonts w:cstheme="minorHAnsi"/>
        </w:rPr>
        <w:t xml:space="preserve">in reforestation efforts aimed at restoring sugar pine on landscapes impacted by high severity fire </w:t>
      </w:r>
      <w:r w:rsidR="00EB4A84">
        <w:rPr>
          <w:rFonts w:cstheme="minorHAnsi"/>
        </w:rPr>
        <w:fldChar w:fldCharType="begin" w:fldLock="1"/>
      </w:r>
      <w:r w:rsidR="002C19B3">
        <w:rPr>
          <w:rFonts w:cstheme="minorHAnsi"/>
        </w:rPr>
        <w:instrText>ADDIN CSL_CITATION {"citationItems":[{"id":"ITEM-1","itemData":{"author":[{"dropping-particle":"","family":"Kinloch","given":"B B","non-dropping-particle":"","parse-names":false,"suffix":""},{"dropping-particle":"","family":"Sniezko","given":"R A","non-dropping-particle":"","parse-names":false,"suffix":""},{"dropping-particle":"","family":"Savin","given":"D P","non-dropping-particle":"","parse-names":false,"suffix":""},{"dropping-particle":"","family":"Danchok","given":"R","non-dropping-particle":"","parse-names":false,"suffix":""},{"dropping-particle":"","family":"Kegley","given":"A","non-dropping-particle":"","parse-names":false,"suffix":""}],"container-title":"Schoettle, Anna W.; Sniezko, Richard A.; Kliejunas, John T., eds. 2018. Proceedings of the IUFRO joint conference: Genetics of five-needle pines, rusts of forest trees, and Strobusphere; 2014 June 15–20; Fort Collins, CO. Proc. RMRS-P-76. Fort Collins, CO","id":"ITEM-1","issued":{"date-parts":[["2018"]]},"page":"124-128","title":"Patterns of Variation in Blister Rust Resistance in Sugar Pine ( Pinus lambertiana )","type":"paper-conference"},"uris":["http://www.mendeley.com/documents/?uuid=bc10b7dc-0889-45c9-96ba-82c65d7a265d"]}],"mendeley":{"formattedCitation":"(Kinloch &lt;i&gt;et al.&lt;/i&gt;, 2018)","plainTextFormattedCitation":"(Kinloch et al., 2018)","previouslyFormattedCitation":"(Kinloch &lt;i&gt;et al.&lt;/i&gt;, 2018)"},"properties":{"noteIndex":0},"schema":"https://github.com/citation-style-language/schema/raw/master/csl-citation.json"}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(Kinloch </w:t>
      </w:r>
      <w:r w:rsidR="00EB4A84" w:rsidRPr="00EB4A84">
        <w:rPr>
          <w:rFonts w:cstheme="minorHAnsi"/>
          <w:i/>
          <w:noProof/>
        </w:rPr>
        <w:t>et al.</w:t>
      </w:r>
      <w:r w:rsidR="00EB4A84" w:rsidRPr="00EB4A84">
        <w:rPr>
          <w:rFonts w:cstheme="minorHAnsi"/>
          <w:noProof/>
        </w:rPr>
        <w:t>, 2018)</w:t>
      </w:r>
      <w:r w:rsidR="00EB4A84">
        <w:rPr>
          <w:rFonts w:cstheme="minorHAnsi"/>
        </w:rPr>
        <w:fldChar w:fldCharType="end"/>
      </w:r>
      <w:r w:rsidR="00277ED1" w:rsidRPr="00F30BF0">
        <w:rPr>
          <w:rFonts w:cstheme="minorHAnsi"/>
        </w:rPr>
        <w:t xml:space="preserve">. Investments in artificial regeneration should likewise be made deliberately and secured with follow up treatments for wildfire hazard </w:t>
      </w:r>
      <w:r w:rsidR="00EB4A84">
        <w:rPr>
          <w:rFonts w:cstheme="minorHAnsi"/>
        </w:rPr>
        <w:fldChar w:fldCharType="begin" w:fldLock="1"/>
      </w:r>
      <w:r w:rsidR="002C19B3">
        <w:rPr>
          <w:rFonts w:cstheme="minorHAnsi"/>
        </w:rPr>
        <w:instrText>ADDIN CSL_CITATION {"citationItems":[{"id":"ITEM-1","itemData":{"DOI":"10.1016/j.foreco.2018.09.007","ISBN":"9781594770913","ISSN":"03781127","abstract":"The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Management","id":"ITEM-1","issue":"July 2018","issued":{"date-parts":[["2019"]]},"page":"209-224","title":"Tamm Review: Reforestation for resilience in dry western U.S. forests","type":"article-journal","volume":"432"},"uris":["http://www.mendeley.com/documents/?uuid=4ca71152-bbb4-4682-9438-f468bbf36faf"]}],"mendeley":{"formattedCitation":"(North &lt;i&gt;et al.&lt;/i&gt;, 2019)","plainTextFormattedCitation":"(North et al., 2019)","previouslyFormattedCitation":"(North &lt;i&gt;et al.&lt;/i&gt;, 2019)"},"properties":{"noteIndex":0},"schema":"https://github.com/citation-style-language/schema/raw/master/csl-citation.json"}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(North </w:t>
      </w:r>
      <w:r w:rsidR="00EB4A84" w:rsidRPr="00EB4A84">
        <w:rPr>
          <w:rFonts w:cstheme="minorHAnsi"/>
          <w:i/>
          <w:noProof/>
        </w:rPr>
        <w:t>et al.</w:t>
      </w:r>
      <w:r w:rsidR="00EB4A84" w:rsidRPr="00EB4A84">
        <w:rPr>
          <w:rFonts w:cstheme="minorHAnsi"/>
          <w:noProof/>
        </w:rPr>
        <w:t>, 2019)</w:t>
      </w:r>
      <w:r w:rsidR="00EB4A84">
        <w:rPr>
          <w:rFonts w:cstheme="minorHAnsi"/>
        </w:rPr>
        <w:fldChar w:fldCharType="end"/>
      </w:r>
      <w:r w:rsidR="00277ED1" w:rsidRPr="00F30BF0">
        <w:rPr>
          <w:rFonts w:cstheme="minorHAnsi"/>
        </w:rPr>
        <w:t xml:space="preserve"> and pruning to limit the effects of WPBR </w:t>
      </w:r>
      <w:r w:rsidR="00EB4A84">
        <w:rPr>
          <w:rFonts w:cstheme="minorHAnsi"/>
        </w:rPr>
        <w:fldChar w:fldCharType="begin" w:fldLock="1"/>
      </w:r>
      <w:r w:rsidR="002C19B3">
        <w:rPr>
          <w:rFonts w:cstheme="minorHAnsi"/>
        </w:rPr>
        <w:instrText>ADDIN CSL_CITATION {"citationItems":[{"id":"ITEM-1","itemData":{"author":[{"dropping-particle":"","family":"Bronson","given":"J","non-dropping-particle":"","parse-names":false,"suffix":""},{"dropping-particle":"","family":"Petrick","given":"J","non-dropping-particle":"","parse-names":false,"suffix":""},{"dropping-particle":"","family":"Danchok","given":"R","non-dropping-particle":"","parse-names":false,"suffix":""}],"id":"ITEM-1","issued":{"date-parts":[["2018"]]},"page":"205-208","title":"Efficacy of Early Pruning to Reduce the Incidence of White Pine Blister Rust on Sugar Pine ( Pinus lambertiana )","type":"article-journal"},"uris":["http://www.mendeley.com/documents/?uuid=33d2d0eb-5d50-4613-bfc1-c02e7d341a31"]}],"mendeley":{"formattedCitation":"(Bronson, Petrick and Danchok, 2018)","plainTextFormattedCitation":"(Bronson, Petrick and Danchok, 2018)","previouslyFormattedCitation":"(Bronson, Petrick and Danchok, 2018)"},"properties":{"noteIndex":0},"schema":"https://github.com/citation-style-language/schema/raw/master/csl-citation.json"}</w:instrText>
      </w:r>
      <w:r w:rsidR="00EB4A84">
        <w:rPr>
          <w:rFonts w:cstheme="minorHAnsi"/>
        </w:rPr>
        <w:fldChar w:fldCharType="separate"/>
      </w:r>
      <w:r w:rsidR="00EB4A84" w:rsidRPr="00EB4A84">
        <w:rPr>
          <w:rFonts w:cstheme="minorHAnsi"/>
          <w:noProof/>
        </w:rPr>
        <w:t>(Bronson, Petrick and Danchok, 2018)</w:t>
      </w:r>
      <w:r w:rsidR="00EB4A84">
        <w:rPr>
          <w:rFonts w:cstheme="minorHAnsi"/>
        </w:rPr>
        <w:fldChar w:fldCharType="end"/>
      </w:r>
      <w:r w:rsidR="00277ED1" w:rsidRPr="00F30BF0">
        <w:rPr>
          <w:rFonts w:cstheme="minorHAnsi"/>
        </w:rPr>
        <w:t xml:space="preserve">. </w:t>
      </w:r>
      <w:commentRangeStart w:id="72"/>
      <w:r w:rsidR="0021575D" w:rsidRPr="00F30BF0">
        <w:rPr>
          <w:rFonts w:cstheme="minorHAnsi"/>
        </w:rPr>
        <w:t xml:space="preserve">The findings of this study indicate that managers can substantially benefit sugar pine populations by investing resources in addressing the tractable challenges posed by fire, densification, and white pine blister </w:t>
      </w:r>
      <w:commentRangeStart w:id="73"/>
      <w:r w:rsidR="0021575D" w:rsidRPr="00F30BF0">
        <w:rPr>
          <w:rFonts w:cstheme="minorHAnsi"/>
        </w:rPr>
        <w:t>rust</w:t>
      </w:r>
      <w:commentRangeEnd w:id="73"/>
      <w:r w:rsidR="00832E90">
        <w:rPr>
          <w:rStyle w:val="CommentReference"/>
        </w:rPr>
        <w:commentReference w:id="73"/>
      </w:r>
      <w:r w:rsidR="0021575D" w:rsidRPr="00F30BF0">
        <w:rPr>
          <w:rFonts w:cstheme="minorHAnsi"/>
        </w:rPr>
        <w:t>.</w:t>
      </w:r>
      <w:commentRangeEnd w:id="72"/>
      <w:r w:rsidR="002626E1">
        <w:rPr>
          <w:rStyle w:val="CommentReference"/>
        </w:rPr>
        <w:commentReference w:id="72"/>
      </w:r>
    </w:p>
    <w:p w14:paraId="36A15EFE" w14:textId="393E695D" w:rsidR="00EB4A84" w:rsidRDefault="0038352F" w:rsidP="00277ED1">
      <w:pPr>
        <w:spacing w:line="360" w:lineRule="auto"/>
        <w:rPr>
          <w:rFonts w:cstheme="minorHAnsi"/>
          <w:sz w:val="20"/>
          <w:szCs w:val="20"/>
        </w:rPr>
      </w:pPr>
      <w:r>
        <w:rPr>
          <w:rFonts w:cstheme="minorHAnsi"/>
          <w:sz w:val="20"/>
          <w:szCs w:val="20"/>
        </w:rPr>
        <w:t xml:space="preserve"> </w:t>
      </w:r>
    </w:p>
    <w:p w14:paraId="2A5CD66D" w14:textId="77777777" w:rsidR="00EB4A84" w:rsidRDefault="00EB4A84">
      <w:pPr>
        <w:rPr>
          <w:rFonts w:cstheme="minorHAnsi"/>
          <w:sz w:val="20"/>
          <w:szCs w:val="20"/>
        </w:rPr>
      </w:pPr>
      <w:r>
        <w:rPr>
          <w:rFonts w:cstheme="minorHAnsi"/>
          <w:sz w:val="20"/>
          <w:szCs w:val="20"/>
        </w:rPr>
        <w:br w:type="page"/>
      </w:r>
    </w:p>
    <w:p w14:paraId="600BA178" w14:textId="7C3B7446" w:rsidR="00277ED1" w:rsidRDefault="00EB4A84" w:rsidP="00EB4A84">
      <w:pPr>
        <w:pStyle w:val="Heading1"/>
        <w:rPr>
          <w:rFonts w:eastAsia="AR PL SungtiL GB"/>
          <w:lang w:eastAsia="zh-CN" w:bidi="hi-IN"/>
        </w:rPr>
      </w:pPr>
      <w:r>
        <w:rPr>
          <w:rFonts w:eastAsia="AR PL SungtiL GB"/>
          <w:lang w:eastAsia="zh-CN" w:bidi="hi-IN"/>
        </w:rPr>
        <w:lastRenderedPageBreak/>
        <w:t>References</w:t>
      </w:r>
    </w:p>
    <w:p w14:paraId="321E349C" w14:textId="0A70792E" w:rsidR="00346542" w:rsidRPr="00346542" w:rsidRDefault="00EB4A84" w:rsidP="00346542">
      <w:pPr>
        <w:widowControl w:val="0"/>
        <w:autoSpaceDE w:val="0"/>
        <w:autoSpaceDN w:val="0"/>
        <w:adjustRightInd w:val="0"/>
        <w:spacing w:line="240" w:lineRule="auto"/>
        <w:rPr>
          <w:rFonts w:ascii="Calibri" w:hAnsi="Calibri" w:cs="Calibri"/>
          <w:noProof/>
          <w:szCs w:val="24"/>
        </w:rPr>
      </w:pPr>
      <w:r>
        <w:rPr>
          <w:lang w:eastAsia="zh-CN" w:bidi="hi-IN"/>
        </w:rPr>
        <w:fldChar w:fldCharType="begin" w:fldLock="1"/>
      </w:r>
      <w:r>
        <w:rPr>
          <w:lang w:eastAsia="zh-CN" w:bidi="hi-IN"/>
        </w:rPr>
        <w:instrText xml:space="preserve">ADDIN Mendeley Bibliography CSL_BIBLIOGRAPHY </w:instrText>
      </w:r>
      <w:r>
        <w:rPr>
          <w:lang w:eastAsia="zh-CN" w:bidi="hi-IN"/>
        </w:rPr>
        <w:fldChar w:fldCharType="separate"/>
      </w:r>
      <w:r w:rsidR="00346542" w:rsidRPr="00346542">
        <w:rPr>
          <w:rFonts w:ascii="Calibri" w:hAnsi="Calibri" w:cs="Calibri"/>
          <w:noProof/>
          <w:szCs w:val="24"/>
        </w:rPr>
        <w:t xml:space="preserve">Abatzoglou, J. T. </w:t>
      </w:r>
      <w:r w:rsidR="00346542" w:rsidRPr="00346542">
        <w:rPr>
          <w:rFonts w:ascii="Calibri" w:hAnsi="Calibri" w:cs="Calibri"/>
          <w:i/>
          <w:iCs/>
          <w:noProof/>
          <w:szCs w:val="24"/>
        </w:rPr>
        <w:t>et al.</w:t>
      </w:r>
      <w:r w:rsidR="00346542" w:rsidRPr="00346542">
        <w:rPr>
          <w:rFonts w:ascii="Calibri" w:hAnsi="Calibri" w:cs="Calibri"/>
          <w:noProof/>
          <w:szCs w:val="24"/>
        </w:rPr>
        <w:t xml:space="preserve"> (2018) ‘TerraClimate, a high-resolution global dataset of monthly climate and climatic water balance from 1958-2015’, </w:t>
      </w:r>
      <w:r w:rsidR="00346542" w:rsidRPr="00346542">
        <w:rPr>
          <w:rFonts w:ascii="Calibri" w:hAnsi="Calibri" w:cs="Calibri"/>
          <w:i/>
          <w:iCs/>
          <w:noProof/>
          <w:szCs w:val="24"/>
        </w:rPr>
        <w:t>Scientific Data</w:t>
      </w:r>
      <w:r w:rsidR="00346542" w:rsidRPr="00346542">
        <w:rPr>
          <w:rFonts w:ascii="Calibri" w:hAnsi="Calibri" w:cs="Calibri"/>
          <w:noProof/>
          <w:szCs w:val="24"/>
        </w:rPr>
        <w:t>, 5, pp. 1–12. doi: 10.1038/sdata.2017.191.</w:t>
      </w:r>
    </w:p>
    <w:p w14:paraId="4BD522A2"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Aitken, S. N. and Whitlock, M. C. (2013) ‘Assisted Gene Flow to Facilitate Local Adaptation to Climate Change’, </w:t>
      </w:r>
      <w:r w:rsidRPr="00346542">
        <w:rPr>
          <w:rFonts w:ascii="Calibri" w:hAnsi="Calibri" w:cs="Calibri"/>
          <w:i/>
          <w:iCs/>
          <w:noProof/>
          <w:szCs w:val="24"/>
        </w:rPr>
        <w:t>Annual Review of Ecology, evolution, and Systematics</w:t>
      </w:r>
      <w:r w:rsidRPr="00346542">
        <w:rPr>
          <w:rFonts w:ascii="Calibri" w:hAnsi="Calibri" w:cs="Calibri"/>
          <w:noProof/>
          <w:szCs w:val="24"/>
        </w:rPr>
        <w:t>, 44, pp. 367–88. doi: 10.1146/annurev-ecolsys-110512-135747.</w:t>
      </w:r>
    </w:p>
    <w:p w14:paraId="4A9E7226"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Alizadeh, M. R. </w:t>
      </w:r>
      <w:r w:rsidRPr="00346542">
        <w:rPr>
          <w:rFonts w:ascii="Calibri" w:hAnsi="Calibri" w:cs="Calibri"/>
          <w:i/>
          <w:iCs/>
          <w:noProof/>
          <w:szCs w:val="24"/>
        </w:rPr>
        <w:t>et al.</w:t>
      </w:r>
      <w:r w:rsidRPr="00346542">
        <w:rPr>
          <w:rFonts w:ascii="Calibri" w:hAnsi="Calibri" w:cs="Calibri"/>
          <w:noProof/>
          <w:szCs w:val="24"/>
        </w:rPr>
        <w:t xml:space="preserve"> (2021) ‘Warming enabled upslope advance in western US forest fires’, </w:t>
      </w:r>
      <w:r w:rsidRPr="00346542">
        <w:rPr>
          <w:rFonts w:ascii="Calibri" w:hAnsi="Calibri" w:cs="Calibri"/>
          <w:i/>
          <w:iCs/>
          <w:noProof/>
          <w:szCs w:val="24"/>
        </w:rPr>
        <w:t>Proceedings of the National Academy of Sciences of the United States of America</w:t>
      </w:r>
      <w:r w:rsidRPr="00346542">
        <w:rPr>
          <w:rFonts w:ascii="Calibri" w:hAnsi="Calibri" w:cs="Calibri"/>
          <w:noProof/>
          <w:szCs w:val="24"/>
        </w:rPr>
        <w:t>, 118(22), pp. 1–14. doi: 10.1073/pnas.2009717118.</w:t>
      </w:r>
    </w:p>
    <w:p w14:paraId="3B8DF8B7"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Angell, N., Waring, K. M. and Graves, T. A. (2014) ‘Predicting height growth of sugar pine regeneration using stand and individual tree characteristics’, </w:t>
      </w:r>
      <w:r w:rsidRPr="00346542">
        <w:rPr>
          <w:rFonts w:ascii="Calibri" w:hAnsi="Calibri" w:cs="Calibri"/>
          <w:i/>
          <w:iCs/>
          <w:noProof/>
          <w:szCs w:val="24"/>
        </w:rPr>
        <w:t>Forestry</w:t>
      </w:r>
      <w:r w:rsidRPr="00346542">
        <w:rPr>
          <w:rFonts w:ascii="Calibri" w:hAnsi="Calibri" w:cs="Calibri"/>
          <w:noProof/>
          <w:szCs w:val="24"/>
        </w:rPr>
        <w:t>, 87(1), pp. 85–97. doi: 10.1093/forestry/cpt028.</w:t>
      </w:r>
    </w:p>
    <w:p w14:paraId="508B674F"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Ansley, J.-A. S. and Battles, J. J. (1998) ‘Forest Composition , Structure , and Change in an Old-Growth Mixed Conifer Forest in the Northern Sierra Nevada Author ( s ): Jolie-Anne S . Ansley and John J . Battles Published by : Torrey Botanical Society Stable URL : http://www.jstor.org/stable/29972’, </w:t>
      </w:r>
      <w:r w:rsidRPr="00346542">
        <w:rPr>
          <w:rFonts w:ascii="Calibri" w:hAnsi="Calibri" w:cs="Calibri"/>
          <w:i/>
          <w:iCs/>
          <w:noProof/>
          <w:szCs w:val="24"/>
        </w:rPr>
        <w:t>The Journal of the Torrey Botanical Society</w:t>
      </w:r>
      <w:r w:rsidRPr="00346542">
        <w:rPr>
          <w:rFonts w:ascii="Calibri" w:hAnsi="Calibri" w:cs="Calibri"/>
          <w:noProof/>
          <w:szCs w:val="24"/>
        </w:rPr>
        <w:t>, 125(4), pp. 297–308.</w:t>
      </w:r>
    </w:p>
    <w:p w14:paraId="0F0731F2"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Bechtold, W. A. and Patterson, P. L. (2005) ‘The Enhanced Forest Inventory and Analysis Program — National Sampling Design and Estimation Procedures’, </w:t>
      </w:r>
      <w:r w:rsidRPr="00346542">
        <w:rPr>
          <w:rFonts w:ascii="Calibri" w:hAnsi="Calibri" w:cs="Calibri"/>
          <w:i/>
          <w:iCs/>
          <w:noProof/>
          <w:szCs w:val="24"/>
        </w:rPr>
        <w:t>USDA General Technical Report</w:t>
      </w:r>
      <w:r w:rsidRPr="00346542">
        <w:rPr>
          <w:rFonts w:ascii="Calibri" w:hAnsi="Calibri" w:cs="Calibri"/>
          <w:noProof/>
          <w:szCs w:val="24"/>
        </w:rPr>
        <w:t>, SRS-80, p. 85.</w:t>
      </w:r>
    </w:p>
    <w:p w14:paraId="2213C823"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Bell, D. M., Bradford, J. B. and Lauenroth, W. K. (2014) ‘Early indicators of change: Divergent climate envelopes between tree life stages imply range shifts in the western United States’, </w:t>
      </w:r>
      <w:r w:rsidRPr="00346542">
        <w:rPr>
          <w:rFonts w:ascii="Calibri" w:hAnsi="Calibri" w:cs="Calibri"/>
          <w:i/>
          <w:iCs/>
          <w:noProof/>
          <w:szCs w:val="24"/>
        </w:rPr>
        <w:t>Global Ecology and Biogeography</w:t>
      </w:r>
      <w:r w:rsidRPr="00346542">
        <w:rPr>
          <w:rFonts w:ascii="Calibri" w:hAnsi="Calibri" w:cs="Calibri"/>
          <w:noProof/>
          <w:szCs w:val="24"/>
        </w:rPr>
        <w:t>, 23(2), pp. 168–180. doi: 10.1111/geb.12109.</w:t>
      </w:r>
    </w:p>
    <w:p w14:paraId="6BF1BB88"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Bohlman, G. N., Safford, H. D. and Skinner, C. N. (2021) ‘Natural range of variation for yellow pine and mixed-conifer forests in northwestern California and southwestern Oregon’, </w:t>
      </w:r>
      <w:r w:rsidRPr="00346542">
        <w:rPr>
          <w:rFonts w:ascii="Calibri" w:hAnsi="Calibri" w:cs="Calibri"/>
          <w:i/>
          <w:iCs/>
          <w:noProof/>
          <w:szCs w:val="24"/>
        </w:rPr>
        <w:t>Gen. Tech. Rep. PSW-GTR-273. Albany, CA: US Department of Agriculture, Forest Service, Pacific Southwest Research Station. 146 p.</w:t>
      </w:r>
      <w:r w:rsidRPr="00346542">
        <w:rPr>
          <w:rFonts w:ascii="Calibri" w:hAnsi="Calibri" w:cs="Calibri"/>
          <w:noProof/>
          <w:szCs w:val="24"/>
        </w:rPr>
        <w:t>, 273(November).</w:t>
      </w:r>
    </w:p>
    <w:p w14:paraId="33B441EC"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Bohner, T. and Diez, J. (2021) ‘Tree resistance and recovery from drought mediated by multiple abiotic and biotic processes across a large geographic gradient’, </w:t>
      </w:r>
      <w:r w:rsidRPr="00346542">
        <w:rPr>
          <w:rFonts w:ascii="Calibri" w:hAnsi="Calibri" w:cs="Calibri"/>
          <w:i/>
          <w:iCs/>
          <w:noProof/>
          <w:szCs w:val="24"/>
        </w:rPr>
        <w:t>Science of The Total Environment</w:t>
      </w:r>
      <w:r w:rsidRPr="00346542">
        <w:rPr>
          <w:rFonts w:ascii="Calibri" w:hAnsi="Calibri" w:cs="Calibri"/>
          <w:noProof/>
          <w:szCs w:val="24"/>
        </w:rPr>
        <w:t>, 789, p. 147744. doi: 10.1016/j.scitotenv.2021.147744.</w:t>
      </w:r>
    </w:p>
    <w:p w14:paraId="2551DBC5"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Bronson, J., Petrick, J. and Danchok, R. (2018) ‘Efficacy of Early Pruning to Reduce the Incidence of White Pine Blister Rust on Sugar Pine ( Pinus lambertiana )’, pp. 205–208.</w:t>
      </w:r>
    </w:p>
    <w:p w14:paraId="5068D0A9"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Collins, B. M. </w:t>
      </w:r>
      <w:r w:rsidRPr="00346542">
        <w:rPr>
          <w:rFonts w:ascii="Calibri" w:hAnsi="Calibri" w:cs="Calibri"/>
          <w:i/>
          <w:iCs/>
          <w:noProof/>
          <w:szCs w:val="24"/>
        </w:rPr>
        <w:t>et al.</w:t>
      </w:r>
      <w:r w:rsidRPr="00346542">
        <w:rPr>
          <w:rFonts w:ascii="Calibri" w:hAnsi="Calibri" w:cs="Calibri"/>
          <w:noProof/>
          <w:szCs w:val="24"/>
        </w:rPr>
        <w:t xml:space="preserve"> (2014) ‘Beyond Reducing Fire Hazard’, </w:t>
      </w:r>
      <w:r w:rsidRPr="00346542">
        <w:rPr>
          <w:rFonts w:ascii="Calibri" w:hAnsi="Calibri" w:cs="Calibri"/>
          <w:i/>
          <w:iCs/>
          <w:noProof/>
          <w:szCs w:val="24"/>
        </w:rPr>
        <w:t>Ecological Applications</w:t>
      </w:r>
      <w:r w:rsidRPr="00346542">
        <w:rPr>
          <w:rFonts w:ascii="Calibri" w:hAnsi="Calibri" w:cs="Calibri"/>
          <w:noProof/>
          <w:szCs w:val="24"/>
        </w:rPr>
        <w:t>, 24(8), pp. 1879–1886. doi: 10.1890/14-0971.1.</w:t>
      </w:r>
    </w:p>
    <w:p w14:paraId="6019B0CB"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Coop, J. D. </w:t>
      </w:r>
      <w:r w:rsidRPr="00346542">
        <w:rPr>
          <w:rFonts w:ascii="Calibri" w:hAnsi="Calibri" w:cs="Calibri"/>
          <w:i/>
          <w:iCs/>
          <w:noProof/>
          <w:szCs w:val="24"/>
        </w:rPr>
        <w:t>et al.</w:t>
      </w:r>
      <w:r w:rsidRPr="00346542">
        <w:rPr>
          <w:rFonts w:ascii="Calibri" w:hAnsi="Calibri" w:cs="Calibri"/>
          <w:noProof/>
          <w:szCs w:val="24"/>
        </w:rPr>
        <w:t xml:space="preserve"> (2020) ‘Wildfire-Driven Forest Conversion in Western North American Landscapes’, </w:t>
      </w:r>
      <w:r w:rsidRPr="00346542">
        <w:rPr>
          <w:rFonts w:ascii="Calibri" w:hAnsi="Calibri" w:cs="Calibri"/>
          <w:i/>
          <w:iCs/>
          <w:noProof/>
          <w:szCs w:val="24"/>
        </w:rPr>
        <w:t>BioScience</w:t>
      </w:r>
      <w:r w:rsidRPr="00346542">
        <w:rPr>
          <w:rFonts w:ascii="Calibri" w:hAnsi="Calibri" w:cs="Calibri"/>
          <w:noProof/>
          <w:szCs w:val="24"/>
        </w:rPr>
        <w:t>, 70(8), pp. 659–673. doi: 10.1093/biosci/biaa061.</w:t>
      </w:r>
    </w:p>
    <w:p w14:paraId="54A04DF0"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Das, A. </w:t>
      </w:r>
      <w:r w:rsidRPr="00346542">
        <w:rPr>
          <w:rFonts w:ascii="Calibri" w:hAnsi="Calibri" w:cs="Calibri"/>
          <w:i/>
          <w:iCs/>
          <w:noProof/>
          <w:szCs w:val="24"/>
        </w:rPr>
        <w:t>et al.</w:t>
      </w:r>
      <w:r w:rsidRPr="00346542">
        <w:rPr>
          <w:rFonts w:ascii="Calibri" w:hAnsi="Calibri" w:cs="Calibri"/>
          <w:noProof/>
          <w:szCs w:val="24"/>
        </w:rPr>
        <w:t xml:space="preserve"> (2008) ‘Spatial elements of mortality risk in old-growth forests’, </w:t>
      </w:r>
      <w:r w:rsidRPr="00346542">
        <w:rPr>
          <w:rFonts w:ascii="Calibri" w:hAnsi="Calibri" w:cs="Calibri"/>
          <w:i/>
          <w:iCs/>
          <w:noProof/>
          <w:szCs w:val="24"/>
        </w:rPr>
        <w:t>Ecology</w:t>
      </w:r>
      <w:r w:rsidRPr="00346542">
        <w:rPr>
          <w:rFonts w:ascii="Calibri" w:hAnsi="Calibri" w:cs="Calibri"/>
          <w:noProof/>
          <w:szCs w:val="24"/>
        </w:rPr>
        <w:t>, 89(6), pp. 1744–1756. doi: 10.1890/07-0524.1.</w:t>
      </w:r>
    </w:p>
    <w:p w14:paraId="24DAC323"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Das, A. (2012) ‘The effect of size and competition on tree growth rate in old-growth coniferous forests’, </w:t>
      </w:r>
      <w:r w:rsidRPr="00346542">
        <w:rPr>
          <w:rFonts w:ascii="Calibri" w:hAnsi="Calibri" w:cs="Calibri"/>
          <w:i/>
          <w:iCs/>
          <w:noProof/>
          <w:szCs w:val="24"/>
        </w:rPr>
        <w:t>Canadian Journal of Forest Research</w:t>
      </w:r>
      <w:r w:rsidRPr="00346542">
        <w:rPr>
          <w:rFonts w:ascii="Calibri" w:hAnsi="Calibri" w:cs="Calibri"/>
          <w:noProof/>
          <w:szCs w:val="24"/>
        </w:rPr>
        <w:t>, 42(11), pp. 1983–1995. doi: 10.1139/x2012-142.</w:t>
      </w:r>
    </w:p>
    <w:p w14:paraId="777CCC1C"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Das, A. J. </w:t>
      </w:r>
      <w:r w:rsidRPr="00346542">
        <w:rPr>
          <w:rFonts w:ascii="Calibri" w:hAnsi="Calibri" w:cs="Calibri"/>
          <w:i/>
          <w:iCs/>
          <w:noProof/>
          <w:szCs w:val="24"/>
        </w:rPr>
        <w:t>et al.</w:t>
      </w:r>
      <w:r w:rsidRPr="00346542">
        <w:rPr>
          <w:rFonts w:ascii="Calibri" w:hAnsi="Calibri" w:cs="Calibri"/>
          <w:noProof/>
          <w:szCs w:val="24"/>
        </w:rPr>
        <w:t xml:space="preserve"> (2007) ‘The relationship between tree growth patterns and likelihood of mortality: A study of two tree species in the Sierra Nevada’, </w:t>
      </w:r>
      <w:r w:rsidRPr="00346542">
        <w:rPr>
          <w:rFonts w:ascii="Calibri" w:hAnsi="Calibri" w:cs="Calibri"/>
          <w:i/>
          <w:iCs/>
          <w:noProof/>
          <w:szCs w:val="24"/>
        </w:rPr>
        <w:t>Canadian Journal of Forest Research</w:t>
      </w:r>
      <w:r w:rsidRPr="00346542">
        <w:rPr>
          <w:rFonts w:ascii="Calibri" w:hAnsi="Calibri" w:cs="Calibri"/>
          <w:noProof/>
          <w:szCs w:val="24"/>
        </w:rPr>
        <w:t xml:space="preserve">, 37(3), pp. 580–597. </w:t>
      </w:r>
      <w:r w:rsidRPr="00346542">
        <w:rPr>
          <w:rFonts w:ascii="Calibri" w:hAnsi="Calibri" w:cs="Calibri"/>
          <w:noProof/>
          <w:szCs w:val="24"/>
        </w:rPr>
        <w:lastRenderedPageBreak/>
        <w:t>doi: 10.1139/X06-262.</w:t>
      </w:r>
    </w:p>
    <w:p w14:paraId="09AF496F"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Das, A. J. </w:t>
      </w:r>
      <w:r w:rsidRPr="00346542">
        <w:rPr>
          <w:rFonts w:ascii="Calibri" w:hAnsi="Calibri" w:cs="Calibri"/>
          <w:i/>
          <w:iCs/>
          <w:noProof/>
          <w:szCs w:val="24"/>
        </w:rPr>
        <w:t>et al.</w:t>
      </w:r>
      <w:r w:rsidRPr="00346542">
        <w:rPr>
          <w:rFonts w:ascii="Calibri" w:hAnsi="Calibri" w:cs="Calibri"/>
          <w:noProof/>
          <w:szCs w:val="24"/>
        </w:rPr>
        <w:t xml:space="preserve"> (2013) ‘Climatic Correlates of Tree Mortality in Water- and Energy-Limited Forests’, </w:t>
      </w:r>
      <w:r w:rsidRPr="00346542">
        <w:rPr>
          <w:rFonts w:ascii="Calibri" w:hAnsi="Calibri" w:cs="Calibri"/>
          <w:i/>
          <w:iCs/>
          <w:noProof/>
          <w:szCs w:val="24"/>
        </w:rPr>
        <w:t>PLoS ONE</w:t>
      </w:r>
      <w:r w:rsidRPr="00346542">
        <w:rPr>
          <w:rFonts w:ascii="Calibri" w:hAnsi="Calibri" w:cs="Calibri"/>
          <w:noProof/>
          <w:szCs w:val="24"/>
        </w:rPr>
        <w:t>, 8(7). doi: 10.1371/journal.pone.0069917.</w:t>
      </w:r>
    </w:p>
    <w:p w14:paraId="24A0D329"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Davis, K. T. </w:t>
      </w:r>
      <w:r w:rsidRPr="00346542">
        <w:rPr>
          <w:rFonts w:ascii="Calibri" w:hAnsi="Calibri" w:cs="Calibri"/>
          <w:i/>
          <w:iCs/>
          <w:noProof/>
          <w:szCs w:val="24"/>
        </w:rPr>
        <w:t>et al.</w:t>
      </w:r>
      <w:r w:rsidRPr="00346542">
        <w:rPr>
          <w:rFonts w:ascii="Calibri" w:hAnsi="Calibri" w:cs="Calibri"/>
          <w:noProof/>
          <w:szCs w:val="24"/>
        </w:rPr>
        <w:t xml:space="preserve"> (2019) ‘Wildfires and climate change push low-elevation forests across a critical climate threshold for tree regeneration’, </w:t>
      </w:r>
      <w:r w:rsidRPr="00346542">
        <w:rPr>
          <w:rFonts w:ascii="Calibri" w:hAnsi="Calibri" w:cs="Calibri"/>
          <w:i/>
          <w:iCs/>
          <w:noProof/>
          <w:szCs w:val="24"/>
        </w:rPr>
        <w:t>Proceedings of the National Academy of Sciences of the United States of America</w:t>
      </w:r>
      <w:r w:rsidRPr="00346542">
        <w:rPr>
          <w:rFonts w:ascii="Calibri" w:hAnsi="Calibri" w:cs="Calibri"/>
          <w:noProof/>
          <w:szCs w:val="24"/>
        </w:rPr>
        <w:t>, 116(13), pp. 6193–6198. doi: 10.1073/pnas.1815107116.</w:t>
      </w:r>
    </w:p>
    <w:p w14:paraId="48D18956"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Davis, R. S., Hood, S. and Bentz, B. J. (2012) ‘Fire-injured ponderosa pine provide a pulsed resource for bark beetles’, </w:t>
      </w:r>
      <w:r w:rsidRPr="00346542">
        <w:rPr>
          <w:rFonts w:ascii="Calibri" w:hAnsi="Calibri" w:cs="Calibri"/>
          <w:i/>
          <w:iCs/>
          <w:noProof/>
          <w:szCs w:val="24"/>
        </w:rPr>
        <w:t>Canadian Journal of Forest Research-Revue Canadienne De Recherche Forestiere</w:t>
      </w:r>
      <w:r w:rsidRPr="00346542">
        <w:rPr>
          <w:rFonts w:ascii="Calibri" w:hAnsi="Calibri" w:cs="Calibri"/>
          <w:noProof/>
          <w:szCs w:val="24"/>
        </w:rPr>
        <w:t>, 42(12), pp. 2022–2036. doi: 10.1139/x2012-147.</w:t>
      </w:r>
    </w:p>
    <w:p w14:paraId="298E7FFC"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Dudney, J. </w:t>
      </w:r>
      <w:r w:rsidRPr="00346542">
        <w:rPr>
          <w:rFonts w:ascii="Calibri" w:hAnsi="Calibri" w:cs="Calibri"/>
          <w:i/>
          <w:iCs/>
          <w:noProof/>
          <w:szCs w:val="24"/>
        </w:rPr>
        <w:t>et al.</w:t>
      </w:r>
      <w:r w:rsidRPr="00346542">
        <w:rPr>
          <w:rFonts w:ascii="Calibri" w:hAnsi="Calibri" w:cs="Calibri"/>
          <w:noProof/>
          <w:szCs w:val="24"/>
        </w:rPr>
        <w:t xml:space="preserve"> (2021) ‘Nonlinear shifts in infectious rust disease due to climate change’, </w:t>
      </w:r>
      <w:r w:rsidRPr="00346542">
        <w:rPr>
          <w:rFonts w:ascii="Calibri" w:hAnsi="Calibri" w:cs="Calibri"/>
          <w:i/>
          <w:iCs/>
          <w:noProof/>
          <w:szCs w:val="24"/>
        </w:rPr>
        <w:t>Nature Communications</w:t>
      </w:r>
      <w:r w:rsidRPr="00346542">
        <w:rPr>
          <w:rFonts w:ascii="Calibri" w:hAnsi="Calibri" w:cs="Calibri"/>
          <w:noProof/>
          <w:szCs w:val="24"/>
        </w:rPr>
        <w:t>, 12(1). doi: 10.1038/s41467-021-25182-6.</w:t>
      </w:r>
    </w:p>
    <w:p w14:paraId="5AD0B4EC"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Dudney, J. C. </w:t>
      </w:r>
      <w:r w:rsidRPr="00346542">
        <w:rPr>
          <w:rFonts w:ascii="Calibri" w:hAnsi="Calibri" w:cs="Calibri"/>
          <w:i/>
          <w:iCs/>
          <w:noProof/>
          <w:szCs w:val="24"/>
        </w:rPr>
        <w:t>et al.</w:t>
      </w:r>
      <w:r w:rsidRPr="00346542">
        <w:rPr>
          <w:rFonts w:ascii="Calibri" w:hAnsi="Calibri" w:cs="Calibri"/>
          <w:noProof/>
          <w:szCs w:val="24"/>
        </w:rPr>
        <w:t xml:space="preserve"> (2020) ‘Compounding effects of white pine blister rust, mountain pine beetle, and fire threaten four white pine species’, </w:t>
      </w:r>
      <w:r w:rsidRPr="00346542">
        <w:rPr>
          <w:rFonts w:ascii="Calibri" w:hAnsi="Calibri" w:cs="Calibri"/>
          <w:i/>
          <w:iCs/>
          <w:noProof/>
          <w:szCs w:val="24"/>
        </w:rPr>
        <w:t>Ecosphere</w:t>
      </w:r>
      <w:r w:rsidRPr="00346542">
        <w:rPr>
          <w:rFonts w:ascii="Calibri" w:hAnsi="Calibri" w:cs="Calibri"/>
          <w:noProof/>
          <w:szCs w:val="24"/>
        </w:rPr>
        <w:t>, 11(October), p. e03263. doi: 10.1002/ecs2.3263.</w:t>
      </w:r>
    </w:p>
    <w:p w14:paraId="13B99B6D"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Eitzel, M. </w:t>
      </w:r>
      <w:r w:rsidRPr="00346542">
        <w:rPr>
          <w:rFonts w:ascii="Calibri" w:hAnsi="Calibri" w:cs="Calibri"/>
          <w:i/>
          <w:iCs/>
          <w:noProof/>
          <w:szCs w:val="24"/>
        </w:rPr>
        <w:t>et al.</w:t>
      </w:r>
      <w:r w:rsidRPr="00346542">
        <w:rPr>
          <w:rFonts w:ascii="Calibri" w:hAnsi="Calibri" w:cs="Calibri"/>
          <w:noProof/>
          <w:szCs w:val="24"/>
        </w:rPr>
        <w:t xml:space="preserve"> (2013) ‘Estimating tree growth from complex forest monitoring data’, </w:t>
      </w:r>
      <w:r w:rsidRPr="00346542">
        <w:rPr>
          <w:rFonts w:ascii="Calibri" w:hAnsi="Calibri" w:cs="Calibri"/>
          <w:i/>
          <w:iCs/>
          <w:noProof/>
          <w:szCs w:val="24"/>
        </w:rPr>
        <w:t>Ecological Applications</w:t>
      </w:r>
      <w:r w:rsidRPr="00346542">
        <w:rPr>
          <w:rFonts w:ascii="Calibri" w:hAnsi="Calibri" w:cs="Calibri"/>
          <w:noProof/>
          <w:szCs w:val="24"/>
        </w:rPr>
        <w:t>, 23(6), pp. 1288–1296. doi: 10.1890/12-0504.1.</w:t>
      </w:r>
    </w:p>
    <w:p w14:paraId="528C6855"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Fettig, C. J. </w:t>
      </w:r>
      <w:r w:rsidRPr="00346542">
        <w:rPr>
          <w:rFonts w:ascii="Calibri" w:hAnsi="Calibri" w:cs="Calibri"/>
          <w:i/>
          <w:iCs/>
          <w:noProof/>
          <w:szCs w:val="24"/>
        </w:rPr>
        <w:t>et al.</w:t>
      </w:r>
      <w:r w:rsidRPr="00346542">
        <w:rPr>
          <w:rFonts w:ascii="Calibri" w:hAnsi="Calibri" w:cs="Calibri"/>
          <w:noProof/>
          <w:szCs w:val="24"/>
        </w:rPr>
        <w:t xml:space="preserve"> (2019) ‘Tree mortality following drought in the central and southern Sierra Nevada, California, U.S.’, </w:t>
      </w:r>
      <w:r w:rsidRPr="00346542">
        <w:rPr>
          <w:rFonts w:ascii="Calibri" w:hAnsi="Calibri" w:cs="Calibri"/>
          <w:i/>
          <w:iCs/>
          <w:noProof/>
          <w:szCs w:val="24"/>
        </w:rPr>
        <w:t>Forest Ecology and Management</w:t>
      </w:r>
      <w:r w:rsidRPr="00346542">
        <w:rPr>
          <w:rFonts w:ascii="Calibri" w:hAnsi="Calibri" w:cs="Calibri"/>
          <w:noProof/>
          <w:szCs w:val="24"/>
        </w:rPr>
        <w:t>, 432(August 2018), pp. 164–178. doi: 10.1016/j.foreco.2018.09.006.</w:t>
      </w:r>
    </w:p>
    <w:p w14:paraId="6F8B6682"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Foster, D. E. </w:t>
      </w:r>
      <w:r w:rsidRPr="00346542">
        <w:rPr>
          <w:rFonts w:ascii="Calibri" w:hAnsi="Calibri" w:cs="Calibri"/>
          <w:i/>
          <w:iCs/>
          <w:noProof/>
          <w:szCs w:val="24"/>
        </w:rPr>
        <w:t>et al.</w:t>
      </w:r>
      <w:r w:rsidRPr="00346542">
        <w:rPr>
          <w:rFonts w:ascii="Calibri" w:hAnsi="Calibri" w:cs="Calibri"/>
          <w:noProof/>
          <w:szCs w:val="24"/>
        </w:rPr>
        <w:t xml:space="preserve"> (2020) ‘Potential wildfire and carbon stability in frequent-fire forests in the Sierra Nevada: trade-offs from a long-term study’, </w:t>
      </w:r>
      <w:r w:rsidRPr="00346542">
        <w:rPr>
          <w:rFonts w:ascii="Calibri" w:hAnsi="Calibri" w:cs="Calibri"/>
          <w:i/>
          <w:iCs/>
          <w:noProof/>
          <w:szCs w:val="24"/>
        </w:rPr>
        <w:t>Ecosphere</w:t>
      </w:r>
      <w:r w:rsidRPr="00346542">
        <w:rPr>
          <w:rFonts w:ascii="Calibri" w:hAnsi="Calibri" w:cs="Calibri"/>
          <w:noProof/>
          <w:szCs w:val="24"/>
        </w:rPr>
        <w:t>, 11(8). doi: 10.1002/ecs2.3198.</w:t>
      </w:r>
    </w:p>
    <w:p w14:paraId="51E87D11"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Fowells, H. A. and Schubert, G. H. (1956) ‘Seed crops of forest trees in the pine region of California’, </w:t>
      </w:r>
      <w:r w:rsidRPr="00346542">
        <w:rPr>
          <w:rFonts w:ascii="Calibri" w:hAnsi="Calibri" w:cs="Calibri"/>
          <w:i/>
          <w:iCs/>
          <w:noProof/>
          <w:szCs w:val="24"/>
        </w:rPr>
        <w:t>USDA Technical Bulletin</w:t>
      </w:r>
      <w:r w:rsidRPr="00346542">
        <w:rPr>
          <w:rFonts w:ascii="Calibri" w:hAnsi="Calibri" w:cs="Calibri"/>
          <w:noProof/>
          <w:szCs w:val="24"/>
        </w:rPr>
        <w:t>, 1150(1150), pp. 1–48.</w:t>
      </w:r>
    </w:p>
    <w:p w14:paraId="5F12C81F"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Furniss, T. J. </w:t>
      </w:r>
      <w:r w:rsidRPr="00346542">
        <w:rPr>
          <w:rFonts w:ascii="Calibri" w:hAnsi="Calibri" w:cs="Calibri"/>
          <w:i/>
          <w:iCs/>
          <w:noProof/>
          <w:szCs w:val="24"/>
        </w:rPr>
        <w:t>et al.</w:t>
      </w:r>
      <w:r w:rsidRPr="00346542">
        <w:rPr>
          <w:rFonts w:ascii="Calibri" w:hAnsi="Calibri" w:cs="Calibri"/>
          <w:noProof/>
          <w:szCs w:val="24"/>
        </w:rPr>
        <w:t xml:space="preserve"> (2018) ‘Multi-scale assessment of post-fire tree mortality models’, </w:t>
      </w:r>
      <w:r w:rsidRPr="00346542">
        <w:rPr>
          <w:rFonts w:ascii="Calibri" w:hAnsi="Calibri" w:cs="Calibri"/>
          <w:i/>
          <w:iCs/>
          <w:noProof/>
          <w:szCs w:val="24"/>
        </w:rPr>
        <w:t>International Journal of Wildland Fire</w:t>
      </w:r>
      <w:r w:rsidRPr="00346542">
        <w:rPr>
          <w:rFonts w:ascii="Calibri" w:hAnsi="Calibri" w:cs="Calibri"/>
          <w:noProof/>
          <w:szCs w:val="24"/>
        </w:rPr>
        <w:t>, p. in press. doi: 10.1071/WF18031.</w:t>
      </w:r>
    </w:p>
    <w:p w14:paraId="6E942A05"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Furniss, T. J. </w:t>
      </w:r>
      <w:r w:rsidRPr="00346542">
        <w:rPr>
          <w:rFonts w:ascii="Calibri" w:hAnsi="Calibri" w:cs="Calibri"/>
          <w:i/>
          <w:iCs/>
          <w:noProof/>
          <w:szCs w:val="24"/>
        </w:rPr>
        <w:t>et al.</w:t>
      </w:r>
      <w:r w:rsidRPr="00346542">
        <w:rPr>
          <w:rFonts w:ascii="Calibri" w:hAnsi="Calibri" w:cs="Calibri"/>
          <w:noProof/>
          <w:szCs w:val="24"/>
        </w:rPr>
        <w:t xml:space="preserve"> (2021) ‘Crowding, climate, and the case for social distancing among trees’, </w:t>
      </w:r>
      <w:r w:rsidRPr="00346542">
        <w:rPr>
          <w:rFonts w:ascii="Calibri" w:hAnsi="Calibri" w:cs="Calibri"/>
          <w:i/>
          <w:iCs/>
          <w:noProof/>
          <w:szCs w:val="24"/>
        </w:rPr>
        <w:t>Ecological Applications</w:t>
      </w:r>
      <w:r w:rsidRPr="00346542">
        <w:rPr>
          <w:rFonts w:ascii="Calibri" w:hAnsi="Calibri" w:cs="Calibri"/>
          <w:noProof/>
          <w:szCs w:val="24"/>
        </w:rPr>
        <w:t>, (June 2021), pp. 1–14. doi: 10.1002/eap.2507.</w:t>
      </w:r>
    </w:p>
    <w:p w14:paraId="451CFD13"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Geils, B. W., Hummer, K. E. and Hunt, R. S. (2010) ‘White pines, Ribes, and blister rust: A review and synthesis’, </w:t>
      </w:r>
      <w:r w:rsidRPr="00346542">
        <w:rPr>
          <w:rFonts w:ascii="Calibri" w:hAnsi="Calibri" w:cs="Calibri"/>
          <w:i/>
          <w:iCs/>
          <w:noProof/>
          <w:szCs w:val="24"/>
        </w:rPr>
        <w:t>Forest Pathology</w:t>
      </w:r>
      <w:r w:rsidRPr="00346542">
        <w:rPr>
          <w:rFonts w:ascii="Calibri" w:hAnsi="Calibri" w:cs="Calibri"/>
          <w:noProof/>
          <w:szCs w:val="24"/>
        </w:rPr>
        <w:t>, 40(3–4), pp. 147–185. doi: 10.1111/j.1439-0329.2010.00654.x.</w:t>
      </w:r>
    </w:p>
    <w:p w14:paraId="0425941A"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Harry, D. E., Jenkinson, J. L. and Kinloch, B. B. (1983) ‘Early Growth of Sugar Pine from an Elevational Transect’, </w:t>
      </w:r>
      <w:r w:rsidRPr="00346542">
        <w:rPr>
          <w:rFonts w:ascii="Calibri" w:hAnsi="Calibri" w:cs="Calibri"/>
          <w:i/>
          <w:iCs/>
          <w:noProof/>
          <w:szCs w:val="24"/>
        </w:rPr>
        <w:t>Forest Science</w:t>
      </w:r>
      <w:r w:rsidRPr="00346542">
        <w:rPr>
          <w:rFonts w:ascii="Calibri" w:hAnsi="Calibri" w:cs="Calibri"/>
          <w:noProof/>
          <w:szCs w:val="24"/>
        </w:rPr>
        <w:t>, 29(3), pp. 660–669. Available at: http://www.ingentaconnect.com/content/saf/fs/1983/00000029/00000003/art00027.</w:t>
      </w:r>
    </w:p>
    <w:p w14:paraId="30AF66E3"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Hessburg, P. F. </w:t>
      </w:r>
      <w:r w:rsidRPr="00346542">
        <w:rPr>
          <w:rFonts w:ascii="Calibri" w:hAnsi="Calibri" w:cs="Calibri"/>
          <w:i/>
          <w:iCs/>
          <w:noProof/>
          <w:szCs w:val="24"/>
        </w:rPr>
        <w:t>et al.</w:t>
      </w:r>
      <w:r w:rsidRPr="00346542">
        <w:rPr>
          <w:rFonts w:ascii="Calibri" w:hAnsi="Calibri" w:cs="Calibri"/>
          <w:noProof/>
          <w:szCs w:val="24"/>
        </w:rPr>
        <w:t xml:space="preserve"> (2016) ‘Tamm Review: Management of mixed-severity fire regime forests in Oregon, Washington, and Northern California’, </w:t>
      </w:r>
      <w:r w:rsidRPr="00346542">
        <w:rPr>
          <w:rFonts w:ascii="Calibri" w:hAnsi="Calibri" w:cs="Calibri"/>
          <w:i/>
          <w:iCs/>
          <w:noProof/>
          <w:szCs w:val="24"/>
        </w:rPr>
        <w:t>Forest Ecology and Management</w:t>
      </w:r>
      <w:r w:rsidRPr="00346542">
        <w:rPr>
          <w:rFonts w:ascii="Calibri" w:hAnsi="Calibri" w:cs="Calibri"/>
          <w:noProof/>
          <w:szCs w:val="24"/>
        </w:rPr>
        <w:t>, 366, pp. 221–250. doi: 10.1016/j.foreco.2016.01.034.</w:t>
      </w:r>
    </w:p>
    <w:p w14:paraId="540AEA34"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Hicke, J. A. </w:t>
      </w:r>
      <w:r w:rsidRPr="00346542">
        <w:rPr>
          <w:rFonts w:ascii="Calibri" w:hAnsi="Calibri" w:cs="Calibri"/>
          <w:i/>
          <w:iCs/>
          <w:noProof/>
          <w:szCs w:val="24"/>
        </w:rPr>
        <w:t>et al.</w:t>
      </w:r>
      <w:r w:rsidRPr="00346542">
        <w:rPr>
          <w:rFonts w:ascii="Calibri" w:hAnsi="Calibri" w:cs="Calibri"/>
          <w:noProof/>
          <w:szCs w:val="24"/>
        </w:rPr>
        <w:t xml:space="preserve"> (2012) ‘Effects of bark beetle-caused tree mortality on wildfire’, </w:t>
      </w:r>
      <w:r w:rsidRPr="00346542">
        <w:rPr>
          <w:rFonts w:ascii="Calibri" w:hAnsi="Calibri" w:cs="Calibri"/>
          <w:i/>
          <w:iCs/>
          <w:noProof/>
          <w:szCs w:val="24"/>
        </w:rPr>
        <w:t>Forest Ecology and Management</w:t>
      </w:r>
      <w:r w:rsidRPr="00346542">
        <w:rPr>
          <w:rFonts w:ascii="Calibri" w:hAnsi="Calibri" w:cs="Calibri"/>
          <w:noProof/>
          <w:szCs w:val="24"/>
        </w:rPr>
        <w:t>, 271, pp. 81–90. doi: 10.1016/j.foreco.2012.02.005.</w:t>
      </w:r>
    </w:p>
    <w:p w14:paraId="41C7C1A1"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Hood, S. M., Smith, S. L. and Cluck, D. R. (2010) ‘Predicting mortality for five California conifers following wildfire’, </w:t>
      </w:r>
      <w:r w:rsidRPr="00346542">
        <w:rPr>
          <w:rFonts w:ascii="Calibri" w:hAnsi="Calibri" w:cs="Calibri"/>
          <w:i/>
          <w:iCs/>
          <w:noProof/>
          <w:szCs w:val="24"/>
        </w:rPr>
        <w:t>Forest Ecology and Management</w:t>
      </w:r>
      <w:r w:rsidRPr="00346542">
        <w:rPr>
          <w:rFonts w:ascii="Calibri" w:hAnsi="Calibri" w:cs="Calibri"/>
          <w:noProof/>
          <w:szCs w:val="24"/>
        </w:rPr>
        <w:t>, 260(5), pp. 750–762. doi: 10.1016/j.foreco.2010.05.033.</w:t>
      </w:r>
    </w:p>
    <w:p w14:paraId="275C172E"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lastRenderedPageBreak/>
        <w:t xml:space="preserve">Kinloch, B. B. </w:t>
      </w:r>
      <w:r w:rsidRPr="00346542">
        <w:rPr>
          <w:rFonts w:ascii="Calibri" w:hAnsi="Calibri" w:cs="Calibri"/>
          <w:i/>
          <w:iCs/>
          <w:noProof/>
          <w:szCs w:val="24"/>
        </w:rPr>
        <w:t>et al.</w:t>
      </w:r>
      <w:r w:rsidRPr="00346542">
        <w:rPr>
          <w:rFonts w:ascii="Calibri" w:hAnsi="Calibri" w:cs="Calibri"/>
          <w:noProof/>
          <w:szCs w:val="24"/>
        </w:rPr>
        <w:t xml:space="preserve"> (2018) ‘Patterns of Variation in Blister Rust Resistance in Sugar Pine ( Pinus lambertiana )’, in </w:t>
      </w:r>
      <w:r w:rsidRPr="00346542">
        <w:rPr>
          <w:rFonts w:ascii="Calibri" w:hAnsi="Calibri" w:cs="Calibri"/>
          <w:i/>
          <w:iCs/>
          <w:noProof/>
          <w:szCs w:val="24"/>
        </w:rPr>
        <w:t>Schoettle, Anna W.; Sniezko, Richard A.; Kliejunas, John T., eds. 2018. Proceedings of the IUFRO joint conference: Genetics of five-needle pines, rusts of forest trees, and Strobusphere; 2014 June 15–20; Fort Collins, CO. Proc. RMRS-P-76. Fort Collins, CO</w:t>
      </w:r>
      <w:r w:rsidRPr="00346542">
        <w:rPr>
          <w:rFonts w:ascii="Calibri" w:hAnsi="Calibri" w:cs="Calibri"/>
          <w:noProof/>
          <w:szCs w:val="24"/>
        </w:rPr>
        <w:t>, pp. 124–128.</w:t>
      </w:r>
    </w:p>
    <w:p w14:paraId="12F20373"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Kinloch, B. B. and Scheuner, W. H. (1990) ‘Pinus lambertiana Dougl.’, in </w:t>
      </w:r>
      <w:r w:rsidRPr="00346542">
        <w:rPr>
          <w:rFonts w:ascii="Calibri" w:hAnsi="Calibri" w:cs="Calibri"/>
          <w:i/>
          <w:iCs/>
          <w:noProof/>
          <w:szCs w:val="24"/>
        </w:rPr>
        <w:t>Silvics of North America 1</w:t>
      </w:r>
      <w:r w:rsidRPr="00346542">
        <w:rPr>
          <w:rFonts w:ascii="Calibri" w:hAnsi="Calibri" w:cs="Calibri"/>
          <w:noProof/>
          <w:szCs w:val="24"/>
        </w:rPr>
        <w:t>, pp. 370–380.</w:t>
      </w:r>
    </w:p>
    <w:p w14:paraId="697B0E0B"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Kinloch Jr., B. B., Marosy, M. and Huddleston, M. E. (1996) ‘Sugar pine: status, values, and roles in ecosystems: Proceedings of a symposium presented by the California Sugar Pine Management Committee’, p. 225.</w:t>
      </w:r>
    </w:p>
    <w:p w14:paraId="30D6AFD6"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Latham, P. and Tappeiner, J. (2002) ‘Response of old-growth conifers to reduction in stand density in western Oregon forests’, </w:t>
      </w:r>
      <w:r w:rsidRPr="00346542">
        <w:rPr>
          <w:rFonts w:ascii="Calibri" w:hAnsi="Calibri" w:cs="Calibri"/>
          <w:i/>
          <w:iCs/>
          <w:noProof/>
          <w:szCs w:val="24"/>
        </w:rPr>
        <w:t>Tree Physiology</w:t>
      </w:r>
      <w:r w:rsidRPr="00346542">
        <w:rPr>
          <w:rFonts w:ascii="Calibri" w:hAnsi="Calibri" w:cs="Calibri"/>
          <w:noProof/>
          <w:szCs w:val="24"/>
        </w:rPr>
        <w:t>, 22(2–3), pp. 137–146. doi: 10.1093/treephys/22.2-3.137.</w:t>
      </w:r>
    </w:p>
    <w:p w14:paraId="3724778A"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Levine, C. R. </w:t>
      </w:r>
      <w:r w:rsidRPr="00346542">
        <w:rPr>
          <w:rFonts w:ascii="Calibri" w:hAnsi="Calibri" w:cs="Calibri"/>
          <w:i/>
          <w:iCs/>
          <w:noProof/>
          <w:szCs w:val="24"/>
        </w:rPr>
        <w:t>et al.</w:t>
      </w:r>
      <w:r w:rsidRPr="00346542">
        <w:rPr>
          <w:rFonts w:ascii="Calibri" w:hAnsi="Calibri" w:cs="Calibri"/>
          <w:noProof/>
          <w:szCs w:val="24"/>
        </w:rPr>
        <w:t xml:space="preserve"> (2016) ‘Long-term demographic trends in a fire-suppressed mixed-conifer forest’, </w:t>
      </w:r>
      <w:r w:rsidRPr="00346542">
        <w:rPr>
          <w:rFonts w:ascii="Calibri" w:hAnsi="Calibri" w:cs="Calibri"/>
          <w:i/>
          <w:iCs/>
          <w:noProof/>
          <w:szCs w:val="24"/>
        </w:rPr>
        <w:t>Canadian Journal of Forest Research</w:t>
      </w:r>
      <w:r w:rsidRPr="00346542">
        <w:rPr>
          <w:rFonts w:ascii="Calibri" w:hAnsi="Calibri" w:cs="Calibri"/>
          <w:noProof/>
          <w:szCs w:val="24"/>
        </w:rPr>
        <w:t>, 46(5), pp. 745–752. doi: 10.1139/cjfr-2015-0406.</w:t>
      </w:r>
    </w:p>
    <w:p w14:paraId="0D0AB7F6"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Lutz, J. A. </w:t>
      </w:r>
      <w:r w:rsidRPr="00346542">
        <w:rPr>
          <w:rFonts w:ascii="Calibri" w:hAnsi="Calibri" w:cs="Calibri"/>
          <w:i/>
          <w:iCs/>
          <w:noProof/>
          <w:szCs w:val="24"/>
        </w:rPr>
        <w:t>et al.</w:t>
      </w:r>
      <w:r w:rsidRPr="00346542">
        <w:rPr>
          <w:rFonts w:ascii="Calibri" w:hAnsi="Calibri" w:cs="Calibri"/>
          <w:noProof/>
          <w:szCs w:val="24"/>
        </w:rPr>
        <w:t xml:space="preserve"> (2013) ‘The importance of large-diameter trees to forest structural heterogeneity’, </w:t>
      </w:r>
      <w:r w:rsidRPr="00346542">
        <w:rPr>
          <w:rFonts w:ascii="Calibri" w:hAnsi="Calibri" w:cs="Calibri"/>
          <w:i/>
          <w:iCs/>
          <w:noProof/>
          <w:szCs w:val="24"/>
        </w:rPr>
        <w:t>PLoS ONE</w:t>
      </w:r>
      <w:r w:rsidRPr="00346542">
        <w:rPr>
          <w:rFonts w:ascii="Calibri" w:hAnsi="Calibri" w:cs="Calibri"/>
          <w:noProof/>
          <w:szCs w:val="24"/>
        </w:rPr>
        <w:t>, 8(12). doi: 10.1371/journal.pone.0082784.</w:t>
      </w:r>
    </w:p>
    <w:p w14:paraId="6F400F23"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Lutz, J. A. </w:t>
      </w:r>
      <w:r w:rsidRPr="00346542">
        <w:rPr>
          <w:rFonts w:ascii="Calibri" w:hAnsi="Calibri" w:cs="Calibri"/>
          <w:i/>
          <w:iCs/>
          <w:noProof/>
          <w:szCs w:val="24"/>
        </w:rPr>
        <w:t>et al.</w:t>
      </w:r>
      <w:r w:rsidRPr="00346542">
        <w:rPr>
          <w:rFonts w:ascii="Calibri" w:hAnsi="Calibri" w:cs="Calibri"/>
          <w:noProof/>
          <w:szCs w:val="24"/>
        </w:rPr>
        <w:t xml:space="preserve"> (2018) ‘Global importance of large-diameter trees’, </w:t>
      </w:r>
      <w:r w:rsidRPr="00346542">
        <w:rPr>
          <w:rFonts w:ascii="Calibri" w:hAnsi="Calibri" w:cs="Calibri"/>
          <w:i/>
          <w:iCs/>
          <w:noProof/>
          <w:szCs w:val="24"/>
        </w:rPr>
        <w:t>Global Ecology and Biogeography</w:t>
      </w:r>
      <w:r w:rsidRPr="00346542">
        <w:rPr>
          <w:rFonts w:ascii="Calibri" w:hAnsi="Calibri" w:cs="Calibri"/>
          <w:noProof/>
          <w:szCs w:val="24"/>
        </w:rPr>
        <w:t>, 27(7), pp. 849–864. doi: 10.1111/geb.12747.</w:t>
      </w:r>
    </w:p>
    <w:p w14:paraId="0791A974"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Lutz, J. A. </w:t>
      </w:r>
      <w:r w:rsidRPr="00346542">
        <w:rPr>
          <w:rFonts w:ascii="Calibri" w:hAnsi="Calibri" w:cs="Calibri"/>
          <w:i/>
          <w:iCs/>
          <w:noProof/>
          <w:szCs w:val="24"/>
        </w:rPr>
        <w:t>et al.</w:t>
      </w:r>
      <w:r w:rsidRPr="00346542">
        <w:rPr>
          <w:rFonts w:ascii="Calibri" w:hAnsi="Calibri" w:cs="Calibri"/>
          <w:noProof/>
          <w:szCs w:val="24"/>
        </w:rPr>
        <w:t xml:space="preserve"> (2020) ‘Large-diameter trees dominate snag and surface biomass following reintroduced fire’, </w:t>
      </w:r>
      <w:r w:rsidRPr="00346542">
        <w:rPr>
          <w:rFonts w:ascii="Calibri" w:hAnsi="Calibri" w:cs="Calibri"/>
          <w:i/>
          <w:iCs/>
          <w:noProof/>
          <w:szCs w:val="24"/>
        </w:rPr>
        <w:t>Ecological Processes</w:t>
      </w:r>
      <w:r w:rsidRPr="00346542">
        <w:rPr>
          <w:rFonts w:ascii="Calibri" w:hAnsi="Calibri" w:cs="Calibri"/>
          <w:noProof/>
          <w:szCs w:val="24"/>
        </w:rPr>
        <w:t>, 9(1). doi: 10.1186/s13717-020-00243-8.</w:t>
      </w:r>
    </w:p>
    <w:p w14:paraId="7A1E84CE"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Mahalovich, M. and Stritch, L. (2013) ‘Pinus albicaulis. The IUCN Red List of Threatened Species 2013’. Available at: https://dx.doi.org/10.2305/IUCN.UK.2013-1.RLTS.T39049A2885918.en.</w:t>
      </w:r>
    </w:p>
    <w:p w14:paraId="7FD9BF7A"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Maloney, P. E. (2011) ‘Incidence and distribution of white pine blister rust in the high-elevation forests of California’, </w:t>
      </w:r>
      <w:r w:rsidRPr="00346542">
        <w:rPr>
          <w:rFonts w:ascii="Calibri" w:hAnsi="Calibri" w:cs="Calibri"/>
          <w:i/>
          <w:iCs/>
          <w:noProof/>
          <w:szCs w:val="24"/>
        </w:rPr>
        <w:t>Forest Pathology</w:t>
      </w:r>
      <w:r w:rsidRPr="00346542">
        <w:rPr>
          <w:rFonts w:ascii="Calibri" w:hAnsi="Calibri" w:cs="Calibri"/>
          <w:noProof/>
          <w:szCs w:val="24"/>
        </w:rPr>
        <w:t>, 41(4), pp. 308–316. doi: 10.1111/j.1439-0329.2011.00732.x.</w:t>
      </w:r>
    </w:p>
    <w:p w14:paraId="5F93BA35"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Maloney, P. E. </w:t>
      </w:r>
      <w:r w:rsidRPr="00346542">
        <w:rPr>
          <w:rFonts w:ascii="Calibri" w:hAnsi="Calibri" w:cs="Calibri"/>
          <w:i/>
          <w:iCs/>
          <w:noProof/>
          <w:szCs w:val="24"/>
        </w:rPr>
        <w:t>et al.</w:t>
      </w:r>
      <w:r w:rsidRPr="00346542">
        <w:rPr>
          <w:rFonts w:ascii="Calibri" w:hAnsi="Calibri" w:cs="Calibri"/>
          <w:noProof/>
          <w:szCs w:val="24"/>
        </w:rPr>
        <w:t xml:space="preserve"> (2011) ‘Population biology of sugar pine (Pinus lambertiana Dougl.) with reference to historical disturbances in the Lake Tahoe Basin: Implications for restoration’, </w:t>
      </w:r>
      <w:r w:rsidRPr="00346542">
        <w:rPr>
          <w:rFonts w:ascii="Calibri" w:hAnsi="Calibri" w:cs="Calibri"/>
          <w:i/>
          <w:iCs/>
          <w:noProof/>
          <w:szCs w:val="24"/>
        </w:rPr>
        <w:t>Forest Ecology and Management</w:t>
      </w:r>
      <w:r w:rsidRPr="00346542">
        <w:rPr>
          <w:rFonts w:ascii="Calibri" w:hAnsi="Calibri" w:cs="Calibri"/>
          <w:noProof/>
          <w:szCs w:val="24"/>
        </w:rPr>
        <w:t>, 262(5), pp. 770–779. doi: 10.1016/j.foreco.2011.05.011.</w:t>
      </w:r>
    </w:p>
    <w:p w14:paraId="415B6C14"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Maloney, P. E. (2014) ‘The multivariate underpinnings of recruitment for three Pinus species in montane forests of the Sierra Nevada, USA’, </w:t>
      </w:r>
      <w:r w:rsidRPr="00346542">
        <w:rPr>
          <w:rFonts w:ascii="Calibri" w:hAnsi="Calibri" w:cs="Calibri"/>
          <w:i/>
          <w:iCs/>
          <w:noProof/>
          <w:szCs w:val="24"/>
        </w:rPr>
        <w:t>Plant Ecology</w:t>
      </w:r>
      <w:r w:rsidRPr="00346542">
        <w:rPr>
          <w:rFonts w:ascii="Calibri" w:hAnsi="Calibri" w:cs="Calibri"/>
          <w:noProof/>
          <w:szCs w:val="24"/>
        </w:rPr>
        <w:t>, 215(2), pp. 261–274. doi: 10.1007/s11258-013-0295-6.</w:t>
      </w:r>
    </w:p>
    <w:p w14:paraId="6B4E1986"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van Mantgem, P. J. </w:t>
      </w:r>
      <w:r w:rsidRPr="00346542">
        <w:rPr>
          <w:rFonts w:ascii="Calibri" w:hAnsi="Calibri" w:cs="Calibri"/>
          <w:i/>
          <w:iCs/>
          <w:noProof/>
          <w:szCs w:val="24"/>
        </w:rPr>
        <w:t>et al.</w:t>
      </w:r>
      <w:r w:rsidRPr="00346542">
        <w:rPr>
          <w:rFonts w:ascii="Calibri" w:hAnsi="Calibri" w:cs="Calibri"/>
          <w:noProof/>
          <w:szCs w:val="24"/>
        </w:rPr>
        <w:t xml:space="preserve"> (2011) ‘Long-term effects of prescribed fire on mixed conifer forest structure in the Sierra Nevada, California’, </w:t>
      </w:r>
      <w:r w:rsidRPr="00346542">
        <w:rPr>
          <w:rFonts w:ascii="Calibri" w:hAnsi="Calibri" w:cs="Calibri"/>
          <w:i/>
          <w:iCs/>
          <w:noProof/>
          <w:szCs w:val="24"/>
        </w:rPr>
        <w:t>Forest Ecology and Management</w:t>
      </w:r>
      <w:r w:rsidRPr="00346542">
        <w:rPr>
          <w:rFonts w:ascii="Calibri" w:hAnsi="Calibri" w:cs="Calibri"/>
          <w:noProof/>
          <w:szCs w:val="24"/>
        </w:rPr>
        <w:t>, 261(6), pp. 989–994. doi: 10.1016/j.foreco.2010.12.013.</w:t>
      </w:r>
    </w:p>
    <w:p w14:paraId="2E3616DA"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van Mantgem, P. J. </w:t>
      </w:r>
      <w:r w:rsidRPr="00346542">
        <w:rPr>
          <w:rFonts w:ascii="Calibri" w:hAnsi="Calibri" w:cs="Calibri"/>
          <w:i/>
          <w:iCs/>
          <w:noProof/>
          <w:szCs w:val="24"/>
        </w:rPr>
        <w:t>et al.</w:t>
      </w:r>
      <w:r w:rsidRPr="00346542">
        <w:rPr>
          <w:rFonts w:ascii="Calibri" w:hAnsi="Calibri" w:cs="Calibri"/>
          <w:noProof/>
          <w:szCs w:val="24"/>
        </w:rPr>
        <w:t xml:space="preserve"> (2016) ‘Does Prescribed Fire Promote Resistance To Drought in Low Elevation Forests of the Sierra Nevada, California, Usa?’, </w:t>
      </w:r>
      <w:r w:rsidRPr="00346542">
        <w:rPr>
          <w:rFonts w:ascii="Calibri" w:hAnsi="Calibri" w:cs="Calibri"/>
          <w:i/>
          <w:iCs/>
          <w:noProof/>
          <w:szCs w:val="24"/>
        </w:rPr>
        <w:t>Fire Ecology</w:t>
      </w:r>
      <w:r w:rsidRPr="00346542">
        <w:rPr>
          <w:rFonts w:ascii="Calibri" w:hAnsi="Calibri" w:cs="Calibri"/>
          <w:noProof/>
          <w:szCs w:val="24"/>
        </w:rPr>
        <w:t>, 12(1), pp. 5–15. doi: 10.4996/fireecology.1201013.</w:t>
      </w:r>
    </w:p>
    <w:p w14:paraId="6C1775B2"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van Mantgem, P. J. </w:t>
      </w:r>
      <w:r w:rsidRPr="00346542">
        <w:rPr>
          <w:rFonts w:ascii="Calibri" w:hAnsi="Calibri" w:cs="Calibri"/>
          <w:i/>
          <w:iCs/>
          <w:noProof/>
          <w:szCs w:val="24"/>
        </w:rPr>
        <w:t>et al.</w:t>
      </w:r>
      <w:r w:rsidRPr="00346542">
        <w:rPr>
          <w:rFonts w:ascii="Calibri" w:hAnsi="Calibri" w:cs="Calibri"/>
          <w:noProof/>
          <w:szCs w:val="24"/>
        </w:rPr>
        <w:t xml:space="preserve"> (2018) ‘Pre-fire drought and competition mediate post-fire conifer mortality in western U.S. National Parks’, </w:t>
      </w:r>
      <w:r w:rsidRPr="00346542">
        <w:rPr>
          <w:rFonts w:ascii="Calibri" w:hAnsi="Calibri" w:cs="Calibri"/>
          <w:i/>
          <w:iCs/>
          <w:noProof/>
          <w:szCs w:val="24"/>
        </w:rPr>
        <w:t>Ecological Applications</w:t>
      </w:r>
      <w:r w:rsidRPr="00346542">
        <w:rPr>
          <w:rFonts w:ascii="Calibri" w:hAnsi="Calibri" w:cs="Calibri"/>
          <w:noProof/>
          <w:szCs w:val="24"/>
        </w:rPr>
        <w:t>, 28(7), pp. 1730–1739. doi: 10.1002/eap.1778.</w:t>
      </w:r>
    </w:p>
    <w:p w14:paraId="5B0B18F6"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Van Mantgem, P. J. </w:t>
      </w:r>
      <w:r w:rsidRPr="00346542">
        <w:rPr>
          <w:rFonts w:ascii="Calibri" w:hAnsi="Calibri" w:cs="Calibri"/>
          <w:i/>
          <w:iCs/>
          <w:noProof/>
          <w:szCs w:val="24"/>
        </w:rPr>
        <w:t>et al.</w:t>
      </w:r>
      <w:r w:rsidRPr="00346542">
        <w:rPr>
          <w:rFonts w:ascii="Calibri" w:hAnsi="Calibri" w:cs="Calibri"/>
          <w:noProof/>
          <w:szCs w:val="24"/>
        </w:rPr>
        <w:t xml:space="preserve"> (2004) ‘Effects of an introduced pathogen and fire exclusion on the demography of sugar pine’, </w:t>
      </w:r>
      <w:r w:rsidRPr="00346542">
        <w:rPr>
          <w:rFonts w:ascii="Calibri" w:hAnsi="Calibri" w:cs="Calibri"/>
          <w:i/>
          <w:iCs/>
          <w:noProof/>
          <w:szCs w:val="24"/>
        </w:rPr>
        <w:t>Ecological Applications</w:t>
      </w:r>
      <w:r w:rsidRPr="00346542">
        <w:rPr>
          <w:rFonts w:ascii="Calibri" w:hAnsi="Calibri" w:cs="Calibri"/>
          <w:noProof/>
          <w:szCs w:val="24"/>
        </w:rPr>
        <w:t>, 14(5), pp. 1590–1602. doi: 10.1890/03-5109.</w:t>
      </w:r>
    </w:p>
    <w:p w14:paraId="53C97367"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lastRenderedPageBreak/>
        <w:t xml:space="preserve">Van Mantgem, P. J. </w:t>
      </w:r>
      <w:r w:rsidRPr="00346542">
        <w:rPr>
          <w:rFonts w:ascii="Calibri" w:hAnsi="Calibri" w:cs="Calibri"/>
          <w:i/>
          <w:iCs/>
          <w:noProof/>
          <w:szCs w:val="24"/>
        </w:rPr>
        <w:t>et al.</w:t>
      </w:r>
      <w:r w:rsidRPr="00346542">
        <w:rPr>
          <w:rFonts w:ascii="Calibri" w:hAnsi="Calibri" w:cs="Calibri"/>
          <w:noProof/>
          <w:szCs w:val="24"/>
        </w:rPr>
        <w:t xml:space="preserve"> (2020) ‘The influence of pre-fire growth patterns on post-fire tree mortality for common conifers in western US parks’, </w:t>
      </w:r>
      <w:r w:rsidRPr="00346542">
        <w:rPr>
          <w:rFonts w:ascii="Calibri" w:hAnsi="Calibri" w:cs="Calibri"/>
          <w:i/>
          <w:iCs/>
          <w:noProof/>
          <w:szCs w:val="24"/>
        </w:rPr>
        <w:t>International Journal of Wildland Fire</w:t>
      </w:r>
      <w:r w:rsidRPr="00346542">
        <w:rPr>
          <w:rFonts w:ascii="Calibri" w:hAnsi="Calibri" w:cs="Calibri"/>
          <w:noProof/>
          <w:szCs w:val="24"/>
        </w:rPr>
        <w:t>, 29(6), pp. 513–518. doi: 10.1071/WF19020.</w:t>
      </w:r>
    </w:p>
    <w:p w14:paraId="725D0EAE"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Van Mantgem, P. J. and Stephenson, N. L. (2007) ‘Apparent climatically induced increase of tree mortality rates in a temperate forest’, </w:t>
      </w:r>
      <w:r w:rsidRPr="00346542">
        <w:rPr>
          <w:rFonts w:ascii="Calibri" w:hAnsi="Calibri" w:cs="Calibri"/>
          <w:i/>
          <w:iCs/>
          <w:noProof/>
          <w:szCs w:val="24"/>
        </w:rPr>
        <w:t>Ecology Letters</w:t>
      </w:r>
      <w:r w:rsidRPr="00346542">
        <w:rPr>
          <w:rFonts w:ascii="Calibri" w:hAnsi="Calibri" w:cs="Calibri"/>
          <w:noProof/>
          <w:szCs w:val="24"/>
        </w:rPr>
        <w:t>, 10(10), pp. 909–916. doi: 10.1111/j.1461-0248.2007.01080.x.</w:t>
      </w:r>
    </w:p>
    <w:p w14:paraId="7709285C"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Van Mantgem, P. J., Stephenson, N. L. and Keeley, J. E. (2006) ‘Forest reproduction along a climatic gradient in the Sierra Nevada, California’, </w:t>
      </w:r>
      <w:r w:rsidRPr="00346542">
        <w:rPr>
          <w:rFonts w:ascii="Calibri" w:hAnsi="Calibri" w:cs="Calibri"/>
          <w:i/>
          <w:iCs/>
          <w:noProof/>
          <w:szCs w:val="24"/>
        </w:rPr>
        <w:t>Forest Ecology and Management</w:t>
      </w:r>
      <w:r w:rsidRPr="00346542">
        <w:rPr>
          <w:rFonts w:ascii="Calibri" w:hAnsi="Calibri" w:cs="Calibri"/>
          <w:noProof/>
          <w:szCs w:val="24"/>
        </w:rPr>
        <w:t>, 225(1–3), pp. 391–399. doi: 10.1016/j.foreco.2006.01.015.</w:t>
      </w:r>
    </w:p>
    <w:p w14:paraId="355E5B11"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Moran, E. V. </w:t>
      </w:r>
      <w:r w:rsidRPr="00346542">
        <w:rPr>
          <w:rFonts w:ascii="Calibri" w:hAnsi="Calibri" w:cs="Calibri"/>
          <w:i/>
          <w:iCs/>
          <w:noProof/>
          <w:szCs w:val="24"/>
        </w:rPr>
        <w:t>et al.</w:t>
      </w:r>
      <w:r w:rsidRPr="00346542">
        <w:rPr>
          <w:rFonts w:ascii="Calibri" w:hAnsi="Calibri" w:cs="Calibri"/>
          <w:noProof/>
          <w:szCs w:val="24"/>
        </w:rPr>
        <w:t xml:space="preserve"> (2019) ‘Negative impacts of summer heat on Sierra Nevada tree seedlings’, </w:t>
      </w:r>
      <w:r w:rsidRPr="00346542">
        <w:rPr>
          <w:rFonts w:ascii="Calibri" w:hAnsi="Calibri" w:cs="Calibri"/>
          <w:i/>
          <w:iCs/>
          <w:noProof/>
          <w:szCs w:val="24"/>
        </w:rPr>
        <w:t>Ecosphere</w:t>
      </w:r>
      <w:r w:rsidRPr="00346542">
        <w:rPr>
          <w:rFonts w:ascii="Calibri" w:hAnsi="Calibri" w:cs="Calibri"/>
          <w:noProof/>
          <w:szCs w:val="24"/>
        </w:rPr>
        <w:t>, 10(6). doi: 10.1002/ecs2.2776.</w:t>
      </w:r>
    </w:p>
    <w:p w14:paraId="7FD86893"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Murray, M. P. and Tomback, D. F. (2010) ‘Clark’s nutcrackers harvest sugar pine seeds from cones’, </w:t>
      </w:r>
      <w:r w:rsidRPr="00346542">
        <w:rPr>
          <w:rFonts w:ascii="Calibri" w:hAnsi="Calibri" w:cs="Calibri"/>
          <w:i/>
          <w:iCs/>
          <w:noProof/>
          <w:szCs w:val="24"/>
        </w:rPr>
        <w:t>Western North American Naturalist</w:t>
      </w:r>
      <w:r w:rsidRPr="00346542">
        <w:rPr>
          <w:rFonts w:ascii="Calibri" w:hAnsi="Calibri" w:cs="Calibri"/>
          <w:noProof/>
          <w:szCs w:val="24"/>
        </w:rPr>
        <w:t>, 70(3), pp. 413–414. doi: 10.3398/064.070.0314.</w:t>
      </w:r>
    </w:p>
    <w:p w14:paraId="2C30C198"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Nesmith, J. C. B. </w:t>
      </w:r>
      <w:r w:rsidRPr="00346542">
        <w:rPr>
          <w:rFonts w:ascii="Calibri" w:hAnsi="Calibri" w:cs="Calibri"/>
          <w:i/>
          <w:iCs/>
          <w:noProof/>
          <w:szCs w:val="24"/>
        </w:rPr>
        <w:t>et al.</w:t>
      </w:r>
      <w:r w:rsidRPr="00346542">
        <w:rPr>
          <w:rFonts w:ascii="Calibri" w:hAnsi="Calibri" w:cs="Calibri"/>
          <w:noProof/>
          <w:szCs w:val="24"/>
        </w:rPr>
        <w:t xml:space="preserve"> (2010) ‘The effects of raking on sugar pine mortality following prescribed fire in sequoia and kings canyon national parks, California, USA’, </w:t>
      </w:r>
      <w:r w:rsidRPr="00346542">
        <w:rPr>
          <w:rFonts w:ascii="Calibri" w:hAnsi="Calibri" w:cs="Calibri"/>
          <w:i/>
          <w:iCs/>
          <w:noProof/>
          <w:szCs w:val="24"/>
        </w:rPr>
        <w:t>Fire Ecology</w:t>
      </w:r>
      <w:r w:rsidRPr="00346542">
        <w:rPr>
          <w:rFonts w:ascii="Calibri" w:hAnsi="Calibri" w:cs="Calibri"/>
          <w:noProof/>
          <w:szCs w:val="24"/>
        </w:rPr>
        <w:t>, 6(3), pp. 97–116. doi: 10.4996/fireecology.0603097.</w:t>
      </w:r>
    </w:p>
    <w:p w14:paraId="657FB72A"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Nesmith, J. C. B. </w:t>
      </w:r>
      <w:r w:rsidRPr="00346542">
        <w:rPr>
          <w:rFonts w:ascii="Calibri" w:hAnsi="Calibri" w:cs="Calibri"/>
          <w:i/>
          <w:iCs/>
          <w:noProof/>
          <w:szCs w:val="24"/>
        </w:rPr>
        <w:t>et al.</w:t>
      </w:r>
      <w:r w:rsidRPr="00346542">
        <w:rPr>
          <w:rFonts w:ascii="Calibri" w:hAnsi="Calibri" w:cs="Calibri"/>
          <w:noProof/>
          <w:szCs w:val="24"/>
        </w:rPr>
        <w:t xml:space="preserve"> (2015) ‘The influence of prefire tree growth and crown condition on postfire mortality of sugar pine following prescribed fire in Sequoia National Park’, </w:t>
      </w:r>
      <w:r w:rsidRPr="00346542">
        <w:rPr>
          <w:rFonts w:ascii="Calibri" w:hAnsi="Calibri" w:cs="Calibri"/>
          <w:i/>
          <w:iCs/>
          <w:noProof/>
          <w:szCs w:val="24"/>
        </w:rPr>
        <w:t>Canadian Journal of Forest Research</w:t>
      </w:r>
      <w:r w:rsidRPr="00346542">
        <w:rPr>
          <w:rFonts w:ascii="Calibri" w:hAnsi="Calibri" w:cs="Calibri"/>
          <w:noProof/>
          <w:szCs w:val="24"/>
        </w:rPr>
        <w:t>, 45(7), pp. 910–919. doi: 10.1139/cjfr-2014-0449.</w:t>
      </w:r>
    </w:p>
    <w:p w14:paraId="6FA2A304"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North, M. P. </w:t>
      </w:r>
      <w:r w:rsidRPr="00346542">
        <w:rPr>
          <w:rFonts w:ascii="Calibri" w:hAnsi="Calibri" w:cs="Calibri"/>
          <w:i/>
          <w:iCs/>
          <w:noProof/>
          <w:szCs w:val="24"/>
        </w:rPr>
        <w:t>et al.</w:t>
      </w:r>
      <w:r w:rsidRPr="00346542">
        <w:rPr>
          <w:rFonts w:ascii="Calibri" w:hAnsi="Calibri" w:cs="Calibri"/>
          <w:noProof/>
          <w:szCs w:val="24"/>
        </w:rPr>
        <w:t xml:space="preserve"> (2019) ‘Tamm Review: Reforestation for resilience in dry western U.S. forests’, </w:t>
      </w:r>
      <w:r w:rsidRPr="00346542">
        <w:rPr>
          <w:rFonts w:ascii="Calibri" w:hAnsi="Calibri" w:cs="Calibri"/>
          <w:i/>
          <w:iCs/>
          <w:noProof/>
          <w:szCs w:val="24"/>
        </w:rPr>
        <w:t>Forest Ecology and Management</w:t>
      </w:r>
      <w:r w:rsidRPr="00346542">
        <w:rPr>
          <w:rFonts w:ascii="Calibri" w:hAnsi="Calibri" w:cs="Calibri"/>
          <w:noProof/>
          <w:szCs w:val="24"/>
        </w:rPr>
        <w:t>, 432(July 2018), pp. 209–224. doi: 10.1016/j.foreco.2018.09.007.</w:t>
      </w:r>
    </w:p>
    <w:p w14:paraId="4D54CBB6"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North, M. P. </w:t>
      </w:r>
      <w:r w:rsidRPr="00346542">
        <w:rPr>
          <w:rFonts w:ascii="Calibri" w:hAnsi="Calibri" w:cs="Calibri"/>
          <w:i/>
          <w:iCs/>
          <w:noProof/>
          <w:szCs w:val="24"/>
        </w:rPr>
        <w:t>et al.</w:t>
      </w:r>
      <w:r w:rsidRPr="00346542">
        <w:rPr>
          <w:rFonts w:ascii="Calibri" w:hAnsi="Calibri" w:cs="Calibri"/>
          <w:noProof/>
          <w:szCs w:val="24"/>
        </w:rPr>
        <w:t xml:space="preserve"> (2021) ‘Pyrosilviculture needed for landscape resilience of dry western United States forests’, </w:t>
      </w:r>
      <w:r w:rsidRPr="00346542">
        <w:rPr>
          <w:rFonts w:ascii="Calibri" w:hAnsi="Calibri" w:cs="Calibri"/>
          <w:i/>
          <w:iCs/>
          <w:noProof/>
          <w:szCs w:val="24"/>
        </w:rPr>
        <w:t>Journal of Forestry</w:t>
      </w:r>
      <w:r w:rsidRPr="00346542">
        <w:rPr>
          <w:rFonts w:ascii="Calibri" w:hAnsi="Calibri" w:cs="Calibri"/>
          <w:noProof/>
          <w:szCs w:val="24"/>
        </w:rPr>
        <w:t>, pp. 1–25. doi: 10.1093/jofore/fvab026.</w:t>
      </w:r>
    </w:p>
    <w:p w14:paraId="4917D750"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North, M. P. </w:t>
      </w:r>
      <w:r w:rsidRPr="00346542">
        <w:rPr>
          <w:rFonts w:ascii="Calibri" w:hAnsi="Calibri" w:cs="Calibri"/>
          <w:i/>
          <w:iCs/>
          <w:noProof/>
          <w:szCs w:val="24"/>
        </w:rPr>
        <w:t>et al.</w:t>
      </w:r>
      <w:r w:rsidRPr="00346542">
        <w:rPr>
          <w:rFonts w:ascii="Calibri" w:hAnsi="Calibri" w:cs="Calibri"/>
          <w:noProof/>
          <w:szCs w:val="24"/>
        </w:rPr>
        <w:t xml:space="preserve"> (2022) ‘Operational resilience in western US frequent-fire forests’, </w:t>
      </w:r>
      <w:r w:rsidRPr="00346542">
        <w:rPr>
          <w:rFonts w:ascii="Calibri" w:hAnsi="Calibri" w:cs="Calibri"/>
          <w:i/>
          <w:iCs/>
          <w:noProof/>
          <w:szCs w:val="24"/>
        </w:rPr>
        <w:t>Forest Ecology and Management</w:t>
      </w:r>
      <w:r w:rsidRPr="00346542">
        <w:rPr>
          <w:rFonts w:ascii="Calibri" w:hAnsi="Calibri" w:cs="Calibri"/>
          <w:noProof/>
          <w:szCs w:val="24"/>
        </w:rPr>
        <w:t>, 507(November 2021), p. 120004. doi: 10.1016/j.foreco.2021.120004.</w:t>
      </w:r>
    </w:p>
    <w:p w14:paraId="32ABFBDE"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Parks, S. A. and Abatzoglou, J. T. (2020) ‘Warmer and Drier Fire Seasons Contribute to Increases in Area Burned at High Severity in Western US Forests From 1985 to 2017’, </w:t>
      </w:r>
      <w:r w:rsidRPr="00346542">
        <w:rPr>
          <w:rFonts w:ascii="Calibri" w:hAnsi="Calibri" w:cs="Calibri"/>
          <w:i/>
          <w:iCs/>
          <w:noProof/>
          <w:szCs w:val="24"/>
        </w:rPr>
        <w:t>Geophysical Research Letters</w:t>
      </w:r>
      <w:r w:rsidRPr="00346542">
        <w:rPr>
          <w:rFonts w:ascii="Calibri" w:hAnsi="Calibri" w:cs="Calibri"/>
          <w:noProof/>
          <w:szCs w:val="24"/>
        </w:rPr>
        <w:t>, 47(22), pp. 1–10. doi: 10.1029/2020GL089858.</w:t>
      </w:r>
    </w:p>
    <w:p w14:paraId="0AEA4B65"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Paz-Kagan, T. </w:t>
      </w:r>
      <w:r w:rsidRPr="00346542">
        <w:rPr>
          <w:rFonts w:ascii="Calibri" w:hAnsi="Calibri" w:cs="Calibri"/>
          <w:i/>
          <w:iCs/>
          <w:noProof/>
          <w:szCs w:val="24"/>
        </w:rPr>
        <w:t>et al.</w:t>
      </w:r>
      <w:r w:rsidRPr="00346542">
        <w:rPr>
          <w:rFonts w:ascii="Calibri" w:hAnsi="Calibri" w:cs="Calibri"/>
          <w:noProof/>
          <w:szCs w:val="24"/>
        </w:rPr>
        <w:t xml:space="preserve"> (2017) ‘What mediates tree mortality during drought in the southern Sierra Nevada’, </w:t>
      </w:r>
      <w:r w:rsidRPr="00346542">
        <w:rPr>
          <w:rFonts w:ascii="Calibri" w:hAnsi="Calibri" w:cs="Calibri"/>
          <w:i/>
          <w:iCs/>
          <w:noProof/>
          <w:szCs w:val="24"/>
        </w:rPr>
        <w:t>Ecological Applications</w:t>
      </w:r>
      <w:r w:rsidRPr="00346542">
        <w:rPr>
          <w:rFonts w:ascii="Calibri" w:hAnsi="Calibri" w:cs="Calibri"/>
          <w:noProof/>
          <w:szCs w:val="24"/>
        </w:rPr>
        <w:t>, 27(8), pp. 2443–2457. doi: 10.1002/eap.1620.</w:t>
      </w:r>
    </w:p>
    <w:p w14:paraId="595B09B4"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Restaino, C. </w:t>
      </w:r>
      <w:r w:rsidRPr="00346542">
        <w:rPr>
          <w:rFonts w:ascii="Calibri" w:hAnsi="Calibri" w:cs="Calibri"/>
          <w:i/>
          <w:iCs/>
          <w:noProof/>
          <w:szCs w:val="24"/>
        </w:rPr>
        <w:t>et al.</w:t>
      </w:r>
      <w:r w:rsidRPr="00346542">
        <w:rPr>
          <w:rFonts w:ascii="Calibri" w:hAnsi="Calibri" w:cs="Calibri"/>
          <w:noProof/>
          <w:szCs w:val="24"/>
        </w:rPr>
        <w:t xml:space="preserve"> (2019) ‘Forest structure and climate mediate drought-induced tree mortality in forests of the Sierra Nevada , USA’, </w:t>
      </w:r>
      <w:r w:rsidRPr="00346542">
        <w:rPr>
          <w:rFonts w:ascii="Calibri" w:hAnsi="Calibri" w:cs="Calibri"/>
          <w:i/>
          <w:iCs/>
          <w:noProof/>
          <w:szCs w:val="24"/>
        </w:rPr>
        <w:t>Ecological Applications</w:t>
      </w:r>
      <w:r w:rsidRPr="00346542">
        <w:rPr>
          <w:rFonts w:ascii="Calibri" w:hAnsi="Calibri" w:cs="Calibri"/>
          <w:noProof/>
          <w:szCs w:val="24"/>
        </w:rPr>
        <w:t>, 29(December 2017), pp. 1–14. doi: 10.1002/eap.1902.</w:t>
      </w:r>
    </w:p>
    <w:p w14:paraId="14901815"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Safford, H. D. and Stevens, J. T. (2017) ‘Natural Range of Variation (NRV) for yellow pine and mixed conifer forests in the bioregional assessment area, including the Sierra Nevada, southern Cascades, and Modoc and Inyo National Forests’, </w:t>
      </w:r>
      <w:r w:rsidRPr="00346542">
        <w:rPr>
          <w:rFonts w:ascii="Calibri" w:hAnsi="Calibri" w:cs="Calibri"/>
          <w:i/>
          <w:iCs/>
          <w:noProof/>
          <w:szCs w:val="24"/>
        </w:rPr>
        <w:t>Gen. Tech. Rep. PSW-GTR-2562</w:t>
      </w:r>
      <w:r w:rsidRPr="00346542">
        <w:rPr>
          <w:rFonts w:ascii="Calibri" w:hAnsi="Calibri" w:cs="Calibri"/>
          <w:noProof/>
          <w:szCs w:val="24"/>
        </w:rPr>
        <w:t>, (October), pp. 1–151.</w:t>
      </w:r>
    </w:p>
    <w:p w14:paraId="76F8A15C"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Schubert, G. H. (1956) </w:t>
      </w:r>
      <w:r w:rsidRPr="00346542">
        <w:rPr>
          <w:rFonts w:ascii="Calibri" w:hAnsi="Calibri" w:cs="Calibri"/>
          <w:i/>
          <w:iCs/>
          <w:noProof/>
          <w:szCs w:val="24"/>
        </w:rPr>
        <w:t>Effect of fertilizer on cone production of sugar pine</w:t>
      </w:r>
      <w:r w:rsidRPr="00346542">
        <w:rPr>
          <w:rFonts w:ascii="Calibri" w:hAnsi="Calibri" w:cs="Calibri"/>
          <w:noProof/>
          <w:szCs w:val="24"/>
        </w:rPr>
        <w:t>.</w:t>
      </w:r>
    </w:p>
    <w:p w14:paraId="3B534E6B"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Schwilk, D. W. and Ackerly, D. D. (2001) ‘Flammability and Serotiny as Strategies : Correlated Evolution in Pines evolution correlated as strategies : and serotiny Flammability in pines’, </w:t>
      </w:r>
      <w:r w:rsidRPr="00346542">
        <w:rPr>
          <w:rFonts w:ascii="Calibri" w:hAnsi="Calibri" w:cs="Calibri"/>
          <w:i/>
          <w:iCs/>
          <w:noProof/>
          <w:szCs w:val="24"/>
        </w:rPr>
        <w:t>Oikos</w:t>
      </w:r>
      <w:r w:rsidRPr="00346542">
        <w:rPr>
          <w:rFonts w:ascii="Calibri" w:hAnsi="Calibri" w:cs="Calibri"/>
          <w:noProof/>
          <w:szCs w:val="24"/>
        </w:rPr>
        <w:t>, 94, pp. 326–336.</w:t>
      </w:r>
    </w:p>
    <w:p w14:paraId="05F42C6D"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lastRenderedPageBreak/>
        <w:t xml:space="preserve">Shive, K. L. </w:t>
      </w:r>
      <w:r w:rsidRPr="00346542">
        <w:rPr>
          <w:rFonts w:ascii="Calibri" w:hAnsi="Calibri" w:cs="Calibri"/>
          <w:i/>
          <w:iCs/>
          <w:noProof/>
          <w:szCs w:val="24"/>
        </w:rPr>
        <w:t>et al.</w:t>
      </w:r>
      <w:r w:rsidRPr="00346542">
        <w:rPr>
          <w:rFonts w:ascii="Calibri" w:hAnsi="Calibri" w:cs="Calibri"/>
          <w:noProof/>
          <w:szCs w:val="24"/>
        </w:rPr>
        <w:t xml:space="preserve"> (2018) ‘From the stand scale to the landscape scale: predicting the spatial patterns of forest regeneration after disturbance’, </w:t>
      </w:r>
      <w:r w:rsidRPr="00346542">
        <w:rPr>
          <w:rFonts w:ascii="Calibri" w:hAnsi="Calibri" w:cs="Calibri"/>
          <w:i/>
          <w:iCs/>
          <w:noProof/>
          <w:szCs w:val="24"/>
        </w:rPr>
        <w:t>Ecological Applications</w:t>
      </w:r>
      <w:r w:rsidRPr="00346542">
        <w:rPr>
          <w:rFonts w:ascii="Calibri" w:hAnsi="Calibri" w:cs="Calibri"/>
          <w:noProof/>
          <w:szCs w:val="24"/>
        </w:rPr>
        <w:t>, 28(6), pp. 1626–1639. doi: 10.1002/eap.1756.</w:t>
      </w:r>
    </w:p>
    <w:p w14:paraId="03590501"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Shriver, R. K. </w:t>
      </w:r>
      <w:r w:rsidRPr="00346542">
        <w:rPr>
          <w:rFonts w:ascii="Calibri" w:hAnsi="Calibri" w:cs="Calibri"/>
          <w:i/>
          <w:iCs/>
          <w:noProof/>
          <w:szCs w:val="24"/>
        </w:rPr>
        <w:t>et al.</w:t>
      </w:r>
      <w:r w:rsidRPr="00346542">
        <w:rPr>
          <w:rFonts w:ascii="Calibri" w:hAnsi="Calibri" w:cs="Calibri"/>
          <w:noProof/>
          <w:szCs w:val="24"/>
        </w:rPr>
        <w:t xml:space="preserve"> (2019) ‘Transient population dynamics impede restoration and may promote ecosystem transformation after disturbance’, </w:t>
      </w:r>
      <w:r w:rsidRPr="00346542">
        <w:rPr>
          <w:rFonts w:ascii="Calibri" w:hAnsi="Calibri" w:cs="Calibri"/>
          <w:i/>
          <w:iCs/>
          <w:noProof/>
          <w:szCs w:val="24"/>
        </w:rPr>
        <w:t>Ecology Letters</w:t>
      </w:r>
      <w:r w:rsidRPr="00346542">
        <w:rPr>
          <w:rFonts w:ascii="Calibri" w:hAnsi="Calibri" w:cs="Calibri"/>
          <w:noProof/>
          <w:szCs w:val="24"/>
        </w:rPr>
        <w:t>, 22(9), pp. 1357–1366. doi: 10.1111/ele.13291.</w:t>
      </w:r>
    </w:p>
    <w:p w14:paraId="09219BB5"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Slack, A. W., Kane, J. M. and Knapp, E. E. (2021) ‘Growth and defense inform large sugar pine ( Pinus lambertiana ) mortality in a fire ‐ excluded forest of the central Sierra Nevada’, </w:t>
      </w:r>
      <w:r w:rsidRPr="00346542">
        <w:rPr>
          <w:rFonts w:ascii="Calibri" w:hAnsi="Calibri" w:cs="Calibri"/>
          <w:i/>
          <w:iCs/>
          <w:noProof/>
          <w:szCs w:val="24"/>
        </w:rPr>
        <w:t>Trees</w:t>
      </w:r>
      <w:r w:rsidRPr="00346542">
        <w:rPr>
          <w:rFonts w:ascii="Calibri" w:hAnsi="Calibri" w:cs="Calibri"/>
          <w:noProof/>
          <w:szCs w:val="24"/>
        </w:rPr>
        <w:t>, (0123456789). doi: 10.1007/s00468-021-02098-8.</w:t>
      </w:r>
    </w:p>
    <w:p w14:paraId="695F25E6"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Steel, Z. </w:t>
      </w:r>
      <w:r w:rsidRPr="00346542">
        <w:rPr>
          <w:rFonts w:ascii="Calibri" w:hAnsi="Calibri" w:cs="Calibri"/>
          <w:i/>
          <w:iCs/>
          <w:noProof/>
          <w:szCs w:val="24"/>
        </w:rPr>
        <w:t>et al.</w:t>
      </w:r>
      <w:r w:rsidRPr="00346542">
        <w:rPr>
          <w:rFonts w:ascii="Calibri" w:hAnsi="Calibri" w:cs="Calibri"/>
          <w:noProof/>
          <w:szCs w:val="24"/>
        </w:rPr>
        <w:t xml:space="preserve"> (2021) ‘Do Forest Fuel Reduction Treatments Confer Resistance to Beetle Infestation and Drought Mortality?’, </w:t>
      </w:r>
      <w:r w:rsidRPr="00346542">
        <w:rPr>
          <w:rFonts w:ascii="Calibri" w:hAnsi="Calibri" w:cs="Calibri"/>
          <w:i/>
          <w:iCs/>
          <w:noProof/>
          <w:szCs w:val="24"/>
        </w:rPr>
        <w:t>Ecosphere</w:t>
      </w:r>
      <w:r w:rsidRPr="00346542">
        <w:rPr>
          <w:rFonts w:ascii="Calibri" w:hAnsi="Calibri" w:cs="Calibri"/>
          <w:noProof/>
          <w:szCs w:val="24"/>
        </w:rPr>
        <w:t>, 12(January). doi: 10.1002/ecs2.3344.</w:t>
      </w:r>
    </w:p>
    <w:p w14:paraId="023DDCC6"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Steel, Z. L., Safford, H. D. and Viers, J. H. (2015) ‘The fire frequency-severity relationship and the legacy of fire suppression in California forests http://www.esajournals.org/doi/pdf/10.1890/ES14-00224.1’, </w:t>
      </w:r>
      <w:r w:rsidRPr="00346542">
        <w:rPr>
          <w:rFonts w:ascii="Calibri" w:hAnsi="Calibri" w:cs="Calibri"/>
          <w:i/>
          <w:iCs/>
          <w:noProof/>
          <w:szCs w:val="24"/>
        </w:rPr>
        <w:t>Ecosphere</w:t>
      </w:r>
      <w:r w:rsidRPr="00346542">
        <w:rPr>
          <w:rFonts w:ascii="Calibri" w:hAnsi="Calibri" w:cs="Calibri"/>
          <w:noProof/>
          <w:szCs w:val="24"/>
        </w:rPr>
        <w:t>, 6(1). doi: 10.1890/ES14-00224.1.</w:t>
      </w:r>
    </w:p>
    <w:p w14:paraId="1A4B40D8"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Stephens, S. C. L. S. </w:t>
      </w:r>
      <w:r w:rsidRPr="00346542">
        <w:rPr>
          <w:rFonts w:ascii="Calibri" w:hAnsi="Calibri" w:cs="Calibri"/>
          <w:i/>
          <w:iCs/>
          <w:noProof/>
          <w:szCs w:val="24"/>
        </w:rPr>
        <w:t>et al.</w:t>
      </w:r>
      <w:r w:rsidRPr="00346542">
        <w:rPr>
          <w:rFonts w:ascii="Calibri" w:hAnsi="Calibri" w:cs="Calibri"/>
          <w:noProof/>
          <w:szCs w:val="24"/>
        </w:rPr>
        <w:t xml:space="preserve"> (2015) ‘Historical and current landscape-scale ponderosa pine and mixed conifer forest structure in the Southern Sierra Nevada’, </w:t>
      </w:r>
      <w:r w:rsidRPr="00346542">
        <w:rPr>
          <w:rFonts w:ascii="Calibri" w:hAnsi="Calibri" w:cs="Calibri"/>
          <w:i/>
          <w:iCs/>
          <w:noProof/>
          <w:szCs w:val="24"/>
        </w:rPr>
        <w:t>Ecosphere</w:t>
      </w:r>
      <w:r w:rsidRPr="00346542">
        <w:rPr>
          <w:rFonts w:ascii="Calibri" w:hAnsi="Calibri" w:cs="Calibri"/>
          <w:noProof/>
          <w:szCs w:val="24"/>
        </w:rPr>
        <w:t>, 6(May), pp. 1–63.</w:t>
      </w:r>
    </w:p>
    <w:p w14:paraId="540358B1"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Stephens, S. L. </w:t>
      </w:r>
      <w:r w:rsidRPr="00346542">
        <w:rPr>
          <w:rFonts w:ascii="Calibri" w:hAnsi="Calibri" w:cs="Calibri"/>
          <w:i/>
          <w:iCs/>
          <w:noProof/>
          <w:szCs w:val="24"/>
        </w:rPr>
        <w:t>et al.</w:t>
      </w:r>
      <w:r w:rsidRPr="00346542">
        <w:rPr>
          <w:rFonts w:ascii="Calibri" w:hAnsi="Calibri" w:cs="Calibri"/>
          <w:noProof/>
          <w:szCs w:val="24"/>
        </w:rPr>
        <w:t xml:space="preserve"> (2009) ‘Fire Treatment Effects on Vegetation Structure , Fuels , and Potential Fire Severity in Western U . S . Forests’, </w:t>
      </w:r>
      <w:r w:rsidRPr="00346542">
        <w:rPr>
          <w:rFonts w:ascii="Calibri" w:hAnsi="Calibri" w:cs="Calibri"/>
          <w:i/>
          <w:iCs/>
          <w:noProof/>
          <w:szCs w:val="24"/>
        </w:rPr>
        <w:t>Ecological Applications</w:t>
      </w:r>
      <w:r w:rsidRPr="00346542">
        <w:rPr>
          <w:rFonts w:ascii="Calibri" w:hAnsi="Calibri" w:cs="Calibri"/>
          <w:noProof/>
          <w:szCs w:val="24"/>
        </w:rPr>
        <w:t>, 19(2), pp. 305–320. doi: 10.1890/07-1755.1.</w:t>
      </w:r>
    </w:p>
    <w:p w14:paraId="1F6E4DF4"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Stephens, S. L. </w:t>
      </w:r>
      <w:r w:rsidRPr="00346542">
        <w:rPr>
          <w:rFonts w:ascii="Calibri" w:hAnsi="Calibri" w:cs="Calibri"/>
          <w:i/>
          <w:iCs/>
          <w:noProof/>
          <w:szCs w:val="24"/>
        </w:rPr>
        <w:t>et al.</w:t>
      </w:r>
      <w:r w:rsidRPr="00346542">
        <w:rPr>
          <w:rFonts w:ascii="Calibri" w:hAnsi="Calibri" w:cs="Calibri"/>
          <w:noProof/>
          <w:szCs w:val="24"/>
        </w:rPr>
        <w:t xml:space="preserve"> (2018) ‘Drought, Tree Mortality, and Wildfire in Forests Adapted to Frequent Fire’, </w:t>
      </w:r>
      <w:r w:rsidRPr="00346542">
        <w:rPr>
          <w:rFonts w:ascii="Calibri" w:hAnsi="Calibri" w:cs="Calibri"/>
          <w:i/>
          <w:iCs/>
          <w:noProof/>
          <w:szCs w:val="24"/>
        </w:rPr>
        <w:t>BioScience</w:t>
      </w:r>
      <w:r w:rsidRPr="00346542">
        <w:rPr>
          <w:rFonts w:ascii="Calibri" w:hAnsi="Calibri" w:cs="Calibri"/>
          <w:noProof/>
          <w:szCs w:val="24"/>
        </w:rPr>
        <w:t>, XX(X), pp. 1–12. doi: 10.1093/biosci/bix146.</w:t>
      </w:r>
    </w:p>
    <w:p w14:paraId="65B14056"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Stephens, S. L. and Moghaddas, J. J. (2005) ‘Experimental fuel treatment impacts on forest structure, potential fire behavior, and predicted tree mortality in a California mixed conifer forest’, </w:t>
      </w:r>
      <w:r w:rsidRPr="00346542">
        <w:rPr>
          <w:rFonts w:ascii="Calibri" w:hAnsi="Calibri" w:cs="Calibri"/>
          <w:i/>
          <w:iCs/>
          <w:noProof/>
          <w:szCs w:val="24"/>
        </w:rPr>
        <w:t>Forest Ecology and Management</w:t>
      </w:r>
      <w:r w:rsidRPr="00346542">
        <w:rPr>
          <w:rFonts w:ascii="Calibri" w:hAnsi="Calibri" w:cs="Calibri"/>
          <w:noProof/>
          <w:szCs w:val="24"/>
        </w:rPr>
        <w:t>, 215(1–3), pp. 21–36. doi: 10.1016/j.foreco.2005.03.070.</w:t>
      </w:r>
    </w:p>
    <w:p w14:paraId="5BFE1402"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Stephenson, N. L. (1998) ‘Actual evapotranspiration and deficit: Biologically meaningful correlates of vegetation distribution across spatial scales’, </w:t>
      </w:r>
      <w:r w:rsidRPr="00346542">
        <w:rPr>
          <w:rFonts w:ascii="Calibri" w:hAnsi="Calibri" w:cs="Calibri"/>
          <w:i/>
          <w:iCs/>
          <w:noProof/>
          <w:szCs w:val="24"/>
        </w:rPr>
        <w:t>Journal of Biogeography</w:t>
      </w:r>
      <w:r w:rsidRPr="00346542">
        <w:rPr>
          <w:rFonts w:ascii="Calibri" w:hAnsi="Calibri" w:cs="Calibri"/>
          <w:noProof/>
          <w:szCs w:val="24"/>
        </w:rPr>
        <w:t>, 25(5), pp. 855–870. doi: 10.1046/j.1365-2699.1998.00233.x.</w:t>
      </w:r>
    </w:p>
    <w:p w14:paraId="3D5278BA"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Stephenson, N. L. </w:t>
      </w:r>
      <w:r w:rsidRPr="00346542">
        <w:rPr>
          <w:rFonts w:ascii="Calibri" w:hAnsi="Calibri" w:cs="Calibri"/>
          <w:i/>
          <w:iCs/>
          <w:noProof/>
          <w:szCs w:val="24"/>
        </w:rPr>
        <w:t>et al.</w:t>
      </w:r>
      <w:r w:rsidRPr="00346542">
        <w:rPr>
          <w:rFonts w:ascii="Calibri" w:hAnsi="Calibri" w:cs="Calibri"/>
          <w:noProof/>
          <w:szCs w:val="24"/>
        </w:rPr>
        <w:t xml:space="preserve"> (2019) ‘Which trees die during drought? The key role of insect host-tree selection’, </w:t>
      </w:r>
      <w:r w:rsidRPr="00346542">
        <w:rPr>
          <w:rFonts w:ascii="Calibri" w:hAnsi="Calibri" w:cs="Calibri"/>
          <w:i/>
          <w:iCs/>
          <w:noProof/>
          <w:szCs w:val="24"/>
        </w:rPr>
        <w:t>Journal of Ecology</w:t>
      </w:r>
      <w:r w:rsidRPr="00346542">
        <w:rPr>
          <w:rFonts w:ascii="Calibri" w:hAnsi="Calibri" w:cs="Calibri"/>
          <w:noProof/>
          <w:szCs w:val="24"/>
        </w:rPr>
        <w:t>, 107(5), pp. 2383–2401. doi: 10.1111/1365-2745.13176.</w:t>
      </w:r>
    </w:p>
    <w:p w14:paraId="1FEE55E8"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Stevens, J. T. </w:t>
      </w:r>
      <w:r w:rsidRPr="00346542">
        <w:rPr>
          <w:rFonts w:ascii="Calibri" w:hAnsi="Calibri" w:cs="Calibri"/>
          <w:i/>
          <w:iCs/>
          <w:noProof/>
          <w:szCs w:val="24"/>
        </w:rPr>
        <w:t>et al.</w:t>
      </w:r>
      <w:r w:rsidRPr="00346542">
        <w:rPr>
          <w:rFonts w:ascii="Calibri" w:hAnsi="Calibri" w:cs="Calibri"/>
          <w:noProof/>
          <w:szCs w:val="24"/>
        </w:rPr>
        <w:t xml:space="preserve"> (2017) ‘Changing spatial patterns of stand-replacing fire in California conifer forests’, </w:t>
      </w:r>
      <w:r w:rsidRPr="00346542">
        <w:rPr>
          <w:rFonts w:ascii="Calibri" w:hAnsi="Calibri" w:cs="Calibri"/>
          <w:i/>
          <w:iCs/>
          <w:noProof/>
          <w:szCs w:val="24"/>
        </w:rPr>
        <w:t>Forest Ecology and Management</w:t>
      </w:r>
      <w:r w:rsidRPr="00346542">
        <w:rPr>
          <w:rFonts w:ascii="Calibri" w:hAnsi="Calibri" w:cs="Calibri"/>
          <w:noProof/>
          <w:szCs w:val="24"/>
        </w:rPr>
        <w:t>, 406(August), pp. 28–36. doi: 10.1016/j.foreco.2017.08.051.</w:t>
      </w:r>
    </w:p>
    <w:p w14:paraId="1562730F"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Stewart, J. A. E. </w:t>
      </w:r>
      <w:r w:rsidRPr="00346542">
        <w:rPr>
          <w:rFonts w:ascii="Calibri" w:hAnsi="Calibri" w:cs="Calibri"/>
          <w:i/>
          <w:iCs/>
          <w:noProof/>
          <w:szCs w:val="24"/>
        </w:rPr>
        <w:t>et al.</w:t>
      </w:r>
      <w:r w:rsidRPr="00346542">
        <w:rPr>
          <w:rFonts w:ascii="Calibri" w:hAnsi="Calibri" w:cs="Calibri"/>
          <w:noProof/>
          <w:szCs w:val="24"/>
        </w:rPr>
        <w:t xml:space="preserve"> (2021) ‘Effects of postfire climate and seed availability on postfire conifer regeneration’, </w:t>
      </w:r>
      <w:r w:rsidRPr="00346542">
        <w:rPr>
          <w:rFonts w:ascii="Calibri" w:hAnsi="Calibri" w:cs="Calibri"/>
          <w:i/>
          <w:iCs/>
          <w:noProof/>
          <w:szCs w:val="24"/>
        </w:rPr>
        <w:t>Ecological Applications</w:t>
      </w:r>
      <w:r w:rsidRPr="00346542">
        <w:rPr>
          <w:rFonts w:ascii="Calibri" w:hAnsi="Calibri" w:cs="Calibri"/>
          <w:noProof/>
          <w:szCs w:val="24"/>
        </w:rPr>
        <w:t>, 31(3), pp. 1–14. doi: 10.1002/eap.2280.</w:t>
      </w:r>
    </w:p>
    <w:p w14:paraId="7CE4CEC0"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Voelker, S. L. </w:t>
      </w:r>
      <w:r w:rsidRPr="00346542">
        <w:rPr>
          <w:rFonts w:ascii="Calibri" w:hAnsi="Calibri" w:cs="Calibri"/>
          <w:i/>
          <w:iCs/>
          <w:noProof/>
          <w:szCs w:val="24"/>
        </w:rPr>
        <w:t>et al.</w:t>
      </w:r>
      <w:r w:rsidRPr="00346542">
        <w:rPr>
          <w:rFonts w:ascii="Calibri" w:hAnsi="Calibri" w:cs="Calibri"/>
          <w:noProof/>
          <w:szCs w:val="24"/>
        </w:rPr>
        <w:t xml:space="preserve"> (2019) ‘Fire deficits have increased drought sensitivity in dry conifer forests: Fire frequency and tree-ring carbon isotope evidence from Central Oregon’, </w:t>
      </w:r>
      <w:r w:rsidRPr="00346542">
        <w:rPr>
          <w:rFonts w:ascii="Calibri" w:hAnsi="Calibri" w:cs="Calibri"/>
          <w:i/>
          <w:iCs/>
          <w:noProof/>
          <w:szCs w:val="24"/>
        </w:rPr>
        <w:t>Global Change Biology</w:t>
      </w:r>
      <w:r w:rsidRPr="00346542">
        <w:rPr>
          <w:rFonts w:ascii="Calibri" w:hAnsi="Calibri" w:cs="Calibri"/>
          <w:noProof/>
          <w:szCs w:val="24"/>
        </w:rPr>
        <w:t>, 25(4), pp. 1247–1262. doi: 10.1111/gcb.14543.</w:t>
      </w:r>
    </w:p>
    <w:p w14:paraId="70DCA6D0"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Wayman, R. B. and Safford, H. D. (2021) ‘Recent bark beetle outbreaks influence wildfire severity in mixed-conifer forests of the Sierra Nevada, California, USA’, </w:t>
      </w:r>
      <w:r w:rsidRPr="00346542">
        <w:rPr>
          <w:rFonts w:ascii="Calibri" w:hAnsi="Calibri" w:cs="Calibri"/>
          <w:i/>
          <w:iCs/>
          <w:noProof/>
          <w:szCs w:val="24"/>
        </w:rPr>
        <w:t>Ecological Applications</w:t>
      </w:r>
      <w:r w:rsidRPr="00346542">
        <w:rPr>
          <w:rFonts w:ascii="Calibri" w:hAnsi="Calibri" w:cs="Calibri"/>
          <w:noProof/>
          <w:szCs w:val="24"/>
        </w:rPr>
        <w:t>, 31(3), pp. 1–19. doi: 10.1002/eap.2287.</w:t>
      </w:r>
    </w:p>
    <w:p w14:paraId="5BF87E8F"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Yeaton, R. I. (1983) ‘The Successional Replacement of Ponderosa Pine by Sugar Pine in the Sierra Nevada </w:t>
      </w:r>
      <w:r w:rsidRPr="00346542">
        <w:rPr>
          <w:rFonts w:ascii="Calibri" w:hAnsi="Calibri" w:cs="Calibri"/>
          <w:noProof/>
          <w:szCs w:val="24"/>
        </w:rPr>
        <w:lastRenderedPageBreak/>
        <w:t>Author ( s ): Richard I . Yeaton Source : Bulletin of the Torrey Botanical Club , Jul . - Sep ., 1983 , Vol . 110 , No . 3 ( Jul . - Published by : Torrey Botanical Society ’, 110(3), pp. 292–297.</w:t>
      </w:r>
    </w:p>
    <w:p w14:paraId="671C1DAC"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Yeaton, R. I. (1984) ‘Aspects of the Population Biology of Sugar Pine ( Pinus lambertiana Dougl .) on an Elevational Gradient in the Sierra Nevada of Central California’, </w:t>
      </w:r>
      <w:r w:rsidRPr="00346542">
        <w:rPr>
          <w:rFonts w:ascii="Calibri" w:hAnsi="Calibri" w:cs="Calibri"/>
          <w:i/>
          <w:iCs/>
          <w:noProof/>
          <w:szCs w:val="24"/>
        </w:rPr>
        <w:t>The American Midland Naturalist</w:t>
      </w:r>
      <w:r w:rsidRPr="00346542">
        <w:rPr>
          <w:rFonts w:ascii="Calibri" w:hAnsi="Calibri" w:cs="Calibri"/>
          <w:noProof/>
          <w:szCs w:val="24"/>
        </w:rPr>
        <w:t>, 111(1), pp. 126–137. Available at: https://www.jstor.org/stable/2425550.</w:t>
      </w:r>
    </w:p>
    <w:p w14:paraId="3CAB34A3"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York, R. A. </w:t>
      </w:r>
      <w:r w:rsidRPr="00346542">
        <w:rPr>
          <w:rFonts w:ascii="Calibri" w:hAnsi="Calibri" w:cs="Calibri"/>
          <w:i/>
          <w:iCs/>
          <w:noProof/>
          <w:szCs w:val="24"/>
        </w:rPr>
        <w:t>et al.</w:t>
      </w:r>
      <w:r w:rsidRPr="00346542">
        <w:rPr>
          <w:rFonts w:ascii="Calibri" w:hAnsi="Calibri" w:cs="Calibri"/>
          <w:noProof/>
          <w:szCs w:val="24"/>
        </w:rPr>
        <w:t xml:space="preserve"> (2004) ‘Group selection management in conifer forests: Relationships between opening size and tree growth’, </w:t>
      </w:r>
      <w:r w:rsidRPr="00346542">
        <w:rPr>
          <w:rFonts w:ascii="Calibri" w:hAnsi="Calibri" w:cs="Calibri"/>
          <w:i/>
          <w:iCs/>
          <w:noProof/>
          <w:szCs w:val="24"/>
        </w:rPr>
        <w:t>Canadian Journal of Forest Research</w:t>
      </w:r>
      <w:r w:rsidRPr="00346542">
        <w:rPr>
          <w:rFonts w:ascii="Calibri" w:hAnsi="Calibri" w:cs="Calibri"/>
          <w:noProof/>
          <w:szCs w:val="24"/>
        </w:rPr>
        <w:t>, 34(3), pp. 630–641. doi: 10.1139/x03-222.</w:t>
      </w:r>
    </w:p>
    <w:p w14:paraId="0F0F334D" w14:textId="77777777" w:rsidR="00346542" w:rsidRPr="00346542" w:rsidRDefault="00346542" w:rsidP="00346542">
      <w:pPr>
        <w:widowControl w:val="0"/>
        <w:autoSpaceDE w:val="0"/>
        <w:autoSpaceDN w:val="0"/>
        <w:adjustRightInd w:val="0"/>
        <w:spacing w:line="240" w:lineRule="auto"/>
        <w:rPr>
          <w:rFonts w:ascii="Calibri" w:hAnsi="Calibri" w:cs="Calibri"/>
          <w:noProof/>
          <w:szCs w:val="24"/>
        </w:rPr>
      </w:pPr>
      <w:r w:rsidRPr="00346542">
        <w:rPr>
          <w:rFonts w:ascii="Calibri" w:hAnsi="Calibri" w:cs="Calibri"/>
          <w:noProof/>
          <w:szCs w:val="24"/>
        </w:rPr>
        <w:t xml:space="preserve">York, R. A. </w:t>
      </w:r>
      <w:r w:rsidRPr="00346542">
        <w:rPr>
          <w:rFonts w:ascii="Calibri" w:hAnsi="Calibri" w:cs="Calibri"/>
          <w:i/>
          <w:iCs/>
          <w:noProof/>
          <w:szCs w:val="24"/>
        </w:rPr>
        <w:t>et al.</w:t>
      </w:r>
      <w:r w:rsidRPr="00346542">
        <w:rPr>
          <w:rFonts w:ascii="Calibri" w:hAnsi="Calibri" w:cs="Calibri"/>
          <w:noProof/>
          <w:szCs w:val="24"/>
        </w:rPr>
        <w:t xml:space="preserve"> (2012) ‘A gap-based approach for regenerating pine species and reducing surface fuels in multi-aged mixed conifer stands in the Sierra Nevada, California’, </w:t>
      </w:r>
      <w:r w:rsidRPr="00346542">
        <w:rPr>
          <w:rFonts w:ascii="Calibri" w:hAnsi="Calibri" w:cs="Calibri"/>
          <w:i/>
          <w:iCs/>
          <w:noProof/>
          <w:szCs w:val="24"/>
        </w:rPr>
        <w:t>Forestry</w:t>
      </w:r>
      <w:r w:rsidRPr="00346542">
        <w:rPr>
          <w:rFonts w:ascii="Calibri" w:hAnsi="Calibri" w:cs="Calibri"/>
          <w:noProof/>
          <w:szCs w:val="24"/>
        </w:rPr>
        <w:t>, 85(2), pp. 203–213. doi: 10.1093/forestry/cpr058.</w:t>
      </w:r>
    </w:p>
    <w:p w14:paraId="552FBB88" w14:textId="77777777" w:rsidR="00346542" w:rsidRPr="00346542" w:rsidRDefault="00346542" w:rsidP="00346542">
      <w:pPr>
        <w:widowControl w:val="0"/>
        <w:autoSpaceDE w:val="0"/>
        <w:autoSpaceDN w:val="0"/>
        <w:adjustRightInd w:val="0"/>
        <w:spacing w:line="240" w:lineRule="auto"/>
        <w:rPr>
          <w:rFonts w:ascii="Calibri" w:hAnsi="Calibri" w:cs="Calibri"/>
          <w:noProof/>
        </w:rPr>
      </w:pPr>
      <w:r w:rsidRPr="00346542">
        <w:rPr>
          <w:rFonts w:ascii="Calibri" w:hAnsi="Calibri" w:cs="Calibri"/>
          <w:noProof/>
          <w:szCs w:val="24"/>
        </w:rPr>
        <w:t xml:space="preserve">Young, D. J. N. </w:t>
      </w:r>
      <w:r w:rsidRPr="00346542">
        <w:rPr>
          <w:rFonts w:ascii="Calibri" w:hAnsi="Calibri" w:cs="Calibri"/>
          <w:i/>
          <w:iCs/>
          <w:noProof/>
          <w:szCs w:val="24"/>
        </w:rPr>
        <w:t>et al.</w:t>
      </w:r>
      <w:r w:rsidRPr="00346542">
        <w:rPr>
          <w:rFonts w:ascii="Calibri" w:hAnsi="Calibri" w:cs="Calibri"/>
          <w:noProof/>
          <w:szCs w:val="24"/>
        </w:rPr>
        <w:t xml:space="preserve"> (2017) ‘Long-term climate and competition explain forest mortality patterns under extreme drought’, </w:t>
      </w:r>
      <w:r w:rsidRPr="00346542">
        <w:rPr>
          <w:rFonts w:ascii="Calibri" w:hAnsi="Calibri" w:cs="Calibri"/>
          <w:i/>
          <w:iCs/>
          <w:noProof/>
          <w:szCs w:val="24"/>
        </w:rPr>
        <w:t>Ecology Letters</w:t>
      </w:r>
      <w:r w:rsidRPr="00346542">
        <w:rPr>
          <w:rFonts w:ascii="Calibri" w:hAnsi="Calibri" w:cs="Calibri"/>
          <w:noProof/>
          <w:szCs w:val="24"/>
        </w:rPr>
        <w:t>, 20(1), pp. 78–86. doi: 10.1111/ele.12711.</w:t>
      </w:r>
    </w:p>
    <w:p w14:paraId="0FE8925A" w14:textId="2BE0F2B3" w:rsidR="00EB4A84" w:rsidRPr="00EB4A84" w:rsidRDefault="00EB4A84" w:rsidP="00EB4A84">
      <w:pPr>
        <w:rPr>
          <w:lang w:eastAsia="zh-CN" w:bidi="hi-IN"/>
        </w:rPr>
      </w:pPr>
      <w:r>
        <w:rPr>
          <w:lang w:eastAsia="zh-CN" w:bidi="hi-IN"/>
        </w:rPr>
        <w:fldChar w:fldCharType="end"/>
      </w:r>
    </w:p>
    <w:p w14:paraId="3ACCEC78" w14:textId="77777777" w:rsidR="00E92F0B" w:rsidRDefault="00E92F0B">
      <w:r>
        <w:br w:type="page"/>
      </w:r>
    </w:p>
    <w:p w14:paraId="6CD474EC" w14:textId="77777777" w:rsidR="00E92F0B" w:rsidRDefault="00E92F0B" w:rsidP="00E92F0B">
      <w:pPr>
        <w:pStyle w:val="Heading1"/>
      </w:pPr>
      <w:r>
        <w:lastRenderedPageBreak/>
        <w:t>Tables</w:t>
      </w:r>
    </w:p>
    <w:p w14:paraId="163535B6" w14:textId="77777777" w:rsidR="00E92F0B" w:rsidRPr="00F25243" w:rsidRDefault="00E92F0B" w:rsidP="00E92F0B"/>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E92F0B" w:rsidRPr="000B07C3" w14:paraId="06C410CE" w14:textId="77777777" w:rsidTr="00514011">
        <w:trPr>
          <w:trHeight w:val="288"/>
        </w:trPr>
        <w:tc>
          <w:tcPr>
            <w:tcW w:w="1354" w:type="dxa"/>
            <w:noWrap/>
            <w:vAlign w:val="bottom"/>
            <w:hideMark/>
          </w:tcPr>
          <w:p w14:paraId="125A5173" w14:textId="77777777" w:rsidR="00E92F0B" w:rsidRPr="008727D0" w:rsidRDefault="00E92F0B" w:rsidP="00514011">
            <w:pPr>
              <w:rPr>
                <w:b/>
                <w:bCs/>
              </w:rPr>
            </w:pPr>
            <w:r w:rsidRPr="00514011">
              <w:rPr>
                <w:rFonts w:ascii="Calibri" w:hAnsi="Calibri" w:cs="Calibri"/>
                <w:b/>
                <w:bCs/>
                <w:color w:val="000000"/>
              </w:rPr>
              <w:t>Parameter</w:t>
            </w:r>
          </w:p>
        </w:tc>
        <w:tc>
          <w:tcPr>
            <w:tcW w:w="960" w:type="dxa"/>
            <w:noWrap/>
            <w:vAlign w:val="bottom"/>
            <w:hideMark/>
          </w:tcPr>
          <w:p w14:paraId="2DF36373" w14:textId="77777777" w:rsidR="00E92F0B" w:rsidRPr="008727D0" w:rsidRDefault="00E92F0B" w:rsidP="00514011">
            <w:pPr>
              <w:rPr>
                <w:b/>
                <w:bCs/>
              </w:rPr>
            </w:pPr>
            <w:r w:rsidRPr="00514011">
              <w:rPr>
                <w:rFonts w:ascii="Calibri" w:hAnsi="Calibri" w:cs="Calibri"/>
                <w:b/>
                <w:bCs/>
                <w:color w:val="000000"/>
              </w:rPr>
              <w:t>Mean</w:t>
            </w:r>
          </w:p>
        </w:tc>
        <w:tc>
          <w:tcPr>
            <w:tcW w:w="960" w:type="dxa"/>
            <w:noWrap/>
            <w:vAlign w:val="bottom"/>
            <w:hideMark/>
          </w:tcPr>
          <w:p w14:paraId="6D3AEEDE" w14:textId="77777777" w:rsidR="00E92F0B" w:rsidRPr="008727D0" w:rsidRDefault="00E92F0B" w:rsidP="00514011">
            <w:pPr>
              <w:rPr>
                <w:b/>
                <w:bCs/>
              </w:rPr>
            </w:pPr>
            <w:r w:rsidRPr="00514011">
              <w:rPr>
                <w:rFonts w:ascii="Calibri" w:hAnsi="Calibri" w:cs="Calibri"/>
                <w:b/>
                <w:bCs/>
                <w:color w:val="000000"/>
              </w:rPr>
              <w:t>Median</w:t>
            </w:r>
          </w:p>
        </w:tc>
        <w:tc>
          <w:tcPr>
            <w:tcW w:w="960" w:type="dxa"/>
            <w:noWrap/>
            <w:vAlign w:val="bottom"/>
            <w:hideMark/>
          </w:tcPr>
          <w:p w14:paraId="08EAAE6B" w14:textId="77777777" w:rsidR="00E92F0B" w:rsidRPr="008727D0" w:rsidRDefault="00E92F0B" w:rsidP="00514011">
            <w:pPr>
              <w:rPr>
                <w:b/>
                <w:bCs/>
              </w:rPr>
            </w:pPr>
            <w:proofErr w:type="spellStart"/>
            <w:r w:rsidRPr="00514011">
              <w:rPr>
                <w:rFonts w:ascii="Calibri" w:hAnsi="Calibri" w:cs="Calibri"/>
                <w:b/>
                <w:bCs/>
                <w:color w:val="000000"/>
              </w:rPr>
              <w:t>StDev</w:t>
            </w:r>
            <w:proofErr w:type="spellEnd"/>
          </w:p>
        </w:tc>
        <w:tc>
          <w:tcPr>
            <w:tcW w:w="960" w:type="dxa"/>
            <w:noWrap/>
            <w:vAlign w:val="bottom"/>
            <w:hideMark/>
          </w:tcPr>
          <w:p w14:paraId="2E31E469" w14:textId="77777777" w:rsidR="00E92F0B" w:rsidRPr="008727D0" w:rsidRDefault="00E92F0B" w:rsidP="00514011">
            <w:pPr>
              <w:rPr>
                <w:b/>
                <w:bCs/>
              </w:rPr>
            </w:pPr>
            <w:r w:rsidRPr="00514011">
              <w:rPr>
                <w:rFonts w:ascii="Calibri" w:hAnsi="Calibri" w:cs="Calibri"/>
                <w:b/>
                <w:bCs/>
                <w:color w:val="000000"/>
              </w:rPr>
              <w:t>q5</w:t>
            </w:r>
          </w:p>
        </w:tc>
        <w:tc>
          <w:tcPr>
            <w:tcW w:w="960" w:type="dxa"/>
            <w:noWrap/>
            <w:vAlign w:val="bottom"/>
            <w:hideMark/>
          </w:tcPr>
          <w:p w14:paraId="4B146A0F" w14:textId="77777777" w:rsidR="00E92F0B" w:rsidRPr="008727D0" w:rsidRDefault="00E92F0B" w:rsidP="00514011">
            <w:pPr>
              <w:rPr>
                <w:b/>
                <w:bCs/>
              </w:rPr>
            </w:pPr>
            <w:r w:rsidRPr="00514011">
              <w:rPr>
                <w:rFonts w:ascii="Calibri" w:hAnsi="Calibri" w:cs="Calibri"/>
                <w:b/>
                <w:bCs/>
                <w:color w:val="000000"/>
              </w:rPr>
              <w:t>q95</w:t>
            </w:r>
          </w:p>
        </w:tc>
        <w:tc>
          <w:tcPr>
            <w:tcW w:w="960" w:type="dxa"/>
            <w:noWrap/>
            <w:vAlign w:val="bottom"/>
            <w:hideMark/>
          </w:tcPr>
          <w:p w14:paraId="69359A16" w14:textId="77777777" w:rsidR="00E92F0B" w:rsidRPr="008727D0" w:rsidRDefault="00E92F0B" w:rsidP="00514011">
            <w:pPr>
              <w:rPr>
                <w:b/>
                <w:bCs/>
              </w:rPr>
            </w:pPr>
            <w:proofErr w:type="spellStart"/>
            <w:r w:rsidRPr="00514011">
              <w:rPr>
                <w:rFonts w:ascii="Calibri" w:hAnsi="Calibri" w:cs="Calibri"/>
                <w:b/>
                <w:bCs/>
                <w:color w:val="000000"/>
              </w:rPr>
              <w:t>rhat</w:t>
            </w:r>
            <w:proofErr w:type="spellEnd"/>
          </w:p>
        </w:tc>
        <w:tc>
          <w:tcPr>
            <w:tcW w:w="1008" w:type="dxa"/>
            <w:noWrap/>
            <w:vAlign w:val="bottom"/>
            <w:hideMark/>
          </w:tcPr>
          <w:p w14:paraId="486539A0" w14:textId="77777777" w:rsidR="00E92F0B" w:rsidRPr="008727D0" w:rsidRDefault="00E92F0B" w:rsidP="00514011">
            <w:pPr>
              <w:rPr>
                <w:b/>
                <w:bCs/>
              </w:rPr>
            </w:pPr>
            <w:proofErr w:type="spellStart"/>
            <w:r w:rsidRPr="00514011">
              <w:rPr>
                <w:rFonts w:ascii="Calibri" w:hAnsi="Calibri" w:cs="Calibri"/>
                <w:b/>
                <w:bCs/>
                <w:color w:val="000000"/>
              </w:rPr>
              <w:t>ess_bulk</w:t>
            </w:r>
            <w:proofErr w:type="spellEnd"/>
          </w:p>
        </w:tc>
        <w:tc>
          <w:tcPr>
            <w:tcW w:w="960" w:type="dxa"/>
            <w:noWrap/>
            <w:vAlign w:val="bottom"/>
            <w:hideMark/>
          </w:tcPr>
          <w:p w14:paraId="6E607DB9" w14:textId="77777777" w:rsidR="00E92F0B" w:rsidRPr="008727D0" w:rsidRDefault="00E92F0B" w:rsidP="00514011">
            <w:pPr>
              <w:rPr>
                <w:b/>
                <w:bCs/>
              </w:rPr>
            </w:pPr>
            <w:proofErr w:type="spellStart"/>
            <w:r w:rsidRPr="00514011">
              <w:rPr>
                <w:rFonts w:ascii="Calibri" w:hAnsi="Calibri" w:cs="Calibri"/>
                <w:b/>
                <w:bCs/>
                <w:color w:val="000000"/>
              </w:rPr>
              <w:t>ess_tail</w:t>
            </w:r>
            <w:proofErr w:type="spellEnd"/>
          </w:p>
        </w:tc>
      </w:tr>
      <w:tr w:rsidR="00E92F0B" w:rsidRPr="000B07C3" w14:paraId="14752144" w14:textId="77777777" w:rsidTr="00514011">
        <w:trPr>
          <w:trHeight w:val="288"/>
        </w:trPr>
        <w:tc>
          <w:tcPr>
            <w:tcW w:w="1354" w:type="dxa"/>
            <w:noWrap/>
            <w:vAlign w:val="bottom"/>
            <w:hideMark/>
          </w:tcPr>
          <w:p w14:paraId="2AC56636" w14:textId="77777777" w:rsidR="00E92F0B" w:rsidRPr="008727D0" w:rsidRDefault="00E92F0B" w:rsidP="00514011">
            <w:pPr>
              <w:rPr>
                <w:b/>
                <w:bCs/>
              </w:rPr>
            </w:pPr>
            <w:r w:rsidRPr="00514011">
              <w:rPr>
                <w:rFonts w:ascii="Calibri" w:hAnsi="Calibri" w:cs="Calibri"/>
                <w:b/>
                <w:bCs/>
                <w:color w:val="000000"/>
              </w:rPr>
              <w:t>Intercept</w:t>
            </w:r>
          </w:p>
        </w:tc>
        <w:tc>
          <w:tcPr>
            <w:tcW w:w="960" w:type="dxa"/>
            <w:noWrap/>
            <w:vAlign w:val="bottom"/>
            <w:hideMark/>
          </w:tcPr>
          <w:p w14:paraId="71EEE202" w14:textId="77777777" w:rsidR="00E92F0B" w:rsidRPr="000B07C3" w:rsidRDefault="00E92F0B" w:rsidP="00514011">
            <w:r>
              <w:rPr>
                <w:rFonts w:ascii="Calibri" w:hAnsi="Calibri" w:cs="Calibri"/>
                <w:color w:val="000000"/>
              </w:rPr>
              <w:t>1.39</w:t>
            </w:r>
          </w:p>
        </w:tc>
        <w:tc>
          <w:tcPr>
            <w:tcW w:w="960" w:type="dxa"/>
            <w:noWrap/>
            <w:vAlign w:val="bottom"/>
            <w:hideMark/>
          </w:tcPr>
          <w:p w14:paraId="74614FFF" w14:textId="77777777" w:rsidR="00E92F0B" w:rsidRPr="000B07C3" w:rsidRDefault="00E92F0B" w:rsidP="00514011">
            <w:r>
              <w:rPr>
                <w:rFonts w:ascii="Calibri" w:hAnsi="Calibri" w:cs="Calibri"/>
                <w:color w:val="000000"/>
              </w:rPr>
              <w:t>1.38</w:t>
            </w:r>
          </w:p>
        </w:tc>
        <w:tc>
          <w:tcPr>
            <w:tcW w:w="960" w:type="dxa"/>
            <w:noWrap/>
            <w:vAlign w:val="bottom"/>
            <w:hideMark/>
          </w:tcPr>
          <w:p w14:paraId="5446F1C8" w14:textId="77777777" w:rsidR="00E92F0B" w:rsidRPr="000B07C3" w:rsidRDefault="00E92F0B" w:rsidP="00514011">
            <w:r>
              <w:rPr>
                <w:rFonts w:ascii="Calibri" w:hAnsi="Calibri" w:cs="Calibri"/>
                <w:color w:val="000000"/>
              </w:rPr>
              <w:t>0.26</w:t>
            </w:r>
          </w:p>
        </w:tc>
        <w:tc>
          <w:tcPr>
            <w:tcW w:w="960" w:type="dxa"/>
            <w:noWrap/>
            <w:vAlign w:val="bottom"/>
            <w:hideMark/>
          </w:tcPr>
          <w:p w14:paraId="40B66125" w14:textId="77777777" w:rsidR="00E92F0B" w:rsidRPr="000B07C3" w:rsidRDefault="00E92F0B" w:rsidP="00514011">
            <w:r>
              <w:rPr>
                <w:rFonts w:ascii="Calibri" w:hAnsi="Calibri" w:cs="Calibri"/>
                <w:color w:val="000000"/>
              </w:rPr>
              <w:t>0.97</w:t>
            </w:r>
          </w:p>
        </w:tc>
        <w:tc>
          <w:tcPr>
            <w:tcW w:w="960" w:type="dxa"/>
            <w:noWrap/>
            <w:vAlign w:val="bottom"/>
            <w:hideMark/>
          </w:tcPr>
          <w:p w14:paraId="2FB999F7" w14:textId="77777777" w:rsidR="00E92F0B" w:rsidRPr="000B07C3" w:rsidRDefault="00E92F0B" w:rsidP="00514011">
            <w:r>
              <w:rPr>
                <w:rFonts w:ascii="Calibri" w:hAnsi="Calibri" w:cs="Calibri"/>
                <w:color w:val="000000"/>
              </w:rPr>
              <w:t>1.82</w:t>
            </w:r>
          </w:p>
        </w:tc>
        <w:tc>
          <w:tcPr>
            <w:tcW w:w="960" w:type="dxa"/>
            <w:noWrap/>
            <w:vAlign w:val="bottom"/>
            <w:hideMark/>
          </w:tcPr>
          <w:p w14:paraId="7E54642E" w14:textId="77777777" w:rsidR="00E92F0B" w:rsidRPr="000B07C3" w:rsidRDefault="00E92F0B" w:rsidP="00514011">
            <w:r>
              <w:rPr>
                <w:rFonts w:ascii="Calibri" w:hAnsi="Calibri" w:cs="Calibri"/>
                <w:color w:val="000000"/>
              </w:rPr>
              <w:t>1.00</w:t>
            </w:r>
          </w:p>
        </w:tc>
        <w:tc>
          <w:tcPr>
            <w:tcW w:w="1008" w:type="dxa"/>
            <w:noWrap/>
            <w:vAlign w:val="bottom"/>
            <w:hideMark/>
          </w:tcPr>
          <w:p w14:paraId="0694358C" w14:textId="77777777" w:rsidR="00E92F0B" w:rsidRPr="000B07C3" w:rsidRDefault="00E92F0B" w:rsidP="00514011">
            <w:r>
              <w:rPr>
                <w:rFonts w:ascii="Calibri" w:hAnsi="Calibri" w:cs="Calibri"/>
                <w:color w:val="000000"/>
              </w:rPr>
              <w:t>1218.79</w:t>
            </w:r>
          </w:p>
        </w:tc>
        <w:tc>
          <w:tcPr>
            <w:tcW w:w="960" w:type="dxa"/>
            <w:noWrap/>
            <w:vAlign w:val="bottom"/>
            <w:hideMark/>
          </w:tcPr>
          <w:p w14:paraId="7ED6E0A5" w14:textId="77777777" w:rsidR="00E92F0B" w:rsidRPr="000B07C3" w:rsidRDefault="00E92F0B" w:rsidP="00514011">
            <w:r>
              <w:rPr>
                <w:rFonts w:ascii="Calibri" w:hAnsi="Calibri" w:cs="Calibri"/>
                <w:color w:val="000000"/>
              </w:rPr>
              <w:t>1859.83</w:t>
            </w:r>
          </w:p>
        </w:tc>
      </w:tr>
      <w:tr w:rsidR="00E92F0B" w:rsidRPr="000B07C3" w14:paraId="37FAA737" w14:textId="77777777" w:rsidTr="00514011">
        <w:trPr>
          <w:trHeight w:val="288"/>
        </w:trPr>
        <w:tc>
          <w:tcPr>
            <w:tcW w:w="1354" w:type="dxa"/>
            <w:noWrap/>
            <w:vAlign w:val="bottom"/>
            <w:hideMark/>
          </w:tcPr>
          <w:p w14:paraId="6C89E2FA" w14:textId="77777777" w:rsidR="00E92F0B" w:rsidRPr="008727D0" w:rsidRDefault="00E92F0B" w:rsidP="00514011">
            <w:pPr>
              <w:rPr>
                <w:b/>
                <w:bCs/>
              </w:rPr>
            </w:pPr>
            <w:r w:rsidRPr="00514011">
              <w:rPr>
                <w:rFonts w:ascii="Calibri" w:hAnsi="Calibri" w:cs="Calibri"/>
                <w:b/>
                <w:bCs/>
                <w:color w:val="000000"/>
              </w:rPr>
              <w:t>DBH (m)</w:t>
            </w:r>
          </w:p>
        </w:tc>
        <w:tc>
          <w:tcPr>
            <w:tcW w:w="960" w:type="dxa"/>
            <w:noWrap/>
            <w:vAlign w:val="bottom"/>
            <w:hideMark/>
          </w:tcPr>
          <w:p w14:paraId="00D57048" w14:textId="77777777" w:rsidR="00E92F0B" w:rsidRPr="000B07C3" w:rsidRDefault="00E92F0B" w:rsidP="00514011">
            <w:r>
              <w:rPr>
                <w:rFonts w:ascii="Calibri" w:hAnsi="Calibri" w:cs="Calibri"/>
                <w:color w:val="000000"/>
              </w:rPr>
              <w:t>4.31</w:t>
            </w:r>
          </w:p>
        </w:tc>
        <w:tc>
          <w:tcPr>
            <w:tcW w:w="960" w:type="dxa"/>
            <w:noWrap/>
            <w:vAlign w:val="bottom"/>
            <w:hideMark/>
          </w:tcPr>
          <w:p w14:paraId="17413D85" w14:textId="77777777" w:rsidR="00E92F0B" w:rsidRPr="000B07C3" w:rsidRDefault="00E92F0B" w:rsidP="00514011">
            <w:r>
              <w:rPr>
                <w:rFonts w:ascii="Calibri" w:hAnsi="Calibri" w:cs="Calibri"/>
                <w:color w:val="000000"/>
              </w:rPr>
              <w:t>4.29</w:t>
            </w:r>
          </w:p>
        </w:tc>
        <w:tc>
          <w:tcPr>
            <w:tcW w:w="960" w:type="dxa"/>
            <w:noWrap/>
            <w:vAlign w:val="bottom"/>
            <w:hideMark/>
          </w:tcPr>
          <w:p w14:paraId="3CE1D61C" w14:textId="77777777" w:rsidR="00E92F0B" w:rsidRPr="000B07C3" w:rsidRDefault="00E92F0B" w:rsidP="00514011">
            <w:r>
              <w:rPr>
                <w:rFonts w:ascii="Calibri" w:hAnsi="Calibri" w:cs="Calibri"/>
                <w:color w:val="000000"/>
              </w:rPr>
              <w:t>0.77</w:t>
            </w:r>
          </w:p>
        </w:tc>
        <w:tc>
          <w:tcPr>
            <w:tcW w:w="960" w:type="dxa"/>
            <w:noWrap/>
            <w:vAlign w:val="bottom"/>
            <w:hideMark/>
          </w:tcPr>
          <w:p w14:paraId="3EDFB764" w14:textId="77777777" w:rsidR="00E92F0B" w:rsidRPr="000B07C3" w:rsidRDefault="00E92F0B" w:rsidP="00514011">
            <w:r>
              <w:rPr>
                <w:rFonts w:ascii="Calibri" w:hAnsi="Calibri" w:cs="Calibri"/>
                <w:color w:val="000000"/>
              </w:rPr>
              <w:t>3.05</w:t>
            </w:r>
          </w:p>
        </w:tc>
        <w:tc>
          <w:tcPr>
            <w:tcW w:w="960" w:type="dxa"/>
            <w:noWrap/>
            <w:vAlign w:val="bottom"/>
            <w:hideMark/>
          </w:tcPr>
          <w:p w14:paraId="278B56F0" w14:textId="77777777" w:rsidR="00E92F0B" w:rsidRPr="000B07C3" w:rsidRDefault="00E92F0B" w:rsidP="00514011">
            <w:r>
              <w:rPr>
                <w:rFonts w:ascii="Calibri" w:hAnsi="Calibri" w:cs="Calibri"/>
                <w:color w:val="000000"/>
              </w:rPr>
              <w:t>5.58</w:t>
            </w:r>
          </w:p>
        </w:tc>
        <w:tc>
          <w:tcPr>
            <w:tcW w:w="960" w:type="dxa"/>
            <w:noWrap/>
            <w:vAlign w:val="bottom"/>
            <w:hideMark/>
          </w:tcPr>
          <w:p w14:paraId="27930656" w14:textId="77777777" w:rsidR="00E92F0B" w:rsidRPr="000B07C3" w:rsidRDefault="00E92F0B" w:rsidP="00514011">
            <w:r>
              <w:rPr>
                <w:rFonts w:ascii="Calibri" w:hAnsi="Calibri" w:cs="Calibri"/>
                <w:color w:val="000000"/>
              </w:rPr>
              <w:t>1.00</w:t>
            </w:r>
          </w:p>
        </w:tc>
        <w:tc>
          <w:tcPr>
            <w:tcW w:w="1008" w:type="dxa"/>
            <w:noWrap/>
            <w:vAlign w:val="bottom"/>
            <w:hideMark/>
          </w:tcPr>
          <w:p w14:paraId="4E66E037" w14:textId="77777777" w:rsidR="00E92F0B" w:rsidRPr="000B07C3" w:rsidRDefault="00E92F0B" w:rsidP="00514011">
            <w:r>
              <w:rPr>
                <w:rFonts w:ascii="Calibri" w:hAnsi="Calibri" w:cs="Calibri"/>
                <w:color w:val="000000"/>
              </w:rPr>
              <w:t>1225.93</w:t>
            </w:r>
          </w:p>
        </w:tc>
        <w:tc>
          <w:tcPr>
            <w:tcW w:w="960" w:type="dxa"/>
            <w:noWrap/>
            <w:vAlign w:val="bottom"/>
            <w:hideMark/>
          </w:tcPr>
          <w:p w14:paraId="5BB4890D" w14:textId="77777777" w:rsidR="00E92F0B" w:rsidRPr="000B07C3" w:rsidRDefault="00E92F0B" w:rsidP="00514011">
            <w:r>
              <w:rPr>
                <w:rFonts w:ascii="Calibri" w:hAnsi="Calibri" w:cs="Calibri"/>
                <w:color w:val="000000"/>
              </w:rPr>
              <w:t>1840.31</w:t>
            </w:r>
          </w:p>
        </w:tc>
      </w:tr>
      <w:tr w:rsidR="00E92F0B" w:rsidRPr="000B07C3" w14:paraId="4FA4CA14" w14:textId="77777777" w:rsidTr="00514011">
        <w:trPr>
          <w:trHeight w:val="288"/>
        </w:trPr>
        <w:tc>
          <w:tcPr>
            <w:tcW w:w="1354" w:type="dxa"/>
            <w:noWrap/>
            <w:vAlign w:val="bottom"/>
            <w:hideMark/>
          </w:tcPr>
          <w:p w14:paraId="25EDCD9C" w14:textId="77777777" w:rsidR="00E92F0B" w:rsidRPr="008727D0" w:rsidRDefault="00E92F0B" w:rsidP="00514011">
            <w:pPr>
              <w:rPr>
                <w:b/>
                <w:bCs/>
              </w:rPr>
            </w:pPr>
            <w:r w:rsidRPr="00514011">
              <w:rPr>
                <w:rFonts w:ascii="Calibri" w:hAnsi="Calibri" w:cs="Calibri"/>
                <w:b/>
                <w:bCs/>
                <w:color w:val="000000"/>
              </w:rPr>
              <w:t>DBH^2 (m)</w:t>
            </w:r>
          </w:p>
        </w:tc>
        <w:tc>
          <w:tcPr>
            <w:tcW w:w="960" w:type="dxa"/>
            <w:noWrap/>
            <w:vAlign w:val="bottom"/>
            <w:hideMark/>
          </w:tcPr>
          <w:p w14:paraId="2EF5B157" w14:textId="77777777" w:rsidR="00E92F0B" w:rsidRPr="000B07C3" w:rsidRDefault="00E92F0B" w:rsidP="00514011">
            <w:r>
              <w:rPr>
                <w:rFonts w:ascii="Calibri" w:hAnsi="Calibri" w:cs="Calibri"/>
                <w:color w:val="000000"/>
              </w:rPr>
              <w:t>-2.40</w:t>
            </w:r>
          </w:p>
        </w:tc>
        <w:tc>
          <w:tcPr>
            <w:tcW w:w="960" w:type="dxa"/>
            <w:noWrap/>
            <w:vAlign w:val="bottom"/>
            <w:hideMark/>
          </w:tcPr>
          <w:p w14:paraId="22A11E04" w14:textId="77777777" w:rsidR="00E92F0B" w:rsidRPr="000B07C3" w:rsidRDefault="00E92F0B" w:rsidP="00514011">
            <w:r>
              <w:rPr>
                <w:rFonts w:ascii="Calibri" w:hAnsi="Calibri" w:cs="Calibri"/>
                <w:color w:val="000000"/>
              </w:rPr>
              <w:t>-2.39</w:t>
            </w:r>
          </w:p>
        </w:tc>
        <w:tc>
          <w:tcPr>
            <w:tcW w:w="960" w:type="dxa"/>
            <w:noWrap/>
            <w:vAlign w:val="bottom"/>
            <w:hideMark/>
          </w:tcPr>
          <w:p w14:paraId="1A0936E7" w14:textId="77777777" w:rsidR="00E92F0B" w:rsidRPr="000B07C3" w:rsidRDefault="00E92F0B" w:rsidP="00514011">
            <w:r>
              <w:rPr>
                <w:rFonts w:ascii="Calibri" w:hAnsi="Calibri" w:cs="Calibri"/>
                <w:color w:val="000000"/>
              </w:rPr>
              <w:t>0.55</w:t>
            </w:r>
          </w:p>
        </w:tc>
        <w:tc>
          <w:tcPr>
            <w:tcW w:w="960" w:type="dxa"/>
            <w:noWrap/>
            <w:vAlign w:val="bottom"/>
            <w:hideMark/>
          </w:tcPr>
          <w:p w14:paraId="6E8BFF47" w14:textId="77777777" w:rsidR="00E92F0B" w:rsidRPr="000B07C3" w:rsidRDefault="00E92F0B" w:rsidP="00514011">
            <w:r>
              <w:rPr>
                <w:rFonts w:ascii="Calibri" w:hAnsi="Calibri" w:cs="Calibri"/>
                <w:color w:val="000000"/>
              </w:rPr>
              <w:t>-3.29</w:t>
            </w:r>
          </w:p>
        </w:tc>
        <w:tc>
          <w:tcPr>
            <w:tcW w:w="960" w:type="dxa"/>
            <w:noWrap/>
            <w:vAlign w:val="bottom"/>
            <w:hideMark/>
          </w:tcPr>
          <w:p w14:paraId="0BCD2BF3" w14:textId="77777777" w:rsidR="00E92F0B" w:rsidRPr="000B07C3" w:rsidRDefault="00E92F0B" w:rsidP="00514011">
            <w:r>
              <w:rPr>
                <w:rFonts w:ascii="Calibri" w:hAnsi="Calibri" w:cs="Calibri"/>
                <w:color w:val="000000"/>
              </w:rPr>
              <w:t>-1.50</w:t>
            </w:r>
          </w:p>
        </w:tc>
        <w:tc>
          <w:tcPr>
            <w:tcW w:w="960" w:type="dxa"/>
            <w:noWrap/>
            <w:vAlign w:val="bottom"/>
            <w:hideMark/>
          </w:tcPr>
          <w:p w14:paraId="591BC525" w14:textId="77777777" w:rsidR="00E92F0B" w:rsidRPr="000B07C3" w:rsidRDefault="00E92F0B" w:rsidP="00514011">
            <w:r>
              <w:rPr>
                <w:rFonts w:ascii="Calibri" w:hAnsi="Calibri" w:cs="Calibri"/>
                <w:color w:val="000000"/>
              </w:rPr>
              <w:t>1.00</w:t>
            </w:r>
          </w:p>
        </w:tc>
        <w:tc>
          <w:tcPr>
            <w:tcW w:w="1008" w:type="dxa"/>
            <w:noWrap/>
            <w:vAlign w:val="bottom"/>
            <w:hideMark/>
          </w:tcPr>
          <w:p w14:paraId="1966FB4E" w14:textId="77777777" w:rsidR="00E92F0B" w:rsidRPr="000B07C3" w:rsidRDefault="00E92F0B" w:rsidP="00514011">
            <w:r>
              <w:rPr>
                <w:rFonts w:ascii="Calibri" w:hAnsi="Calibri" w:cs="Calibri"/>
                <w:color w:val="000000"/>
              </w:rPr>
              <w:t>1320.76</w:t>
            </w:r>
          </w:p>
        </w:tc>
        <w:tc>
          <w:tcPr>
            <w:tcW w:w="960" w:type="dxa"/>
            <w:noWrap/>
            <w:vAlign w:val="bottom"/>
            <w:hideMark/>
          </w:tcPr>
          <w:p w14:paraId="1EC3912A" w14:textId="77777777" w:rsidR="00E92F0B" w:rsidRPr="000B07C3" w:rsidRDefault="00E92F0B" w:rsidP="00514011">
            <w:r>
              <w:rPr>
                <w:rFonts w:ascii="Calibri" w:hAnsi="Calibri" w:cs="Calibri"/>
                <w:color w:val="000000"/>
              </w:rPr>
              <w:t>2096.45</w:t>
            </w:r>
          </w:p>
        </w:tc>
      </w:tr>
      <w:tr w:rsidR="00E92F0B" w:rsidRPr="000B07C3" w14:paraId="4C321805" w14:textId="77777777" w:rsidTr="00514011">
        <w:trPr>
          <w:trHeight w:val="288"/>
        </w:trPr>
        <w:tc>
          <w:tcPr>
            <w:tcW w:w="1354" w:type="dxa"/>
            <w:noWrap/>
            <w:vAlign w:val="bottom"/>
            <w:hideMark/>
          </w:tcPr>
          <w:p w14:paraId="7FE94897" w14:textId="77777777" w:rsidR="00E92F0B" w:rsidRPr="008727D0" w:rsidRDefault="00E92F0B" w:rsidP="00514011">
            <w:pPr>
              <w:rPr>
                <w:b/>
                <w:bCs/>
              </w:rPr>
            </w:pPr>
            <w:r w:rsidRPr="00514011">
              <w:rPr>
                <w:rFonts w:ascii="Calibri" w:hAnsi="Calibri" w:cs="Calibri"/>
                <w:b/>
                <w:bCs/>
                <w:color w:val="000000"/>
              </w:rPr>
              <w:t>Fire</w:t>
            </w:r>
          </w:p>
        </w:tc>
        <w:tc>
          <w:tcPr>
            <w:tcW w:w="960" w:type="dxa"/>
            <w:noWrap/>
            <w:vAlign w:val="bottom"/>
            <w:hideMark/>
          </w:tcPr>
          <w:p w14:paraId="3392B534" w14:textId="77777777" w:rsidR="00E92F0B" w:rsidRPr="000B07C3" w:rsidRDefault="00E92F0B" w:rsidP="00514011">
            <w:r>
              <w:rPr>
                <w:rFonts w:ascii="Calibri" w:hAnsi="Calibri" w:cs="Calibri"/>
                <w:color w:val="000000"/>
              </w:rPr>
              <w:t>-3.51</w:t>
            </w:r>
          </w:p>
        </w:tc>
        <w:tc>
          <w:tcPr>
            <w:tcW w:w="960" w:type="dxa"/>
            <w:noWrap/>
            <w:vAlign w:val="bottom"/>
            <w:hideMark/>
          </w:tcPr>
          <w:p w14:paraId="1E3E588B" w14:textId="77777777" w:rsidR="00E92F0B" w:rsidRPr="000B07C3" w:rsidRDefault="00E92F0B" w:rsidP="00514011">
            <w:r>
              <w:rPr>
                <w:rFonts w:ascii="Calibri" w:hAnsi="Calibri" w:cs="Calibri"/>
                <w:color w:val="000000"/>
              </w:rPr>
              <w:t>-3.50</w:t>
            </w:r>
          </w:p>
        </w:tc>
        <w:tc>
          <w:tcPr>
            <w:tcW w:w="960" w:type="dxa"/>
            <w:noWrap/>
            <w:vAlign w:val="bottom"/>
            <w:hideMark/>
          </w:tcPr>
          <w:p w14:paraId="58D79F5E" w14:textId="77777777" w:rsidR="00E92F0B" w:rsidRPr="000B07C3" w:rsidRDefault="00E92F0B" w:rsidP="00514011">
            <w:r>
              <w:rPr>
                <w:rFonts w:ascii="Calibri" w:hAnsi="Calibri" w:cs="Calibri"/>
                <w:color w:val="000000"/>
              </w:rPr>
              <w:t>0.56</w:t>
            </w:r>
          </w:p>
        </w:tc>
        <w:tc>
          <w:tcPr>
            <w:tcW w:w="960" w:type="dxa"/>
            <w:noWrap/>
            <w:vAlign w:val="bottom"/>
            <w:hideMark/>
          </w:tcPr>
          <w:p w14:paraId="6309AEF1" w14:textId="77777777" w:rsidR="00E92F0B" w:rsidRPr="000B07C3" w:rsidRDefault="00E92F0B" w:rsidP="00514011">
            <w:r>
              <w:rPr>
                <w:rFonts w:ascii="Calibri" w:hAnsi="Calibri" w:cs="Calibri"/>
                <w:color w:val="000000"/>
              </w:rPr>
              <w:t>-4.45</w:t>
            </w:r>
          </w:p>
        </w:tc>
        <w:tc>
          <w:tcPr>
            <w:tcW w:w="960" w:type="dxa"/>
            <w:noWrap/>
            <w:vAlign w:val="bottom"/>
            <w:hideMark/>
          </w:tcPr>
          <w:p w14:paraId="05892C92" w14:textId="77777777" w:rsidR="00E92F0B" w:rsidRPr="000B07C3" w:rsidRDefault="00E92F0B" w:rsidP="00514011">
            <w:r>
              <w:rPr>
                <w:rFonts w:ascii="Calibri" w:hAnsi="Calibri" w:cs="Calibri"/>
                <w:color w:val="000000"/>
              </w:rPr>
              <w:t>-2.61</w:t>
            </w:r>
          </w:p>
        </w:tc>
        <w:tc>
          <w:tcPr>
            <w:tcW w:w="960" w:type="dxa"/>
            <w:noWrap/>
            <w:vAlign w:val="bottom"/>
            <w:hideMark/>
          </w:tcPr>
          <w:p w14:paraId="7A7F886B" w14:textId="77777777" w:rsidR="00E92F0B" w:rsidRPr="000B07C3" w:rsidRDefault="00E92F0B" w:rsidP="00514011">
            <w:r>
              <w:rPr>
                <w:rFonts w:ascii="Calibri" w:hAnsi="Calibri" w:cs="Calibri"/>
                <w:color w:val="000000"/>
              </w:rPr>
              <w:t>1.00</w:t>
            </w:r>
          </w:p>
        </w:tc>
        <w:tc>
          <w:tcPr>
            <w:tcW w:w="1008" w:type="dxa"/>
            <w:noWrap/>
            <w:vAlign w:val="bottom"/>
            <w:hideMark/>
          </w:tcPr>
          <w:p w14:paraId="09A17799" w14:textId="77777777" w:rsidR="00E92F0B" w:rsidRPr="000B07C3" w:rsidRDefault="00E92F0B" w:rsidP="00514011">
            <w:r>
              <w:rPr>
                <w:rFonts w:ascii="Calibri" w:hAnsi="Calibri" w:cs="Calibri"/>
                <w:color w:val="000000"/>
              </w:rPr>
              <w:t>1364.76</w:t>
            </w:r>
          </w:p>
        </w:tc>
        <w:tc>
          <w:tcPr>
            <w:tcW w:w="960" w:type="dxa"/>
            <w:noWrap/>
            <w:vAlign w:val="bottom"/>
            <w:hideMark/>
          </w:tcPr>
          <w:p w14:paraId="1275CC7A" w14:textId="77777777" w:rsidR="00E92F0B" w:rsidRPr="000B07C3" w:rsidRDefault="00E92F0B" w:rsidP="00514011">
            <w:r>
              <w:rPr>
                <w:rFonts w:ascii="Calibri" w:hAnsi="Calibri" w:cs="Calibri"/>
                <w:color w:val="000000"/>
              </w:rPr>
              <w:t>2179.64</w:t>
            </w:r>
          </w:p>
        </w:tc>
      </w:tr>
      <w:tr w:rsidR="00E92F0B" w:rsidRPr="000B07C3" w14:paraId="52F0CFF6" w14:textId="77777777" w:rsidTr="00514011">
        <w:trPr>
          <w:trHeight w:val="288"/>
        </w:trPr>
        <w:tc>
          <w:tcPr>
            <w:tcW w:w="1354" w:type="dxa"/>
            <w:noWrap/>
            <w:vAlign w:val="bottom"/>
            <w:hideMark/>
          </w:tcPr>
          <w:p w14:paraId="38D05E65" w14:textId="77777777" w:rsidR="00E92F0B" w:rsidRPr="008727D0" w:rsidRDefault="00E92F0B" w:rsidP="00514011">
            <w:pPr>
              <w:rPr>
                <w:b/>
                <w:bCs/>
              </w:rPr>
            </w:pPr>
            <w:r w:rsidRPr="00514011">
              <w:rPr>
                <w:rFonts w:ascii="Calibri" w:hAnsi="Calibri" w:cs="Calibri"/>
                <w:b/>
                <w:bCs/>
                <w:color w:val="000000"/>
              </w:rPr>
              <w:t>WPBR</w:t>
            </w:r>
          </w:p>
        </w:tc>
        <w:tc>
          <w:tcPr>
            <w:tcW w:w="960" w:type="dxa"/>
            <w:noWrap/>
            <w:vAlign w:val="bottom"/>
            <w:hideMark/>
          </w:tcPr>
          <w:p w14:paraId="2CC215B8" w14:textId="77777777" w:rsidR="00E92F0B" w:rsidRPr="000B07C3" w:rsidRDefault="00E92F0B" w:rsidP="00514011">
            <w:r>
              <w:rPr>
                <w:rFonts w:ascii="Calibri" w:hAnsi="Calibri" w:cs="Calibri"/>
                <w:color w:val="000000"/>
              </w:rPr>
              <w:t>-0.96</w:t>
            </w:r>
          </w:p>
        </w:tc>
        <w:tc>
          <w:tcPr>
            <w:tcW w:w="960" w:type="dxa"/>
            <w:noWrap/>
            <w:vAlign w:val="bottom"/>
            <w:hideMark/>
          </w:tcPr>
          <w:p w14:paraId="2CC80332" w14:textId="77777777" w:rsidR="00E92F0B" w:rsidRPr="000B07C3" w:rsidRDefault="00E92F0B" w:rsidP="00514011">
            <w:r>
              <w:rPr>
                <w:rFonts w:ascii="Calibri" w:hAnsi="Calibri" w:cs="Calibri"/>
                <w:color w:val="000000"/>
              </w:rPr>
              <w:t>-0.96</w:t>
            </w:r>
          </w:p>
        </w:tc>
        <w:tc>
          <w:tcPr>
            <w:tcW w:w="960" w:type="dxa"/>
            <w:noWrap/>
            <w:vAlign w:val="bottom"/>
            <w:hideMark/>
          </w:tcPr>
          <w:p w14:paraId="102F565B" w14:textId="77777777" w:rsidR="00E92F0B" w:rsidRPr="000B07C3" w:rsidRDefault="00E92F0B" w:rsidP="00514011">
            <w:r>
              <w:rPr>
                <w:rFonts w:ascii="Calibri" w:hAnsi="Calibri" w:cs="Calibri"/>
                <w:color w:val="000000"/>
              </w:rPr>
              <w:t>0.55</w:t>
            </w:r>
          </w:p>
        </w:tc>
        <w:tc>
          <w:tcPr>
            <w:tcW w:w="960" w:type="dxa"/>
            <w:noWrap/>
            <w:vAlign w:val="bottom"/>
            <w:hideMark/>
          </w:tcPr>
          <w:p w14:paraId="03109596" w14:textId="77777777" w:rsidR="00E92F0B" w:rsidRPr="000B07C3" w:rsidRDefault="00E92F0B" w:rsidP="00514011">
            <w:r>
              <w:rPr>
                <w:rFonts w:ascii="Calibri" w:hAnsi="Calibri" w:cs="Calibri"/>
                <w:color w:val="000000"/>
              </w:rPr>
              <w:t>-1.87</w:t>
            </w:r>
          </w:p>
        </w:tc>
        <w:tc>
          <w:tcPr>
            <w:tcW w:w="960" w:type="dxa"/>
            <w:noWrap/>
            <w:vAlign w:val="bottom"/>
            <w:hideMark/>
          </w:tcPr>
          <w:p w14:paraId="2E475BA2" w14:textId="77777777" w:rsidR="00E92F0B" w:rsidRPr="000B07C3" w:rsidRDefault="00E92F0B" w:rsidP="00514011">
            <w:r>
              <w:rPr>
                <w:rFonts w:ascii="Calibri" w:hAnsi="Calibri" w:cs="Calibri"/>
                <w:color w:val="000000"/>
              </w:rPr>
              <w:t>-0.05</w:t>
            </w:r>
          </w:p>
        </w:tc>
        <w:tc>
          <w:tcPr>
            <w:tcW w:w="960" w:type="dxa"/>
            <w:noWrap/>
            <w:vAlign w:val="bottom"/>
            <w:hideMark/>
          </w:tcPr>
          <w:p w14:paraId="02931BEA" w14:textId="77777777" w:rsidR="00E92F0B" w:rsidRPr="000B07C3" w:rsidRDefault="00E92F0B" w:rsidP="00514011">
            <w:r>
              <w:rPr>
                <w:rFonts w:ascii="Calibri" w:hAnsi="Calibri" w:cs="Calibri"/>
                <w:color w:val="000000"/>
              </w:rPr>
              <w:t>1.00</w:t>
            </w:r>
          </w:p>
        </w:tc>
        <w:tc>
          <w:tcPr>
            <w:tcW w:w="1008" w:type="dxa"/>
            <w:noWrap/>
            <w:vAlign w:val="bottom"/>
            <w:hideMark/>
          </w:tcPr>
          <w:p w14:paraId="60A2A41E" w14:textId="77777777" w:rsidR="00E92F0B" w:rsidRPr="000B07C3" w:rsidRDefault="00E92F0B" w:rsidP="00514011">
            <w:r>
              <w:rPr>
                <w:rFonts w:ascii="Calibri" w:hAnsi="Calibri" w:cs="Calibri"/>
                <w:color w:val="000000"/>
              </w:rPr>
              <w:t>1279.53</w:t>
            </w:r>
          </w:p>
        </w:tc>
        <w:tc>
          <w:tcPr>
            <w:tcW w:w="960" w:type="dxa"/>
            <w:noWrap/>
            <w:vAlign w:val="bottom"/>
            <w:hideMark/>
          </w:tcPr>
          <w:p w14:paraId="5A7EF102" w14:textId="77777777" w:rsidR="00E92F0B" w:rsidRPr="000B07C3" w:rsidRDefault="00E92F0B" w:rsidP="00514011">
            <w:r>
              <w:rPr>
                <w:rFonts w:ascii="Calibri" w:hAnsi="Calibri" w:cs="Calibri"/>
                <w:color w:val="000000"/>
              </w:rPr>
              <w:t>2174.54</w:t>
            </w:r>
          </w:p>
        </w:tc>
      </w:tr>
      <w:tr w:rsidR="00E92F0B" w:rsidRPr="000B07C3" w14:paraId="29EC59A3" w14:textId="77777777" w:rsidTr="00514011">
        <w:trPr>
          <w:trHeight w:val="288"/>
        </w:trPr>
        <w:tc>
          <w:tcPr>
            <w:tcW w:w="1354" w:type="dxa"/>
            <w:noWrap/>
            <w:vAlign w:val="bottom"/>
            <w:hideMark/>
          </w:tcPr>
          <w:p w14:paraId="7B670254" w14:textId="77777777" w:rsidR="00E92F0B" w:rsidRPr="008727D0" w:rsidRDefault="00E92F0B" w:rsidP="00514011">
            <w:pPr>
              <w:rPr>
                <w:b/>
                <w:bCs/>
              </w:rPr>
            </w:pPr>
            <w:r w:rsidRPr="00514011">
              <w:rPr>
                <w:rFonts w:ascii="Calibri" w:hAnsi="Calibri" w:cs="Calibri"/>
                <w:b/>
                <w:bCs/>
                <w:color w:val="000000"/>
              </w:rPr>
              <w:t>Basal Area</w:t>
            </w:r>
          </w:p>
        </w:tc>
        <w:tc>
          <w:tcPr>
            <w:tcW w:w="960" w:type="dxa"/>
            <w:noWrap/>
            <w:vAlign w:val="bottom"/>
            <w:hideMark/>
          </w:tcPr>
          <w:p w14:paraId="39D15B49" w14:textId="77777777" w:rsidR="00E92F0B" w:rsidRPr="000B07C3" w:rsidRDefault="00E92F0B" w:rsidP="00514011">
            <w:r>
              <w:rPr>
                <w:rFonts w:ascii="Calibri" w:hAnsi="Calibri" w:cs="Calibri"/>
                <w:color w:val="000000"/>
              </w:rPr>
              <w:t>-0.81</w:t>
            </w:r>
          </w:p>
        </w:tc>
        <w:tc>
          <w:tcPr>
            <w:tcW w:w="960" w:type="dxa"/>
            <w:noWrap/>
            <w:vAlign w:val="bottom"/>
            <w:hideMark/>
          </w:tcPr>
          <w:p w14:paraId="2FA7C248" w14:textId="77777777" w:rsidR="00E92F0B" w:rsidRPr="000B07C3" w:rsidRDefault="00E92F0B" w:rsidP="00514011">
            <w:r>
              <w:rPr>
                <w:rFonts w:ascii="Calibri" w:hAnsi="Calibri" w:cs="Calibri"/>
                <w:color w:val="000000"/>
              </w:rPr>
              <w:t>-0.81</w:t>
            </w:r>
          </w:p>
        </w:tc>
        <w:tc>
          <w:tcPr>
            <w:tcW w:w="960" w:type="dxa"/>
            <w:noWrap/>
            <w:vAlign w:val="bottom"/>
            <w:hideMark/>
          </w:tcPr>
          <w:p w14:paraId="51D517ED" w14:textId="77777777" w:rsidR="00E92F0B" w:rsidRPr="000B07C3" w:rsidRDefault="00E92F0B" w:rsidP="00514011">
            <w:r>
              <w:rPr>
                <w:rFonts w:ascii="Calibri" w:hAnsi="Calibri" w:cs="Calibri"/>
                <w:color w:val="000000"/>
              </w:rPr>
              <w:t>0.22</w:t>
            </w:r>
          </w:p>
        </w:tc>
        <w:tc>
          <w:tcPr>
            <w:tcW w:w="960" w:type="dxa"/>
            <w:noWrap/>
            <w:vAlign w:val="bottom"/>
            <w:hideMark/>
          </w:tcPr>
          <w:p w14:paraId="7703BBC8" w14:textId="77777777" w:rsidR="00E92F0B" w:rsidRPr="000B07C3" w:rsidRDefault="00E92F0B" w:rsidP="00514011">
            <w:r>
              <w:rPr>
                <w:rFonts w:ascii="Calibri" w:hAnsi="Calibri" w:cs="Calibri"/>
                <w:color w:val="000000"/>
              </w:rPr>
              <w:t>-1.18</w:t>
            </w:r>
          </w:p>
        </w:tc>
        <w:tc>
          <w:tcPr>
            <w:tcW w:w="960" w:type="dxa"/>
            <w:noWrap/>
            <w:vAlign w:val="bottom"/>
            <w:hideMark/>
          </w:tcPr>
          <w:p w14:paraId="6547DBF1" w14:textId="77777777" w:rsidR="00E92F0B" w:rsidRPr="000B07C3" w:rsidRDefault="00E92F0B" w:rsidP="00514011">
            <w:r>
              <w:rPr>
                <w:rFonts w:ascii="Calibri" w:hAnsi="Calibri" w:cs="Calibri"/>
                <w:color w:val="000000"/>
              </w:rPr>
              <w:t>-0.45</w:t>
            </w:r>
          </w:p>
        </w:tc>
        <w:tc>
          <w:tcPr>
            <w:tcW w:w="960" w:type="dxa"/>
            <w:noWrap/>
            <w:vAlign w:val="bottom"/>
            <w:hideMark/>
          </w:tcPr>
          <w:p w14:paraId="10CDA929" w14:textId="77777777" w:rsidR="00E92F0B" w:rsidRPr="000B07C3" w:rsidRDefault="00E92F0B" w:rsidP="00514011">
            <w:r>
              <w:rPr>
                <w:rFonts w:ascii="Calibri" w:hAnsi="Calibri" w:cs="Calibri"/>
                <w:color w:val="000000"/>
              </w:rPr>
              <w:t>1.00</w:t>
            </w:r>
          </w:p>
        </w:tc>
        <w:tc>
          <w:tcPr>
            <w:tcW w:w="1008" w:type="dxa"/>
            <w:noWrap/>
            <w:vAlign w:val="bottom"/>
            <w:hideMark/>
          </w:tcPr>
          <w:p w14:paraId="3CDF3FFE" w14:textId="77777777" w:rsidR="00E92F0B" w:rsidRPr="000B07C3" w:rsidRDefault="00E92F0B" w:rsidP="00514011">
            <w:r>
              <w:rPr>
                <w:rFonts w:ascii="Calibri" w:hAnsi="Calibri" w:cs="Calibri"/>
                <w:color w:val="000000"/>
              </w:rPr>
              <w:t>1463.60</w:t>
            </w:r>
          </w:p>
        </w:tc>
        <w:tc>
          <w:tcPr>
            <w:tcW w:w="960" w:type="dxa"/>
            <w:noWrap/>
            <w:vAlign w:val="bottom"/>
            <w:hideMark/>
          </w:tcPr>
          <w:p w14:paraId="5BA6D2A8" w14:textId="77777777" w:rsidR="00E92F0B" w:rsidRPr="000B07C3" w:rsidRDefault="00E92F0B" w:rsidP="00514011">
            <w:r>
              <w:rPr>
                <w:rFonts w:ascii="Calibri" w:hAnsi="Calibri" w:cs="Calibri"/>
                <w:color w:val="000000"/>
              </w:rPr>
              <w:t>2170.85</w:t>
            </w:r>
          </w:p>
        </w:tc>
      </w:tr>
      <w:tr w:rsidR="00E92F0B" w:rsidRPr="000B07C3" w14:paraId="4D532ADE" w14:textId="77777777" w:rsidTr="00514011">
        <w:trPr>
          <w:trHeight w:val="288"/>
        </w:trPr>
        <w:tc>
          <w:tcPr>
            <w:tcW w:w="1354" w:type="dxa"/>
            <w:noWrap/>
            <w:vAlign w:val="bottom"/>
            <w:hideMark/>
          </w:tcPr>
          <w:p w14:paraId="6B379D8D" w14:textId="77777777" w:rsidR="00E92F0B" w:rsidRPr="008727D0" w:rsidRDefault="00E92F0B" w:rsidP="00514011">
            <w:pPr>
              <w:rPr>
                <w:b/>
                <w:bCs/>
              </w:rPr>
            </w:pPr>
            <w:r w:rsidRPr="00514011">
              <w:rPr>
                <w:rFonts w:ascii="Calibri" w:hAnsi="Calibri" w:cs="Calibri"/>
                <w:b/>
                <w:bCs/>
                <w:color w:val="000000"/>
              </w:rPr>
              <w:t>Drought</w:t>
            </w:r>
          </w:p>
        </w:tc>
        <w:tc>
          <w:tcPr>
            <w:tcW w:w="960" w:type="dxa"/>
            <w:noWrap/>
            <w:vAlign w:val="bottom"/>
            <w:hideMark/>
          </w:tcPr>
          <w:p w14:paraId="4FA4142C" w14:textId="77777777" w:rsidR="00E92F0B" w:rsidRPr="000B07C3" w:rsidRDefault="00E92F0B" w:rsidP="00514011">
            <w:r>
              <w:rPr>
                <w:rFonts w:ascii="Calibri" w:hAnsi="Calibri" w:cs="Calibri"/>
                <w:color w:val="000000"/>
              </w:rPr>
              <w:t>-0.34</w:t>
            </w:r>
          </w:p>
        </w:tc>
        <w:tc>
          <w:tcPr>
            <w:tcW w:w="960" w:type="dxa"/>
            <w:noWrap/>
            <w:vAlign w:val="bottom"/>
            <w:hideMark/>
          </w:tcPr>
          <w:p w14:paraId="64A6AFD4" w14:textId="77777777" w:rsidR="00E92F0B" w:rsidRPr="000B07C3" w:rsidRDefault="00E92F0B" w:rsidP="00514011">
            <w:r>
              <w:rPr>
                <w:rFonts w:ascii="Calibri" w:hAnsi="Calibri" w:cs="Calibri"/>
                <w:color w:val="000000"/>
              </w:rPr>
              <w:t>-0.34</w:t>
            </w:r>
          </w:p>
        </w:tc>
        <w:tc>
          <w:tcPr>
            <w:tcW w:w="960" w:type="dxa"/>
            <w:noWrap/>
            <w:vAlign w:val="bottom"/>
            <w:hideMark/>
          </w:tcPr>
          <w:p w14:paraId="69B43BAB" w14:textId="77777777" w:rsidR="00E92F0B" w:rsidRPr="000B07C3" w:rsidRDefault="00E92F0B" w:rsidP="00514011">
            <w:r>
              <w:rPr>
                <w:rFonts w:ascii="Calibri" w:hAnsi="Calibri" w:cs="Calibri"/>
                <w:color w:val="000000"/>
              </w:rPr>
              <w:t>0.20</w:t>
            </w:r>
          </w:p>
        </w:tc>
        <w:tc>
          <w:tcPr>
            <w:tcW w:w="960" w:type="dxa"/>
            <w:noWrap/>
            <w:vAlign w:val="bottom"/>
            <w:hideMark/>
          </w:tcPr>
          <w:p w14:paraId="4261FF4A" w14:textId="77777777" w:rsidR="00E92F0B" w:rsidRPr="000B07C3" w:rsidRDefault="00E92F0B" w:rsidP="00514011">
            <w:r>
              <w:rPr>
                <w:rFonts w:ascii="Calibri" w:hAnsi="Calibri" w:cs="Calibri"/>
                <w:color w:val="000000"/>
              </w:rPr>
              <w:t>-0.68</w:t>
            </w:r>
          </w:p>
        </w:tc>
        <w:tc>
          <w:tcPr>
            <w:tcW w:w="960" w:type="dxa"/>
            <w:noWrap/>
            <w:vAlign w:val="bottom"/>
            <w:hideMark/>
          </w:tcPr>
          <w:p w14:paraId="448B9080" w14:textId="77777777" w:rsidR="00E92F0B" w:rsidRPr="000B07C3" w:rsidRDefault="00E92F0B" w:rsidP="00514011">
            <w:r>
              <w:rPr>
                <w:rFonts w:ascii="Calibri" w:hAnsi="Calibri" w:cs="Calibri"/>
                <w:color w:val="000000"/>
              </w:rPr>
              <w:t>-0.01</w:t>
            </w:r>
          </w:p>
        </w:tc>
        <w:tc>
          <w:tcPr>
            <w:tcW w:w="960" w:type="dxa"/>
            <w:noWrap/>
            <w:vAlign w:val="bottom"/>
            <w:hideMark/>
          </w:tcPr>
          <w:p w14:paraId="39335771" w14:textId="77777777" w:rsidR="00E92F0B" w:rsidRPr="000B07C3" w:rsidRDefault="00E92F0B" w:rsidP="00514011">
            <w:r>
              <w:rPr>
                <w:rFonts w:ascii="Calibri" w:hAnsi="Calibri" w:cs="Calibri"/>
                <w:color w:val="000000"/>
              </w:rPr>
              <w:t>1.00</w:t>
            </w:r>
          </w:p>
        </w:tc>
        <w:tc>
          <w:tcPr>
            <w:tcW w:w="1008" w:type="dxa"/>
            <w:noWrap/>
            <w:vAlign w:val="bottom"/>
            <w:hideMark/>
          </w:tcPr>
          <w:p w14:paraId="01AE54D5" w14:textId="77777777" w:rsidR="00E92F0B" w:rsidRPr="000B07C3" w:rsidRDefault="00E92F0B" w:rsidP="00514011">
            <w:r>
              <w:rPr>
                <w:rFonts w:ascii="Calibri" w:hAnsi="Calibri" w:cs="Calibri"/>
                <w:color w:val="000000"/>
              </w:rPr>
              <w:t>1113.71</w:t>
            </w:r>
          </w:p>
        </w:tc>
        <w:tc>
          <w:tcPr>
            <w:tcW w:w="960" w:type="dxa"/>
            <w:noWrap/>
            <w:vAlign w:val="bottom"/>
            <w:hideMark/>
          </w:tcPr>
          <w:p w14:paraId="17F92D7F" w14:textId="77777777" w:rsidR="00E92F0B" w:rsidRPr="000B07C3" w:rsidRDefault="00E92F0B" w:rsidP="00514011">
            <w:r>
              <w:rPr>
                <w:rFonts w:ascii="Calibri" w:hAnsi="Calibri" w:cs="Calibri"/>
                <w:color w:val="000000"/>
              </w:rPr>
              <w:t>1900.59</w:t>
            </w:r>
          </w:p>
        </w:tc>
      </w:tr>
      <w:tr w:rsidR="00E92F0B" w:rsidRPr="000B07C3" w14:paraId="70ECCDB0" w14:textId="77777777" w:rsidTr="00514011">
        <w:trPr>
          <w:trHeight w:val="288"/>
        </w:trPr>
        <w:tc>
          <w:tcPr>
            <w:tcW w:w="1354" w:type="dxa"/>
            <w:noWrap/>
            <w:vAlign w:val="bottom"/>
            <w:hideMark/>
          </w:tcPr>
          <w:p w14:paraId="0AA06D4E" w14:textId="77777777" w:rsidR="00E92F0B" w:rsidRPr="008727D0" w:rsidRDefault="00E92F0B" w:rsidP="00514011">
            <w:pPr>
              <w:rPr>
                <w:b/>
                <w:bCs/>
              </w:rPr>
            </w:pPr>
            <w:r w:rsidRPr="00514011">
              <w:rPr>
                <w:rFonts w:ascii="Calibri" w:hAnsi="Calibri" w:cs="Calibri"/>
                <w:b/>
                <w:bCs/>
                <w:color w:val="000000"/>
              </w:rPr>
              <w:t>Site Dryness</w:t>
            </w:r>
          </w:p>
        </w:tc>
        <w:tc>
          <w:tcPr>
            <w:tcW w:w="960" w:type="dxa"/>
            <w:noWrap/>
            <w:vAlign w:val="bottom"/>
            <w:hideMark/>
          </w:tcPr>
          <w:p w14:paraId="478DF6F8" w14:textId="77777777" w:rsidR="00E92F0B" w:rsidRPr="000B07C3" w:rsidRDefault="00E92F0B" w:rsidP="00514011">
            <w:r>
              <w:rPr>
                <w:rFonts w:ascii="Calibri" w:hAnsi="Calibri" w:cs="Calibri"/>
                <w:color w:val="000000"/>
              </w:rPr>
              <w:t>-0.33</w:t>
            </w:r>
          </w:p>
        </w:tc>
        <w:tc>
          <w:tcPr>
            <w:tcW w:w="960" w:type="dxa"/>
            <w:noWrap/>
            <w:vAlign w:val="bottom"/>
            <w:hideMark/>
          </w:tcPr>
          <w:p w14:paraId="2C485353" w14:textId="77777777" w:rsidR="00E92F0B" w:rsidRPr="000B07C3" w:rsidRDefault="00E92F0B" w:rsidP="00514011">
            <w:r>
              <w:rPr>
                <w:rFonts w:ascii="Calibri" w:hAnsi="Calibri" w:cs="Calibri"/>
                <w:color w:val="000000"/>
              </w:rPr>
              <w:t>-0.33</w:t>
            </w:r>
          </w:p>
        </w:tc>
        <w:tc>
          <w:tcPr>
            <w:tcW w:w="960" w:type="dxa"/>
            <w:noWrap/>
            <w:vAlign w:val="bottom"/>
            <w:hideMark/>
          </w:tcPr>
          <w:p w14:paraId="6DB158B6" w14:textId="77777777" w:rsidR="00E92F0B" w:rsidRPr="000B07C3" w:rsidRDefault="00E92F0B" w:rsidP="00514011">
            <w:r>
              <w:rPr>
                <w:rFonts w:ascii="Calibri" w:hAnsi="Calibri" w:cs="Calibri"/>
                <w:color w:val="000000"/>
              </w:rPr>
              <w:t>0.23</w:t>
            </w:r>
          </w:p>
        </w:tc>
        <w:tc>
          <w:tcPr>
            <w:tcW w:w="960" w:type="dxa"/>
            <w:noWrap/>
            <w:vAlign w:val="bottom"/>
            <w:hideMark/>
          </w:tcPr>
          <w:p w14:paraId="47A53BD9" w14:textId="77777777" w:rsidR="00E92F0B" w:rsidRPr="000B07C3" w:rsidRDefault="00E92F0B" w:rsidP="00514011">
            <w:r>
              <w:rPr>
                <w:rFonts w:ascii="Calibri" w:hAnsi="Calibri" w:cs="Calibri"/>
                <w:color w:val="000000"/>
              </w:rPr>
              <w:t>-0.70</w:t>
            </w:r>
          </w:p>
        </w:tc>
        <w:tc>
          <w:tcPr>
            <w:tcW w:w="960" w:type="dxa"/>
            <w:noWrap/>
            <w:vAlign w:val="bottom"/>
            <w:hideMark/>
          </w:tcPr>
          <w:p w14:paraId="28F5C5E1" w14:textId="77777777" w:rsidR="00E92F0B" w:rsidRPr="000B07C3" w:rsidRDefault="00E92F0B" w:rsidP="00514011">
            <w:r>
              <w:rPr>
                <w:rFonts w:ascii="Calibri" w:hAnsi="Calibri" w:cs="Calibri"/>
                <w:color w:val="000000"/>
              </w:rPr>
              <w:t>0.05</w:t>
            </w:r>
          </w:p>
        </w:tc>
        <w:tc>
          <w:tcPr>
            <w:tcW w:w="960" w:type="dxa"/>
            <w:noWrap/>
            <w:vAlign w:val="bottom"/>
            <w:hideMark/>
          </w:tcPr>
          <w:p w14:paraId="77B51E9A" w14:textId="77777777" w:rsidR="00E92F0B" w:rsidRPr="000B07C3" w:rsidRDefault="00E92F0B" w:rsidP="00514011">
            <w:r>
              <w:rPr>
                <w:rFonts w:ascii="Calibri" w:hAnsi="Calibri" w:cs="Calibri"/>
                <w:color w:val="000000"/>
              </w:rPr>
              <w:t>1.00</w:t>
            </w:r>
          </w:p>
        </w:tc>
        <w:tc>
          <w:tcPr>
            <w:tcW w:w="1008" w:type="dxa"/>
            <w:noWrap/>
            <w:vAlign w:val="bottom"/>
            <w:hideMark/>
          </w:tcPr>
          <w:p w14:paraId="7A64004A" w14:textId="77777777" w:rsidR="00E92F0B" w:rsidRPr="000B07C3" w:rsidRDefault="00E92F0B" w:rsidP="00514011">
            <w:r>
              <w:rPr>
                <w:rFonts w:ascii="Calibri" w:hAnsi="Calibri" w:cs="Calibri"/>
                <w:color w:val="000000"/>
              </w:rPr>
              <w:t>1429.15</w:t>
            </w:r>
          </w:p>
        </w:tc>
        <w:tc>
          <w:tcPr>
            <w:tcW w:w="960" w:type="dxa"/>
            <w:noWrap/>
            <w:vAlign w:val="bottom"/>
            <w:hideMark/>
          </w:tcPr>
          <w:p w14:paraId="696C0AF2" w14:textId="77777777" w:rsidR="00E92F0B" w:rsidRPr="000B07C3" w:rsidRDefault="00E92F0B" w:rsidP="00514011">
            <w:r>
              <w:rPr>
                <w:rFonts w:ascii="Calibri" w:hAnsi="Calibri" w:cs="Calibri"/>
                <w:color w:val="000000"/>
              </w:rPr>
              <w:t>2287.44</w:t>
            </w:r>
          </w:p>
        </w:tc>
      </w:tr>
      <w:tr w:rsidR="00E92F0B" w:rsidRPr="000B07C3" w14:paraId="7D14D1DC" w14:textId="77777777" w:rsidTr="00514011">
        <w:trPr>
          <w:trHeight w:val="288"/>
        </w:trPr>
        <w:tc>
          <w:tcPr>
            <w:tcW w:w="1354" w:type="dxa"/>
            <w:noWrap/>
            <w:vAlign w:val="bottom"/>
            <w:hideMark/>
          </w:tcPr>
          <w:p w14:paraId="479BC8BB" w14:textId="77777777" w:rsidR="00E92F0B" w:rsidRPr="008727D0" w:rsidRDefault="00E92F0B" w:rsidP="00514011">
            <w:pPr>
              <w:rPr>
                <w:b/>
                <w:bCs/>
              </w:rPr>
            </w:pPr>
            <w:r w:rsidRPr="00514011">
              <w:rPr>
                <w:rFonts w:ascii="Calibri" w:hAnsi="Calibri" w:cs="Calibri"/>
                <w:b/>
                <w:bCs/>
                <w:color w:val="000000"/>
              </w:rPr>
              <w:t>DBH x Fire</w:t>
            </w:r>
          </w:p>
        </w:tc>
        <w:tc>
          <w:tcPr>
            <w:tcW w:w="960" w:type="dxa"/>
            <w:noWrap/>
            <w:vAlign w:val="bottom"/>
            <w:hideMark/>
          </w:tcPr>
          <w:p w14:paraId="3E708813" w14:textId="77777777" w:rsidR="00E92F0B" w:rsidRPr="000B07C3" w:rsidRDefault="00E92F0B" w:rsidP="00514011">
            <w:r>
              <w:rPr>
                <w:rFonts w:ascii="Calibri" w:hAnsi="Calibri" w:cs="Calibri"/>
                <w:color w:val="000000"/>
              </w:rPr>
              <w:t>2.40</w:t>
            </w:r>
          </w:p>
        </w:tc>
        <w:tc>
          <w:tcPr>
            <w:tcW w:w="960" w:type="dxa"/>
            <w:noWrap/>
            <w:vAlign w:val="bottom"/>
            <w:hideMark/>
          </w:tcPr>
          <w:p w14:paraId="7E210815" w14:textId="77777777" w:rsidR="00E92F0B" w:rsidRPr="000B07C3" w:rsidRDefault="00E92F0B" w:rsidP="00514011">
            <w:r>
              <w:rPr>
                <w:rFonts w:ascii="Calibri" w:hAnsi="Calibri" w:cs="Calibri"/>
                <w:color w:val="000000"/>
              </w:rPr>
              <w:t>2.38</w:t>
            </w:r>
          </w:p>
        </w:tc>
        <w:tc>
          <w:tcPr>
            <w:tcW w:w="960" w:type="dxa"/>
            <w:noWrap/>
            <w:vAlign w:val="bottom"/>
            <w:hideMark/>
          </w:tcPr>
          <w:p w14:paraId="543FFCE6" w14:textId="77777777" w:rsidR="00E92F0B" w:rsidRPr="000B07C3" w:rsidRDefault="00E92F0B" w:rsidP="00514011">
            <w:r>
              <w:rPr>
                <w:rFonts w:ascii="Calibri" w:hAnsi="Calibri" w:cs="Calibri"/>
                <w:color w:val="000000"/>
              </w:rPr>
              <w:t>1.45</w:t>
            </w:r>
          </w:p>
        </w:tc>
        <w:tc>
          <w:tcPr>
            <w:tcW w:w="960" w:type="dxa"/>
            <w:noWrap/>
            <w:vAlign w:val="bottom"/>
            <w:hideMark/>
          </w:tcPr>
          <w:p w14:paraId="35D5D35B" w14:textId="77777777" w:rsidR="00E92F0B" w:rsidRPr="000B07C3" w:rsidRDefault="00E92F0B" w:rsidP="00514011">
            <w:r>
              <w:rPr>
                <w:rFonts w:ascii="Calibri" w:hAnsi="Calibri" w:cs="Calibri"/>
                <w:color w:val="000000"/>
              </w:rPr>
              <w:t>0.10</w:t>
            </w:r>
          </w:p>
        </w:tc>
        <w:tc>
          <w:tcPr>
            <w:tcW w:w="960" w:type="dxa"/>
            <w:noWrap/>
            <w:vAlign w:val="bottom"/>
            <w:hideMark/>
          </w:tcPr>
          <w:p w14:paraId="671A0EB1" w14:textId="77777777" w:rsidR="00E92F0B" w:rsidRPr="000B07C3" w:rsidRDefault="00E92F0B" w:rsidP="00514011">
            <w:r>
              <w:rPr>
                <w:rFonts w:ascii="Calibri" w:hAnsi="Calibri" w:cs="Calibri"/>
                <w:color w:val="000000"/>
              </w:rPr>
              <w:t>4.78</w:t>
            </w:r>
          </w:p>
        </w:tc>
        <w:tc>
          <w:tcPr>
            <w:tcW w:w="960" w:type="dxa"/>
            <w:noWrap/>
            <w:vAlign w:val="bottom"/>
            <w:hideMark/>
          </w:tcPr>
          <w:p w14:paraId="6DB284D3" w14:textId="77777777" w:rsidR="00E92F0B" w:rsidRPr="000B07C3" w:rsidRDefault="00E92F0B" w:rsidP="00514011">
            <w:r>
              <w:rPr>
                <w:rFonts w:ascii="Calibri" w:hAnsi="Calibri" w:cs="Calibri"/>
                <w:color w:val="000000"/>
              </w:rPr>
              <w:t>1.00</w:t>
            </w:r>
          </w:p>
        </w:tc>
        <w:tc>
          <w:tcPr>
            <w:tcW w:w="1008" w:type="dxa"/>
            <w:noWrap/>
            <w:vAlign w:val="bottom"/>
            <w:hideMark/>
          </w:tcPr>
          <w:p w14:paraId="749E7B66" w14:textId="77777777" w:rsidR="00E92F0B" w:rsidRPr="000B07C3" w:rsidRDefault="00E92F0B" w:rsidP="00514011">
            <w:r>
              <w:rPr>
                <w:rFonts w:ascii="Calibri" w:hAnsi="Calibri" w:cs="Calibri"/>
                <w:color w:val="000000"/>
              </w:rPr>
              <w:t>1291.53</w:t>
            </w:r>
          </w:p>
        </w:tc>
        <w:tc>
          <w:tcPr>
            <w:tcW w:w="960" w:type="dxa"/>
            <w:noWrap/>
            <w:vAlign w:val="bottom"/>
            <w:hideMark/>
          </w:tcPr>
          <w:p w14:paraId="7EF0F5DB" w14:textId="77777777" w:rsidR="00E92F0B" w:rsidRPr="000B07C3" w:rsidRDefault="00E92F0B" w:rsidP="00514011">
            <w:r>
              <w:rPr>
                <w:rFonts w:ascii="Calibri" w:hAnsi="Calibri" w:cs="Calibri"/>
                <w:color w:val="000000"/>
              </w:rPr>
              <w:t>2079.10</w:t>
            </w:r>
          </w:p>
        </w:tc>
      </w:tr>
      <w:tr w:rsidR="00E92F0B" w:rsidRPr="000B07C3" w14:paraId="5CD55C04" w14:textId="77777777" w:rsidTr="00514011">
        <w:trPr>
          <w:trHeight w:val="288"/>
        </w:trPr>
        <w:tc>
          <w:tcPr>
            <w:tcW w:w="1354" w:type="dxa"/>
            <w:noWrap/>
            <w:vAlign w:val="bottom"/>
            <w:hideMark/>
          </w:tcPr>
          <w:p w14:paraId="22C3D624" w14:textId="77777777" w:rsidR="00E92F0B" w:rsidRPr="008727D0" w:rsidRDefault="00E92F0B" w:rsidP="00514011">
            <w:pPr>
              <w:rPr>
                <w:b/>
                <w:bCs/>
              </w:rPr>
            </w:pPr>
            <w:r w:rsidRPr="00514011">
              <w:rPr>
                <w:rFonts w:ascii="Calibri" w:hAnsi="Calibri" w:cs="Calibri"/>
                <w:b/>
                <w:bCs/>
                <w:color w:val="000000"/>
              </w:rPr>
              <w:t>DBH^2 x Fire</w:t>
            </w:r>
          </w:p>
        </w:tc>
        <w:tc>
          <w:tcPr>
            <w:tcW w:w="960" w:type="dxa"/>
            <w:noWrap/>
            <w:vAlign w:val="bottom"/>
            <w:hideMark/>
          </w:tcPr>
          <w:p w14:paraId="4DFAE83D" w14:textId="77777777" w:rsidR="00E92F0B" w:rsidRPr="000B07C3" w:rsidRDefault="00E92F0B" w:rsidP="00514011">
            <w:r>
              <w:rPr>
                <w:rFonts w:ascii="Calibri" w:hAnsi="Calibri" w:cs="Calibri"/>
                <w:color w:val="000000"/>
              </w:rPr>
              <w:t>-1.10</w:t>
            </w:r>
          </w:p>
        </w:tc>
        <w:tc>
          <w:tcPr>
            <w:tcW w:w="960" w:type="dxa"/>
            <w:noWrap/>
            <w:vAlign w:val="bottom"/>
            <w:hideMark/>
          </w:tcPr>
          <w:p w14:paraId="2DAC38BD" w14:textId="77777777" w:rsidR="00E92F0B" w:rsidRPr="000B07C3" w:rsidRDefault="00E92F0B" w:rsidP="00514011">
            <w:r>
              <w:rPr>
                <w:rFonts w:ascii="Calibri" w:hAnsi="Calibri" w:cs="Calibri"/>
                <w:color w:val="000000"/>
              </w:rPr>
              <w:t>-1.08</w:t>
            </w:r>
          </w:p>
        </w:tc>
        <w:tc>
          <w:tcPr>
            <w:tcW w:w="960" w:type="dxa"/>
            <w:noWrap/>
            <w:vAlign w:val="bottom"/>
            <w:hideMark/>
          </w:tcPr>
          <w:p w14:paraId="43097690" w14:textId="77777777" w:rsidR="00E92F0B" w:rsidRPr="000B07C3" w:rsidRDefault="00E92F0B" w:rsidP="00514011">
            <w:r>
              <w:rPr>
                <w:rFonts w:ascii="Calibri" w:hAnsi="Calibri" w:cs="Calibri"/>
                <w:color w:val="000000"/>
              </w:rPr>
              <w:t>0.92</w:t>
            </w:r>
          </w:p>
        </w:tc>
        <w:tc>
          <w:tcPr>
            <w:tcW w:w="960" w:type="dxa"/>
            <w:noWrap/>
            <w:vAlign w:val="bottom"/>
            <w:hideMark/>
          </w:tcPr>
          <w:p w14:paraId="5D164C3A" w14:textId="77777777" w:rsidR="00E92F0B" w:rsidRPr="000B07C3" w:rsidRDefault="00E92F0B" w:rsidP="00514011">
            <w:r>
              <w:rPr>
                <w:rFonts w:ascii="Calibri" w:hAnsi="Calibri" w:cs="Calibri"/>
                <w:color w:val="000000"/>
              </w:rPr>
              <w:t>-2.64</w:t>
            </w:r>
          </w:p>
        </w:tc>
        <w:tc>
          <w:tcPr>
            <w:tcW w:w="960" w:type="dxa"/>
            <w:noWrap/>
            <w:vAlign w:val="bottom"/>
            <w:hideMark/>
          </w:tcPr>
          <w:p w14:paraId="3B7725B6" w14:textId="77777777" w:rsidR="00E92F0B" w:rsidRPr="000B07C3" w:rsidRDefault="00E92F0B" w:rsidP="00514011">
            <w:r>
              <w:rPr>
                <w:rFonts w:ascii="Calibri" w:hAnsi="Calibri" w:cs="Calibri"/>
                <w:color w:val="000000"/>
              </w:rPr>
              <w:t>0.35</w:t>
            </w:r>
          </w:p>
        </w:tc>
        <w:tc>
          <w:tcPr>
            <w:tcW w:w="960" w:type="dxa"/>
            <w:noWrap/>
            <w:vAlign w:val="bottom"/>
            <w:hideMark/>
          </w:tcPr>
          <w:p w14:paraId="64EE8C62" w14:textId="77777777" w:rsidR="00E92F0B" w:rsidRPr="000B07C3" w:rsidRDefault="00E92F0B" w:rsidP="00514011">
            <w:r>
              <w:rPr>
                <w:rFonts w:ascii="Calibri" w:hAnsi="Calibri" w:cs="Calibri"/>
                <w:color w:val="000000"/>
              </w:rPr>
              <w:t>1.00</w:t>
            </w:r>
          </w:p>
        </w:tc>
        <w:tc>
          <w:tcPr>
            <w:tcW w:w="1008" w:type="dxa"/>
            <w:noWrap/>
            <w:vAlign w:val="bottom"/>
            <w:hideMark/>
          </w:tcPr>
          <w:p w14:paraId="2E8C8091" w14:textId="77777777" w:rsidR="00E92F0B" w:rsidRPr="000B07C3" w:rsidRDefault="00E92F0B" w:rsidP="00514011">
            <w:r>
              <w:rPr>
                <w:rFonts w:ascii="Calibri" w:hAnsi="Calibri" w:cs="Calibri"/>
                <w:color w:val="000000"/>
              </w:rPr>
              <w:t>1386.52</w:t>
            </w:r>
          </w:p>
        </w:tc>
        <w:tc>
          <w:tcPr>
            <w:tcW w:w="960" w:type="dxa"/>
            <w:noWrap/>
            <w:vAlign w:val="bottom"/>
            <w:hideMark/>
          </w:tcPr>
          <w:p w14:paraId="5F2D02E8" w14:textId="77777777" w:rsidR="00E92F0B" w:rsidRPr="000B07C3" w:rsidRDefault="00E92F0B" w:rsidP="00514011">
            <w:r>
              <w:rPr>
                <w:rFonts w:ascii="Calibri" w:hAnsi="Calibri" w:cs="Calibri"/>
                <w:color w:val="000000"/>
              </w:rPr>
              <w:t>2235.70</w:t>
            </w:r>
          </w:p>
        </w:tc>
      </w:tr>
      <w:tr w:rsidR="00E92F0B" w:rsidRPr="000B07C3" w14:paraId="377C5EBB" w14:textId="77777777" w:rsidTr="00514011">
        <w:trPr>
          <w:trHeight w:val="288"/>
        </w:trPr>
        <w:tc>
          <w:tcPr>
            <w:tcW w:w="1354" w:type="dxa"/>
            <w:noWrap/>
            <w:vAlign w:val="bottom"/>
            <w:hideMark/>
          </w:tcPr>
          <w:p w14:paraId="0037E836" w14:textId="77777777" w:rsidR="00E92F0B" w:rsidRPr="008727D0" w:rsidRDefault="00E92F0B" w:rsidP="00514011">
            <w:pPr>
              <w:rPr>
                <w:b/>
                <w:bCs/>
              </w:rPr>
            </w:pPr>
            <w:r w:rsidRPr="00514011">
              <w:rPr>
                <w:rFonts w:ascii="Calibri" w:hAnsi="Calibri" w:cs="Calibri"/>
                <w:b/>
                <w:bCs/>
                <w:color w:val="000000"/>
              </w:rPr>
              <w:t>DBH x WPBR</w:t>
            </w:r>
          </w:p>
        </w:tc>
        <w:tc>
          <w:tcPr>
            <w:tcW w:w="960" w:type="dxa"/>
            <w:noWrap/>
            <w:vAlign w:val="bottom"/>
            <w:hideMark/>
          </w:tcPr>
          <w:p w14:paraId="7BD42286" w14:textId="77777777" w:rsidR="00E92F0B" w:rsidRPr="000B07C3" w:rsidRDefault="00E92F0B" w:rsidP="00514011">
            <w:r>
              <w:rPr>
                <w:rFonts w:ascii="Calibri" w:hAnsi="Calibri" w:cs="Calibri"/>
                <w:color w:val="000000"/>
              </w:rPr>
              <w:t>0.83</w:t>
            </w:r>
          </w:p>
        </w:tc>
        <w:tc>
          <w:tcPr>
            <w:tcW w:w="960" w:type="dxa"/>
            <w:noWrap/>
            <w:vAlign w:val="bottom"/>
            <w:hideMark/>
          </w:tcPr>
          <w:p w14:paraId="143D76C1" w14:textId="77777777" w:rsidR="00E92F0B" w:rsidRPr="000B07C3" w:rsidRDefault="00E92F0B" w:rsidP="00514011">
            <w:r>
              <w:rPr>
                <w:rFonts w:ascii="Calibri" w:hAnsi="Calibri" w:cs="Calibri"/>
                <w:color w:val="000000"/>
              </w:rPr>
              <w:t>0.82</w:t>
            </w:r>
          </w:p>
        </w:tc>
        <w:tc>
          <w:tcPr>
            <w:tcW w:w="960" w:type="dxa"/>
            <w:noWrap/>
            <w:vAlign w:val="bottom"/>
            <w:hideMark/>
          </w:tcPr>
          <w:p w14:paraId="15018695" w14:textId="77777777" w:rsidR="00E92F0B" w:rsidRPr="000B07C3" w:rsidRDefault="00E92F0B" w:rsidP="00514011">
            <w:r>
              <w:rPr>
                <w:rFonts w:ascii="Calibri" w:hAnsi="Calibri" w:cs="Calibri"/>
                <w:color w:val="000000"/>
              </w:rPr>
              <w:t>1.68</w:t>
            </w:r>
          </w:p>
        </w:tc>
        <w:tc>
          <w:tcPr>
            <w:tcW w:w="960" w:type="dxa"/>
            <w:noWrap/>
            <w:vAlign w:val="bottom"/>
            <w:hideMark/>
          </w:tcPr>
          <w:p w14:paraId="7694CC01" w14:textId="77777777" w:rsidR="00E92F0B" w:rsidRPr="000B07C3" w:rsidRDefault="00E92F0B" w:rsidP="00514011">
            <w:r>
              <w:rPr>
                <w:rFonts w:ascii="Calibri" w:hAnsi="Calibri" w:cs="Calibri"/>
                <w:color w:val="000000"/>
              </w:rPr>
              <w:t>-1.89</w:t>
            </w:r>
          </w:p>
        </w:tc>
        <w:tc>
          <w:tcPr>
            <w:tcW w:w="960" w:type="dxa"/>
            <w:noWrap/>
            <w:vAlign w:val="bottom"/>
            <w:hideMark/>
          </w:tcPr>
          <w:p w14:paraId="45634650" w14:textId="77777777" w:rsidR="00E92F0B" w:rsidRPr="000B07C3" w:rsidRDefault="00E92F0B" w:rsidP="00514011">
            <w:r>
              <w:rPr>
                <w:rFonts w:ascii="Calibri" w:hAnsi="Calibri" w:cs="Calibri"/>
                <w:color w:val="000000"/>
              </w:rPr>
              <w:t>3.62</w:t>
            </w:r>
          </w:p>
        </w:tc>
        <w:tc>
          <w:tcPr>
            <w:tcW w:w="960" w:type="dxa"/>
            <w:noWrap/>
            <w:vAlign w:val="bottom"/>
            <w:hideMark/>
          </w:tcPr>
          <w:p w14:paraId="0C8D3FF6" w14:textId="77777777" w:rsidR="00E92F0B" w:rsidRPr="000B07C3" w:rsidRDefault="00E92F0B" w:rsidP="00514011">
            <w:r>
              <w:rPr>
                <w:rFonts w:ascii="Calibri" w:hAnsi="Calibri" w:cs="Calibri"/>
                <w:color w:val="000000"/>
              </w:rPr>
              <w:t>1.00</w:t>
            </w:r>
          </w:p>
        </w:tc>
        <w:tc>
          <w:tcPr>
            <w:tcW w:w="1008" w:type="dxa"/>
            <w:noWrap/>
            <w:vAlign w:val="bottom"/>
            <w:hideMark/>
          </w:tcPr>
          <w:p w14:paraId="21DB6C21" w14:textId="77777777" w:rsidR="00E92F0B" w:rsidRPr="000B07C3" w:rsidRDefault="00E92F0B" w:rsidP="00514011">
            <w:r>
              <w:rPr>
                <w:rFonts w:ascii="Calibri" w:hAnsi="Calibri" w:cs="Calibri"/>
                <w:color w:val="000000"/>
              </w:rPr>
              <w:t>1482.98</w:t>
            </w:r>
          </w:p>
        </w:tc>
        <w:tc>
          <w:tcPr>
            <w:tcW w:w="960" w:type="dxa"/>
            <w:noWrap/>
            <w:vAlign w:val="bottom"/>
            <w:hideMark/>
          </w:tcPr>
          <w:p w14:paraId="79CFE475" w14:textId="77777777" w:rsidR="00E92F0B" w:rsidRPr="000B07C3" w:rsidRDefault="00E92F0B" w:rsidP="00514011">
            <w:r>
              <w:rPr>
                <w:rFonts w:ascii="Calibri" w:hAnsi="Calibri" w:cs="Calibri"/>
                <w:color w:val="000000"/>
              </w:rPr>
              <w:t>2079.69</w:t>
            </w:r>
          </w:p>
        </w:tc>
      </w:tr>
      <w:tr w:rsidR="00E92F0B" w:rsidRPr="000B07C3" w14:paraId="033F29DA" w14:textId="77777777" w:rsidTr="00514011">
        <w:trPr>
          <w:trHeight w:val="288"/>
        </w:trPr>
        <w:tc>
          <w:tcPr>
            <w:tcW w:w="1354" w:type="dxa"/>
            <w:noWrap/>
            <w:vAlign w:val="bottom"/>
            <w:hideMark/>
          </w:tcPr>
          <w:p w14:paraId="394AFA16" w14:textId="77777777" w:rsidR="00E92F0B" w:rsidRPr="008727D0" w:rsidRDefault="00E92F0B" w:rsidP="00514011">
            <w:pPr>
              <w:rPr>
                <w:b/>
                <w:bCs/>
              </w:rPr>
            </w:pPr>
            <w:r w:rsidRPr="00514011">
              <w:rPr>
                <w:rFonts w:ascii="Calibri" w:hAnsi="Calibri" w:cs="Calibri"/>
                <w:b/>
                <w:bCs/>
                <w:color w:val="000000"/>
              </w:rPr>
              <w:t>DBH^2 x WPBR</w:t>
            </w:r>
          </w:p>
        </w:tc>
        <w:tc>
          <w:tcPr>
            <w:tcW w:w="960" w:type="dxa"/>
            <w:noWrap/>
            <w:vAlign w:val="bottom"/>
            <w:hideMark/>
          </w:tcPr>
          <w:p w14:paraId="0C68E2C8" w14:textId="77777777" w:rsidR="00E92F0B" w:rsidRPr="000B07C3" w:rsidRDefault="00E92F0B" w:rsidP="00514011">
            <w:r>
              <w:rPr>
                <w:rFonts w:ascii="Calibri" w:hAnsi="Calibri" w:cs="Calibri"/>
                <w:color w:val="000000"/>
              </w:rPr>
              <w:t>-0.42</w:t>
            </w:r>
          </w:p>
        </w:tc>
        <w:tc>
          <w:tcPr>
            <w:tcW w:w="960" w:type="dxa"/>
            <w:noWrap/>
            <w:vAlign w:val="bottom"/>
            <w:hideMark/>
          </w:tcPr>
          <w:p w14:paraId="2ED0BC65" w14:textId="77777777" w:rsidR="00E92F0B" w:rsidRPr="000B07C3" w:rsidRDefault="00E92F0B" w:rsidP="00514011">
            <w:r>
              <w:rPr>
                <w:rFonts w:ascii="Calibri" w:hAnsi="Calibri" w:cs="Calibri"/>
                <w:color w:val="000000"/>
              </w:rPr>
              <w:t>-0.40</w:t>
            </w:r>
          </w:p>
        </w:tc>
        <w:tc>
          <w:tcPr>
            <w:tcW w:w="960" w:type="dxa"/>
            <w:noWrap/>
            <w:vAlign w:val="bottom"/>
            <w:hideMark/>
          </w:tcPr>
          <w:p w14:paraId="18D828D7" w14:textId="77777777" w:rsidR="00E92F0B" w:rsidRPr="000B07C3" w:rsidRDefault="00E92F0B" w:rsidP="00514011">
            <w:r>
              <w:rPr>
                <w:rFonts w:ascii="Calibri" w:hAnsi="Calibri" w:cs="Calibri"/>
                <w:color w:val="000000"/>
              </w:rPr>
              <w:t>1.20</w:t>
            </w:r>
          </w:p>
        </w:tc>
        <w:tc>
          <w:tcPr>
            <w:tcW w:w="960" w:type="dxa"/>
            <w:noWrap/>
            <w:vAlign w:val="bottom"/>
            <w:hideMark/>
          </w:tcPr>
          <w:p w14:paraId="37A371C9" w14:textId="77777777" w:rsidR="00E92F0B" w:rsidRPr="000B07C3" w:rsidRDefault="00E92F0B" w:rsidP="00514011">
            <w:r>
              <w:rPr>
                <w:rFonts w:ascii="Calibri" w:hAnsi="Calibri" w:cs="Calibri"/>
                <w:color w:val="000000"/>
              </w:rPr>
              <w:t>-2.39</w:t>
            </w:r>
          </w:p>
        </w:tc>
        <w:tc>
          <w:tcPr>
            <w:tcW w:w="960" w:type="dxa"/>
            <w:noWrap/>
            <w:vAlign w:val="bottom"/>
            <w:hideMark/>
          </w:tcPr>
          <w:p w14:paraId="1450EFE8" w14:textId="77777777" w:rsidR="00E92F0B" w:rsidRPr="000B07C3" w:rsidRDefault="00E92F0B" w:rsidP="00514011">
            <w:r>
              <w:rPr>
                <w:rFonts w:ascii="Calibri" w:hAnsi="Calibri" w:cs="Calibri"/>
                <w:color w:val="000000"/>
              </w:rPr>
              <w:t>1.57</w:t>
            </w:r>
          </w:p>
        </w:tc>
        <w:tc>
          <w:tcPr>
            <w:tcW w:w="960" w:type="dxa"/>
            <w:noWrap/>
            <w:vAlign w:val="bottom"/>
            <w:hideMark/>
          </w:tcPr>
          <w:p w14:paraId="0010607E" w14:textId="77777777" w:rsidR="00E92F0B" w:rsidRPr="000B07C3" w:rsidRDefault="00E92F0B" w:rsidP="00514011">
            <w:r>
              <w:rPr>
                <w:rFonts w:ascii="Calibri" w:hAnsi="Calibri" w:cs="Calibri"/>
                <w:color w:val="000000"/>
              </w:rPr>
              <w:t>1.00</w:t>
            </w:r>
          </w:p>
        </w:tc>
        <w:tc>
          <w:tcPr>
            <w:tcW w:w="1008" w:type="dxa"/>
            <w:noWrap/>
            <w:vAlign w:val="bottom"/>
            <w:hideMark/>
          </w:tcPr>
          <w:p w14:paraId="0F5260A6" w14:textId="77777777" w:rsidR="00E92F0B" w:rsidRPr="000B07C3" w:rsidRDefault="00E92F0B" w:rsidP="00514011">
            <w:r>
              <w:rPr>
                <w:rFonts w:ascii="Calibri" w:hAnsi="Calibri" w:cs="Calibri"/>
                <w:color w:val="000000"/>
              </w:rPr>
              <w:t>1592.54</w:t>
            </w:r>
          </w:p>
        </w:tc>
        <w:tc>
          <w:tcPr>
            <w:tcW w:w="960" w:type="dxa"/>
            <w:noWrap/>
            <w:vAlign w:val="bottom"/>
            <w:hideMark/>
          </w:tcPr>
          <w:p w14:paraId="66526D7C" w14:textId="77777777" w:rsidR="00E92F0B" w:rsidRPr="000B07C3" w:rsidRDefault="00E92F0B" w:rsidP="00514011">
            <w:r>
              <w:rPr>
                <w:rFonts w:ascii="Calibri" w:hAnsi="Calibri" w:cs="Calibri"/>
                <w:color w:val="000000"/>
              </w:rPr>
              <w:t>2189.01</w:t>
            </w:r>
          </w:p>
        </w:tc>
      </w:tr>
      <w:tr w:rsidR="00E92F0B" w:rsidRPr="000B07C3" w14:paraId="37586247" w14:textId="77777777" w:rsidTr="00514011">
        <w:trPr>
          <w:trHeight w:val="288"/>
        </w:trPr>
        <w:tc>
          <w:tcPr>
            <w:tcW w:w="1354" w:type="dxa"/>
            <w:noWrap/>
            <w:vAlign w:val="bottom"/>
            <w:hideMark/>
          </w:tcPr>
          <w:p w14:paraId="29353E81" w14:textId="77777777" w:rsidR="00E92F0B" w:rsidRPr="008727D0" w:rsidRDefault="00E92F0B" w:rsidP="00514011">
            <w:pPr>
              <w:rPr>
                <w:b/>
                <w:bCs/>
              </w:rPr>
            </w:pPr>
            <w:r w:rsidRPr="00514011">
              <w:rPr>
                <w:rFonts w:ascii="Calibri" w:hAnsi="Calibri" w:cs="Calibri"/>
                <w:b/>
                <w:bCs/>
                <w:color w:val="000000"/>
              </w:rPr>
              <w:t>DBH x BA</w:t>
            </w:r>
          </w:p>
        </w:tc>
        <w:tc>
          <w:tcPr>
            <w:tcW w:w="960" w:type="dxa"/>
            <w:noWrap/>
            <w:vAlign w:val="bottom"/>
            <w:hideMark/>
          </w:tcPr>
          <w:p w14:paraId="7AAB9814" w14:textId="77777777" w:rsidR="00E92F0B" w:rsidRPr="000B07C3" w:rsidRDefault="00E92F0B" w:rsidP="00514011">
            <w:r>
              <w:rPr>
                <w:rFonts w:ascii="Calibri" w:hAnsi="Calibri" w:cs="Calibri"/>
                <w:color w:val="000000"/>
              </w:rPr>
              <w:t>0.94</w:t>
            </w:r>
          </w:p>
        </w:tc>
        <w:tc>
          <w:tcPr>
            <w:tcW w:w="960" w:type="dxa"/>
            <w:noWrap/>
            <w:vAlign w:val="bottom"/>
            <w:hideMark/>
          </w:tcPr>
          <w:p w14:paraId="23F63778" w14:textId="77777777" w:rsidR="00E92F0B" w:rsidRPr="000B07C3" w:rsidRDefault="00E92F0B" w:rsidP="00514011">
            <w:r>
              <w:rPr>
                <w:rFonts w:ascii="Calibri" w:hAnsi="Calibri" w:cs="Calibri"/>
                <w:color w:val="000000"/>
              </w:rPr>
              <w:t>0.93</w:t>
            </w:r>
          </w:p>
        </w:tc>
        <w:tc>
          <w:tcPr>
            <w:tcW w:w="960" w:type="dxa"/>
            <w:noWrap/>
            <w:vAlign w:val="bottom"/>
            <w:hideMark/>
          </w:tcPr>
          <w:p w14:paraId="37BAC857" w14:textId="77777777" w:rsidR="00E92F0B" w:rsidRPr="000B07C3" w:rsidRDefault="00E92F0B" w:rsidP="00514011">
            <w:r>
              <w:rPr>
                <w:rFonts w:ascii="Calibri" w:hAnsi="Calibri" w:cs="Calibri"/>
                <w:color w:val="000000"/>
              </w:rPr>
              <w:t>0.55</w:t>
            </w:r>
          </w:p>
        </w:tc>
        <w:tc>
          <w:tcPr>
            <w:tcW w:w="960" w:type="dxa"/>
            <w:noWrap/>
            <w:vAlign w:val="bottom"/>
            <w:hideMark/>
          </w:tcPr>
          <w:p w14:paraId="13A491F7" w14:textId="77777777" w:rsidR="00E92F0B" w:rsidRPr="000B07C3" w:rsidRDefault="00E92F0B" w:rsidP="00514011">
            <w:r>
              <w:rPr>
                <w:rFonts w:ascii="Calibri" w:hAnsi="Calibri" w:cs="Calibri"/>
                <w:color w:val="000000"/>
              </w:rPr>
              <w:t>0.04</w:t>
            </w:r>
          </w:p>
        </w:tc>
        <w:tc>
          <w:tcPr>
            <w:tcW w:w="960" w:type="dxa"/>
            <w:noWrap/>
            <w:vAlign w:val="bottom"/>
            <w:hideMark/>
          </w:tcPr>
          <w:p w14:paraId="2B807AD6" w14:textId="77777777" w:rsidR="00E92F0B" w:rsidRPr="000B07C3" w:rsidRDefault="00E92F0B" w:rsidP="00514011">
            <w:r>
              <w:rPr>
                <w:rFonts w:ascii="Calibri" w:hAnsi="Calibri" w:cs="Calibri"/>
                <w:color w:val="000000"/>
              </w:rPr>
              <w:t>1.83</w:t>
            </w:r>
          </w:p>
        </w:tc>
        <w:tc>
          <w:tcPr>
            <w:tcW w:w="960" w:type="dxa"/>
            <w:noWrap/>
            <w:vAlign w:val="bottom"/>
            <w:hideMark/>
          </w:tcPr>
          <w:p w14:paraId="7AF52FDE" w14:textId="77777777" w:rsidR="00E92F0B" w:rsidRPr="000B07C3" w:rsidRDefault="00E92F0B" w:rsidP="00514011">
            <w:r>
              <w:rPr>
                <w:rFonts w:ascii="Calibri" w:hAnsi="Calibri" w:cs="Calibri"/>
                <w:color w:val="000000"/>
              </w:rPr>
              <w:t>1.00</w:t>
            </w:r>
          </w:p>
        </w:tc>
        <w:tc>
          <w:tcPr>
            <w:tcW w:w="1008" w:type="dxa"/>
            <w:noWrap/>
            <w:vAlign w:val="bottom"/>
            <w:hideMark/>
          </w:tcPr>
          <w:p w14:paraId="2B3A4678" w14:textId="77777777" w:rsidR="00E92F0B" w:rsidRPr="000B07C3" w:rsidRDefault="00E92F0B" w:rsidP="00514011">
            <w:r>
              <w:rPr>
                <w:rFonts w:ascii="Calibri" w:hAnsi="Calibri" w:cs="Calibri"/>
                <w:color w:val="000000"/>
              </w:rPr>
              <w:t>1528.47</w:t>
            </w:r>
          </w:p>
        </w:tc>
        <w:tc>
          <w:tcPr>
            <w:tcW w:w="960" w:type="dxa"/>
            <w:noWrap/>
            <w:vAlign w:val="bottom"/>
            <w:hideMark/>
          </w:tcPr>
          <w:p w14:paraId="75AE35F1" w14:textId="77777777" w:rsidR="00E92F0B" w:rsidRPr="000B07C3" w:rsidRDefault="00E92F0B" w:rsidP="00514011">
            <w:r>
              <w:rPr>
                <w:rFonts w:ascii="Calibri" w:hAnsi="Calibri" w:cs="Calibri"/>
                <w:color w:val="000000"/>
              </w:rPr>
              <w:t>2091.84</w:t>
            </w:r>
          </w:p>
        </w:tc>
      </w:tr>
      <w:tr w:rsidR="00E92F0B" w:rsidRPr="000B07C3" w14:paraId="2C31229B" w14:textId="77777777" w:rsidTr="00514011">
        <w:trPr>
          <w:trHeight w:val="288"/>
        </w:trPr>
        <w:tc>
          <w:tcPr>
            <w:tcW w:w="1354" w:type="dxa"/>
            <w:noWrap/>
            <w:vAlign w:val="bottom"/>
            <w:hideMark/>
          </w:tcPr>
          <w:p w14:paraId="54BEFDDB" w14:textId="77777777" w:rsidR="00E92F0B" w:rsidRPr="008727D0" w:rsidRDefault="00E92F0B" w:rsidP="00514011">
            <w:pPr>
              <w:rPr>
                <w:b/>
                <w:bCs/>
              </w:rPr>
            </w:pPr>
            <w:r w:rsidRPr="00514011">
              <w:rPr>
                <w:rFonts w:ascii="Calibri" w:hAnsi="Calibri" w:cs="Calibri"/>
                <w:b/>
                <w:bCs/>
                <w:color w:val="000000"/>
              </w:rPr>
              <w:t>DBH^2 x BA</w:t>
            </w:r>
          </w:p>
        </w:tc>
        <w:tc>
          <w:tcPr>
            <w:tcW w:w="960" w:type="dxa"/>
            <w:noWrap/>
            <w:vAlign w:val="bottom"/>
            <w:hideMark/>
          </w:tcPr>
          <w:p w14:paraId="3E1DA003" w14:textId="77777777" w:rsidR="00E92F0B" w:rsidRPr="000B07C3" w:rsidRDefault="00E92F0B" w:rsidP="00514011">
            <w:r>
              <w:rPr>
                <w:rFonts w:ascii="Calibri" w:hAnsi="Calibri" w:cs="Calibri"/>
                <w:color w:val="000000"/>
              </w:rPr>
              <w:t>-0.17</w:t>
            </w:r>
          </w:p>
        </w:tc>
        <w:tc>
          <w:tcPr>
            <w:tcW w:w="960" w:type="dxa"/>
            <w:noWrap/>
            <w:vAlign w:val="bottom"/>
            <w:hideMark/>
          </w:tcPr>
          <w:p w14:paraId="11906AAF" w14:textId="77777777" w:rsidR="00E92F0B" w:rsidRPr="000B07C3" w:rsidRDefault="00E92F0B" w:rsidP="00514011">
            <w:r>
              <w:rPr>
                <w:rFonts w:ascii="Calibri" w:hAnsi="Calibri" w:cs="Calibri"/>
                <w:color w:val="000000"/>
              </w:rPr>
              <w:t>-0.17</w:t>
            </w:r>
          </w:p>
        </w:tc>
        <w:tc>
          <w:tcPr>
            <w:tcW w:w="960" w:type="dxa"/>
            <w:noWrap/>
            <w:vAlign w:val="bottom"/>
            <w:hideMark/>
          </w:tcPr>
          <w:p w14:paraId="6C597C03" w14:textId="77777777" w:rsidR="00E92F0B" w:rsidRPr="000B07C3" w:rsidRDefault="00E92F0B" w:rsidP="00514011">
            <w:r>
              <w:rPr>
                <w:rFonts w:ascii="Calibri" w:hAnsi="Calibri" w:cs="Calibri"/>
                <w:color w:val="000000"/>
              </w:rPr>
              <w:t>0.32</w:t>
            </w:r>
          </w:p>
        </w:tc>
        <w:tc>
          <w:tcPr>
            <w:tcW w:w="960" w:type="dxa"/>
            <w:noWrap/>
            <w:vAlign w:val="bottom"/>
            <w:hideMark/>
          </w:tcPr>
          <w:p w14:paraId="3FF76105" w14:textId="77777777" w:rsidR="00E92F0B" w:rsidRPr="000B07C3" w:rsidRDefault="00E92F0B" w:rsidP="00514011">
            <w:r>
              <w:rPr>
                <w:rFonts w:ascii="Calibri" w:hAnsi="Calibri" w:cs="Calibri"/>
                <w:color w:val="000000"/>
              </w:rPr>
              <w:t>-0.68</w:t>
            </w:r>
          </w:p>
        </w:tc>
        <w:tc>
          <w:tcPr>
            <w:tcW w:w="960" w:type="dxa"/>
            <w:noWrap/>
            <w:vAlign w:val="bottom"/>
            <w:hideMark/>
          </w:tcPr>
          <w:p w14:paraId="1051E63E" w14:textId="77777777" w:rsidR="00E92F0B" w:rsidRPr="000B07C3" w:rsidRDefault="00E92F0B" w:rsidP="00514011">
            <w:r>
              <w:rPr>
                <w:rFonts w:ascii="Calibri" w:hAnsi="Calibri" w:cs="Calibri"/>
                <w:color w:val="000000"/>
              </w:rPr>
              <w:t>0.36</w:t>
            </w:r>
          </w:p>
        </w:tc>
        <w:tc>
          <w:tcPr>
            <w:tcW w:w="960" w:type="dxa"/>
            <w:noWrap/>
            <w:vAlign w:val="bottom"/>
            <w:hideMark/>
          </w:tcPr>
          <w:p w14:paraId="30FAA1CE" w14:textId="77777777" w:rsidR="00E92F0B" w:rsidRPr="000B07C3" w:rsidRDefault="00E92F0B" w:rsidP="00514011">
            <w:r>
              <w:rPr>
                <w:rFonts w:ascii="Calibri" w:hAnsi="Calibri" w:cs="Calibri"/>
                <w:color w:val="000000"/>
              </w:rPr>
              <w:t>1.00</w:t>
            </w:r>
          </w:p>
        </w:tc>
        <w:tc>
          <w:tcPr>
            <w:tcW w:w="1008" w:type="dxa"/>
            <w:noWrap/>
            <w:vAlign w:val="bottom"/>
            <w:hideMark/>
          </w:tcPr>
          <w:p w14:paraId="1A1E280A" w14:textId="77777777" w:rsidR="00E92F0B" w:rsidRPr="000B07C3" w:rsidRDefault="00E92F0B" w:rsidP="00514011">
            <w:r>
              <w:rPr>
                <w:rFonts w:ascii="Calibri" w:hAnsi="Calibri" w:cs="Calibri"/>
                <w:color w:val="000000"/>
              </w:rPr>
              <w:t>1630.07</w:t>
            </w:r>
          </w:p>
        </w:tc>
        <w:tc>
          <w:tcPr>
            <w:tcW w:w="960" w:type="dxa"/>
            <w:noWrap/>
            <w:vAlign w:val="bottom"/>
            <w:hideMark/>
          </w:tcPr>
          <w:p w14:paraId="11F2D70F" w14:textId="77777777" w:rsidR="00E92F0B" w:rsidRPr="000B07C3" w:rsidRDefault="00E92F0B" w:rsidP="00514011">
            <w:pPr>
              <w:keepNext/>
            </w:pPr>
            <w:r>
              <w:rPr>
                <w:rFonts w:ascii="Calibri" w:hAnsi="Calibri" w:cs="Calibri"/>
                <w:color w:val="000000"/>
              </w:rPr>
              <w:t>2358.15</w:t>
            </w:r>
          </w:p>
        </w:tc>
      </w:tr>
      <w:tr w:rsidR="00E92F0B" w:rsidRPr="000B07C3" w14:paraId="42EE191D" w14:textId="77777777" w:rsidTr="00514011">
        <w:trPr>
          <w:trHeight w:val="288"/>
        </w:trPr>
        <w:tc>
          <w:tcPr>
            <w:tcW w:w="1354" w:type="dxa"/>
            <w:noWrap/>
            <w:vAlign w:val="bottom"/>
          </w:tcPr>
          <w:p w14:paraId="74096B13" w14:textId="77777777" w:rsidR="00E92F0B" w:rsidRPr="008727D0" w:rsidRDefault="00E92F0B" w:rsidP="00514011">
            <w:pPr>
              <w:rPr>
                <w:b/>
                <w:bCs/>
              </w:rPr>
            </w:pPr>
            <w:r w:rsidRPr="00514011">
              <w:rPr>
                <w:rFonts w:ascii="Calibri" w:hAnsi="Calibri" w:cs="Calibri"/>
                <w:b/>
                <w:bCs/>
                <w:color w:val="000000"/>
              </w:rPr>
              <w:t>DBH x Drought</w:t>
            </w:r>
          </w:p>
        </w:tc>
        <w:tc>
          <w:tcPr>
            <w:tcW w:w="960" w:type="dxa"/>
            <w:noWrap/>
            <w:vAlign w:val="bottom"/>
          </w:tcPr>
          <w:p w14:paraId="285D9EC8" w14:textId="77777777" w:rsidR="00E92F0B" w:rsidRPr="000B07C3" w:rsidRDefault="00E92F0B" w:rsidP="00514011">
            <w:r>
              <w:rPr>
                <w:rFonts w:ascii="Calibri" w:hAnsi="Calibri" w:cs="Calibri"/>
                <w:color w:val="000000"/>
              </w:rPr>
              <w:t>0.49</w:t>
            </w:r>
          </w:p>
        </w:tc>
        <w:tc>
          <w:tcPr>
            <w:tcW w:w="960" w:type="dxa"/>
            <w:noWrap/>
            <w:vAlign w:val="bottom"/>
          </w:tcPr>
          <w:p w14:paraId="2AA12145" w14:textId="77777777" w:rsidR="00E92F0B" w:rsidRPr="000B07C3" w:rsidRDefault="00E92F0B" w:rsidP="00514011">
            <w:r>
              <w:rPr>
                <w:rFonts w:ascii="Calibri" w:hAnsi="Calibri" w:cs="Calibri"/>
                <w:color w:val="000000"/>
              </w:rPr>
              <w:t>0.49</w:t>
            </w:r>
          </w:p>
        </w:tc>
        <w:tc>
          <w:tcPr>
            <w:tcW w:w="960" w:type="dxa"/>
            <w:noWrap/>
            <w:vAlign w:val="bottom"/>
          </w:tcPr>
          <w:p w14:paraId="028619E7" w14:textId="77777777" w:rsidR="00E92F0B" w:rsidRPr="000B07C3" w:rsidRDefault="00E92F0B" w:rsidP="00514011">
            <w:r>
              <w:rPr>
                <w:rFonts w:ascii="Calibri" w:hAnsi="Calibri" w:cs="Calibri"/>
                <w:color w:val="000000"/>
              </w:rPr>
              <w:t>0.58</w:t>
            </w:r>
          </w:p>
        </w:tc>
        <w:tc>
          <w:tcPr>
            <w:tcW w:w="960" w:type="dxa"/>
            <w:noWrap/>
            <w:vAlign w:val="bottom"/>
          </w:tcPr>
          <w:p w14:paraId="6D9C717B" w14:textId="77777777" w:rsidR="00E92F0B" w:rsidRPr="000B07C3" w:rsidRDefault="00E92F0B" w:rsidP="00514011">
            <w:r>
              <w:rPr>
                <w:rFonts w:ascii="Calibri" w:hAnsi="Calibri" w:cs="Calibri"/>
                <w:color w:val="000000"/>
              </w:rPr>
              <w:t>-0.46</w:t>
            </w:r>
          </w:p>
        </w:tc>
        <w:tc>
          <w:tcPr>
            <w:tcW w:w="960" w:type="dxa"/>
            <w:noWrap/>
            <w:vAlign w:val="bottom"/>
          </w:tcPr>
          <w:p w14:paraId="25BA6F3A" w14:textId="77777777" w:rsidR="00E92F0B" w:rsidRPr="000B07C3" w:rsidRDefault="00E92F0B" w:rsidP="00514011">
            <w:r>
              <w:rPr>
                <w:rFonts w:ascii="Calibri" w:hAnsi="Calibri" w:cs="Calibri"/>
                <w:color w:val="000000"/>
              </w:rPr>
              <w:t>1.44</w:t>
            </w:r>
          </w:p>
        </w:tc>
        <w:tc>
          <w:tcPr>
            <w:tcW w:w="960" w:type="dxa"/>
            <w:noWrap/>
            <w:vAlign w:val="bottom"/>
          </w:tcPr>
          <w:p w14:paraId="7C49D211" w14:textId="77777777" w:rsidR="00E92F0B" w:rsidRPr="000B07C3" w:rsidRDefault="00E92F0B" w:rsidP="00514011">
            <w:r>
              <w:rPr>
                <w:rFonts w:ascii="Calibri" w:hAnsi="Calibri" w:cs="Calibri"/>
                <w:color w:val="000000"/>
              </w:rPr>
              <w:t>1.00</w:t>
            </w:r>
          </w:p>
        </w:tc>
        <w:tc>
          <w:tcPr>
            <w:tcW w:w="1008" w:type="dxa"/>
            <w:noWrap/>
            <w:vAlign w:val="bottom"/>
          </w:tcPr>
          <w:p w14:paraId="370CD9C0" w14:textId="77777777" w:rsidR="00E92F0B" w:rsidRPr="000B07C3" w:rsidRDefault="00E92F0B" w:rsidP="00514011">
            <w:r>
              <w:rPr>
                <w:rFonts w:ascii="Calibri" w:hAnsi="Calibri" w:cs="Calibri"/>
                <w:color w:val="000000"/>
              </w:rPr>
              <w:t>1260.66</w:t>
            </w:r>
          </w:p>
        </w:tc>
        <w:tc>
          <w:tcPr>
            <w:tcW w:w="960" w:type="dxa"/>
            <w:noWrap/>
            <w:vAlign w:val="bottom"/>
          </w:tcPr>
          <w:p w14:paraId="030A7318" w14:textId="77777777" w:rsidR="00E92F0B" w:rsidRPr="000B07C3" w:rsidRDefault="00E92F0B" w:rsidP="00514011">
            <w:pPr>
              <w:keepNext/>
            </w:pPr>
            <w:r>
              <w:rPr>
                <w:rFonts w:ascii="Calibri" w:hAnsi="Calibri" w:cs="Calibri"/>
                <w:color w:val="000000"/>
              </w:rPr>
              <w:t>2100.02</w:t>
            </w:r>
          </w:p>
        </w:tc>
      </w:tr>
      <w:tr w:rsidR="00E92F0B" w:rsidRPr="000B07C3" w14:paraId="369E0BF2" w14:textId="77777777" w:rsidTr="00514011">
        <w:trPr>
          <w:trHeight w:val="288"/>
        </w:trPr>
        <w:tc>
          <w:tcPr>
            <w:tcW w:w="1354" w:type="dxa"/>
            <w:noWrap/>
            <w:vAlign w:val="bottom"/>
          </w:tcPr>
          <w:p w14:paraId="43464C9F" w14:textId="77777777" w:rsidR="00E92F0B" w:rsidRPr="008727D0" w:rsidRDefault="00E92F0B" w:rsidP="00514011">
            <w:pPr>
              <w:rPr>
                <w:b/>
                <w:bCs/>
              </w:rPr>
            </w:pPr>
            <w:r w:rsidRPr="00514011">
              <w:rPr>
                <w:rFonts w:ascii="Calibri" w:hAnsi="Calibri" w:cs="Calibri"/>
                <w:b/>
                <w:bCs/>
                <w:color w:val="000000"/>
              </w:rPr>
              <w:t>DBH^2 x Drought</w:t>
            </w:r>
          </w:p>
        </w:tc>
        <w:tc>
          <w:tcPr>
            <w:tcW w:w="960" w:type="dxa"/>
            <w:noWrap/>
            <w:vAlign w:val="bottom"/>
          </w:tcPr>
          <w:p w14:paraId="7AF64D7E" w14:textId="77777777" w:rsidR="00E92F0B" w:rsidRPr="000B07C3" w:rsidRDefault="00E92F0B" w:rsidP="00514011">
            <w:r>
              <w:rPr>
                <w:rFonts w:ascii="Calibri" w:hAnsi="Calibri" w:cs="Calibri"/>
                <w:color w:val="000000"/>
              </w:rPr>
              <w:t>-0.19</w:t>
            </w:r>
          </w:p>
        </w:tc>
        <w:tc>
          <w:tcPr>
            <w:tcW w:w="960" w:type="dxa"/>
            <w:noWrap/>
            <w:vAlign w:val="bottom"/>
          </w:tcPr>
          <w:p w14:paraId="5607E3E4" w14:textId="77777777" w:rsidR="00E92F0B" w:rsidRPr="000B07C3" w:rsidRDefault="00E92F0B" w:rsidP="00514011">
            <w:r>
              <w:rPr>
                <w:rFonts w:ascii="Calibri" w:hAnsi="Calibri" w:cs="Calibri"/>
                <w:color w:val="000000"/>
              </w:rPr>
              <w:t>-0.18</w:t>
            </w:r>
          </w:p>
        </w:tc>
        <w:tc>
          <w:tcPr>
            <w:tcW w:w="960" w:type="dxa"/>
            <w:noWrap/>
            <w:vAlign w:val="bottom"/>
          </w:tcPr>
          <w:p w14:paraId="07BE8B42" w14:textId="77777777" w:rsidR="00E92F0B" w:rsidRPr="000B07C3" w:rsidRDefault="00E92F0B" w:rsidP="00514011">
            <w:r>
              <w:rPr>
                <w:rFonts w:ascii="Calibri" w:hAnsi="Calibri" w:cs="Calibri"/>
                <w:color w:val="000000"/>
              </w:rPr>
              <w:t>0.40</w:t>
            </w:r>
          </w:p>
        </w:tc>
        <w:tc>
          <w:tcPr>
            <w:tcW w:w="960" w:type="dxa"/>
            <w:noWrap/>
            <w:vAlign w:val="bottom"/>
          </w:tcPr>
          <w:p w14:paraId="33F105E5" w14:textId="77777777" w:rsidR="00E92F0B" w:rsidRPr="000B07C3" w:rsidRDefault="00E92F0B" w:rsidP="00514011">
            <w:r>
              <w:rPr>
                <w:rFonts w:ascii="Calibri" w:hAnsi="Calibri" w:cs="Calibri"/>
                <w:color w:val="000000"/>
              </w:rPr>
              <w:t>-0.85</w:t>
            </w:r>
          </w:p>
        </w:tc>
        <w:tc>
          <w:tcPr>
            <w:tcW w:w="960" w:type="dxa"/>
            <w:noWrap/>
            <w:vAlign w:val="bottom"/>
          </w:tcPr>
          <w:p w14:paraId="407BEE65" w14:textId="77777777" w:rsidR="00E92F0B" w:rsidRPr="000B07C3" w:rsidRDefault="00E92F0B" w:rsidP="00514011">
            <w:r>
              <w:rPr>
                <w:rFonts w:ascii="Calibri" w:hAnsi="Calibri" w:cs="Calibri"/>
                <w:color w:val="000000"/>
              </w:rPr>
              <w:t>0.48</w:t>
            </w:r>
          </w:p>
        </w:tc>
        <w:tc>
          <w:tcPr>
            <w:tcW w:w="960" w:type="dxa"/>
            <w:noWrap/>
            <w:vAlign w:val="bottom"/>
          </w:tcPr>
          <w:p w14:paraId="6D75681D" w14:textId="77777777" w:rsidR="00E92F0B" w:rsidRPr="000B07C3" w:rsidRDefault="00E92F0B" w:rsidP="00514011">
            <w:r>
              <w:rPr>
                <w:rFonts w:ascii="Calibri" w:hAnsi="Calibri" w:cs="Calibri"/>
                <w:color w:val="000000"/>
              </w:rPr>
              <w:t>1.00</w:t>
            </w:r>
          </w:p>
        </w:tc>
        <w:tc>
          <w:tcPr>
            <w:tcW w:w="1008" w:type="dxa"/>
            <w:noWrap/>
            <w:vAlign w:val="bottom"/>
          </w:tcPr>
          <w:p w14:paraId="4C280F0E" w14:textId="77777777" w:rsidR="00E92F0B" w:rsidRPr="000B07C3" w:rsidRDefault="00E92F0B" w:rsidP="00514011">
            <w:r>
              <w:rPr>
                <w:rFonts w:ascii="Calibri" w:hAnsi="Calibri" w:cs="Calibri"/>
                <w:color w:val="000000"/>
              </w:rPr>
              <w:t>1394.84</w:t>
            </w:r>
          </w:p>
        </w:tc>
        <w:tc>
          <w:tcPr>
            <w:tcW w:w="960" w:type="dxa"/>
            <w:noWrap/>
            <w:vAlign w:val="bottom"/>
          </w:tcPr>
          <w:p w14:paraId="37D662EE" w14:textId="77777777" w:rsidR="00E92F0B" w:rsidRPr="000B07C3" w:rsidRDefault="00E92F0B" w:rsidP="00514011">
            <w:pPr>
              <w:keepNext/>
            </w:pPr>
            <w:r>
              <w:rPr>
                <w:rFonts w:ascii="Calibri" w:hAnsi="Calibri" w:cs="Calibri"/>
                <w:color w:val="000000"/>
              </w:rPr>
              <w:t>2170.48</w:t>
            </w:r>
          </w:p>
        </w:tc>
      </w:tr>
      <w:tr w:rsidR="00E92F0B" w:rsidRPr="000B07C3" w14:paraId="5ED4A0EA" w14:textId="77777777" w:rsidTr="00514011">
        <w:trPr>
          <w:trHeight w:val="288"/>
        </w:trPr>
        <w:tc>
          <w:tcPr>
            <w:tcW w:w="1354" w:type="dxa"/>
            <w:noWrap/>
            <w:vAlign w:val="bottom"/>
          </w:tcPr>
          <w:p w14:paraId="683D0154" w14:textId="77777777" w:rsidR="00E92F0B" w:rsidRPr="008727D0" w:rsidRDefault="00E92F0B" w:rsidP="00514011">
            <w:pPr>
              <w:rPr>
                <w:b/>
                <w:bCs/>
              </w:rPr>
            </w:pPr>
            <w:r w:rsidRPr="00514011">
              <w:rPr>
                <w:rFonts w:ascii="Calibri" w:hAnsi="Calibri" w:cs="Calibri"/>
                <w:b/>
                <w:bCs/>
                <w:color w:val="000000"/>
              </w:rPr>
              <w:t>DBH x Dryness</w:t>
            </w:r>
          </w:p>
        </w:tc>
        <w:tc>
          <w:tcPr>
            <w:tcW w:w="960" w:type="dxa"/>
            <w:noWrap/>
            <w:vAlign w:val="bottom"/>
          </w:tcPr>
          <w:p w14:paraId="0768D91F" w14:textId="77777777" w:rsidR="00E92F0B" w:rsidRPr="000B07C3" w:rsidRDefault="00E92F0B" w:rsidP="00514011">
            <w:r>
              <w:rPr>
                <w:rFonts w:ascii="Calibri" w:hAnsi="Calibri" w:cs="Calibri"/>
                <w:color w:val="000000"/>
              </w:rPr>
              <w:t>0.60</w:t>
            </w:r>
          </w:p>
        </w:tc>
        <w:tc>
          <w:tcPr>
            <w:tcW w:w="960" w:type="dxa"/>
            <w:noWrap/>
            <w:vAlign w:val="bottom"/>
          </w:tcPr>
          <w:p w14:paraId="5C5E396D" w14:textId="77777777" w:rsidR="00E92F0B" w:rsidRPr="000B07C3" w:rsidRDefault="00E92F0B" w:rsidP="00514011">
            <w:r>
              <w:rPr>
                <w:rFonts w:ascii="Calibri" w:hAnsi="Calibri" w:cs="Calibri"/>
                <w:color w:val="000000"/>
              </w:rPr>
              <w:t>0.61</w:t>
            </w:r>
          </w:p>
        </w:tc>
        <w:tc>
          <w:tcPr>
            <w:tcW w:w="960" w:type="dxa"/>
            <w:noWrap/>
            <w:vAlign w:val="bottom"/>
          </w:tcPr>
          <w:p w14:paraId="25CDE929" w14:textId="77777777" w:rsidR="00E92F0B" w:rsidRPr="000B07C3" w:rsidRDefault="00E92F0B" w:rsidP="00514011">
            <w:r>
              <w:rPr>
                <w:rFonts w:ascii="Calibri" w:hAnsi="Calibri" w:cs="Calibri"/>
                <w:color w:val="000000"/>
              </w:rPr>
              <w:t>0.67</w:t>
            </w:r>
          </w:p>
        </w:tc>
        <w:tc>
          <w:tcPr>
            <w:tcW w:w="960" w:type="dxa"/>
            <w:noWrap/>
            <w:vAlign w:val="bottom"/>
          </w:tcPr>
          <w:p w14:paraId="67768636" w14:textId="77777777" w:rsidR="00E92F0B" w:rsidRPr="000B07C3" w:rsidRDefault="00E92F0B" w:rsidP="00514011">
            <w:r>
              <w:rPr>
                <w:rFonts w:ascii="Calibri" w:hAnsi="Calibri" w:cs="Calibri"/>
                <w:color w:val="000000"/>
              </w:rPr>
              <w:t>-0.53</w:t>
            </w:r>
          </w:p>
        </w:tc>
        <w:tc>
          <w:tcPr>
            <w:tcW w:w="960" w:type="dxa"/>
            <w:noWrap/>
            <w:vAlign w:val="bottom"/>
          </w:tcPr>
          <w:p w14:paraId="4907A7EC" w14:textId="77777777" w:rsidR="00E92F0B" w:rsidRPr="000B07C3" w:rsidRDefault="00E92F0B" w:rsidP="00514011">
            <w:r>
              <w:rPr>
                <w:rFonts w:ascii="Calibri" w:hAnsi="Calibri" w:cs="Calibri"/>
                <w:color w:val="000000"/>
              </w:rPr>
              <w:t>1.69</w:t>
            </w:r>
          </w:p>
        </w:tc>
        <w:tc>
          <w:tcPr>
            <w:tcW w:w="960" w:type="dxa"/>
            <w:noWrap/>
            <w:vAlign w:val="bottom"/>
          </w:tcPr>
          <w:p w14:paraId="45C1EE90" w14:textId="77777777" w:rsidR="00E92F0B" w:rsidRPr="000B07C3" w:rsidRDefault="00E92F0B" w:rsidP="00514011">
            <w:r>
              <w:rPr>
                <w:rFonts w:ascii="Calibri" w:hAnsi="Calibri" w:cs="Calibri"/>
                <w:color w:val="000000"/>
              </w:rPr>
              <w:t>1.00</w:t>
            </w:r>
          </w:p>
        </w:tc>
        <w:tc>
          <w:tcPr>
            <w:tcW w:w="1008" w:type="dxa"/>
            <w:noWrap/>
            <w:vAlign w:val="bottom"/>
          </w:tcPr>
          <w:p w14:paraId="3BE9DE62" w14:textId="77777777" w:rsidR="00E92F0B" w:rsidRPr="000B07C3" w:rsidRDefault="00E92F0B" w:rsidP="00514011">
            <w:r>
              <w:rPr>
                <w:rFonts w:ascii="Calibri" w:hAnsi="Calibri" w:cs="Calibri"/>
                <w:color w:val="000000"/>
              </w:rPr>
              <w:t>1202.08</w:t>
            </w:r>
          </w:p>
        </w:tc>
        <w:tc>
          <w:tcPr>
            <w:tcW w:w="960" w:type="dxa"/>
            <w:noWrap/>
            <w:vAlign w:val="bottom"/>
          </w:tcPr>
          <w:p w14:paraId="160527CD" w14:textId="77777777" w:rsidR="00E92F0B" w:rsidRPr="000B07C3" w:rsidRDefault="00E92F0B" w:rsidP="00514011">
            <w:pPr>
              <w:keepNext/>
            </w:pPr>
            <w:r>
              <w:rPr>
                <w:rFonts w:ascii="Calibri" w:hAnsi="Calibri" w:cs="Calibri"/>
                <w:color w:val="000000"/>
              </w:rPr>
              <w:t>2221.01</w:t>
            </w:r>
          </w:p>
        </w:tc>
      </w:tr>
      <w:tr w:rsidR="00E92F0B" w:rsidRPr="000B07C3" w14:paraId="40131B53" w14:textId="77777777" w:rsidTr="00514011">
        <w:trPr>
          <w:trHeight w:val="288"/>
        </w:trPr>
        <w:tc>
          <w:tcPr>
            <w:tcW w:w="1354" w:type="dxa"/>
            <w:noWrap/>
            <w:vAlign w:val="bottom"/>
          </w:tcPr>
          <w:p w14:paraId="1E2E08C0" w14:textId="77777777" w:rsidR="00E92F0B" w:rsidRPr="008727D0" w:rsidRDefault="00E92F0B" w:rsidP="00514011">
            <w:pPr>
              <w:rPr>
                <w:b/>
                <w:bCs/>
              </w:rPr>
            </w:pPr>
            <w:r w:rsidRPr="00514011">
              <w:rPr>
                <w:rFonts w:ascii="Calibri" w:hAnsi="Calibri" w:cs="Calibri"/>
                <w:b/>
                <w:bCs/>
                <w:color w:val="000000"/>
              </w:rPr>
              <w:t>DBH^2 x Dryness</w:t>
            </w:r>
          </w:p>
        </w:tc>
        <w:tc>
          <w:tcPr>
            <w:tcW w:w="960" w:type="dxa"/>
            <w:noWrap/>
            <w:vAlign w:val="bottom"/>
          </w:tcPr>
          <w:p w14:paraId="67127C1F" w14:textId="77777777" w:rsidR="00E92F0B" w:rsidRPr="000B07C3" w:rsidRDefault="00E92F0B" w:rsidP="00514011">
            <w:r>
              <w:rPr>
                <w:rFonts w:ascii="Calibri" w:hAnsi="Calibri" w:cs="Calibri"/>
                <w:color w:val="000000"/>
              </w:rPr>
              <w:t>-0.56</w:t>
            </w:r>
          </w:p>
        </w:tc>
        <w:tc>
          <w:tcPr>
            <w:tcW w:w="960" w:type="dxa"/>
            <w:noWrap/>
            <w:vAlign w:val="bottom"/>
          </w:tcPr>
          <w:p w14:paraId="4B30B150" w14:textId="77777777" w:rsidR="00E92F0B" w:rsidRPr="000B07C3" w:rsidRDefault="00E92F0B" w:rsidP="00514011">
            <w:r>
              <w:rPr>
                <w:rFonts w:ascii="Calibri" w:hAnsi="Calibri" w:cs="Calibri"/>
                <w:color w:val="000000"/>
              </w:rPr>
              <w:t>-0.57</w:t>
            </w:r>
          </w:p>
        </w:tc>
        <w:tc>
          <w:tcPr>
            <w:tcW w:w="960" w:type="dxa"/>
            <w:noWrap/>
            <w:vAlign w:val="bottom"/>
          </w:tcPr>
          <w:p w14:paraId="260F342A" w14:textId="77777777" w:rsidR="00E92F0B" w:rsidRPr="000B07C3" w:rsidRDefault="00E92F0B" w:rsidP="00514011">
            <w:r>
              <w:rPr>
                <w:rFonts w:ascii="Calibri" w:hAnsi="Calibri" w:cs="Calibri"/>
                <w:color w:val="000000"/>
              </w:rPr>
              <w:t>0.46</w:t>
            </w:r>
          </w:p>
        </w:tc>
        <w:tc>
          <w:tcPr>
            <w:tcW w:w="960" w:type="dxa"/>
            <w:noWrap/>
            <w:vAlign w:val="bottom"/>
          </w:tcPr>
          <w:p w14:paraId="3050EA87" w14:textId="77777777" w:rsidR="00E92F0B" w:rsidRPr="000B07C3" w:rsidRDefault="00E92F0B" w:rsidP="00514011">
            <w:r>
              <w:rPr>
                <w:rFonts w:ascii="Calibri" w:hAnsi="Calibri" w:cs="Calibri"/>
                <w:color w:val="000000"/>
              </w:rPr>
              <w:t>-1.31</w:t>
            </w:r>
          </w:p>
        </w:tc>
        <w:tc>
          <w:tcPr>
            <w:tcW w:w="960" w:type="dxa"/>
            <w:noWrap/>
            <w:vAlign w:val="bottom"/>
          </w:tcPr>
          <w:p w14:paraId="2B420A85" w14:textId="77777777" w:rsidR="00E92F0B" w:rsidRPr="000B07C3" w:rsidRDefault="00E92F0B" w:rsidP="00514011">
            <w:r>
              <w:rPr>
                <w:rFonts w:ascii="Calibri" w:hAnsi="Calibri" w:cs="Calibri"/>
                <w:color w:val="000000"/>
              </w:rPr>
              <w:t>0.20</w:t>
            </w:r>
          </w:p>
        </w:tc>
        <w:tc>
          <w:tcPr>
            <w:tcW w:w="960" w:type="dxa"/>
            <w:noWrap/>
            <w:vAlign w:val="bottom"/>
          </w:tcPr>
          <w:p w14:paraId="1F9A631D" w14:textId="77777777" w:rsidR="00E92F0B" w:rsidRPr="000B07C3" w:rsidRDefault="00E92F0B" w:rsidP="00514011">
            <w:r>
              <w:rPr>
                <w:rFonts w:ascii="Calibri" w:hAnsi="Calibri" w:cs="Calibri"/>
                <w:color w:val="000000"/>
              </w:rPr>
              <w:t>1.00</w:t>
            </w:r>
          </w:p>
        </w:tc>
        <w:tc>
          <w:tcPr>
            <w:tcW w:w="1008" w:type="dxa"/>
            <w:noWrap/>
            <w:vAlign w:val="bottom"/>
          </w:tcPr>
          <w:p w14:paraId="00D91E5D" w14:textId="77777777" w:rsidR="00E92F0B" w:rsidRPr="000B07C3" w:rsidRDefault="00E92F0B" w:rsidP="00514011">
            <w:r>
              <w:rPr>
                <w:rFonts w:ascii="Calibri" w:hAnsi="Calibri" w:cs="Calibri"/>
                <w:color w:val="000000"/>
              </w:rPr>
              <w:t>1280.66</w:t>
            </w:r>
          </w:p>
        </w:tc>
        <w:tc>
          <w:tcPr>
            <w:tcW w:w="960" w:type="dxa"/>
            <w:noWrap/>
            <w:vAlign w:val="bottom"/>
          </w:tcPr>
          <w:p w14:paraId="246E8C8F" w14:textId="77777777" w:rsidR="00E92F0B" w:rsidRPr="000B07C3" w:rsidRDefault="00E92F0B" w:rsidP="00514011">
            <w:pPr>
              <w:keepNext/>
            </w:pPr>
            <w:r>
              <w:rPr>
                <w:rFonts w:ascii="Calibri" w:hAnsi="Calibri" w:cs="Calibri"/>
                <w:color w:val="000000"/>
              </w:rPr>
              <w:t>2221.16</w:t>
            </w:r>
          </w:p>
        </w:tc>
      </w:tr>
      <w:tr w:rsidR="00E92F0B" w:rsidRPr="000B07C3" w14:paraId="7AD5D262" w14:textId="77777777" w:rsidTr="00514011">
        <w:trPr>
          <w:trHeight w:val="288"/>
        </w:trPr>
        <w:tc>
          <w:tcPr>
            <w:tcW w:w="1354" w:type="dxa"/>
            <w:noWrap/>
            <w:vAlign w:val="bottom"/>
          </w:tcPr>
          <w:p w14:paraId="380C082C" w14:textId="77777777" w:rsidR="00E92F0B" w:rsidRPr="008727D0" w:rsidRDefault="00E92F0B" w:rsidP="00514011">
            <w:pPr>
              <w:rPr>
                <w:b/>
                <w:bCs/>
              </w:rPr>
            </w:pPr>
            <w:r w:rsidRPr="00514011">
              <w:rPr>
                <w:rFonts w:ascii="Calibri" w:hAnsi="Calibri" w:cs="Calibri"/>
                <w:b/>
                <w:bCs/>
                <w:color w:val="000000"/>
              </w:rPr>
              <w:t>SD Plots</w:t>
            </w:r>
          </w:p>
        </w:tc>
        <w:tc>
          <w:tcPr>
            <w:tcW w:w="960" w:type="dxa"/>
            <w:noWrap/>
            <w:vAlign w:val="bottom"/>
          </w:tcPr>
          <w:p w14:paraId="40A24704" w14:textId="77777777" w:rsidR="00E92F0B" w:rsidRPr="000B07C3" w:rsidRDefault="00E92F0B" w:rsidP="00514011">
            <w:r>
              <w:rPr>
                <w:rFonts w:ascii="Calibri" w:hAnsi="Calibri" w:cs="Calibri"/>
                <w:color w:val="000000"/>
              </w:rPr>
              <w:t>2.04</w:t>
            </w:r>
          </w:p>
        </w:tc>
        <w:tc>
          <w:tcPr>
            <w:tcW w:w="960" w:type="dxa"/>
            <w:noWrap/>
            <w:vAlign w:val="bottom"/>
          </w:tcPr>
          <w:p w14:paraId="2C8B45C9" w14:textId="77777777" w:rsidR="00E92F0B" w:rsidRPr="000B07C3" w:rsidRDefault="00E92F0B" w:rsidP="00514011">
            <w:r>
              <w:rPr>
                <w:rFonts w:ascii="Calibri" w:hAnsi="Calibri" w:cs="Calibri"/>
                <w:color w:val="000000"/>
              </w:rPr>
              <w:t>2.03</w:t>
            </w:r>
          </w:p>
        </w:tc>
        <w:tc>
          <w:tcPr>
            <w:tcW w:w="960" w:type="dxa"/>
            <w:noWrap/>
            <w:vAlign w:val="bottom"/>
          </w:tcPr>
          <w:p w14:paraId="760107FB" w14:textId="77777777" w:rsidR="00E92F0B" w:rsidRPr="000B07C3" w:rsidRDefault="00E92F0B" w:rsidP="00514011">
            <w:r>
              <w:rPr>
                <w:rFonts w:ascii="Calibri" w:hAnsi="Calibri" w:cs="Calibri"/>
                <w:color w:val="000000"/>
              </w:rPr>
              <w:t>0.16</w:t>
            </w:r>
          </w:p>
        </w:tc>
        <w:tc>
          <w:tcPr>
            <w:tcW w:w="960" w:type="dxa"/>
            <w:noWrap/>
            <w:vAlign w:val="bottom"/>
          </w:tcPr>
          <w:p w14:paraId="209C31D4" w14:textId="77777777" w:rsidR="00E92F0B" w:rsidRPr="000B07C3" w:rsidRDefault="00E92F0B" w:rsidP="00514011">
            <w:r>
              <w:rPr>
                <w:rFonts w:ascii="Calibri" w:hAnsi="Calibri" w:cs="Calibri"/>
                <w:color w:val="000000"/>
              </w:rPr>
              <w:t>1.79</w:t>
            </w:r>
          </w:p>
        </w:tc>
        <w:tc>
          <w:tcPr>
            <w:tcW w:w="960" w:type="dxa"/>
            <w:noWrap/>
            <w:vAlign w:val="bottom"/>
          </w:tcPr>
          <w:p w14:paraId="23305F6B" w14:textId="77777777" w:rsidR="00E92F0B" w:rsidRPr="000B07C3" w:rsidRDefault="00E92F0B" w:rsidP="00514011">
            <w:r>
              <w:rPr>
                <w:rFonts w:ascii="Calibri" w:hAnsi="Calibri" w:cs="Calibri"/>
                <w:color w:val="000000"/>
              </w:rPr>
              <w:t>2.32</w:t>
            </w:r>
          </w:p>
        </w:tc>
        <w:tc>
          <w:tcPr>
            <w:tcW w:w="960" w:type="dxa"/>
            <w:noWrap/>
            <w:vAlign w:val="bottom"/>
          </w:tcPr>
          <w:p w14:paraId="11C957B4" w14:textId="77777777" w:rsidR="00E92F0B" w:rsidRPr="000B07C3" w:rsidRDefault="00E92F0B" w:rsidP="00514011">
            <w:r>
              <w:rPr>
                <w:rFonts w:ascii="Calibri" w:hAnsi="Calibri" w:cs="Calibri"/>
                <w:color w:val="000000"/>
              </w:rPr>
              <w:t>1.00</w:t>
            </w:r>
          </w:p>
        </w:tc>
        <w:tc>
          <w:tcPr>
            <w:tcW w:w="1008" w:type="dxa"/>
            <w:noWrap/>
            <w:vAlign w:val="bottom"/>
          </w:tcPr>
          <w:p w14:paraId="743640F8" w14:textId="77777777" w:rsidR="00E92F0B" w:rsidRPr="000B07C3" w:rsidRDefault="00E92F0B" w:rsidP="00514011">
            <w:r>
              <w:rPr>
                <w:rFonts w:ascii="Calibri" w:hAnsi="Calibri" w:cs="Calibri"/>
                <w:color w:val="000000"/>
              </w:rPr>
              <w:t>1120.85</w:t>
            </w:r>
          </w:p>
        </w:tc>
        <w:tc>
          <w:tcPr>
            <w:tcW w:w="960" w:type="dxa"/>
            <w:noWrap/>
            <w:vAlign w:val="bottom"/>
          </w:tcPr>
          <w:p w14:paraId="60676D37" w14:textId="77777777" w:rsidR="00E92F0B" w:rsidRPr="000B07C3" w:rsidRDefault="00E92F0B" w:rsidP="00514011">
            <w:pPr>
              <w:keepNext/>
            </w:pPr>
            <w:r>
              <w:rPr>
                <w:rFonts w:ascii="Calibri" w:hAnsi="Calibri" w:cs="Calibri"/>
                <w:color w:val="000000"/>
              </w:rPr>
              <w:t>2021.54</w:t>
            </w:r>
          </w:p>
        </w:tc>
      </w:tr>
      <w:tr w:rsidR="00E92F0B" w:rsidRPr="000B07C3" w14:paraId="33BBCC22" w14:textId="77777777" w:rsidTr="00514011">
        <w:trPr>
          <w:trHeight w:val="288"/>
        </w:trPr>
        <w:tc>
          <w:tcPr>
            <w:tcW w:w="1354" w:type="dxa"/>
            <w:noWrap/>
            <w:vAlign w:val="bottom"/>
          </w:tcPr>
          <w:p w14:paraId="77F50005" w14:textId="77777777" w:rsidR="00E92F0B" w:rsidRPr="008727D0" w:rsidRDefault="00E92F0B" w:rsidP="00514011">
            <w:pPr>
              <w:rPr>
                <w:b/>
                <w:bCs/>
              </w:rPr>
            </w:pPr>
            <w:r w:rsidRPr="00514011">
              <w:rPr>
                <w:rFonts w:ascii="Calibri" w:hAnsi="Calibri" w:cs="Calibri"/>
                <w:b/>
                <w:bCs/>
                <w:color w:val="000000"/>
              </w:rPr>
              <w:t>SD Ecoregions</w:t>
            </w:r>
          </w:p>
        </w:tc>
        <w:tc>
          <w:tcPr>
            <w:tcW w:w="960" w:type="dxa"/>
            <w:noWrap/>
            <w:vAlign w:val="bottom"/>
          </w:tcPr>
          <w:p w14:paraId="0D0EBAED" w14:textId="77777777" w:rsidR="00E92F0B" w:rsidRPr="000B07C3" w:rsidRDefault="00E92F0B" w:rsidP="00514011">
            <w:r>
              <w:rPr>
                <w:rFonts w:ascii="Calibri" w:hAnsi="Calibri" w:cs="Calibri"/>
                <w:color w:val="000000"/>
              </w:rPr>
              <w:t>0.27</w:t>
            </w:r>
          </w:p>
        </w:tc>
        <w:tc>
          <w:tcPr>
            <w:tcW w:w="960" w:type="dxa"/>
            <w:noWrap/>
            <w:vAlign w:val="bottom"/>
          </w:tcPr>
          <w:p w14:paraId="0925DA5C" w14:textId="77777777" w:rsidR="00E92F0B" w:rsidRPr="000B07C3" w:rsidRDefault="00E92F0B" w:rsidP="00514011">
            <w:r>
              <w:rPr>
                <w:rFonts w:ascii="Calibri" w:hAnsi="Calibri" w:cs="Calibri"/>
                <w:color w:val="000000"/>
              </w:rPr>
              <w:t>0.25</w:t>
            </w:r>
          </w:p>
        </w:tc>
        <w:tc>
          <w:tcPr>
            <w:tcW w:w="960" w:type="dxa"/>
            <w:noWrap/>
            <w:vAlign w:val="bottom"/>
          </w:tcPr>
          <w:p w14:paraId="0C36C11C" w14:textId="77777777" w:rsidR="00E92F0B" w:rsidRPr="000B07C3" w:rsidRDefault="00E92F0B" w:rsidP="00514011">
            <w:r>
              <w:rPr>
                <w:rFonts w:ascii="Calibri" w:hAnsi="Calibri" w:cs="Calibri"/>
                <w:color w:val="000000"/>
              </w:rPr>
              <w:t>0.17</w:t>
            </w:r>
          </w:p>
        </w:tc>
        <w:tc>
          <w:tcPr>
            <w:tcW w:w="960" w:type="dxa"/>
            <w:noWrap/>
            <w:vAlign w:val="bottom"/>
          </w:tcPr>
          <w:p w14:paraId="2B9AFFCD" w14:textId="77777777" w:rsidR="00E92F0B" w:rsidRPr="000B07C3" w:rsidRDefault="00E92F0B" w:rsidP="00514011">
            <w:r>
              <w:rPr>
                <w:rFonts w:ascii="Calibri" w:hAnsi="Calibri" w:cs="Calibri"/>
                <w:color w:val="000000"/>
              </w:rPr>
              <w:t>0.02</w:t>
            </w:r>
          </w:p>
        </w:tc>
        <w:tc>
          <w:tcPr>
            <w:tcW w:w="960" w:type="dxa"/>
            <w:noWrap/>
            <w:vAlign w:val="bottom"/>
          </w:tcPr>
          <w:p w14:paraId="745430E3" w14:textId="77777777" w:rsidR="00E92F0B" w:rsidRPr="000B07C3" w:rsidRDefault="00E92F0B" w:rsidP="00514011">
            <w:r>
              <w:rPr>
                <w:rFonts w:ascii="Calibri" w:hAnsi="Calibri" w:cs="Calibri"/>
                <w:color w:val="000000"/>
              </w:rPr>
              <w:t>0.57</w:t>
            </w:r>
          </w:p>
        </w:tc>
        <w:tc>
          <w:tcPr>
            <w:tcW w:w="960" w:type="dxa"/>
            <w:noWrap/>
            <w:vAlign w:val="bottom"/>
          </w:tcPr>
          <w:p w14:paraId="5CE4775D" w14:textId="77777777" w:rsidR="00E92F0B" w:rsidRPr="000B07C3" w:rsidRDefault="00E92F0B" w:rsidP="00514011">
            <w:r>
              <w:rPr>
                <w:rFonts w:ascii="Calibri" w:hAnsi="Calibri" w:cs="Calibri"/>
                <w:color w:val="000000"/>
              </w:rPr>
              <w:t>1.02</w:t>
            </w:r>
          </w:p>
        </w:tc>
        <w:tc>
          <w:tcPr>
            <w:tcW w:w="1008" w:type="dxa"/>
            <w:noWrap/>
            <w:vAlign w:val="bottom"/>
          </w:tcPr>
          <w:p w14:paraId="43C41136" w14:textId="77777777" w:rsidR="00E92F0B" w:rsidRPr="000B07C3" w:rsidRDefault="00E92F0B" w:rsidP="00514011">
            <w:r>
              <w:rPr>
                <w:rFonts w:ascii="Calibri" w:hAnsi="Calibri" w:cs="Calibri"/>
                <w:color w:val="000000"/>
              </w:rPr>
              <w:t>317.97</w:t>
            </w:r>
          </w:p>
        </w:tc>
        <w:tc>
          <w:tcPr>
            <w:tcW w:w="960" w:type="dxa"/>
            <w:noWrap/>
            <w:vAlign w:val="bottom"/>
          </w:tcPr>
          <w:p w14:paraId="53D52A12" w14:textId="77777777" w:rsidR="00E92F0B" w:rsidRPr="000B07C3" w:rsidRDefault="00E92F0B" w:rsidP="00514011">
            <w:pPr>
              <w:keepNext/>
            </w:pPr>
            <w:r>
              <w:rPr>
                <w:rFonts w:ascii="Calibri" w:hAnsi="Calibri" w:cs="Calibri"/>
                <w:color w:val="000000"/>
              </w:rPr>
              <w:t>977.47</w:t>
            </w:r>
          </w:p>
        </w:tc>
      </w:tr>
    </w:tbl>
    <w:p w14:paraId="4692F4CA" w14:textId="668F78C4" w:rsidR="00E92F0B" w:rsidRDefault="00245CBF" w:rsidP="00245CBF">
      <w:pPr>
        <w:pStyle w:val="Caption"/>
      </w:pPr>
      <w:bookmarkStart w:id="74" w:name="_Ref104545123"/>
      <w:r>
        <w:t xml:space="preserve">Table </w:t>
      </w:r>
      <w:fldSimple w:instr=" SEQ Table \* ARABIC ">
        <w:r>
          <w:rPr>
            <w:noProof/>
          </w:rPr>
          <w:t>1</w:t>
        </w:r>
      </w:fldSimple>
      <w:bookmarkEnd w:id="74"/>
      <w:r>
        <w:t>:</w:t>
      </w:r>
      <w:r w:rsidR="00E92F0B">
        <w:t>Summary of results for survival sub model, giving the mean, median, standard deviation, 5</w:t>
      </w:r>
      <w:r w:rsidR="00E92F0B" w:rsidRPr="00362541">
        <w:rPr>
          <w:vertAlign w:val="superscript"/>
        </w:rPr>
        <w:t>th</w:t>
      </w:r>
      <w:r w:rsidR="00E92F0B">
        <w:t xml:space="preserve"> percentile, and 95</w:t>
      </w:r>
      <w:r w:rsidR="00E92F0B" w:rsidRPr="00362541">
        <w:rPr>
          <w:vertAlign w:val="superscript"/>
        </w:rPr>
        <w:t>th</w:t>
      </w:r>
      <w:r w:rsidR="00E92F0B">
        <w:t xml:space="preserve"> percentile of posterior samples for each parameter, plus diagnostics R-hat, effective sample size (bulk), and effective sample size (tail).</w:t>
      </w:r>
    </w:p>
    <w:p w14:paraId="323F3779" w14:textId="77777777" w:rsidR="00245CBF" w:rsidRDefault="00245CBF">
      <w:r>
        <w:br w:type="page"/>
      </w:r>
    </w:p>
    <w:tbl>
      <w:tblPr>
        <w:tblStyle w:val="TableGrid"/>
        <w:tblW w:w="0" w:type="auto"/>
        <w:tblLook w:val="04A0" w:firstRow="1" w:lastRow="0" w:firstColumn="1" w:lastColumn="0" w:noHBand="0" w:noVBand="1"/>
      </w:tblPr>
      <w:tblGrid>
        <w:gridCol w:w="1533"/>
        <w:gridCol w:w="746"/>
        <w:gridCol w:w="1052"/>
        <w:gridCol w:w="822"/>
        <w:gridCol w:w="902"/>
        <w:gridCol w:w="902"/>
        <w:gridCol w:w="825"/>
        <w:gridCol w:w="1284"/>
        <w:gridCol w:w="1284"/>
      </w:tblGrid>
      <w:tr w:rsidR="004940F9" w:rsidRPr="00870621" w14:paraId="0A39E06B" w14:textId="77777777" w:rsidTr="004940F9">
        <w:trPr>
          <w:trHeight w:val="288"/>
        </w:trPr>
        <w:tc>
          <w:tcPr>
            <w:tcW w:w="1533" w:type="dxa"/>
            <w:noWrap/>
            <w:hideMark/>
          </w:tcPr>
          <w:p w14:paraId="3E3FEABC" w14:textId="77777777" w:rsidR="00245CBF" w:rsidRPr="00870621" w:rsidRDefault="00245CBF" w:rsidP="00514011">
            <w:pPr>
              <w:rPr>
                <w:b/>
                <w:bCs/>
              </w:rPr>
            </w:pPr>
            <w:r w:rsidRPr="00870621">
              <w:rPr>
                <w:b/>
                <w:bCs/>
              </w:rPr>
              <w:lastRenderedPageBreak/>
              <w:t>Parameter</w:t>
            </w:r>
          </w:p>
        </w:tc>
        <w:tc>
          <w:tcPr>
            <w:tcW w:w="739" w:type="dxa"/>
            <w:noWrap/>
            <w:hideMark/>
          </w:tcPr>
          <w:p w14:paraId="351CF69B" w14:textId="77777777" w:rsidR="00245CBF" w:rsidRPr="00870621" w:rsidRDefault="00245CBF" w:rsidP="00514011">
            <w:pPr>
              <w:rPr>
                <w:b/>
                <w:bCs/>
              </w:rPr>
            </w:pPr>
            <w:r w:rsidRPr="00870621">
              <w:rPr>
                <w:b/>
                <w:bCs/>
              </w:rPr>
              <w:t>Mean</w:t>
            </w:r>
          </w:p>
        </w:tc>
        <w:tc>
          <w:tcPr>
            <w:tcW w:w="1053" w:type="dxa"/>
            <w:noWrap/>
            <w:hideMark/>
          </w:tcPr>
          <w:p w14:paraId="332D56A6" w14:textId="77777777" w:rsidR="00245CBF" w:rsidRPr="00870621" w:rsidRDefault="00245CBF" w:rsidP="00514011">
            <w:pPr>
              <w:rPr>
                <w:b/>
                <w:bCs/>
              </w:rPr>
            </w:pPr>
            <w:r w:rsidRPr="00870621">
              <w:rPr>
                <w:b/>
                <w:bCs/>
              </w:rPr>
              <w:t>Median</w:t>
            </w:r>
          </w:p>
        </w:tc>
        <w:tc>
          <w:tcPr>
            <w:tcW w:w="823" w:type="dxa"/>
            <w:noWrap/>
            <w:hideMark/>
          </w:tcPr>
          <w:p w14:paraId="6D61FCF0" w14:textId="77777777" w:rsidR="00245CBF" w:rsidRPr="00870621" w:rsidRDefault="00245CBF" w:rsidP="00514011">
            <w:pPr>
              <w:rPr>
                <w:b/>
                <w:bCs/>
              </w:rPr>
            </w:pPr>
            <w:proofErr w:type="spellStart"/>
            <w:r w:rsidRPr="00870621">
              <w:rPr>
                <w:b/>
                <w:bCs/>
              </w:rPr>
              <w:t>StDev</w:t>
            </w:r>
            <w:proofErr w:type="spellEnd"/>
          </w:p>
        </w:tc>
        <w:tc>
          <w:tcPr>
            <w:tcW w:w="903" w:type="dxa"/>
            <w:noWrap/>
            <w:hideMark/>
          </w:tcPr>
          <w:p w14:paraId="63316CD6" w14:textId="77777777" w:rsidR="00245CBF" w:rsidRPr="00870621" w:rsidRDefault="00245CBF" w:rsidP="00514011">
            <w:pPr>
              <w:rPr>
                <w:b/>
                <w:bCs/>
              </w:rPr>
            </w:pPr>
            <w:r w:rsidRPr="00870621">
              <w:rPr>
                <w:b/>
                <w:bCs/>
              </w:rPr>
              <w:t>q5</w:t>
            </w:r>
          </w:p>
        </w:tc>
        <w:tc>
          <w:tcPr>
            <w:tcW w:w="903" w:type="dxa"/>
            <w:noWrap/>
            <w:hideMark/>
          </w:tcPr>
          <w:p w14:paraId="7A292C13" w14:textId="77777777" w:rsidR="00245CBF" w:rsidRPr="00870621" w:rsidRDefault="00245CBF" w:rsidP="00514011">
            <w:pPr>
              <w:rPr>
                <w:b/>
                <w:bCs/>
              </w:rPr>
            </w:pPr>
            <w:r w:rsidRPr="00870621">
              <w:rPr>
                <w:b/>
                <w:bCs/>
              </w:rPr>
              <w:t>q95</w:t>
            </w:r>
          </w:p>
        </w:tc>
        <w:tc>
          <w:tcPr>
            <w:tcW w:w="826" w:type="dxa"/>
            <w:noWrap/>
            <w:hideMark/>
          </w:tcPr>
          <w:p w14:paraId="188CC90B" w14:textId="77777777" w:rsidR="00245CBF" w:rsidRPr="00870621" w:rsidRDefault="00245CBF" w:rsidP="00514011">
            <w:pPr>
              <w:rPr>
                <w:b/>
                <w:bCs/>
              </w:rPr>
            </w:pPr>
            <w:proofErr w:type="spellStart"/>
            <w:r w:rsidRPr="00870621">
              <w:rPr>
                <w:b/>
                <w:bCs/>
              </w:rPr>
              <w:t>rhat</w:t>
            </w:r>
            <w:proofErr w:type="spellEnd"/>
          </w:p>
        </w:tc>
        <w:tc>
          <w:tcPr>
            <w:tcW w:w="1285" w:type="dxa"/>
            <w:noWrap/>
            <w:hideMark/>
          </w:tcPr>
          <w:p w14:paraId="6C097373" w14:textId="77777777" w:rsidR="00245CBF" w:rsidRPr="00870621" w:rsidRDefault="00245CBF" w:rsidP="00514011">
            <w:pPr>
              <w:rPr>
                <w:b/>
                <w:bCs/>
              </w:rPr>
            </w:pPr>
            <w:proofErr w:type="spellStart"/>
            <w:r w:rsidRPr="00870621">
              <w:rPr>
                <w:b/>
                <w:bCs/>
              </w:rPr>
              <w:t>ess_bulk</w:t>
            </w:r>
            <w:proofErr w:type="spellEnd"/>
          </w:p>
        </w:tc>
        <w:tc>
          <w:tcPr>
            <w:tcW w:w="1285" w:type="dxa"/>
            <w:noWrap/>
            <w:hideMark/>
          </w:tcPr>
          <w:p w14:paraId="419EF56B" w14:textId="77777777" w:rsidR="00245CBF" w:rsidRPr="00870621" w:rsidRDefault="00245CBF" w:rsidP="00514011">
            <w:pPr>
              <w:rPr>
                <w:b/>
                <w:bCs/>
              </w:rPr>
            </w:pPr>
            <w:proofErr w:type="spellStart"/>
            <w:r w:rsidRPr="00870621">
              <w:rPr>
                <w:b/>
                <w:bCs/>
              </w:rPr>
              <w:t>ess_tail</w:t>
            </w:r>
            <w:proofErr w:type="spellEnd"/>
          </w:p>
        </w:tc>
      </w:tr>
      <w:tr w:rsidR="004940F9" w:rsidRPr="00870621" w14:paraId="07485478" w14:textId="77777777" w:rsidTr="004940F9">
        <w:trPr>
          <w:trHeight w:val="288"/>
        </w:trPr>
        <w:tc>
          <w:tcPr>
            <w:tcW w:w="1533" w:type="dxa"/>
            <w:noWrap/>
            <w:hideMark/>
          </w:tcPr>
          <w:p w14:paraId="6963147A" w14:textId="77777777" w:rsidR="00245CBF" w:rsidRPr="00870621" w:rsidRDefault="00245CBF" w:rsidP="00514011">
            <w:pPr>
              <w:rPr>
                <w:b/>
                <w:bCs/>
              </w:rPr>
            </w:pPr>
            <w:r w:rsidRPr="00870621">
              <w:rPr>
                <w:b/>
                <w:bCs/>
              </w:rPr>
              <w:t>Intercept</w:t>
            </w:r>
          </w:p>
        </w:tc>
        <w:tc>
          <w:tcPr>
            <w:tcW w:w="739" w:type="dxa"/>
            <w:noWrap/>
            <w:vAlign w:val="bottom"/>
            <w:hideMark/>
          </w:tcPr>
          <w:p w14:paraId="19158196" w14:textId="77777777" w:rsidR="00245CBF" w:rsidRPr="00870621" w:rsidRDefault="00245CBF" w:rsidP="00514011">
            <w:r>
              <w:rPr>
                <w:rFonts w:ascii="Calibri" w:hAnsi="Calibri" w:cs="Calibri"/>
                <w:color w:val="000000"/>
              </w:rPr>
              <w:t>0.038</w:t>
            </w:r>
          </w:p>
        </w:tc>
        <w:tc>
          <w:tcPr>
            <w:tcW w:w="1053" w:type="dxa"/>
            <w:noWrap/>
            <w:vAlign w:val="bottom"/>
            <w:hideMark/>
          </w:tcPr>
          <w:p w14:paraId="6919153B" w14:textId="77777777" w:rsidR="00245CBF" w:rsidRPr="00870621" w:rsidRDefault="00245CBF" w:rsidP="00514011">
            <w:r>
              <w:rPr>
                <w:rFonts w:ascii="Calibri" w:hAnsi="Calibri" w:cs="Calibri"/>
                <w:color w:val="000000"/>
              </w:rPr>
              <w:t>0.038</w:t>
            </w:r>
          </w:p>
        </w:tc>
        <w:tc>
          <w:tcPr>
            <w:tcW w:w="823" w:type="dxa"/>
            <w:noWrap/>
            <w:vAlign w:val="bottom"/>
            <w:hideMark/>
          </w:tcPr>
          <w:p w14:paraId="02506C0D" w14:textId="77777777" w:rsidR="00245CBF" w:rsidRPr="00870621" w:rsidRDefault="00245CBF" w:rsidP="00514011">
            <w:r>
              <w:rPr>
                <w:rFonts w:ascii="Calibri" w:hAnsi="Calibri" w:cs="Calibri"/>
                <w:color w:val="000000"/>
              </w:rPr>
              <w:t>0.002</w:t>
            </w:r>
          </w:p>
        </w:tc>
        <w:tc>
          <w:tcPr>
            <w:tcW w:w="903" w:type="dxa"/>
            <w:noWrap/>
            <w:vAlign w:val="bottom"/>
            <w:hideMark/>
          </w:tcPr>
          <w:p w14:paraId="624DEC9D" w14:textId="77777777" w:rsidR="00245CBF" w:rsidRPr="00870621" w:rsidRDefault="00245CBF" w:rsidP="00514011">
            <w:r>
              <w:rPr>
                <w:rFonts w:ascii="Calibri" w:hAnsi="Calibri" w:cs="Calibri"/>
                <w:color w:val="000000"/>
              </w:rPr>
              <w:t>0.034</w:t>
            </w:r>
          </w:p>
        </w:tc>
        <w:tc>
          <w:tcPr>
            <w:tcW w:w="903" w:type="dxa"/>
            <w:noWrap/>
            <w:vAlign w:val="bottom"/>
            <w:hideMark/>
          </w:tcPr>
          <w:p w14:paraId="627B1E39" w14:textId="77777777" w:rsidR="00245CBF" w:rsidRPr="00870621" w:rsidRDefault="00245CBF" w:rsidP="00514011">
            <w:r>
              <w:rPr>
                <w:rFonts w:ascii="Calibri" w:hAnsi="Calibri" w:cs="Calibri"/>
                <w:color w:val="000000"/>
              </w:rPr>
              <w:t>0.041</w:t>
            </w:r>
          </w:p>
        </w:tc>
        <w:tc>
          <w:tcPr>
            <w:tcW w:w="826" w:type="dxa"/>
            <w:noWrap/>
            <w:vAlign w:val="bottom"/>
            <w:hideMark/>
          </w:tcPr>
          <w:p w14:paraId="284363B9" w14:textId="77777777" w:rsidR="00245CBF" w:rsidRPr="00870621" w:rsidRDefault="00245CBF" w:rsidP="00514011">
            <w:r>
              <w:rPr>
                <w:rFonts w:ascii="Calibri" w:hAnsi="Calibri" w:cs="Calibri"/>
                <w:color w:val="000000"/>
              </w:rPr>
              <w:t>1.00</w:t>
            </w:r>
          </w:p>
        </w:tc>
        <w:tc>
          <w:tcPr>
            <w:tcW w:w="1285" w:type="dxa"/>
            <w:noWrap/>
            <w:vAlign w:val="bottom"/>
            <w:hideMark/>
          </w:tcPr>
          <w:p w14:paraId="3C558314" w14:textId="77777777" w:rsidR="00245CBF" w:rsidRPr="00870621" w:rsidRDefault="00245CBF" w:rsidP="00514011">
            <w:r>
              <w:rPr>
                <w:rFonts w:ascii="Calibri" w:hAnsi="Calibri" w:cs="Calibri"/>
                <w:color w:val="000000"/>
              </w:rPr>
              <w:t>976.04</w:t>
            </w:r>
          </w:p>
        </w:tc>
        <w:tc>
          <w:tcPr>
            <w:tcW w:w="1285" w:type="dxa"/>
            <w:noWrap/>
            <w:vAlign w:val="bottom"/>
            <w:hideMark/>
          </w:tcPr>
          <w:p w14:paraId="37926C0F" w14:textId="77777777" w:rsidR="00245CBF" w:rsidRPr="00870621" w:rsidRDefault="00245CBF" w:rsidP="00514011">
            <w:r>
              <w:rPr>
                <w:rFonts w:ascii="Calibri" w:hAnsi="Calibri" w:cs="Calibri"/>
                <w:color w:val="000000"/>
              </w:rPr>
              <w:t>1615.67</w:t>
            </w:r>
          </w:p>
        </w:tc>
      </w:tr>
      <w:tr w:rsidR="004940F9" w:rsidRPr="00870621" w14:paraId="731E0AF7" w14:textId="77777777" w:rsidTr="004940F9">
        <w:trPr>
          <w:trHeight w:val="288"/>
        </w:trPr>
        <w:tc>
          <w:tcPr>
            <w:tcW w:w="1533" w:type="dxa"/>
            <w:noWrap/>
            <w:hideMark/>
          </w:tcPr>
          <w:p w14:paraId="7CDD2AF9" w14:textId="77777777" w:rsidR="00245CBF" w:rsidRPr="00870621" w:rsidRDefault="00245CBF" w:rsidP="00514011">
            <w:pPr>
              <w:rPr>
                <w:b/>
                <w:bCs/>
              </w:rPr>
            </w:pPr>
            <w:r w:rsidRPr="00870621">
              <w:rPr>
                <w:b/>
                <w:bCs/>
              </w:rPr>
              <w:t>DBH (m)</w:t>
            </w:r>
          </w:p>
        </w:tc>
        <w:tc>
          <w:tcPr>
            <w:tcW w:w="739" w:type="dxa"/>
            <w:noWrap/>
            <w:vAlign w:val="bottom"/>
            <w:hideMark/>
          </w:tcPr>
          <w:p w14:paraId="4BC6992D" w14:textId="77777777" w:rsidR="00245CBF" w:rsidRPr="00870621" w:rsidRDefault="00245CBF" w:rsidP="00514011">
            <w:r>
              <w:rPr>
                <w:rFonts w:ascii="Calibri" w:hAnsi="Calibri" w:cs="Calibri"/>
                <w:color w:val="000000"/>
              </w:rPr>
              <w:t>1.001</w:t>
            </w:r>
          </w:p>
        </w:tc>
        <w:tc>
          <w:tcPr>
            <w:tcW w:w="1053" w:type="dxa"/>
            <w:noWrap/>
            <w:vAlign w:val="bottom"/>
            <w:hideMark/>
          </w:tcPr>
          <w:p w14:paraId="1CEF43F8" w14:textId="77777777" w:rsidR="00245CBF" w:rsidRPr="00870621" w:rsidRDefault="00245CBF" w:rsidP="00514011">
            <w:r>
              <w:rPr>
                <w:rFonts w:ascii="Calibri" w:hAnsi="Calibri" w:cs="Calibri"/>
                <w:color w:val="000000"/>
              </w:rPr>
              <w:t>1.001</w:t>
            </w:r>
          </w:p>
        </w:tc>
        <w:tc>
          <w:tcPr>
            <w:tcW w:w="823" w:type="dxa"/>
            <w:noWrap/>
            <w:vAlign w:val="bottom"/>
            <w:hideMark/>
          </w:tcPr>
          <w:p w14:paraId="220F34CC" w14:textId="77777777" w:rsidR="00245CBF" w:rsidRPr="00870621" w:rsidRDefault="00245CBF" w:rsidP="00514011">
            <w:r>
              <w:rPr>
                <w:rFonts w:ascii="Calibri" w:hAnsi="Calibri" w:cs="Calibri"/>
                <w:color w:val="000000"/>
              </w:rPr>
              <w:t>0.002</w:t>
            </w:r>
          </w:p>
        </w:tc>
        <w:tc>
          <w:tcPr>
            <w:tcW w:w="903" w:type="dxa"/>
            <w:noWrap/>
            <w:vAlign w:val="bottom"/>
            <w:hideMark/>
          </w:tcPr>
          <w:p w14:paraId="3C693653" w14:textId="77777777" w:rsidR="00245CBF" w:rsidRPr="00870621" w:rsidRDefault="00245CBF" w:rsidP="00514011">
            <w:r>
              <w:rPr>
                <w:rFonts w:ascii="Calibri" w:hAnsi="Calibri" w:cs="Calibri"/>
                <w:color w:val="000000"/>
              </w:rPr>
              <w:t>0.998</w:t>
            </w:r>
          </w:p>
        </w:tc>
        <w:tc>
          <w:tcPr>
            <w:tcW w:w="903" w:type="dxa"/>
            <w:noWrap/>
            <w:vAlign w:val="bottom"/>
            <w:hideMark/>
          </w:tcPr>
          <w:p w14:paraId="2B55DB2E" w14:textId="77777777" w:rsidR="00245CBF" w:rsidRPr="00870621" w:rsidRDefault="00245CBF" w:rsidP="00514011">
            <w:r>
              <w:rPr>
                <w:rFonts w:ascii="Calibri" w:hAnsi="Calibri" w:cs="Calibri"/>
                <w:color w:val="000000"/>
              </w:rPr>
              <w:t>1.004</w:t>
            </w:r>
          </w:p>
        </w:tc>
        <w:tc>
          <w:tcPr>
            <w:tcW w:w="826" w:type="dxa"/>
            <w:noWrap/>
            <w:vAlign w:val="bottom"/>
            <w:hideMark/>
          </w:tcPr>
          <w:p w14:paraId="17C64310" w14:textId="77777777" w:rsidR="00245CBF" w:rsidRPr="00870621" w:rsidRDefault="00245CBF" w:rsidP="00514011">
            <w:r>
              <w:rPr>
                <w:rFonts w:ascii="Calibri" w:hAnsi="Calibri" w:cs="Calibri"/>
                <w:color w:val="000000"/>
              </w:rPr>
              <w:t>1.00</w:t>
            </w:r>
          </w:p>
        </w:tc>
        <w:tc>
          <w:tcPr>
            <w:tcW w:w="1285" w:type="dxa"/>
            <w:noWrap/>
            <w:vAlign w:val="bottom"/>
            <w:hideMark/>
          </w:tcPr>
          <w:p w14:paraId="2C077E00" w14:textId="77777777" w:rsidR="00245CBF" w:rsidRPr="00870621" w:rsidRDefault="00245CBF" w:rsidP="00514011">
            <w:r>
              <w:rPr>
                <w:rFonts w:ascii="Calibri" w:hAnsi="Calibri" w:cs="Calibri"/>
                <w:color w:val="000000"/>
              </w:rPr>
              <w:t>3598.48</w:t>
            </w:r>
          </w:p>
        </w:tc>
        <w:tc>
          <w:tcPr>
            <w:tcW w:w="1285" w:type="dxa"/>
            <w:noWrap/>
            <w:vAlign w:val="bottom"/>
            <w:hideMark/>
          </w:tcPr>
          <w:p w14:paraId="3679A0E4" w14:textId="77777777" w:rsidR="00245CBF" w:rsidRPr="00870621" w:rsidRDefault="00245CBF" w:rsidP="00514011">
            <w:r>
              <w:rPr>
                <w:rFonts w:ascii="Calibri" w:hAnsi="Calibri" w:cs="Calibri"/>
                <w:color w:val="000000"/>
              </w:rPr>
              <w:t>3670.58</w:t>
            </w:r>
          </w:p>
        </w:tc>
      </w:tr>
      <w:tr w:rsidR="004940F9" w:rsidRPr="00870621" w14:paraId="0B156E08" w14:textId="77777777" w:rsidTr="004940F9">
        <w:trPr>
          <w:trHeight w:val="288"/>
        </w:trPr>
        <w:tc>
          <w:tcPr>
            <w:tcW w:w="1533" w:type="dxa"/>
            <w:noWrap/>
            <w:hideMark/>
          </w:tcPr>
          <w:p w14:paraId="62979226" w14:textId="77777777" w:rsidR="00245CBF" w:rsidRPr="00870621" w:rsidRDefault="00245CBF" w:rsidP="00514011">
            <w:pPr>
              <w:rPr>
                <w:b/>
                <w:bCs/>
              </w:rPr>
            </w:pPr>
            <w:r w:rsidRPr="00870621">
              <w:rPr>
                <w:b/>
                <w:bCs/>
              </w:rPr>
              <w:t>Fire</w:t>
            </w:r>
          </w:p>
        </w:tc>
        <w:tc>
          <w:tcPr>
            <w:tcW w:w="739" w:type="dxa"/>
            <w:noWrap/>
            <w:vAlign w:val="bottom"/>
            <w:hideMark/>
          </w:tcPr>
          <w:p w14:paraId="6BCEB5B6" w14:textId="77777777" w:rsidR="00245CBF" w:rsidRPr="00870621" w:rsidRDefault="00245CBF" w:rsidP="00514011">
            <w:r>
              <w:rPr>
                <w:rFonts w:ascii="Calibri" w:hAnsi="Calibri" w:cs="Calibri"/>
                <w:color w:val="000000"/>
              </w:rPr>
              <w:t>-0.006</w:t>
            </w:r>
          </w:p>
        </w:tc>
        <w:tc>
          <w:tcPr>
            <w:tcW w:w="1053" w:type="dxa"/>
            <w:noWrap/>
            <w:vAlign w:val="bottom"/>
            <w:hideMark/>
          </w:tcPr>
          <w:p w14:paraId="741DF542" w14:textId="77777777" w:rsidR="00245CBF" w:rsidRPr="00870621" w:rsidRDefault="00245CBF" w:rsidP="00514011">
            <w:r>
              <w:rPr>
                <w:rFonts w:ascii="Calibri" w:hAnsi="Calibri" w:cs="Calibri"/>
                <w:color w:val="000000"/>
              </w:rPr>
              <w:t>-0.006</w:t>
            </w:r>
          </w:p>
        </w:tc>
        <w:tc>
          <w:tcPr>
            <w:tcW w:w="823" w:type="dxa"/>
            <w:noWrap/>
            <w:vAlign w:val="bottom"/>
            <w:hideMark/>
          </w:tcPr>
          <w:p w14:paraId="3C56E5C7" w14:textId="77777777" w:rsidR="00245CBF" w:rsidRPr="00870621" w:rsidRDefault="00245CBF" w:rsidP="00514011">
            <w:r>
              <w:rPr>
                <w:rFonts w:ascii="Calibri" w:hAnsi="Calibri" w:cs="Calibri"/>
                <w:color w:val="000000"/>
              </w:rPr>
              <w:t>0.005</w:t>
            </w:r>
          </w:p>
        </w:tc>
        <w:tc>
          <w:tcPr>
            <w:tcW w:w="903" w:type="dxa"/>
            <w:noWrap/>
            <w:vAlign w:val="bottom"/>
            <w:hideMark/>
          </w:tcPr>
          <w:p w14:paraId="6CB9E66C" w14:textId="77777777" w:rsidR="00245CBF" w:rsidRPr="00870621" w:rsidRDefault="00245CBF" w:rsidP="00514011">
            <w:r>
              <w:rPr>
                <w:rFonts w:ascii="Calibri" w:hAnsi="Calibri" w:cs="Calibri"/>
                <w:color w:val="000000"/>
              </w:rPr>
              <w:t>-0.014</w:t>
            </w:r>
          </w:p>
        </w:tc>
        <w:tc>
          <w:tcPr>
            <w:tcW w:w="903" w:type="dxa"/>
            <w:noWrap/>
            <w:vAlign w:val="bottom"/>
            <w:hideMark/>
          </w:tcPr>
          <w:p w14:paraId="32C9A2FD" w14:textId="77777777" w:rsidR="00245CBF" w:rsidRPr="00870621" w:rsidRDefault="00245CBF" w:rsidP="00514011">
            <w:r>
              <w:rPr>
                <w:rFonts w:ascii="Calibri" w:hAnsi="Calibri" w:cs="Calibri"/>
                <w:color w:val="000000"/>
              </w:rPr>
              <w:t>0.002</w:t>
            </w:r>
          </w:p>
        </w:tc>
        <w:tc>
          <w:tcPr>
            <w:tcW w:w="826" w:type="dxa"/>
            <w:noWrap/>
            <w:vAlign w:val="bottom"/>
            <w:hideMark/>
          </w:tcPr>
          <w:p w14:paraId="7C7E9128" w14:textId="77777777" w:rsidR="00245CBF" w:rsidRPr="00870621" w:rsidRDefault="00245CBF" w:rsidP="00514011">
            <w:r>
              <w:rPr>
                <w:rFonts w:ascii="Calibri" w:hAnsi="Calibri" w:cs="Calibri"/>
                <w:color w:val="000000"/>
              </w:rPr>
              <w:t>1.00</w:t>
            </w:r>
          </w:p>
        </w:tc>
        <w:tc>
          <w:tcPr>
            <w:tcW w:w="1285" w:type="dxa"/>
            <w:noWrap/>
            <w:vAlign w:val="bottom"/>
            <w:hideMark/>
          </w:tcPr>
          <w:p w14:paraId="1E93B627" w14:textId="77777777" w:rsidR="00245CBF" w:rsidRPr="00870621" w:rsidRDefault="00245CBF" w:rsidP="00514011">
            <w:r>
              <w:rPr>
                <w:rFonts w:ascii="Calibri" w:hAnsi="Calibri" w:cs="Calibri"/>
                <w:color w:val="000000"/>
              </w:rPr>
              <w:t>2076.59</w:t>
            </w:r>
          </w:p>
        </w:tc>
        <w:tc>
          <w:tcPr>
            <w:tcW w:w="1285" w:type="dxa"/>
            <w:noWrap/>
            <w:vAlign w:val="bottom"/>
            <w:hideMark/>
          </w:tcPr>
          <w:p w14:paraId="23BFAB25" w14:textId="77777777" w:rsidR="00245CBF" w:rsidRPr="00870621" w:rsidRDefault="00245CBF" w:rsidP="00514011">
            <w:r>
              <w:rPr>
                <w:rFonts w:ascii="Calibri" w:hAnsi="Calibri" w:cs="Calibri"/>
                <w:color w:val="000000"/>
              </w:rPr>
              <w:t>2646.10</w:t>
            </w:r>
          </w:p>
        </w:tc>
      </w:tr>
      <w:tr w:rsidR="004940F9" w:rsidRPr="00870621" w14:paraId="6E01275B" w14:textId="77777777" w:rsidTr="004940F9">
        <w:trPr>
          <w:trHeight w:val="288"/>
        </w:trPr>
        <w:tc>
          <w:tcPr>
            <w:tcW w:w="1533" w:type="dxa"/>
            <w:noWrap/>
            <w:hideMark/>
          </w:tcPr>
          <w:p w14:paraId="502AD63D" w14:textId="77777777" w:rsidR="00245CBF" w:rsidRPr="00870621" w:rsidRDefault="00245CBF" w:rsidP="00514011">
            <w:pPr>
              <w:rPr>
                <w:b/>
                <w:bCs/>
              </w:rPr>
            </w:pPr>
            <w:r w:rsidRPr="00870621">
              <w:rPr>
                <w:b/>
                <w:bCs/>
              </w:rPr>
              <w:t>WPBR</w:t>
            </w:r>
          </w:p>
        </w:tc>
        <w:tc>
          <w:tcPr>
            <w:tcW w:w="739" w:type="dxa"/>
            <w:noWrap/>
            <w:vAlign w:val="bottom"/>
            <w:hideMark/>
          </w:tcPr>
          <w:p w14:paraId="1669B7E2" w14:textId="77777777" w:rsidR="00245CBF" w:rsidRPr="00870621" w:rsidRDefault="00245CBF" w:rsidP="00514011">
            <w:r>
              <w:rPr>
                <w:rFonts w:ascii="Calibri" w:hAnsi="Calibri" w:cs="Calibri"/>
                <w:color w:val="000000"/>
              </w:rPr>
              <w:t>0.006</w:t>
            </w:r>
          </w:p>
        </w:tc>
        <w:tc>
          <w:tcPr>
            <w:tcW w:w="1053" w:type="dxa"/>
            <w:noWrap/>
            <w:vAlign w:val="bottom"/>
            <w:hideMark/>
          </w:tcPr>
          <w:p w14:paraId="70C004C8" w14:textId="77777777" w:rsidR="00245CBF" w:rsidRPr="00870621" w:rsidRDefault="00245CBF" w:rsidP="00514011">
            <w:r>
              <w:rPr>
                <w:rFonts w:ascii="Calibri" w:hAnsi="Calibri" w:cs="Calibri"/>
                <w:color w:val="000000"/>
              </w:rPr>
              <w:t>0.006</w:t>
            </w:r>
          </w:p>
        </w:tc>
        <w:tc>
          <w:tcPr>
            <w:tcW w:w="823" w:type="dxa"/>
            <w:noWrap/>
            <w:vAlign w:val="bottom"/>
            <w:hideMark/>
          </w:tcPr>
          <w:p w14:paraId="118468E4" w14:textId="77777777" w:rsidR="00245CBF" w:rsidRPr="00870621" w:rsidRDefault="00245CBF" w:rsidP="00514011">
            <w:r>
              <w:rPr>
                <w:rFonts w:ascii="Calibri" w:hAnsi="Calibri" w:cs="Calibri"/>
                <w:color w:val="000000"/>
              </w:rPr>
              <w:t>0.004</w:t>
            </w:r>
          </w:p>
        </w:tc>
        <w:tc>
          <w:tcPr>
            <w:tcW w:w="903" w:type="dxa"/>
            <w:noWrap/>
            <w:vAlign w:val="bottom"/>
            <w:hideMark/>
          </w:tcPr>
          <w:p w14:paraId="1FB8AC9A" w14:textId="77777777" w:rsidR="00245CBF" w:rsidRPr="00870621" w:rsidRDefault="00245CBF" w:rsidP="00514011">
            <w:r>
              <w:rPr>
                <w:rFonts w:ascii="Calibri" w:hAnsi="Calibri" w:cs="Calibri"/>
                <w:color w:val="000000"/>
              </w:rPr>
              <w:t>-0.001</w:t>
            </w:r>
          </w:p>
        </w:tc>
        <w:tc>
          <w:tcPr>
            <w:tcW w:w="903" w:type="dxa"/>
            <w:noWrap/>
            <w:vAlign w:val="bottom"/>
            <w:hideMark/>
          </w:tcPr>
          <w:p w14:paraId="0AC24526" w14:textId="77777777" w:rsidR="00245CBF" w:rsidRPr="00870621" w:rsidRDefault="00245CBF" w:rsidP="00514011">
            <w:r>
              <w:rPr>
                <w:rFonts w:ascii="Calibri" w:hAnsi="Calibri" w:cs="Calibri"/>
                <w:color w:val="000000"/>
              </w:rPr>
              <w:t>0.013</w:t>
            </w:r>
          </w:p>
        </w:tc>
        <w:tc>
          <w:tcPr>
            <w:tcW w:w="826" w:type="dxa"/>
            <w:noWrap/>
            <w:vAlign w:val="bottom"/>
            <w:hideMark/>
          </w:tcPr>
          <w:p w14:paraId="59E374EE" w14:textId="77777777" w:rsidR="00245CBF" w:rsidRPr="00870621" w:rsidRDefault="00245CBF" w:rsidP="00514011">
            <w:r>
              <w:rPr>
                <w:rFonts w:ascii="Calibri" w:hAnsi="Calibri" w:cs="Calibri"/>
                <w:color w:val="000000"/>
              </w:rPr>
              <w:t>1.00</w:t>
            </w:r>
          </w:p>
        </w:tc>
        <w:tc>
          <w:tcPr>
            <w:tcW w:w="1285" w:type="dxa"/>
            <w:noWrap/>
            <w:vAlign w:val="bottom"/>
            <w:hideMark/>
          </w:tcPr>
          <w:p w14:paraId="0609BC29" w14:textId="77777777" w:rsidR="00245CBF" w:rsidRPr="00870621" w:rsidRDefault="00245CBF" w:rsidP="00514011">
            <w:r>
              <w:rPr>
                <w:rFonts w:ascii="Calibri" w:hAnsi="Calibri" w:cs="Calibri"/>
                <w:color w:val="000000"/>
              </w:rPr>
              <w:t>1641.70</w:t>
            </w:r>
          </w:p>
        </w:tc>
        <w:tc>
          <w:tcPr>
            <w:tcW w:w="1285" w:type="dxa"/>
            <w:noWrap/>
            <w:vAlign w:val="bottom"/>
            <w:hideMark/>
          </w:tcPr>
          <w:p w14:paraId="3E842160" w14:textId="77777777" w:rsidR="00245CBF" w:rsidRPr="00870621" w:rsidRDefault="00245CBF" w:rsidP="00514011">
            <w:r>
              <w:rPr>
                <w:rFonts w:ascii="Calibri" w:hAnsi="Calibri" w:cs="Calibri"/>
                <w:color w:val="000000"/>
              </w:rPr>
              <w:t>2659.93</w:t>
            </w:r>
          </w:p>
        </w:tc>
      </w:tr>
      <w:tr w:rsidR="004940F9" w:rsidRPr="00870621" w14:paraId="057A0FFD" w14:textId="77777777" w:rsidTr="004940F9">
        <w:trPr>
          <w:trHeight w:val="288"/>
        </w:trPr>
        <w:tc>
          <w:tcPr>
            <w:tcW w:w="1533" w:type="dxa"/>
            <w:noWrap/>
            <w:hideMark/>
          </w:tcPr>
          <w:p w14:paraId="3D4FB2D6" w14:textId="77777777" w:rsidR="00245CBF" w:rsidRPr="00870621" w:rsidRDefault="00245CBF" w:rsidP="00514011">
            <w:pPr>
              <w:rPr>
                <w:b/>
                <w:bCs/>
              </w:rPr>
            </w:pPr>
            <w:r w:rsidRPr="00870621">
              <w:rPr>
                <w:b/>
                <w:bCs/>
              </w:rPr>
              <w:t>Basal Area</w:t>
            </w:r>
          </w:p>
        </w:tc>
        <w:tc>
          <w:tcPr>
            <w:tcW w:w="739" w:type="dxa"/>
            <w:noWrap/>
            <w:vAlign w:val="bottom"/>
            <w:hideMark/>
          </w:tcPr>
          <w:p w14:paraId="358CA16C" w14:textId="77777777" w:rsidR="00245CBF" w:rsidRPr="00870621" w:rsidRDefault="00245CBF" w:rsidP="00514011">
            <w:r>
              <w:rPr>
                <w:rFonts w:ascii="Calibri" w:hAnsi="Calibri" w:cs="Calibri"/>
                <w:color w:val="000000"/>
              </w:rPr>
              <w:t>-0.004</w:t>
            </w:r>
          </w:p>
        </w:tc>
        <w:tc>
          <w:tcPr>
            <w:tcW w:w="1053" w:type="dxa"/>
            <w:noWrap/>
            <w:vAlign w:val="bottom"/>
            <w:hideMark/>
          </w:tcPr>
          <w:p w14:paraId="6F19725D" w14:textId="77777777" w:rsidR="00245CBF" w:rsidRPr="00870621" w:rsidRDefault="00245CBF" w:rsidP="00514011">
            <w:r>
              <w:rPr>
                <w:rFonts w:ascii="Calibri" w:hAnsi="Calibri" w:cs="Calibri"/>
                <w:color w:val="000000"/>
              </w:rPr>
              <w:t>-0.004</w:t>
            </w:r>
          </w:p>
        </w:tc>
        <w:tc>
          <w:tcPr>
            <w:tcW w:w="823" w:type="dxa"/>
            <w:noWrap/>
            <w:vAlign w:val="bottom"/>
            <w:hideMark/>
          </w:tcPr>
          <w:p w14:paraId="3E455A96" w14:textId="77777777" w:rsidR="00245CBF" w:rsidRPr="00870621" w:rsidRDefault="00245CBF" w:rsidP="00514011">
            <w:r>
              <w:rPr>
                <w:rFonts w:ascii="Calibri" w:hAnsi="Calibri" w:cs="Calibri"/>
                <w:color w:val="000000"/>
              </w:rPr>
              <w:t>0.001</w:t>
            </w:r>
          </w:p>
        </w:tc>
        <w:tc>
          <w:tcPr>
            <w:tcW w:w="903" w:type="dxa"/>
            <w:noWrap/>
            <w:vAlign w:val="bottom"/>
            <w:hideMark/>
          </w:tcPr>
          <w:p w14:paraId="05B10FA0" w14:textId="77777777" w:rsidR="00245CBF" w:rsidRPr="00870621" w:rsidRDefault="00245CBF" w:rsidP="00514011">
            <w:r>
              <w:rPr>
                <w:rFonts w:ascii="Calibri" w:hAnsi="Calibri" w:cs="Calibri"/>
                <w:color w:val="000000"/>
              </w:rPr>
              <w:t>-0.007</w:t>
            </w:r>
          </w:p>
        </w:tc>
        <w:tc>
          <w:tcPr>
            <w:tcW w:w="903" w:type="dxa"/>
            <w:noWrap/>
            <w:vAlign w:val="bottom"/>
            <w:hideMark/>
          </w:tcPr>
          <w:p w14:paraId="74B12C83" w14:textId="77777777" w:rsidR="00245CBF" w:rsidRPr="00870621" w:rsidRDefault="00245CBF" w:rsidP="00514011">
            <w:r>
              <w:rPr>
                <w:rFonts w:ascii="Calibri" w:hAnsi="Calibri" w:cs="Calibri"/>
                <w:color w:val="000000"/>
              </w:rPr>
              <w:t>-0.002</w:t>
            </w:r>
          </w:p>
        </w:tc>
        <w:tc>
          <w:tcPr>
            <w:tcW w:w="826" w:type="dxa"/>
            <w:noWrap/>
            <w:vAlign w:val="bottom"/>
            <w:hideMark/>
          </w:tcPr>
          <w:p w14:paraId="4C05910E" w14:textId="77777777" w:rsidR="00245CBF" w:rsidRPr="00870621" w:rsidRDefault="00245CBF" w:rsidP="00514011">
            <w:r>
              <w:rPr>
                <w:rFonts w:ascii="Calibri" w:hAnsi="Calibri" w:cs="Calibri"/>
                <w:color w:val="000000"/>
              </w:rPr>
              <w:t>1.00</w:t>
            </w:r>
          </w:p>
        </w:tc>
        <w:tc>
          <w:tcPr>
            <w:tcW w:w="1285" w:type="dxa"/>
            <w:noWrap/>
            <w:vAlign w:val="bottom"/>
            <w:hideMark/>
          </w:tcPr>
          <w:p w14:paraId="0C9A9C7B" w14:textId="77777777" w:rsidR="00245CBF" w:rsidRPr="00870621" w:rsidRDefault="00245CBF" w:rsidP="00514011">
            <w:r>
              <w:rPr>
                <w:rFonts w:ascii="Calibri" w:hAnsi="Calibri" w:cs="Calibri"/>
                <w:color w:val="000000"/>
              </w:rPr>
              <w:t>2558.93</w:t>
            </w:r>
          </w:p>
        </w:tc>
        <w:tc>
          <w:tcPr>
            <w:tcW w:w="1285" w:type="dxa"/>
            <w:noWrap/>
            <w:vAlign w:val="bottom"/>
            <w:hideMark/>
          </w:tcPr>
          <w:p w14:paraId="2271DEB8" w14:textId="77777777" w:rsidR="00245CBF" w:rsidRPr="00870621" w:rsidRDefault="00245CBF" w:rsidP="00514011">
            <w:r>
              <w:rPr>
                <w:rFonts w:ascii="Calibri" w:hAnsi="Calibri" w:cs="Calibri"/>
                <w:color w:val="000000"/>
              </w:rPr>
              <w:t>3202.40</w:t>
            </w:r>
          </w:p>
        </w:tc>
      </w:tr>
      <w:tr w:rsidR="004940F9" w:rsidRPr="00870621" w14:paraId="7186D04C" w14:textId="77777777" w:rsidTr="004940F9">
        <w:trPr>
          <w:trHeight w:val="288"/>
        </w:trPr>
        <w:tc>
          <w:tcPr>
            <w:tcW w:w="1533" w:type="dxa"/>
            <w:noWrap/>
            <w:hideMark/>
          </w:tcPr>
          <w:p w14:paraId="36C419E7" w14:textId="77777777" w:rsidR="00245CBF" w:rsidRPr="00870621" w:rsidRDefault="00245CBF" w:rsidP="00514011">
            <w:pPr>
              <w:rPr>
                <w:b/>
                <w:bCs/>
              </w:rPr>
            </w:pPr>
            <w:r w:rsidRPr="00870621">
              <w:rPr>
                <w:b/>
                <w:bCs/>
              </w:rPr>
              <w:t>Drought</w:t>
            </w:r>
          </w:p>
        </w:tc>
        <w:tc>
          <w:tcPr>
            <w:tcW w:w="739" w:type="dxa"/>
            <w:noWrap/>
            <w:vAlign w:val="bottom"/>
            <w:hideMark/>
          </w:tcPr>
          <w:p w14:paraId="1C228737" w14:textId="77777777" w:rsidR="00245CBF" w:rsidRPr="00870621" w:rsidRDefault="00245CBF" w:rsidP="00514011">
            <w:r>
              <w:rPr>
                <w:rFonts w:ascii="Calibri" w:hAnsi="Calibri" w:cs="Calibri"/>
                <w:color w:val="000000"/>
              </w:rPr>
              <w:t>0.000</w:t>
            </w:r>
          </w:p>
        </w:tc>
        <w:tc>
          <w:tcPr>
            <w:tcW w:w="1053" w:type="dxa"/>
            <w:noWrap/>
            <w:vAlign w:val="bottom"/>
            <w:hideMark/>
          </w:tcPr>
          <w:p w14:paraId="73AA09B7" w14:textId="77777777" w:rsidR="00245CBF" w:rsidRPr="00870621" w:rsidRDefault="00245CBF" w:rsidP="00514011">
            <w:r>
              <w:rPr>
                <w:rFonts w:ascii="Calibri" w:hAnsi="Calibri" w:cs="Calibri"/>
                <w:color w:val="000000"/>
              </w:rPr>
              <w:t>0.000</w:t>
            </w:r>
          </w:p>
        </w:tc>
        <w:tc>
          <w:tcPr>
            <w:tcW w:w="823" w:type="dxa"/>
            <w:noWrap/>
            <w:vAlign w:val="bottom"/>
            <w:hideMark/>
          </w:tcPr>
          <w:p w14:paraId="5D43AF49" w14:textId="77777777" w:rsidR="00245CBF" w:rsidRPr="00870621" w:rsidRDefault="00245CBF" w:rsidP="00514011">
            <w:r>
              <w:rPr>
                <w:rFonts w:ascii="Calibri" w:hAnsi="Calibri" w:cs="Calibri"/>
                <w:color w:val="000000"/>
              </w:rPr>
              <w:t>0.001</w:t>
            </w:r>
          </w:p>
        </w:tc>
        <w:tc>
          <w:tcPr>
            <w:tcW w:w="903" w:type="dxa"/>
            <w:noWrap/>
            <w:vAlign w:val="bottom"/>
            <w:hideMark/>
          </w:tcPr>
          <w:p w14:paraId="08A85C77" w14:textId="77777777" w:rsidR="00245CBF" w:rsidRPr="00870621" w:rsidRDefault="00245CBF" w:rsidP="00514011">
            <w:r>
              <w:rPr>
                <w:rFonts w:ascii="Calibri" w:hAnsi="Calibri" w:cs="Calibri"/>
                <w:color w:val="000000"/>
              </w:rPr>
              <w:t>-0.003</w:t>
            </w:r>
          </w:p>
        </w:tc>
        <w:tc>
          <w:tcPr>
            <w:tcW w:w="903" w:type="dxa"/>
            <w:noWrap/>
            <w:vAlign w:val="bottom"/>
            <w:hideMark/>
          </w:tcPr>
          <w:p w14:paraId="3DEFE5A5" w14:textId="77777777" w:rsidR="00245CBF" w:rsidRPr="00870621" w:rsidRDefault="00245CBF" w:rsidP="00514011">
            <w:r>
              <w:rPr>
                <w:rFonts w:ascii="Calibri" w:hAnsi="Calibri" w:cs="Calibri"/>
                <w:color w:val="000000"/>
              </w:rPr>
              <w:t>0.002</w:t>
            </w:r>
          </w:p>
        </w:tc>
        <w:tc>
          <w:tcPr>
            <w:tcW w:w="826" w:type="dxa"/>
            <w:noWrap/>
            <w:vAlign w:val="bottom"/>
            <w:hideMark/>
          </w:tcPr>
          <w:p w14:paraId="3749CF6C" w14:textId="77777777" w:rsidR="00245CBF" w:rsidRPr="00870621" w:rsidRDefault="00245CBF" w:rsidP="00514011">
            <w:r>
              <w:rPr>
                <w:rFonts w:ascii="Calibri" w:hAnsi="Calibri" w:cs="Calibri"/>
                <w:color w:val="000000"/>
              </w:rPr>
              <w:t>1.00</w:t>
            </w:r>
          </w:p>
        </w:tc>
        <w:tc>
          <w:tcPr>
            <w:tcW w:w="1285" w:type="dxa"/>
            <w:noWrap/>
            <w:vAlign w:val="bottom"/>
            <w:hideMark/>
          </w:tcPr>
          <w:p w14:paraId="25A72BF7" w14:textId="77777777" w:rsidR="00245CBF" w:rsidRPr="00870621" w:rsidRDefault="00245CBF" w:rsidP="00514011">
            <w:r>
              <w:rPr>
                <w:rFonts w:ascii="Calibri" w:hAnsi="Calibri" w:cs="Calibri"/>
                <w:color w:val="000000"/>
              </w:rPr>
              <w:t>2233.77</w:t>
            </w:r>
          </w:p>
        </w:tc>
        <w:tc>
          <w:tcPr>
            <w:tcW w:w="1285" w:type="dxa"/>
            <w:noWrap/>
            <w:vAlign w:val="bottom"/>
            <w:hideMark/>
          </w:tcPr>
          <w:p w14:paraId="194E7262" w14:textId="77777777" w:rsidR="00245CBF" w:rsidRPr="00870621" w:rsidRDefault="00245CBF" w:rsidP="00514011">
            <w:r>
              <w:rPr>
                <w:rFonts w:ascii="Calibri" w:hAnsi="Calibri" w:cs="Calibri"/>
                <w:color w:val="000000"/>
              </w:rPr>
              <w:t>2778.53</w:t>
            </w:r>
          </w:p>
        </w:tc>
      </w:tr>
      <w:tr w:rsidR="004940F9" w:rsidRPr="00870621" w14:paraId="1F743D1B" w14:textId="77777777" w:rsidTr="004940F9">
        <w:trPr>
          <w:trHeight w:val="288"/>
        </w:trPr>
        <w:tc>
          <w:tcPr>
            <w:tcW w:w="1533" w:type="dxa"/>
            <w:noWrap/>
            <w:hideMark/>
          </w:tcPr>
          <w:p w14:paraId="5BF1E460" w14:textId="77777777" w:rsidR="00245CBF" w:rsidRPr="00870621" w:rsidRDefault="00245CBF" w:rsidP="00514011">
            <w:pPr>
              <w:rPr>
                <w:b/>
                <w:bCs/>
              </w:rPr>
            </w:pPr>
            <w:r w:rsidRPr="00870621">
              <w:rPr>
                <w:b/>
                <w:bCs/>
              </w:rPr>
              <w:t>Site Dryness</w:t>
            </w:r>
          </w:p>
        </w:tc>
        <w:tc>
          <w:tcPr>
            <w:tcW w:w="739" w:type="dxa"/>
            <w:noWrap/>
            <w:vAlign w:val="bottom"/>
            <w:hideMark/>
          </w:tcPr>
          <w:p w14:paraId="69D31EF3" w14:textId="77777777" w:rsidR="00245CBF" w:rsidRPr="00870621" w:rsidRDefault="00245CBF" w:rsidP="00514011">
            <w:r>
              <w:rPr>
                <w:rFonts w:ascii="Calibri" w:hAnsi="Calibri" w:cs="Calibri"/>
                <w:color w:val="000000"/>
              </w:rPr>
              <w:t>-0.004</w:t>
            </w:r>
          </w:p>
        </w:tc>
        <w:tc>
          <w:tcPr>
            <w:tcW w:w="1053" w:type="dxa"/>
            <w:noWrap/>
            <w:vAlign w:val="bottom"/>
            <w:hideMark/>
          </w:tcPr>
          <w:p w14:paraId="63573594" w14:textId="77777777" w:rsidR="00245CBF" w:rsidRPr="00870621" w:rsidRDefault="00245CBF" w:rsidP="00514011">
            <w:r>
              <w:rPr>
                <w:rFonts w:ascii="Calibri" w:hAnsi="Calibri" w:cs="Calibri"/>
                <w:color w:val="000000"/>
              </w:rPr>
              <w:t>-0.004</w:t>
            </w:r>
          </w:p>
        </w:tc>
        <w:tc>
          <w:tcPr>
            <w:tcW w:w="823" w:type="dxa"/>
            <w:noWrap/>
            <w:vAlign w:val="bottom"/>
            <w:hideMark/>
          </w:tcPr>
          <w:p w14:paraId="23AF5EC9" w14:textId="77777777" w:rsidR="00245CBF" w:rsidRPr="00870621" w:rsidRDefault="00245CBF" w:rsidP="00514011">
            <w:r>
              <w:rPr>
                <w:rFonts w:ascii="Calibri" w:hAnsi="Calibri" w:cs="Calibri"/>
                <w:color w:val="000000"/>
              </w:rPr>
              <w:t>0.002</w:t>
            </w:r>
          </w:p>
        </w:tc>
        <w:tc>
          <w:tcPr>
            <w:tcW w:w="903" w:type="dxa"/>
            <w:noWrap/>
            <w:vAlign w:val="bottom"/>
            <w:hideMark/>
          </w:tcPr>
          <w:p w14:paraId="19D40DB4" w14:textId="77777777" w:rsidR="00245CBF" w:rsidRPr="00870621" w:rsidRDefault="00245CBF" w:rsidP="00514011">
            <w:r>
              <w:rPr>
                <w:rFonts w:ascii="Calibri" w:hAnsi="Calibri" w:cs="Calibri"/>
                <w:color w:val="000000"/>
              </w:rPr>
              <w:t>-0.007</w:t>
            </w:r>
          </w:p>
        </w:tc>
        <w:tc>
          <w:tcPr>
            <w:tcW w:w="903" w:type="dxa"/>
            <w:noWrap/>
            <w:vAlign w:val="bottom"/>
            <w:hideMark/>
          </w:tcPr>
          <w:p w14:paraId="771E6D35" w14:textId="77777777" w:rsidR="00245CBF" w:rsidRPr="00870621" w:rsidRDefault="00245CBF" w:rsidP="00514011">
            <w:r>
              <w:rPr>
                <w:rFonts w:ascii="Calibri" w:hAnsi="Calibri" w:cs="Calibri"/>
                <w:color w:val="000000"/>
              </w:rPr>
              <w:t>-0.001</w:t>
            </w:r>
          </w:p>
        </w:tc>
        <w:tc>
          <w:tcPr>
            <w:tcW w:w="826" w:type="dxa"/>
            <w:noWrap/>
            <w:vAlign w:val="bottom"/>
            <w:hideMark/>
          </w:tcPr>
          <w:p w14:paraId="65507AA5" w14:textId="77777777" w:rsidR="00245CBF" w:rsidRPr="00870621" w:rsidRDefault="00245CBF" w:rsidP="00514011">
            <w:r>
              <w:rPr>
                <w:rFonts w:ascii="Calibri" w:hAnsi="Calibri" w:cs="Calibri"/>
                <w:color w:val="000000"/>
              </w:rPr>
              <w:t>1.00</w:t>
            </w:r>
          </w:p>
        </w:tc>
        <w:tc>
          <w:tcPr>
            <w:tcW w:w="1285" w:type="dxa"/>
            <w:noWrap/>
            <w:vAlign w:val="bottom"/>
            <w:hideMark/>
          </w:tcPr>
          <w:p w14:paraId="5B7DF776" w14:textId="77777777" w:rsidR="00245CBF" w:rsidRPr="00870621" w:rsidRDefault="00245CBF" w:rsidP="00514011">
            <w:r>
              <w:rPr>
                <w:rFonts w:ascii="Calibri" w:hAnsi="Calibri" w:cs="Calibri"/>
                <w:color w:val="000000"/>
              </w:rPr>
              <w:t>1981.64</w:t>
            </w:r>
          </w:p>
        </w:tc>
        <w:tc>
          <w:tcPr>
            <w:tcW w:w="1285" w:type="dxa"/>
            <w:noWrap/>
            <w:vAlign w:val="bottom"/>
            <w:hideMark/>
          </w:tcPr>
          <w:p w14:paraId="0A8B5CD0" w14:textId="77777777" w:rsidR="00245CBF" w:rsidRPr="00870621" w:rsidRDefault="00245CBF" w:rsidP="00514011">
            <w:r>
              <w:rPr>
                <w:rFonts w:ascii="Calibri" w:hAnsi="Calibri" w:cs="Calibri"/>
                <w:color w:val="000000"/>
              </w:rPr>
              <w:t>2584.46</w:t>
            </w:r>
          </w:p>
        </w:tc>
      </w:tr>
      <w:tr w:rsidR="004940F9" w:rsidRPr="00870621" w14:paraId="555E450D" w14:textId="77777777" w:rsidTr="004940F9">
        <w:trPr>
          <w:trHeight w:val="288"/>
        </w:trPr>
        <w:tc>
          <w:tcPr>
            <w:tcW w:w="1533" w:type="dxa"/>
            <w:noWrap/>
            <w:hideMark/>
          </w:tcPr>
          <w:p w14:paraId="4958E85C" w14:textId="77777777" w:rsidR="00245CBF" w:rsidRPr="00870621" w:rsidRDefault="00245CBF" w:rsidP="00514011">
            <w:pPr>
              <w:rPr>
                <w:b/>
                <w:bCs/>
              </w:rPr>
            </w:pPr>
            <w:r w:rsidRPr="00870621">
              <w:rPr>
                <w:b/>
                <w:bCs/>
              </w:rPr>
              <w:t>DBH x Fire</w:t>
            </w:r>
          </w:p>
        </w:tc>
        <w:tc>
          <w:tcPr>
            <w:tcW w:w="739" w:type="dxa"/>
            <w:noWrap/>
            <w:vAlign w:val="bottom"/>
            <w:hideMark/>
          </w:tcPr>
          <w:p w14:paraId="72D6EA0F" w14:textId="77777777" w:rsidR="00245CBF" w:rsidRPr="00870621" w:rsidRDefault="00245CBF" w:rsidP="00514011">
            <w:r>
              <w:rPr>
                <w:rFonts w:ascii="Calibri" w:hAnsi="Calibri" w:cs="Calibri"/>
                <w:color w:val="000000"/>
              </w:rPr>
              <w:t>-0.008</w:t>
            </w:r>
          </w:p>
        </w:tc>
        <w:tc>
          <w:tcPr>
            <w:tcW w:w="1053" w:type="dxa"/>
            <w:noWrap/>
            <w:vAlign w:val="bottom"/>
            <w:hideMark/>
          </w:tcPr>
          <w:p w14:paraId="39DE3D15" w14:textId="77777777" w:rsidR="00245CBF" w:rsidRPr="00870621" w:rsidRDefault="00245CBF" w:rsidP="00514011">
            <w:r>
              <w:rPr>
                <w:rFonts w:ascii="Calibri" w:hAnsi="Calibri" w:cs="Calibri"/>
                <w:color w:val="000000"/>
              </w:rPr>
              <w:t>-0.008</w:t>
            </w:r>
          </w:p>
        </w:tc>
        <w:tc>
          <w:tcPr>
            <w:tcW w:w="823" w:type="dxa"/>
            <w:noWrap/>
            <w:vAlign w:val="bottom"/>
            <w:hideMark/>
          </w:tcPr>
          <w:p w14:paraId="1DDA1D62" w14:textId="77777777" w:rsidR="00245CBF" w:rsidRPr="00870621" w:rsidRDefault="00245CBF" w:rsidP="00514011">
            <w:r>
              <w:rPr>
                <w:rFonts w:ascii="Calibri" w:hAnsi="Calibri" w:cs="Calibri"/>
                <w:color w:val="000000"/>
              </w:rPr>
              <w:t>0.005</w:t>
            </w:r>
          </w:p>
        </w:tc>
        <w:tc>
          <w:tcPr>
            <w:tcW w:w="903" w:type="dxa"/>
            <w:noWrap/>
            <w:vAlign w:val="bottom"/>
            <w:hideMark/>
          </w:tcPr>
          <w:p w14:paraId="53A5E868" w14:textId="77777777" w:rsidR="00245CBF" w:rsidRPr="00870621" w:rsidRDefault="00245CBF" w:rsidP="00514011">
            <w:r>
              <w:rPr>
                <w:rFonts w:ascii="Calibri" w:hAnsi="Calibri" w:cs="Calibri"/>
                <w:color w:val="000000"/>
              </w:rPr>
              <w:t>-0.017</w:t>
            </w:r>
          </w:p>
        </w:tc>
        <w:tc>
          <w:tcPr>
            <w:tcW w:w="903" w:type="dxa"/>
            <w:noWrap/>
            <w:vAlign w:val="bottom"/>
            <w:hideMark/>
          </w:tcPr>
          <w:p w14:paraId="1ED1B347" w14:textId="77777777" w:rsidR="00245CBF" w:rsidRPr="00870621" w:rsidRDefault="00245CBF" w:rsidP="00514011">
            <w:r>
              <w:rPr>
                <w:rFonts w:ascii="Calibri" w:hAnsi="Calibri" w:cs="Calibri"/>
                <w:color w:val="000000"/>
              </w:rPr>
              <w:t>0.000</w:t>
            </w:r>
          </w:p>
        </w:tc>
        <w:tc>
          <w:tcPr>
            <w:tcW w:w="826" w:type="dxa"/>
            <w:noWrap/>
            <w:vAlign w:val="bottom"/>
            <w:hideMark/>
          </w:tcPr>
          <w:p w14:paraId="6DD767EF" w14:textId="77777777" w:rsidR="00245CBF" w:rsidRPr="00870621" w:rsidRDefault="00245CBF" w:rsidP="00514011">
            <w:r>
              <w:rPr>
                <w:rFonts w:ascii="Calibri" w:hAnsi="Calibri" w:cs="Calibri"/>
                <w:color w:val="000000"/>
              </w:rPr>
              <w:t>1.00</w:t>
            </w:r>
          </w:p>
        </w:tc>
        <w:tc>
          <w:tcPr>
            <w:tcW w:w="1285" w:type="dxa"/>
            <w:noWrap/>
            <w:vAlign w:val="bottom"/>
            <w:hideMark/>
          </w:tcPr>
          <w:p w14:paraId="7BBB1E0D" w14:textId="77777777" w:rsidR="00245CBF" w:rsidRPr="00870621" w:rsidRDefault="00245CBF" w:rsidP="00514011">
            <w:r>
              <w:rPr>
                <w:rFonts w:ascii="Calibri" w:hAnsi="Calibri" w:cs="Calibri"/>
                <w:color w:val="000000"/>
              </w:rPr>
              <w:t>2463.56</w:t>
            </w:r>
          </w:p>
        </w:tc>
        <w:tc>
          <w:tcPr>
            <w:tcW w:w="1285" w:type="dxa"/>
            <w:noWrap/>
            <w:vAlign w:val="bottom"/>
            <w:hideMark/>
          </w:tcPr>
          <w:p w14:paraId="547CDE05" w14:textId="77777777" w:rsidR="00245CBF" w:rsidRPr="00870621" w:rsidRDefault="00245CBF" w:rsidP="00514011">
            <w:r>
              <w:rPr>
                <w:rFonts w:ascii="Calibri" w:hAnsi="Calibri" w:cs="Calibri"/>
                <w:color w:val="000000"/>
              </w:rPr>
              <w:t>2561.93</w:t>
            </w:r>
          </w:p>
        </w:tc>
      </w:tr>
      <w:tr w:rsidR="004940F9" w:rsidRPr="00870621" w14:paraId="40E8E756" w14:textId="77777777" w:rsidTr="004940F9">
        <w:trPr>
          <w:trHeight w:val="288"/>
        </w:trPr>
        <w:tc>
          <w:tcPr>
            <w:tcW w:w="1533" w:type="dxa"/>
            <w:noWrap/>
            <w:hideMark/>
          </w:tcPr>
          <w:p w14:paraId="1C8BD865" w14:textId="77777777" w:rsidR="00245CBF" w:rsidRPr="00870621" w:rsidRDefault="00245CBF" w:rsidP="00514011">
            <w:pPr>
              <w:rPr>
                <w:b/>
                <w:bCs/>
              </w:rPr>
            </w:pPr>
            <w:r w:rsidRPr="00870621">
              <w:rPr>
                <w:b/>
                <w:bCs/>
              </w:rPr>
              <w:t>DBH x WPBR</w:t>
            </w:r>
          </w:p>
        </w:tc>
        <w:tc>
          <w:tcPr>
            <w:tcW w:w="739" w:type="dxa"/>
            <w:noWrap/>
            <w:vAlign w:val="bottom"/>
            <w:hideMark/>
          </w:tcPr>
          <w:p w14:paraId="3BF957E9" w14:textId="77777777" w:rsidR="00245CBF" w:rsidRPr="00870621" w:rsidRDefault="00245CBF" w:rsidP="00514011">
            <w:r>
              <w:rPr>
                <w:rFonts w:ascii="Calibri" w:hAnsi="Calibri" w:cs="Calibri"/>
                <w:color w:val="000000"/>
              </w:rPr>
              <w:t>-0.004</w:t>
            </w:r>
          </w:p>
        </w:tc>
        <w:tc>
          <w:tcPr>
            <w:tcW w:w="1053" w:type="dxa"/>
            <w:noWrap/>
            <w:vAlign w:val="bottom"/>
            <w:hideMark/>
          </w:tcPr>
          <w:p w14:paraId="67AE487A" w14:textId="77777777" w:rsidR="00245CBF" w:rsidRPr="00870621" w:rsidRDefault="00245CBF" w:rsidP="00514011">
            <w:r>
              <w:rPr>
                <w:rFonts w:ascii="Calibri" w:hAnsi="Calibri" w:cs="Calibri"/>
                <w:color w:val="000000"/>
              </w:rPr>
              <w:t>-0.005</w:t>
            </w:r>
          </w:p>
        </w:tc>
        <w:tc>
          <w:tcPr>
            <w:tcW w:w="823" w:type="dxa"/>
            <w:noWrap/>
            <w:vAlign w:val="bottom"/>
            <w:hideMark/>
          </w:tcPr>
          <w:p w14:paraId="241F716C" w14:textId="77777777" w:rsidR="00245CBF" w:rsidRPr="00870621" w:rsidRDefault="00245CBF" w:rsidP="00514011">
            <w:r>
              <w:rPr>
                <w:rFonts w:ascii="Calibri" w:hAnsi="Calibri" w:cs="Calibri"/>
                <w:color w:val="000000"/>
              </w:rPr>
              <w:t>0.005</w:t>
            </w:r>
          </w:p>
        </w:tc>
        <w:tc>
          <w:tcPr>
            <w:tcW w:w="903" w:type="dxa"/>
            <w:noWrap/>
            <w:vAlign w:val="bottom"/>
            <w:hideMark/>
          </w:tcPr>
          <w:p w14:paraId="654F14CC" w14:textId="77777777" w:rsidR="00245CBF" w:rsidRPr="00870621" w:rsidRDefault="00245CBF" w:rsidP="00514011">
            <w:r>
              <w:rPr>
                <w:rFonts w:ascii="Calibri" w:hAnsi="Calibri" w:cs="Calibri"/>
                <w:color w:val="000000"/>
              </w:rPr>
              <w:t>-0.013</w:t>
            </w:r>
          </w:p>
        </w:tc>
        <w:tc>
          <w:tcPr>
            <w:tcW w:w="903" w:type="dxa"/>
            <w:noWrap/>
            <w:vAlign w:val="bottom"/>
            <w:hideMark/>
          </w:tcPr>
          <w:p w14:paraId="25DDCAC6" w14:textId="77777777" w:rsidR="00245CBF" w:rsidRPr="00870621" w:rsidRDefault="00245CBF" w:rsidP="00514011">
            <w:r>
              <w:rPr>
                <w:rFonts w:ascii="Calibri" w:hAnsi="Calibri" w:cs="Calibri"/>
                <w:color w:val="000000"/>
              </w:rPr>
              <w:t>0.004</w:t>
            </w:r>
          </w:p>
        </w:tc>
        <w:tc>
          <w:tcPr>
            <w:tcW w:w="826" w:type="dxa"/>
            <w:noWrap/>
            <w:vAlign w:val="bottom"/>
            <w:hideMark/>
          </w:tcPr>
          <w:p w14:paraId="48B8E0A6" w14:textId="77777777" w:rsidR="00245CBF" w:rsidRPr="00870621" w:rsidRDefault="00245CBF" w:rsidP="00514011">
            <w:r>
              <w:rPr>
                <w:rFonts w:ascii="Calibri" w:hAnsi="Calibri" w:cs="Calibri"/>
                <w:color w:val="000000"/>
              </w:rPr>
              <w:t>1.00</w:t>
            </w:r>
          </w:p>
        </w:tc>
        <w:tc>
          <w:tcPr>
            <w:tcW w:w="1285" w:type="dxa"/>
            <w:noWrap/>
            <w:vAlign w:val="bottom"/>
            <w:hideMark/>
          </w:tcPr>
          <w:p w14:paraId="778F2E85" w14:textId="77777777" w:rsidR="00245CBF" w:rsidRPr="00870621" w:rsidRDefault="00245CBF" w:rsidP="00514011">
            <w:r>
              <w:rPr>
                <w:rFonts w:ascii="Calibri" w:hAnsi="Calibri" w:cs="Calibri"/>
                <w:color w:val="000000"/>
              </w:rPr>
              <w:t>2633.02</w:t>
            </w:r>
          </w:p>
        </w:tc>
        <w:tc>
          <w:tcPr>
            <w:tcW w:w="1285" w:type="dxa"/>
            <w:noWrap/>
            <w:vAlign w:val="bottom"/>
            <w:hideMark/>
          </w:tcPr>
          <w:p w14:paraId="4AF8ABF0" w14:textId="77777777" w:rsidR="00245CBF" w:rsidRPr="00870621" w:rsidRDefault="00245CBF" w:rsidP="00514011">
            <w:r>
              <w:rPr>
                <w:rFonts w:ascii="Calibri" w:hAnsi="Calibri" w:cs="Calibri"/>
                <w:color w:val="000000"/>
              </w:rPr>
              <w:t>2602.77</w:t>
            </w:r>
          </w:p>
        </w:tc>
      </w:tr>
      <w:tr w:rsidR="004940F9" w:rsidRPr="00870621" w14:paraId="4E6C3C3E" w14:textId="77777777" w:rsidTr="004940F9">
        <w:trPr>
          <w:trHeight w:val="288"/>
        </w:trPr>
        <w:tc>
          <w:tcPr>
            <w:tcW w:w="1533" w:type="dxa"/>
            <w:noWrap/>
            <w:hideMark/>
          </w:tcPr>
          <w:p w14:paraId="41FF9D38" w14:textId="77777777" w:rsidR="00245CBF" w:rsidRPr="00870621" w:rsidRDefault="00245CBF" w:rsidP="00514011">
            <w:pPr>
              <w:rPr>
                <w:b/>
                <w:bCs/>
              </w:rPr>
            </w:pPr>
            <w:r w:rsidRPr="00870621">
              <w:rPr>
                <w:b/>
                <w:bCs/>
              </w:rPr>
              <w:t>DBH x BA</w:t>
            </w:r>
          </w:p>
        </w:tc>
        <w:tc>
          <w:tcPr>
            <w:tcW w:w="739" w:type="dxa"/>
            <w:noWrap/>
            <w:vAlign w:val="bottom"/>
            <w:hideMark/>
          </w:tcPr>
          <w:p w14:paraId="063F320F" w14:textId="77777777" w:rsidR="00245CBF" w:rsidRPr="00870621" w:rsidRDefault="00245CBF" w:rsidP="00514011">
            <w:r>
              <w:rPr>
                <w:rFonts w:ascii="Calibri" w:hAnsi="Calibri" w:cs="Calibri"/>
                <w:color w:val="000000"/>
              </w:rPr>
              <w:t>0.002</w:t>
            </w:r>
          </w:p>
        </w:tc>
        <w:tc>
          <w:tcPr>
            <w:tcW w:w="1053" w:type="dxa"/>
            <w:noWrap/>
            <w:vAlign w:val="bottom"/>
            <w:hideMark/>
          </w:tcPr>
          <w:p w14:paraId="41700C37" w14:textId="77777777" w:rsidR="00245CBF" w:rsidRPr="00870621" w:rsidRDefault="00245CBF" w:rsidP="00514011">
            <w:r>
              <w:rPr>
                <w:rFonts w:ascii="Calibri" w:hAnsi="Calibri" w:cs="Calibri"/>
                <w:color w:val="000000"/>
              </w:rPr>
              <w:t>0.002</w:t>
            </w:r>
          </w:p>
        </w:tc>
        <w:tc>
          <w:tcPr>
            <w:tcW w:w="823" w:type="dxa"/>
            <w:noWrap/>
            <w:vAlign w:val="bottom"/>
            <w:hideMark/>
          </w:tcPr>
          <w:p w14:paraId="02917E9D" w14:textId="77777777" w:rsidR="00245CBF" w:rsidRPr="00870621" w:rsidRDefault="00245CBF" w:rsidP="00514011">
            <w:r>
              <w:rPr>
                <w:rFonts w:ascii="Calibri" w:hAnsi="Calibri" w:cs="Calibri"/>
                <w:color w:val="000000"/>
              </w:rPr>
              <w:t>0.002</w:t>
            </w:r>
          </w:p>
        </w:tc>
        <w:tc>
          <w:tcPr>
            <w:tcW w:w="903" w:type="dxa"/>
            <w:noWrap/>
            <w:vAlign w:val="bottom"/>
            <w:hideMark/>
          </w:tcPr>
          <w:p w14:paraId="22B2FE57" w14:textId="77777777" w:rsidR="00245CBF" w:rsidRPr="00870621" w:rsidRDefault="00245CBF" w:rsidP="00514011">
            <w:r>
              <w:rPr>
                <w:rFonts w:ascii="Calibri" w:hAnsi="Calibri" w:cs="Calibri"/>
                <w:color w:val="000000"/>
              </w:rPr>
              <w:t>-0.001</w:t>
            </w:r>
          </w:p>
        </w:tc>
        <w:tc>
          <w:tcPr>
            <w:tcW w:w="903" w:type="dxa"/>
            <w:noWrap/>
            <w:vAlign w:val="bottom"/>
            <w:hideMark/>
          </w:tcPr>
          <w:p w14:paraId="47D41704" w14:textId="77777777" w:rsidR="00245CBF" w:rsidRPr="00870621" w:rsidRDefault="00245CBF" w:rsidP="00514011">
            <w:r>
              <w:rPr>
                <w:rFonts w:ascii="Calibri" w:hAnsi="Calibri" w:cs="Calibri"/>
                <w:color w:val="000000"/>
              </w:rPr>
              <w:t>0.005</w:t>
            </w:r>
          </w:p>
        </w:tc>
        <w:tc>
          <w:tcPr>
            <w:tcW w:w="826" w:type="dxa"/>
            <w:noWrap/>
            <w:vAlign w:val="bottom"/>
            <w:hideMark/>
          </w:tcPr>
          <w:p w14:paraId="2E83C2E8" w14:textId="77777777" w:rsidR="00245CBF" w:rsidRPr="00870621" w:rsidRDefault="00245CBF" w:rsidP="00514011">
            <w:r>
              <w:rPr>
                <w:rFonts w:ascii="Calibri" w:hAnsi="Calibri" w:cs="Calibri"/>
                <w:color w:val="000000"/>
              </w:rPr>
              <w:t>1.00</w:t>
            </w:r>
          </w:p>
        </w:tc>
        <w:tc>
          <w:tcPr>
            <w:tcW w:w="1285" w:type="dxa"/>
            <w:noWrap/>
            <w:vAlign w:val="bottom"/>
            <w:hideMark/>
          </w:tcPr>
          <w:p w14:paraId="0FD8F894" w14:textId="77777777" w:rsidR="00245CBF" w:rsidRPr="00870621" w:rsidRDefault="00245CBF" w:rsidP="00514011">
            <w:r>
              <w:rPr>
                <w:rFonts w:ascii="Calibri" w:hAnsi="Calibri" w:cs="Calibri"/>
                <w:color w:val="000000"/>
              </w:rPr>
              <w:t>3683.91</w:t>
            </w:r>
          </w:p>
        </w:tc>
        <w:tc>
          <w:tcPr>
            <w:tcW w:w="1285" w:type="dxa"/>
            <w:noWrap/>
            <w:vAlign w:val="bottom"/>
            <w:hideMark/>
          </w:tcPr>
          <w:p w14:paraId="11C50562" w14:textId="77777777" w:rsidR="00245CBF" w:rsidRPr="00870621" w:rsidRDefault="00245CBF" w:rsidP="00514011">
            <w:r>
              <w:rPr>
                <w:rFonts w:ascii="Calibri" w:hAnsi="Calibri" w:cs="Calibri"/>
                <w:color w:val="000000"/>
              </w:rPr>
              <w:t>3249.29</w:t>
            </w:r>
          </w:p>
        </w:tc>
      </w:tr>
      <w:tr w:rsidR="004940F9" w:rsidRPr="00870621" w14:paraId="204548DE" w14:textId="77777777" w:rsidTr="004940F9">
        <w:trPr>
          <w:trHeight w:val="288"/>
        </w:trPr>
        <w:tc>
          <w:tcPr>
            <w:tcW w:w="1533" w:type="dxa"/>
            <w:noWrap/>
            <w:hideMark/>
          </w:tcPr>
          <w:p w14:paraId="295006D8" w14:textId="77777777" w:rsidR="00245CBF" w:rsidRPr="00870621" w:rsidRDefault="00245CBF" w:rsidP="00514011">
            <w:pPr>
              <w:rPr>
                <w:b/>
                <w:bCs/>
              </w:rPr>
            </w:pPr>
            <w:r w:rsidRPr="00870621">
              <w:rPr>
                <w:b/>
                <w:bCs/>
              </w:rPr>
              <w:t>DBH x Drought</w:t>
            </w:r>
          </w:p>
        </w:tc>
        <w:tc>
          <w:tcPr>
            <w:tcW w:w="739" w:type="dxa"/>
            <w:noWrap/>
            <w:vAlign w:val="bottom"/>
            <w:hideMark/>
          </w:tcPr>
          <w:p w14:paraId="7E234AA8" w14:textId="77777777" w:rsidR="00245CBF" w:rsidRPr="00870621" w:rsidRDefault="00245CBF" w:rsidP="00514011">
            <w:r>
              <w:rPr>
                <w:rFonts w:ascii="Calibri" w:hAnsi="Calibri" w:cs="Calibri"/>
                <w:color w:val="000000"/>
              </w:rPr>
              <w:t>0.001</w:t>
            </w:r>
          </w:p>
        </w:tc>
        <w:tc>
          <w:tcPr>
            <w:tcW w:w="1053" w:type="dxa"/>
            <w:noWrap/>
            <w:vAlign w:val="bottom"/>
            <w:hideMark/>
          </w:tcPr>
          <w:p w14:paraId="2AF40618" w14:textId="77777777" w:rsidR="00245CBF" w:rsidRPr="00870621" w:rsidRDefault="00245CBF" w:rsidP="00514011">
            <w:r>
              <w:rPr>
                <w:rFonts w:ascii="Calibri" w:hAnsi="Calibri" w:cs="Calibri"/>
                <w:color w:val="000000"/>
              </w:rPr>
              <w:t>0.001</w:t>
            </w:r>
          </w:p>
        </w:tc>
        <w:tc>
          <w:tcPr>
            <w:tcW w:w="823" w:type="dxa"/>
            <w:noWrap/>
            <w:vAlign w:val="bottom"/>
            <w:hideMark/>
          </w:tcPr>
          <w:p w14:paraId="6E9A9252" w14:textId="77777777" w:rsidR="00245CBF" w:rsidRPr="00870621" w:rsidRDefault="00245CBF" w:rsidP="00514011">
            <w:r>
              <w:rPr>
                <w:rFonts w:ascii="Calibri" w:hAnsi="Calibri" w:cs="Calibri"/>
                <w:color w:val="000000"/>
              </w:rPr>
              <w:t>0.002</w:t>
            </w:r>
          </w:p>
        </w:tc>
        <w:tc>
          <w:tcPr>
            <w:tcW w:w="903" w:type="dxa"/>
            <w:noWrap/>
            <w:vAlign w:val="bottom"/>
            <w:hideMark/>
          </w:tcPr>
          <w:p w14:paraId="3AEC3832" w14:textId="77777777" w:rsidR="00245CBF" w:rsidRPr="00870621" w:rsidRDefault="00245CBF" w:rsidP="00514011">
            <w:r>
              <w:rPr>
                <w:rFonts w:ascii="Calibri" w:hAnsi="Calibri" w:cs="Calibri"/>
                <w:color w:val="000000"/>
              </w:rPr>
              <w:t>-0.002</w:t>
            </w:r>
          </w:p>
        </w:tc>
        <w:tc>
          <w:tcPr>
            <w:tcW w:w="903" w:type="dxa"/>
            <w:noWrap/>
            <w:vAlign w:val="bottom"/>
            <w:hideMark/>
          </w:tcPr>
          <w:p w14:paraId="133498EE" w14:textId="77777777" w:rsidR="00245CBF" w:rsidRPr="00870621" w:rsidRDefault="00245CBF" w:rsidP="00514011">
            <w:r>
              <w:rPr>
                <w:rFonts w:ascii="Calibri" w:hAnsi="Calibri" w:cs="Calibri"/>
                <w:color w:val="000000"/>
              </w:rPr>
              <w:t>0.004</w:t>
            </w:r>
          </w:p>
        </w:tc>
        <w:tc>
          <w:tcPr>
            <w:tcW w:w="826" w:type="dxa"/>
            <w:noWrap/>
            <w:vAlign w:val="bottom"/>
            <w:hideMark/>
          </w:tcPr>
          <w:p w14:paraId="63DB8FDE" w14:textId="77777777" w:rsidR="00245CBF" w:rsidRPr="00870621" w:rsidRDefault="00245CBF" w:rsidP="00514011">
            <w:r>
              <w:rPr>
                <w:rFonts w:ascii="Calibri" w:hAnsi="Calibri" w:cs="Calibri"/>
                <w:color w:val="000000"/>
              </w:rPr>
              <w:t>1.00</w:t>
            </w:r>
          </w:p>
        </w:tc>
        <w:tc>
          <w:tcPr>
            <w:tcW w:w="1285" w:type="dxa"/>
            <w:noWrap/>
            <w:vAlign w:val="bottom"/>
            <w:hideMark/>
          </w:tcPr>
          <w:p w14:paraId="792B1455" w14:textId="77777777" w:rsidR="00245CBF" w:rsidRPr="00870621" w:rsidRDefault="00245CBF" w:rsidP="00514011">
            <w:r>
              <w:rPr>
                <w:rFonts w:ascii="Calibri" w:hAnsi="Calibri" w:cs="Calibri"/>
                <w:color w:val="000000"/>
              </w:rPr>
              <w:t>3419.86</w:t>
            </w:r>
          </w:p>
        </w:tc>
        <w:tc>
          <w:tcPr>
            <w:tcW w:w="1285" w:type="dxa"/>
            <w:noWrap/>
            <w:vAlign w:val="bottom"/>
            <w:hideMark/>
          </w:tcPr>
          <w:p w14:paraId="04B7F52C" w14:textId="77777777" w:rsidR="00245CBF" w:rsidRPr="00870621" w:rsidRDefault="00245CBF" w:rsidP="00514011">
            <w:r>
              <w:rPr>
                <w:rFonts w:ascii="Calibri" w:hAnsi="Calibri" w:cs="Calibri"/>
                <w:color w:val="000000"/>
              </w:rPr>
              <w:t>3362.41</w:t>
            </w:r>
          </w:p>
        </w:tc>
      </w:tr>
      <w:tr w:rsidR="004940F9" w:rsidRPr="00870621" w14:paraId="581943A9" w14:textId="77777777" w:rsidTr="004940F9">
        <w:trPr>
          <w:trHeight w:val="288"/>
        </w:trPr>
        <w:tc>
          <w:tcPr>
            <w:tcW w:w="1533" w:type="dxa"/>
            <w:noWrap/>
            <w:hideMark/>
          </w:tcPr>
          <w:p w14:paraId="1D0922C0" w14:textId="77777777" w:rsidR="00245CBF" w:rsidRPr="00870621" w:rsidRDefault="00245CBF" w:rsidP="00514011">
            <w:pPr>
              <w:rPr>
                <w:b/>
                <w:bCs/>
              </w:rPr>
            </w:pPr>
            <w:r w:rsidRPr="00870621">
              <w:rPr>
                <w:b/>
                <w:bCs/>
              </w:rPr>
              <w:t>DBH x Dryness</w:t>
            </w:r>
          </w:p>
        </w:tc>
        <w:tc>
          <w:tcPr>
            <w:tcW w:w="739" w:type="dxa"/>
            <w:noWrap/>
            <w:vAlign w:val="bottom"/>
            <w:hideMark/>
          </w:tcPr>
          <w:p w14:paraId="0286D8C6" w14:textId="77777777" w:rsidR="00245CBF" w:rsidRPr="00870621" w:rsidRDefault="00245CBF" w:rsidP="00514011">
            <w:r>
              <w:rPr>
                <w:rFonts w:ascii="Calibri" w:hAnsi="Calibri" w:cs="Calibri"/>
                <w:color w:val="000000"/>
              </w:rPr>
              <w:t>0.006</w:t>
            </w:r>
          </w:p>
        </w:tc>
        <w:tc>
          <w:tcPr>
            <w:tcW w:w="1053" w:type="dxa"/>
            <w:noWrap/>
            <w:vAlign w:val="bottom"/>
            <w:hideMark/>
          </w:tcPr>
          <w:p w14:paraId="0A36E02D" w14:textId="77777777" w:rsidR="00245CBF" w:rsidRPr="00870621" w:rsidRDefault="00245CBF" w:rsidP="00514011">
            <w:r>
              <w:rPr>
                <w:rFonts w:ascii="Calibri" w:hAnsi="Calibri" w:cs="Calibri"/>
                <w:color w:val="000000"/>
              </w:rPr>
              <w:t>0.006</w:t>
            </w:r>
          </w:p>
        </w:tc>
        <w:tc>
          <w:tcPr>
            <w:tcW w:w="823" w:type="dxa"/>
            <w:noWrap/>
            <w:vAlign w:val="bottom"/>
            <w:hideMark/>
          </w:tcPr>
          <w:p w14:paraId="7642D352" w14:textId="77777777" w:rsidR="00245CBF" w:rsidRPr="00870621" w:rsidRDefault="00245CBF" w:rsidP="00514011">
            <w:r>
              <w:rPr>
                <w:rFonts w:ascii="Calibri" w:hAnsi="Calibri" w:cs="Calibri"/>
                <w:color w:val="000000"/>
              </w:rPr>
              <w:t>0.002</w:t>
            </w:r>
          </w:p>
        </w:tc>
        <w:tc>
          <w:tcPr>
            <w:tcW w:w="903" w:type="dxa"/>
            <w:noWrap/>
            <w:vAlign w:val="bottom"/>
            <w:hideMark/>
          </w:tcPr>
          <w:p w14:paraId="7CB1F1BA" w14:textId="77777777" w:rsidR="00245CBF" w:rsidRPr="00870621" w:rsidRDefault="00245CBF" w:rsidP="00514011">
            <w:r>
              <w:rPr>
                <w:rFonts w:ascii="Calibri" w:hAnsi="Calibri" w:cs="Calibri"/>
                <w:color w:val="000000"/>
              </w:rPr>
              <w:t>0.004</w:t>
            </w:r>
          </w:p>
        </w:tc>
        <w:tc>
          <w:tcPr>
            <w:tcW w:w="903" w:type="dxa"/>
            <w:noWrap/>
            <w:vAlign w:val="bottom"/>
            <w:hideMark/>
          </w:tcPr>
          <w:p w14:paraId="519374B7" w14:textId="77777777" w:rsidR="00245CBF" w:rsidRPr="00870621" w:rsidRDefault="00245CBF" w:rsidP="00514011">
            <w:r>
              <w:rPr>
                <w:rFonts w:ascii="Calibri" w:hAnsi="Calibri" w:cs="Calibri"/>
                <w:color w:val="000000"/>
              </w:rPr>
              <w:t>0.009</w:t>
            </w:r>
          </w:p>
        </w:tc>
        <w:tc>
          <w:tcPr>
            <w:tcW w:w="826" w:type="dxa"/>
            <w:noWrap/>
            <w:vAlign w:val="bottom"/>
            <w:hideMark/>
          </w:tcPr>
          <w:p w14:paraId="20F16BF8" w14:textId="77777777" w:rsidR="00245CBF" w:rsidRPr="00870621" w:rsidRDefault="00245CBF" w:rsidP="00514011">
            <w:r>
              <w:rPr>
                <w:rFonts w:ascii="Calibri" w:hAnsi="Calibri" w:cs="Calibri"/>
                <w:color w:val="000000"/>
              </w:rPr>
              <w:t>1.00</w:t>
            </w:r>
          </w:p>
        </w:tc>
        <w:tc>
          <w:tcPr>
            <w:tcW w:w="1285" w:type="dxa"/>
            <w:noWrap/>
            <w:vAlign w:val="bottom"/>
            <w:hideMark/>
          </w:tcPr>
          <w:p w14:paraId="68C7DA9D" w14:textId="77777777" w:rsidR="00245CBF" w:rsidRPr="00870621" w:rsidRDefault="00245CBF" w:rsidP="00514011">
            <w:r>
              <w:rPr>
                <w:rFonts w:ascii="Calibri" w:hAnsi="Calibri" w:cs="Calibri"/>
                <w:color w:val="000000"/>
              </w:rPr>
              <w:t>3868.52</w:t>
            </w:r>
          </w:p>
        </w:tc>
        <w:tc>
          <w:tcPr>
            <w:tcW w:w="1285" w:type="dxa"/>
            <w:noWrap/>
            <w:vAlign w:val="bottom"/>
            <w:hideMark/>
          </w:tcPr>
          <w:p w14:paraId="561AAADA" w14:textId="77777777" w:rsidR="00245CBF" w:rsidRPr="00870621" w:rsidRDefault="00245CBF" w:rsidP="00514011">
            <w:r>
              <w:rPr>
                <w:rFonts w:ascii="Calibri" w:hAnsi="Calibri" w:cs="Calibri"/>
                <w:color w:val="000000"/>
              </w:rPr>
              <w:t>3515.61</w:t>
            </w:r>
          </w:p>
        </w:tc>
      </w:tr>
      <w:tr w:rsidR="004940F9" w:rsidRPr="00870621" w14:paraId="30D51368" w14:textId="77777777" w:rsidTr="004940F9">
        <w:trPr>
          <w:trHeight w:val="288"/>
        </w:trPr>
        <w:tc>
          <w:tcPr>
            <w:tcW w:w="1533" w:type="dxa"/>
            <w:noWrap/>
            <w:hideMark/>
          </w:tcPr>
          <w:p w14:paraId="5C459BC2" w14:textId="77777777" w:rsidR="00245CBF" w:rsidRPr="00870621" w:rsidRDefault="00245CBF" w:rsidP="00514011">
            <w:pPr>
              <w:rPr>
                <w:b/>
                <w:bCs/>
              </w:rPr>
            </w:pPr>
            <w:r w:rsidRPr="00870621">
              <w:rPr>
                <w:b/>
                <w:bCs/>
              </w:rPr>
              <w:t>SD Plots</w:t>
            </w:r>
          </w:p>
        </w:tc>
        <w:tc>
          <w:tcPr>
            <w:tcW w:w="739" w:type="dxa"/>
            <w:noWrap/>
            <w:vAlign w:val="bottom"/>
            <w:hideMark/>
          </w:tcPr>
          <w:p w14:paraId="75755ADC" w14:textId="77777777" w:rsidR="00245CBF" w:rsidRPr="00870621" w:rsidRDefault="00245CBF" w:rsidP="00514011">
            <w:r>
              <w:rPr>
                <w:rFonts w:ascii="Calibri" w:hAnsi="Calibri" w:cs="Calibri"/>
                <w:color w:val="000000"/>
              </w:rPr>
              <w:t>0.018</w:t>
            </w:r>
          </w:p>
        </w:tc>
        <w:tc>
          <w:tcPr>
            <w:tcW w:w="1053" w:type="dxa"/>
            <w:noWrap/>
            <w:vAlign w:val="bottom"/>
            <w:hideMark/>
          </w:tcPr>
          <w:p w14:paraId="322B8DA7" w14:textId="77777777" w:rsidR="00245CBF" w:rsidRPr="00870621" w:rsidRDefault="00245CBF" w:rsidP="00514011">
            <w:r>
              <w:rPr>
                <w:rFonts w:ascii="Calibri" w:hAnsi="Calibri" w:cs="Calibri"/>
                <w:color w:val="000000"/>
              </w:rPr>
              <w:t>0.018</w:t>
            </w:r>
          </w:p>
        </w:tc>
        <w:tc>
          <w:tcPr>
            <w:tcW w:w="823" w:type="dxa"/>
            <w:noWrap/>
            <w:vAlign w:val="bottom"/>
            <w:hideMark/>
          </w:tcPr>
          <w:p w14:paraId="4BE61084" w14:textId="77777777" w:rsidR="00245CBF" w:rsidRPr="00870621" w:rsidRDefault="00245CBF" w:rsidP="00514011">
            <w:r>
              <w:rPr>
                <w:rFonts w:ascii="Calibri" w:hAnsi="Calibri" w:cs="Calibri"/>
                <w:color w:val="000000"/>
              </w:rPr>
              <w:t>0.001</w:t>
            </w:r>
          </w:p>
        </w:tc>
        <w:tc>
          <w:tcPr>
            <w:tcW w:w="903" w:type="dxa"/>
            <w:noWrap/>
            <w:vAlign w:val="bottom"/>
            <w:hideMark/>
          </w:tcPr>
          <w:p w14:paraId="5414716B" w14:textId="77777777" w:rsidR="00245CBF" w:rsidRPr="00870621" w:rsidRDefault="00245CBF" w:rsidP="00514011">
            <w:r>
              <w:rPr>
                <w:rFonts w:ascii="Calibri" w:hAnsi="Calibri" w:cs="Calibri"/>
                <w:color w:val="000000"/>
              </w:rPr>
              <w:t>0.017</w:t>
            </w:r>
          </w:p>
        </w:tc>
        <w:tc>
          <w:tcPr>
            <w:tcW w:w="903" w:type="dxa"/>
            <w:noWrap/>
            <w:vAlign w:val="bottom"/>
            <w:hideMark/>
          </w:tcPr>
          <w:p w14:paraId="2F4FEB11" w14:textId="77777777" w:rsidR="00245CBF" w:rsidRPr="00870621" w:rsidRDefault="00245CBF" w:rsidP="00514011">
            <w:r>
              <w:rPr>
                <w:rFonts w:ascii="Calibri" w:hAnsi="Calibri" w:cs="Calibri"/>
                <w:color w:val="000000"/>
              </w:rPr>
              <w:t>0.019</w:t>
            </w:r>
          </w:p>
        </w:tc>
        <w:tc>
          <w:tcPr>
            <w:tcW w:w="826" w:type="dxa"/>
            <w:noWrap/>
            <w:vAlign w:val="bottom"/>
            <w:hideMark/>
          </w:tcPr>
          <w:p w14:paraId="27F9B2CF" w14:textId="77777777" w:rsidR="00245CBF" w:rsidRPr="00870621" w:rsidRDefault="00245CBF" w:rsidP="00514011">
            <w:r>
              <w:rPr>
                <w:rFonts w:ascii="Calibri" w:hAnsi="Calibri" w:cs="Calibri"/>
                <w:color w:val="000000"/>
              </w:rPr>
              <w:t>1.00</w:t>
            </w:r>
          </w:p>
        </w:tc>
        <w:tc>
          <w:tcPr>
            <w:tcW w:w="1285" w:type="dxa"/>
            <w:noWrap/>
            <w:vAlign w:val="bottom"/>
            <w:hideMark/>
          </w:tcPr>
          <w:p w14:paraId="314D7B8D" w14:textId="77777777" w:rsidR="00245CBF" w:rsidRPr="00870621" w:rsidRDefault="00245CBF" w:rsidP="00514011">
            <w:r>
              <w:rPr>
                <w:rFonts w:ascii="Calibri" w:hAnsi="Calibri" w:cs="Calibri"/>
                <w:color w:val="000000"/>
              </w:rPr>
              <w:t>1162.46</w:t>
            </w:r>
          </w:p>
        </w:tc>
        <w:tc>
          <w:tcPr>
            <w:tcW w:w="1285" w:type="dxa"/>
            <w:noWrap/>
            <w:vAlign w:val="bottom"/>
            <w:hideMark/>
          </w:tcPr>
          <w:p w14:paraId="0489AD96" w14:textId="77777777" w:rsidR="00245CBF" w:rsidRPr="00870621" w:rsidRDefault="00245CBF" w:rsidP="00514011">
            <w:r>
              <w:rPr>
                <w:rFonts w:ascii="Calibri" w:hAnsi="Calibri" w:cs="Calibri"/>
                <w:color w:val="000000"/>
              </w:rPr>
              <w:t>2109.90</w:t>
            </w:r>
          </w:p>
        </w:tc>
      </w:tr>
      <w:tr w:rsidR="004940F9" w:rsidRPr="00870621" w14:paraId="3650C9BB" w14:textId="77777777" w:rsidTr="004940F9">
        <w:trPr>
          <w:trHeight w:val="288"/>
        </w:trPr>
        <w:tc>
          <w:tcPr>
            <w:tcW w:w="1533" w:type="dxa"/>
            <w:noWrap/>
            <w:hideMark/>
          </w:tcPr>
          <w:p w14:paraId="7956544B" w14:textId="77777777" w:rsidR="00245CBF" w:rsidRPr="00870621" w:rsidRDefault="00245CBF" w:rsidP="00514011">
            <w:pPr>
              <w:rPr>
                <w:b/>
                <w:bCs/>
              </w:rPr>
            </w:pPr>
            <w:r w:rsidRPr="00870621">
              <w:rPr>
                <w:b/>
                <w:bCs/>
              </w:rPr>
              <w:t>SD Ecoregions</w:t>
            </w:r>
          </w:p>
        </w:tc>
        <w:tc>
          <w:tcPr>
            <w:tcW w:w="739" w:type="dxa"/>
            <w:noWrap/>
            <w:vAlign w:val="bottom"/>
            <w:hideMark/>
          </w:tcPr>
          <w:p w14:paraId="7FECC770" w14:textId="77777777" w:rsidR="00245CBF" w:rsidRPr="00870621" w:rsidRDefault="00245CBF" w:rsidP="00514011">
            <w:r>
              <w:rPr>
                <w:rFonts w:ascii="Calibri" w:hAnsi="Calibri" w:cs="Calibri"/>
                <w:color w:val="000000"/>
              </w:rPr>
              <w:t>0.012</w:t>
            </w:r>
          </w:p>
        </w:tc>
        <w:tc>
          <w:tcPr>
            <w:tcW w:w="1053" w:type="dxa"/>
            <w:noWrap/>
            <w:vAlign w:val="bottom"/>
            <w:hideMark/>
          </w:tcPr>
          <w:p w14:paraId="39AC202E" w14:textId="77777777" w:rsidR="00245CBF" w:rsidRPr="00870621" w:rsidRDefault="00245CBF" w:rsidP="00514011">
            <w:r>
              <w:rPr>
                <w:rFonts w:ascii="Calibri" w:hAnsi="Calibri" w:cs="Calibri"/>
                <w:color w:val="000000"/>
              </w:rPr>
              <w:t>0.012</w:t>
            </w:r>
          </w:p>
        </w:tc>
        <w:tc>
          <w:tcPr>
            <w:tcW w:w="823" w:type="dxa"/>
            <w:noWrap/>
            <w:vAlign w:val="bottom"/>
            <w:hideMark/>
          </w:tcPr>
          <w:p w14:paraId="1B5B4E5E" w14:textId="77777777" w:rsidR="00245CBF" w:rsidRPr="00870621" w:rsidRDefault="00245CBF" w:rsidP="00514011">
            <w:r>
              <w:rPr>
                <w:rFonts w:ascii="Calibri" w:hAnsi="Calibri" w:cs="Calibri"/>
                <w:color w:val="000000"/>
              </w:rPr>
              <w:t>0.002</w:t>
            </w:r>
          </w:p>
        </w:tc>
        <w:tc>
          <w:tcPr>
            <w:tcW w:w="903" w:type="dxa"/>
            <w:noWrap/>
            <w:vAlign w:val="bottom"/>
            <w:hideMark/>
          </w:tcPr>
          <w:p w14:paraId="18DA34D5" w14:textId="77777777" w:rsidR="00245CBF" w:rsidRPr="00870621" w:rsidRDefault="00245CBF" w:rsidP="00514011">
            <w:r>
              <w:rPr>
                <w:rFonts w:ascii="Calibri" w:hAnsi="Calibri" w:cs="Calibri"/>
                <w:color w:val="000000"/>
              </w:rPr>
              <w:t>0.009</w:t>
            </w:r>
          </w:p>
        </w:tc>
        <w:tc>
          <w:tcPr>
            <w:tcW w:w="903" w:type="dxa"/>
            <w:noWrap/>
            <w:vAlign w:val="bottom"/>
            <w:hideMark/>
          </w:tcPr>
          <w:p w14:paraId="06298A34" w14:textId="77777777" w:rsidR="00245CBF" w:rsidRPr="00870621" w:rsidRDefault="00245CBF" w:rsidP="00514011">
            <w:r>
              <w:rPr>
                <w:rFonts w:ascii="Calibri" w:hAnsi="Calibri" w:cs="Calibri"/>
                <w:color w:val="000000"/>
              </w:rPr>
              <w:t>0.015</w:t>
            </w:r>
          </w:p>
        </w:tc>
        <w:tc>
          <w:tcPr>
            <w:tcW w:w="826" w:type="dxa"/>
            <w:noWrap/>
            <w:vAlign w:val="bottom"/>
            <w:hideMark/>
          </w:tcPr>
          <w:p w14:paraId="02A79090" w14:textId="77777777" w:rsidR="00245CBF" w:rsidRPr="00870621" w:rsidRDefault="00245CBF" w:rsidP="00514011">
            <w:r>
              <w:rPr>
                <w:rFonts w:ascii="Calibri" w:hAnsi="Calibri" w:cs="Calibri"/>
                <w:color w:val="000000"/>
              </w:rPr>
              <w:t>1.00</w:t>
            </w:r>
          </w:p>
        </w:tc>
        <w:tc>
          <w:tcPr>
            <w:tcW w:w="1285" w:type="dxa"/>
            <w:noWrap/>
            <w:vAlign w:val="bottom"/>
            <w:hideMark/>
          </w:tcPr>
          <w:p w14:paraId="7161831B" w14:textId="77777777" w:rsidR="00245CBF" w:rsidRPr="00870621" w:rsidRDefault="00245CBF" w:rsidP="00514011">
            <w:r>
              <w:rPr>
                <w:rFonts w:ascii="Calibri" w:hAnsi="Calibri" w:cs="Calibri"/>
                <w:color w:val="000000"/>
              </w:rPr>
              <w:t>935.99</w:t>
            </w:r>
          </w:p>
        </w:tc>
        <w:tc>
          <w:tcPr>
            <w:tcW w:w="1285" w:type="dxa"/>
            <w:noWrap/>
            <w:vAlign w:val="bottom"/>
            <w:hideMark/>
          </w:tcPr>
          <w:p w14:paraId="44EF95C0" w14:textId="77777777" w:rsidR="00245CBF" w:rsidRPr="00870621" w:rsidRDefault="00245CBF" w:rsidP="00514011">
            <w:r>
              <w:rPr>
                <w:rFonts w:ascii="Calibri" w:hAnsi="Calibri" w:cs="Calibri"/>
                <w:color w:val="000000"/>
              </w:rPr>
              <w:t>1395.57</w:t>
            </w:r>
          </w:p>
        </w:tc>
      </w:tr>
      <w:tr w:rsidR="004940F9" w:rsidRPr="00870621" w14:paraId="43B4E864" w14:textId="77777777" w:rsidTr="004940F9">
        <w:trPr>
          <w:trHeight w:val="288"/>
        </w:trPr>
        <w:tc>
          <w:tcPr>
            <w:tcW w:w="1533" w:type="dxa"/>
            <w:noWrap/>
            <w:hideMark/>
          </w:tcPr>
          <w:p w14:paraId="5457E2C0" w14:textId="77777777" w:rsidR="00245CBF" w:rsidRPr="00870621" w:rsidRDefault="00245CBF" w:rsidP="00514011">
            <w:pPr>
              <w:rPr>
                <w:b/>
                <w:bCs/>
              </w:rPr>
            </w:pPr>
            <w:r w:rsidRPr="00870621">
              <w:rPr>
                <w:b/>
                <w:bCs/>
              </w:rPr>
              <w:t>SD Residual</w:t>
            </w:r>
          </w:p>
        </w:tc>
        <w:tc>
          <w:tcPr>
            <w:tcW w:w="739" w:type="dxa"/>
            <w:noWrap/>
            <w:vAlign w:val="bottom"/>
            <w:hideMark/>
          </w:tcPr>
          <w:p w14:paraId="4AA2B518" w14:textId="77777777" w:rsidR="00245CBF" w:rsidRPr="00870621" w:rsidRDefault="00245CBF" w:rsidP="00514011">
            <w:r>
              <w:rPr>
                <w:rFonts w:ascii="Calibri" w:hAnsi="Calibri" w:cs="Calibri"/>
                <w:color w:val="000000"/>
              </w:rPr>
              <w:t>0.022</w:t>
            </w:r>
          </w:p>
        </w:tc>
        <w:tc>
          <w:tcPr>
            <w:tcW w:w="1053" w:type="dxa"/>
            <w:noWrap/>
            <w:vAlign w:val="bottom"/>
            <w:hideMark/>
          </w:tcPr>
          <w:p w14:paraId="5F0A2F49" w14:textId="77777777" w:rsidR="00245CBF" w:rsidRPr="00870621" w:rsidRDefault="00245CBF" w:rsidP="00514011">
            <w:r>
              <w:rPr>
                <w:rFonts w:ascii="Calibri" w:hAnsi="Calibri" w:cs="Calibri"/>
                <w:color w:val="000000"/>
              </w:rPr>
              <w:t>0.022</w:t>
            </w:r>
          </w:p>
        </w:tc>
        <w:tc>
          <w:tcPr>
            <w:tcW w:w="823" w:type="dxa"/>
            <w:noWrap/>
            <w:vAlign w:val="bottom"/>
            <w:hideMark/>
          </w:tcPr>
          <w:p w14:paraId="24C4EDFF" w14:textId="77777777" w:rsidR="00245CBF" w:rsidRPr="00870621" w:rsidRDefault="00245CBF" w:rsidP="00514011">
            <w:r>
              <w:rPr>
                <w:rFonts w:ascii="Calibri" w:hAnsi="Calibri" w:cs="Calibri"/>
                <w:color w:val="000000"/>
              </w:rPr>
              <w:t>0.000</w:t>
            </w:r>
          </w:p>
        </w:tc>
        <w:tc>
          <w:tcPr>
            <w:tcW w:w="903" w:type="dxa"/>
            <w:noWrap/>
            <w:vAlign w:val="bottom"/>
            <w:hideMark/>
          </w:tcPr>
          <w:p w14:paraId="31EB0762" w14:textId="77777777" w:rsidR="00245CBF" w:rsidRPr="00870621" w:rsidRDefault="00245CBF" w:rsidP="00514011">
            <w:r>
              <w:rPr>
                <w:rFonts w:ascii="Calibri" w:hAnsi="Calibri" w:cs="Calibri"/>
                <w:color w:val="000000"/>
              </w:rPr>
              <w:t>0.021</w:t>
            </w:r>
          </w:p>
        </w:tc>
        <w:tc>
          <w:tcPr>
            <w:tcW w:w="903" w:type="dxa"/>
            <w:noWrap/>
            <w:vAlign w:val="bottom"/>
            <w:hideMark/>
          </w:tcPr>
          <w:p w14:paraId="208719D6" w14:textId="77777777" w:rsidR="00245CBF" w:rsidRPr="00870621" w:rsidRDefault="00245CBF" w:rsidP="00514011">
            <w:r>
              <w:rPr>
                <w:rFonts w:ascii="Calibri" w:hAnsi="Calibri" w:cs="Calibri"/>
                <w:color w:val="000000"/>
              </w:rPr>
              <w:t>0.022</w:t>
            </w:r>
          </w:p>
        </w:tc>
        <w:tc>
          <w:tcPr>
            <w:tcW w:w="826" w:type="dxa"/>
            <w:noWrap/>
            <w:vAlign w:val="bottom"/>
            <w:hideMark/>
          </w:tcPr>
          <w:p w14:paraId="79F6FB68" w14:textId="77777777" w:rsidR="00245CBF" w:rsidRPr="00870621" w:rsidRDefault="00245CBF" w:rsidP="00514011">
            <w:r>
              <w:rPr>
                <w:rFonts w:ascii="Calibri" w:hAnsi="Calibri" w:cs="Calibri"/>
                <w:color w:val="000000"/>
              </w:rPr>
              <w:t>1.00</w:t>
            </w:r>
          </w:p>
        </w:tc>
        <w:tc>
          <w:tcPr>
            <w:tcW w:w="1285" w:type="dxa"/>
            <w:noWrap/>
            <w:vAlign w:val="bottom"/>
            <w:hideMark/>
          </w:tcPr>
          <w:p w14:paraId="1317CEBA" w14:textId="77777777" w:rsidR="00245CBF" w:rsidRPr="00870621" w:rsidRDefault="00245CBF" w:rsidP="00514011">
            <w:r>
              <w:rPr>
                <w:rFonts w:ascii="Calibri" w:hAnsi="Calibri" w:cs="Calibri"/>
                <w:color w:val="000000"/>
              </w:rPr>
              <w:t>2054.00</w:t>
            </w:r>
          </w:p>
        </w:tc>
        <w:tc>
          <w:tcPr>
            <w:tcW w:w="1285" w:type="dxa"/>
            <w:noWrap/>
            <w:vAlign w:val="bottom"/>
            <w:hideMark/>
          </w:tcPr>
          <w:p w14:paraId="1362787C" w14:textId="77777777" w:rsidR="00245CBF" w:rsidRPr="00870621" w:rsidRDefault="00245CBF" w:rsidP="00514011">
            <w:pPr>
              <w:keepNext/>
            </w:pPr>
            <w:r>
              <w:rPr>
                <w:rFonts w:ascii="Calibri" w:hAnsi="Calibri" w:cs="Calibri"/>
                <w:color w:val="000000"/>
              </w:rPr>
              <w:t>2747.82</w:t>
            </w:r>
          </w:p>
        </w:tc>
      </w:tr>
    </w:tbl>
    <w:p w14:paraId="0E4418C7" w14:textId="77777777" w:rsidR="00245CBF" w:rsidRDefault="00245CBF" w:rsidP="00245CBF">
      <w:pPr>
        <w:pStyle w:val="Caption"/>
      </w:pPr>
      <w:bookmarkStart w:id="75" w:name="_Ref94609644"/>
      <w:r>
        <w:t xml:space="preserve">Table </w:t>
      </w:r>
      <w:r w:rsidR="007B669E">
        <w:fldChar w:fldCharType="begin"/>
      </w:r>
      <w:r w:rsidR="007B669E">
        <w:instrText xml:space="preserve"> SEQ Table \* ARABIC </w:instrText>
      </w:r>
      <w:r w:rsidR="007B669E">
        <w:fldChar w:fldCharType="separate"/>
      </w:r>
      <w:r>
        <w:rPr>
          <w:noProof/>
        </w:rPr>
        <w:t>2</w:t>
      </w:r>
      <w:r w:rsidR="007B669E">
        <w:rPr>
          <w:noProof/>
        </w:rPr>
        <w:fldChar w:fldCharType="end"/>
      </w:r>
      <w:bookmarkEnd w:id="75"/>
      <w:r>
        <w:t>: Summary of results for growth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490DDBD7" w14:textId="77777777" w:rsidR="00245CBF" w:rsidRDefault="00245CBF">
      <w:r>
        <w:br w:type="page"/>
      </w:r>
    </w:p>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245CBF" w:rsidRPr="00870621" w14:paraId="3BF289FB" w14:textId="77777777" w:rsidTr="00514011">
        <w:trPr>
          <w:trHeight w:val="288"/>
        </w:trPr>
        <w:tc>
          <w:tcPr>
            <w:tcW w:w="1354" w:type="dxa"/>
            <w:noWrap/>
            <w:vAlign w:val="bottom"/>
            <w:hideMark/>
          </w:tcPr>
          <w:p w14:paraId="17C62EE6" w14:textId="77777777" w:rsidR="00245CBF" w:rsidRPr="008727D0" w:rsidRDefault="00245CBF" w:rsidP="00514011">
            <w:pPr>
              <w:rPr>
                <w:b/>
                <w:bCs/>
              </w:rPr>
            </w:pPr>
            <w:r w:rsidRPr="00E92F0B">
              <w:rPr>
                <w:rFonts w:ascii="Calibri" w:hAnsi="Calibri" w:cs="Calibri"/>
                <w:b/>
                <w:bCs/>
                <w:color w:val="000000"/>
              </w:rPr>
              <w:lastRenderedPageBreak/>
              <w:t>Parameter</w:t>
            </w:r>
          </w:p>
        </w:tc>
        <w:tc>
          <w:tcPr>
            <w:tcW w:w="960" w:type="dxa"/>
            <w:noWrap/>
            <w:vAlign w:val="bottom"/>
            <w:hideMark/>
          </w:tcPr>
          <w:p w14:paraId="2901ED05" w14:textId="77777777" w:rsidR="00245CBF" w:rsidRPr="008727D0" w:rsidRDefault="00245CBF" w:rsidP="00514011">
            <w:pPr>
              <w:rPr>
                <w:b/>
                <w:bCs/>
              </w:rPr>
            </w:pPr>
            <w:r w:rsidRPr="00E92F0B">
              <w:rPr>
                <w:rFonts w:ascii="Calibri" w:hAnsi="Calibri" w:cs="Calibri"/>
                <w:b/>
                <w:bCs/>
                <w:color w:val="000000"/>
              </w:rPr>
              <w:t>Mean</w:t>
            </w:r>
          </w:p>
        </w:tc>
        <w:tc>
          <w:tcPr>
            <w:tcW w:w="960" w:type="dxa"/>
            <w:noWrap/>
            <w:vAlign w:val="bottom"/>
            <w:hideMark/>
          </w:tcPr>
          <w:p w14:paraId="49EEACE3" w14:textId="77777777" w:rsidR="00245CBF" w:rsidRPr="008727D0" w:rsidRDefault="00245CBF" w:rsidP="00514011">
            <w:pPr>
              <w:rPr>
                <w:b/>
                <w:bCs/>
              </w:rPr>
            </w:pPr>
            <w:r w:rsidRPr="00E92F0B">
              <w:rPr>
                <w:rFonts w:ascii="Calibri" w:hAnsi="Calibri" w:cs="Calibri"/>
                <w:b/>
                <w:bCs/>
                <w:color w:val="000000"/>
              </w:rPr>
              <w:t>Median</w:t>
            </w:r>
          </w:p>
        </w:tc>
        <w:tc>
          <w:tcPr>
            <w:tcW w:w="960" w:type="dxa"/>
            <w:noWrap/>
            <w:vAlign w:val="bottom"/>
            <w:hideMark/>
          </w:tcPr>
          <w:p w14:paraId="646B52A9" w14:textId="77777777" w:rsidR="00245CBF" w:rsidRPr="008727D0" w:rsidRDefault="00245CBF" w:rsidP="00514011">
            <w:pPr>
              <w:rPr>
                <w:b/>
                <w:bCs/>
              </w:rPr>
            </w:pPr>
            <w:proofErr w:type="spellStart"/>
            <w:r w:rsidRPr="00E92F0B">
              <w:rPr>
                <w:rFonts w:ascii="Calibri" w:hAnsi="Calibri" w:cs="Calibri"/>
                <w:b/>
                <w:bCs/>
                <w:color w:val="000000"/>
              </w:rPr>
              <w:t>StDev</w:t>
            </w:r>
            <w:proofErr w:type="spellEnd"/>
          </w:p>
        </w:tc>
        <w:tc>
          <w:tcPr>
            <w:tcW w:w="960" w:type="dxa"/>
            <w:noWrap/>
            <w:vAlign w:val="bottom"/>
            <w:hideMark/>
          </w:tcPr>
          <w:p w14:paraId="044F0134" w14:textId="77777777" w:rsidR="00245CBF" w:rsidRPr="008727D0" w:rsidRDefault="00245CBF" w:rsidP="00514011">
            <w:pPr>
              <w:rPr>
                <w:b/>
                <w:bCs/>
              </w:rPr>
            </w:pPr>
            <w:r w:rsidRPr="00E92F0B">
              <w:rPr>
                <w:rFonts w:ascii="Calibri" w:hAnsi="Calibri" w:cs="Calibri"/>
                <w:b/>
                <w:bCs/>
                <w:color w:val="000000"/>
              </w:rPr>
              <w:t>q5</w:t>
            </w:r>
          </w:p>
        </w:tc>
        <w:tc>
          <w:tcPr>
            <w:tcW w:w="960" w:type="dxa"/>
            <w:noWrap/>
            <w:vAlign w:val="bottom"/>
            <w:hideMark/>
          </w:tcPr>
          <w:p w14:paraId="65EDD944" w14:textId="77777777" w:rsidR="00245CBF" w:rsidRPr="008727D0" w:rsidRDefault="00245CBF" w:rsidP="00514011">
            <w:pPr>
              <w:rPr>
                <w:b/>
                <w:bCs/>
              </w:rPr>
            </w:pPr>
            <w:r w:rsidRPr="00E92F0B">
              <w:rPr>
                <w:rFonts w:ascii="Calibri" w:hAnsi="Calibri" w:cs="Calibri"/>
                <w:b/>
                <w:bCs/>
                <w:color w:val="000000"/>
              </w:rPr>
              <w:t>q95</w:t>
            </w:r>
          </w:p>
        </w:tc>
        <w:tc>
          <w:tcPr>
            <w:tcW w:w="960" w:type="dxa"/>
            <w:noWrap/>
            <w:vAlign w:val="bottom"/>
            <w:hideMark/>
          </w:tcPr>
          <w:p w14:paraId="70B4FA70" w14:textId="77777777" w:rsidR="00245CBF" w:rsidRPr="008727D0" w:rsidRDefault="00245CBF" w:rsidP="00514011">
            <w:pPr>
              <w:rPr>
                <w:b/>
                <w:bCs/>
              </w:rPr>
            </w:pPr>
            <w:proofErr w:type="spellStart"/>
            <w:r w:rsidRPr="00E92F0B">
              <w:rPr>
                <w:rFonts w:ascii="Calibri" w:hAnsi="Calibri" w:cs="Calibri"/>
                <w:b/>
                <w:bCs/>
                <w:color w:val="000000"/>
              </w:rPr>
              <w:t>rhat</w:t>
            </w:r>
            <w:proofErr w:type="spellEnd"/>
          </w:p>
        </w:tc>
        <w:tc>
          <w:tcPr>
            <w:tcW w:w="1008" w:type="dxa"/>
            <w:noWrap/>
            <w:vAlign w:val="bottom"/>
            <w:hideMark/>
          </w:tcPr>
          <w:p w14:paraId="69F89ABD" w14:textId="77777777" w:rsidR="00245CBF" w:rsidRPr="008727D0" w:rsidRDefault="00245CBF" w:rsidP="00514011">
            <w:pPr>
              <w:rPr>
                <w:b/>
                <w:bCs/>
              </w:rPr>
            </w:pPr>
            <w:proofErr w:type="spellStart"/>
            <w:r w:rsidRPr="00E92F0B">
              <w:rPr>
                <w:rFonts w:ascii="Calibri" w:hAnsi="Calibri" w:cs="Calibri"/>
                <w:b/>
                <w:bCs/>
                <w:color w:val="000000"/>
              </w:rPr>
              <w:t>ess_bulk</w:t>
            </w:r>
            <w:proofErr w:type="spellEnd"/>
          </w:p>
        </w:tc>
        <w:tc>
          <w:tcPr>
            <w:tcW w:w="960" w:type="dxa"/>
            <w:noWrap/>
            <w:vAlign w:val="bottom"/>
            <w:hideMark/>
          </w:tcPr>
          <w:p w14:paraId="01552ED6" w14:textId="77777777" w:rsidR="00245CBF" w:rsidRPr="008727D0" w:rsidRDefault="00245CBF" w:rsidP="00514011">
            <w:pPr>
              <w:rPr>
                <w:b/>
                <w:bCs/>
              </w:rPr>
            </w:pPr>
            <w:proofErr w:type="spellStart"/>
            <w:r w:rsidRPr="00E92F0B">
              <w:rPr>
                <w:rFonts w:ascii="Calibri" w:hAnsi="Calibri" w:cs="Calibri"/>
                <w:b/>
                <w:bCs/>
                <w:color w:val="000000"/>
              </w:rPr>
              <w:t>ess_tail</w:t>
            </w:r>
            <w:proofErr w:type="spellEnd"/>
          </w:p>
        </w:tc>
      </w:tr>
      <w:tr w:rsidR="00245CBF" w:rsidRPr="00870621" w14:paraId="0956D216" w14:textId="77777777" w:rsidTr="00514011">
        <w:trPr>
          <w:trHeight w:val="288"/>
        </w:trPr>
        <w:tc>
          <w:tcPr>
            <w:tcW w:w="1354" w:type="dxa"/>
            <w:noWrap/>
            <w:vAlign w:val="bottom"/>
            <w:hideMark/>
          </w:tcPr>
          <w:p w14:paraId="62A42B8A" w14:textId="77777777" w:rsidR="00245CBF" w:rsidRPr="008727D0" w:rsidRDefault="00245CBF" w:rsidP="00514011">
            <w:pPr>
              <w:rPr>
                <w:b/>
                <w:bCs/>
              </w:rPr>
            </w:pPr>
            <w:r w:rsidRPr="00E92F0B">
              <w:rPr>
                <w:rFonts w:ascii="Calibri" w:hAnsi="Calibri" w:cs="Calibri"/>
                <w:b/>
                <w:bCs/>
                <w:color w:val="000000"/>
              </w:rPr>
              <w:t>Intercept</w:t>
            </w:r>
          </w:p>
        </w:tc>
        <w:tc>
          <w:tcPr>
            <w:tcW w:w="960" w:type="dxa"/>
            <w:noWrap/>
            <w:vAlign w:val="bottom"/>
            <w:hideMark/>
          </w:tcPr>
          <w:p w14:paraId="4F272BC4" w14:textId="77777777" w:rsidR="00245CBF" w:rsidRPr="00870621" w:rsidRDefault="00245CBF" w:rsidP="00514011">
            <w:r>
              <w:rPr>
                <w:rFonts w:ascii="Calibri" w:hAnsi="Calibri" w:cs="Calibri"/>
                <w:color w:val="000000"/>
              </w:rPr>
              <w:t>-3.65</w:t>
            </w:r>
          </w:p>
        </w:tc>
        <w:tc>
          <w:tcPr>
            <w:tcW w:w="960" w:type="dxa"/>
            <w:noWrap/>
            <w:vAlign w:val="bottom"/>
            <w:hideMark/>
          </w:tcPr>
          <w:p w14:paraId="2CC6E7DA" w14:textId="77777777" w:rsidR="00245CBF" w:rsidRPr="00870621" w:rsidRDefault="00245CBF" w:rsidP="00514011">
            <w:r>
              <w:rPr>
                <w:rFonts w:ascii="Calibri" w:hAnsi="Calibri" w:cs="Calibri"/>
                <w:color w:val="000000"/>
              </w:rPr>
              <w:t>-3.63</w:t>
            </w:r>
          </w:p>
        </w:tc>
        <w:tc>
          <w:tcPr>
            <w:tcW w:w="960" w:type="dxa"/>
            <w:noWrap/>
            <w:vAlign w:val="bottom"/>
            <w:hideMark/>
          </w:tcPr>
          <w:p w14:paraId="65B97461" w14:textId="77777777" w:rsidR="00245CBF" w:rsidRPr="00870621" w:rsidRDefault="00245CBF" w:rsidP="00514011">
            <w:r>
              <w:rPr>
                <w:rFonts w:ascii="Calibri" w:hAnsi="Calibri" w:cs="Calibri"/>
                <w:color w:val="000000"/>
              </w:rPr>
              <w:t>0.39</w:t>
            </w:r>
          </w:p>
        </w:tc>
        <w:tc>
          <w:tcPr>
            <w:tcW w:w="960" w:type="dxa"/>
            <w:noWrap/>
            <w:vAlign w:val="bottom"/>
            <w:hideMark/>
          </w:tcPr>
          <w:p w14:paraId="16B29371" w14:textId="77777777" w:rsidR="00245CBF" w:rsidRPr="00870621" w:rsidRDefault="00245CBF" w:rsidP="00514011">
            <w:r>
              <w:rPr>
                <w:rFonts w:ascii="Calibri" w:hAnsi="Calibri" w:cs="Calibri"/>
                <w:color w:val="000000"/>
              </w:rPr>
              <w:t>-4.32</w:t>
            </w:r>
          </w:p>
        </w:tc>
        <w:tc>
          <w:tcPr>
            <w:tcW w:w="960" w:type="dxa"/>
            <w:noWrap/>
            <w:vAlign w:val="bottom"/>
            <w:hideMark/>
          </w:tcPr>
          <w:p w14:paraId="5BCF2699" w14:textId="77777777" w:rsidR="00245CBF" w:rsidRPr="00870621" w:rsidRDefault="00245CBF" w:rsidP="00514011">
            <w:r>
              <w:rPr>
                <w:rFonts w:ascii="Calibri" w:hAnsi="Calibri" w:cs="Calibri"/>
                <w:color w:val="000000"/>
              </w:rPr>
              <w:t>-3.01</w:t>
            </w:r>
          </w:p>
        </w:tc>
        <w:tc>
          <w:tcPr>
            <w:tcW w:w="960" w:type="dxa"/>
            <w:noWrap/>
            <w:vAlign w:val="bottom"/>
            <w:hideMark/>
          </w:tcPr>
          <w:p w14:paraId="35089F8A" w14:textId="77777777" w:rsidR="00245CBF" w:rsidRPr="00870621" w:rsidRDefault="00245CBF" w:rsidP="00514011">
            <w:r>
              <w:rPr>
                <w:rFonts w:ascii="Calibri" w:hAnsi="Calibri" w:cs="Calibri"/>
                <w:color w:val="000000"/>
              </w:rPr>
              <w:t>1.00</w:t>
            </w:r>
          </w:p>
        </w:tc>
        <w:tc>
          <w:tcPr>
            <w:tcW w:w="1008" w:type="dxa"/>
            <w:noWrap/>
            <w:vAlign w:val="bottom"/>
            <w:hideMark/>
          </w:tcPr>
          <w:p w14:paraId="26DD3073" w14:textId="77777777" w:rsidR="00245CBF" w:rsidRPr="00870621" w:rsidRDefault="00245CBF" w:rsidP="00514011">
            <w:r>
              <w:rPr>
                <w:rFonts w:ascii="Calibri" w:hAnsi="Calibri" w:cs="Calibri"/>
                <w:color w:val="000000"/>
              </w:rPr>
              <w:t>1457.36</w:t>
            </w:r>
          </w:p>
        </w:tc>
        <w:tc>
          <w:tcPr>
            <w:tcW w:w="960" w:type="dxa"/>
            <w:noWrap/>
            <w:vAlign w:val="bottom"/>
            <w:hideMark/>
          </w:tcPr>
          <w:p w14:paraId="0E9871EA" w14:textId="77777777" w:rsidR="00245CBF" w:rsidRPr="00870621" w:rsidRDefault="00245CBF" w:rsidP="00514011">
            <w:r>
              <w:rPr>
                <w:rFonts w:ascii="Calibri" w:hAnsi="Calibri" w:cs="Calibri"/>
                <w:color w:val="000000"/>
              </w:rPr>
              <w:t>1998.09</w:t>
            </w:r>
          </w:p>
        </w:tc>
      </w:tr>
      <w:tr w:rsidR="00245CBF" w:rsidRPr="00870621" w14:paraId="2859CD06" w14:textId="77777777" w:rsidTr="00514011">
        <w:trPr>
          <w:trHeight w:val="288"/>
        </w:trPr>
        <w:tc>
          <w:tcPr>
            <w:tcW w:w="1354" w:type="dxa"/>
            <w:noWrap/>
            <w:vAlign w:val="bottom"/>
            <w:hideMark/>
          </w:tcPr>
          <w:p w14:paraId="62C652AF" w14:textId="77777777" w:rsidR="00245CBF" w:rsidRPr="008727D0" w:rsidRDefault="00245CBF" w:rsidP="00514011">
            <w:pPr>
              <w:rPr>
                <w:b/>
                <w:bCs/>
              </w:rPr>
            </w:pPr>
            <w:r w:rsidRPr="00E92F0B">
              <w:rPr>
                <w:rFonts w:ascii="Calibri" w:hAnsi="Calibri" w:cs="Calibri"/>
                <w:b/>
                <w:bCs/>
                <w:color w:val="000000"/>
              </w:rPr>
              <w:t>DBH (m)</w:t>
            </w:r>
          </w:p>
        </w:tc>
        <w:tc>
          <w:tcPr>
            <w:tcW w:w="960" w:type="dxa"/>
            <w:noWrap/>
            <w:vAlign w:val="bottom"/>
            <w:hideMark/>
          </w:tcPr>
          <w:p w14:paraId="6D5EE25B" w14:textId="77777777" w:rsidR="00245CBF" w:rsidRPr="00870621" w:rsidRDefault="00245CBF" w:rsidP="00514011">
            <w:r>
              <w:rPr>
                <w:rFonts w:ascii="Calibri" w:hAnsi="Calibri" w:cs="Calibri"/>
                <w:color w:val="000000"/>
              </w:rPr>
              <w:t>4.38</w:t>
            </w:r>
          </w:p>
        </w:tc>
        <w:tc>
          <w:tcPr>
            <w:tcW w:w="960" w:type="dxa"/>
            <w:noWrap/>
            <w:vAlign w:val="bottom"/>
            <w:hideMark/>
          </w:tcPr>
          <w:p w14:paraId="6C1EB4A4" w14:textId="77777777" w:rsidR="00245CBF" w:rsidRPr="00870621" w:rsidRDefault="00245CBF" w:rsidP="00514011">
            <w:r>
              <w:rPr>
                <w:rFonts w:ascii="Calibri" w:hAnsi="Calibri" w:cs="Calibri"/>
                <w:color w:val="000000"/>
              </w:rPr>
              <w:t>4.38</w:t>
            </w:r>
          </w:p>
        </w:tc>
        <w:tc>
          <w:tcPr>
            <w:tcW w:w="960" w:type="dxa"/>
            <w:noWrap/>
            <w:vAlign w:val="bottom"/>
            <w:hideMark/>
          </w:tcPr>
          <w:p w14:paraId="7104F3E2" w14:textId="77777777" w:rsidR="00245CBF" w:rsidRPr="00870621" w:rsidRDefault="00245CBF" w:rsidP="00514011">
            <w:r>
              <w:rPr>
                <w:rFonts w:ascii="Calibri" w:hAnsi="Calibri" w:cs="Calibri"/>
                <w:color w:val="000000"/>
              </w:rPr>
              <w:t>0.68</w:t>
            </w:r>
          </w:p>
        </w:tc>
        <w:tc>
          <w:tcPr>
            <w:tcW w:w="960" w:type="dxa"/>
            <w:noWrap/>
            <w:vAlign w:val="bottom"/>
            <w:hideMark/>
          </w:tcPr>
          <w:p w14:paraId="660D0C20" w14:textId="77777777" w:rsidR="00245CBF" w:rsidRPr="00870621" w:rsidRDefault="00245CBF" w:rsidP="00514011">
            <w:r>
              <w:rPr>
                <w:rFonts w:ascii="Calibri" w:hAnsi="Calibri" w:cs="Calibri"/>
                <w:color w:val="000000"/>
              </w:rPr>
              <w:t>3.28</w:t>
            </w:r>
          </w:p>
        </w:tc>
        <w:tc>
          <w:tcPr>
            <w:tcW w:w="960" w:type="dxa"/>
            <w:noWrap/>
            <w:vAlign w:val="bottom"/>
            <w:hideMark/>
          </w:tcPr>
          <w:p w14:paraId="1D971E8A" w14:textId="77777777" w:rsidR="00245CBF" w:rsidRPr="00870621" w:rsidRDefault="00245CBF" w:rsidP="00514011">
            <w:r>
              <w:rPr>
                <w:rFonts w:ascii="Calibri" w:hAnsi="Calibri" w:cs="Calibri"/>
                <w:color w:val="000000"/>
              </w:rPr>
              <w:t>5.52</w:t>
            </w:r>
          </w:p>
        </w:tc>
        <w:tc>
          <w:tcPr>
            <w:tcW w:w="960" w:type="dxa"/>
            <w:noWrap/>
            <w:vAlign w:val="bottom"/>
            <w:hideMark/>
          </w:tcPr>
          <w:p w14:paraId="497B51B9" w14:textId="77777777" w:rsidR="00245CBF" w:rsidRPr="00870621" w:rsidRDefault="00245CBF" w:rsidP="00514011">
            <w:r>
              <w:rPr>
                <w:rFonts w:ascii="Calibri" w:hAnsi="Calibri" w:cs="Calibri"/>
                <w:color w:val="000000"/>
              </w:rPr>
              <w:t>1.00</w:t>
            </w:r>
          </w:p>
        </w:tc>
        <w:tc>
          <w:tcPr>
            <w:tcW w:w="1008" w:type="dxa"/>
            <w:noWrap/>
            <w:vAlign w:val="bottom"/>
            <w:hideMark/>
          </w:tcPr>
          <w:p w14:paraId="1AFB0BE3" w14:textId="77777777" w:rsidR="00245CBF" w:rsidRPr="00870621" w:rsidRDefault="00245CBF" w:rsidP="00514011">
            <w:r>
              <w:rPr>
                <w:rFonts w:ascii="Calibri" w:hAnsi="Calibri" w:cs="Calibri"/>
                <w:color w:val="000000"/>
              </w:rPr>
              <w:t>1452.09</w:t>
            </w:r>
          </w:p>
        </w:tc>
        <w:tc>
          <w:tcPr>
            <w:tcW w:w="960" w:type="dxa"/>
            <w:noWrap/>
            <w:vAlign w:val="bottom"/>
            <w:hideMark/>
          </w:tcPr>
          <w:p w14:paraId="2C03C999" w14:textId="77777777" w:rsidR="00245CBF" w:rsidRPr="00870621" w:rsidRDefault="00245CBF" w:rsidP="00514011">
            <w:r>
              <w:rPr>
                <w:rFonts w:ascii="Calibri" w:hAnsi="Calibri" w:cs="Calibri"/>
                <w:color w:val="000000"/>
              </w:rPr>
              <w:t>1771.06</w:t>
            </w:r>
          </w:p>
        </w:tc>
      </w:tr>
      <w:tr w:rsidR="00245CBF" w:rsidRPr="00870621" w14:paraId="3CA3B22A" w14:textId="77777777" w:rsidTr="00514011">
        <w:trPr>
          <w:trHeight w:val="288"/>
        </w:trPr>
        <w:tc>
          <w:tcPr>
            <w:tcW w:w="1354" w:type="dxa"/>
            <w:noWrap/>
            <w:vAlign w:val="bottom"/>
            <w:hideMark/>
          </w:tcPr>
          <w:p w14:paraId="181B1BE0" w14:textId="77777777" w:rsidR="00245CBF" w:rsidRPr="008727D0" w:rsidRDefault="00245CBF" w:rsidP="00514011">
            <w:pPr>
              <w:rPr>
                <w:b/>
                <w:bCs/>
              </w:rPr>
            </w:pPr>
            <w:r w:rsidRPr="00E92F0B">
              <w:rPr>
                <w:rFonts w:ascii="Calibri" w:hAnsi="Calibri" w:cs="Calibri"/>
                <w:b/>
                <w:bCs/>
                <w:color w:val="000000"/>
              </w:rPr>
              <w:t>DBH^2 (m)</w:t>
            </w:r>
          </w:p>
        </w:tc>
        <w:tc>
          <w:tcPr>
            <w:tcW w:w="960" w:type="dxa"/>
            <w:noWrap/>
            <w:vAlign w:val="bottom"/>
            <w:hideMark/>
          </w:tcPr>
          <w:p w14:paraId="630918CB" w14:textId="77777777" w:rsidR="00245CBF" w:rsidRPr="00870621" w:rsidRDefault="00245CBF" w:rsidP="00514011">
            <w:r>
              <w:rPr>
                <w:rFonts w:ascii="Calibri" w:hAnsi="Calibri" w:cs="Calibri"/>
                <w:color w:val="000000"/>
              </w:rPr>
              <w:t>-1.27</w:t>
            </w:r>
          </w:p>
        </w:tc>
        <w:tc>
          <w:tcPr>
            <w:tcW w:w="960" w:type="dxa"/>
            <w:noWrap/>
            <w:vAlign w:val="bottom"/>
            <w:hideMark/>
          </w:tcPr>
          <w:p w14:paraId="6F091B54" w14:textId="77777777" w:rsidR="00245CBF" w:rsidRPr="00870621" w:rsidRDefault="00245CBF" w:rsidP="00514011">
            <w:r>
              <w:rPr>
                <w:rFonts w:ascii="Calibri" w:hAnsi="Calibri" w:cs="Calibri"/>
                <w:color w:val="000000"/>
              </w:rPr>
              <w:t>-1.27</w:t>
            </w:r>
          </w:p>
        </w:tc>
        <w:tc>
          <w:tcPr>
            <w:tcW w:w="960" w:type="dxa"/>
            <w:noWrap/>
            <w:vAlign w:val="bottom"/>
            <w:hideMark/>
          </w:tcPr>
          <w:p w14:paraId="4B6A61D2" w14:textId="77777777" w:rsidR="00245CBF" w:rsidRPr="00870621" w:rsidRDefault="00245CBF" w:rsidP="00514011">
            <w:r>
              <w:rPr>
                <w:rFonts w:ascii="Calibri" w:hAnsi="Calibri" w:cs="Calibri"/>
                <w:color w:val="000000"/>
              </w:rPr>
              <w:t>0.29</w:t>
            </w:r>
          </w:p>
        </w:tc>
        <w:tc>
          <w:tcPr>
            <w:tcW w:w="960" w:type="dxa"/>
            <w:noWrap/>
            <w:vAlign w:val="bottom"/>
            <w:hideMark/>
          </w:tcPr>
          <w:p w14:paraId="4B379C51" w14:textId="77777777" w:rsidR="00245CBF" w:rsidRPr="00870621" w:rsidRDefault="00245CBF" w:rsidP="00514011">
            <w:r>
              <w:rPr>
                <w:rFonts w:ascii="Calibri" w:hAnsi="Calibri" w:cs="Calibri"/>
                <w:color w:val="000000"/>
              </w:rPr>
              <w:t>-1.75</w:t>
            </w:r>
          </w:p>
        </w:tc>
        <w:tc>
          <w:tcPr>
            <w:tcW w:w="960" w:type="dxa"/>
            <w:noWrap/>
            <w:vAlign w:val="bottom"/>
            <w:hideMark/>
          </w:tcPr>
          <w:p w14:paraId="2F749FE6" w14:textId="77777777" w:rsidR="00245CBF" w:rsidRPr="00870621" w:rsidRDefault="00245CBF" w:rsidP="00514011">
            <w:r>
              <w:rPr>
                <w:rFonts w:ascii="Calibri" w:hAnsi="Calibri" w:cs="Calibri"/>
                <w:color w:val="000000"/>
              </w:rPr>
              <w:t>-0.80</w:t>
            </w:r>
          </w:p>
        </w:tc>
        <w:tc>
          <w:tcPr>
            <w:tcW w:w="960" w:type="dxa"/>
            <w:noWrap/>
            <w:vAlign w:val="bottom"/>
            <w:hideMark/>
          </w:tcPr>
          <w:p w14:paraId="2827178B" w14:textId="77777777" w:rsidR="00245CBF" w:rsidRPr="00870621" w:rsidRDefault="00245CBF" w:rsidP="00514011">
            <w:r>
              <w:rPr>
                <w:rFonts w:ascii="Calibri" w:hAnsi="Calibri" w:cs="Calibri"/>
                <w:color w:val="000000"/>
              </w:rPr>
              <w:t>1.00</w:t>
            </w:r>
          </w:p>
        </w:tc>
        <w:tc>
          <w:tcPr>
            <w:tcW w:w="1008" w:type="dxa"/>
            <w:noWrap/>
            <w:vAlign w:val="bottom"/>
            <w:hideMark/>
          </w:tcPr>
          <w:p w14:paraId="7EBEF2EE" w14:textId="77777777" w:rsidR="00245CBF" w:rsidRPr="00870621" w:rsidRDefault="00245CBF" w:rsidP="00514011">
            <w:r>
              <w:rPr>
                <w:rFonts w:ascii="Calibri" w:hAnsi="Calibri" w:cs="Calibri"/>
                <w:color w:val="000000"/>
              </w:rPr>
              <w:t>1638.78</w:t>
            </w:r>
          </w:p>
        </w:tc>
        <w:tc>
          <w:tcPr>
            <w:tcW w:w="960" w:type="dxa"/>
            <w:noWrap/>
            <w:vAlign w:val="bottom"/>
            <w:hideMark/>
          </w:tcPr>
          <w:p w14:paraId="7E7A8094" w14:textId="77777777" w:rsidR="00245CBF" w:rsidRPr="00870621" w:rsidRDefault="00245CBF" w:rsidP="00514011">
            <w:r>
              <w:rPr>
                <w:rFonts w:ascii="Calibri" w:hAnsi="Calibri" w:cs="Calibri"/>
                <w:color w:val="000000"/>
              </w:rPr>
              <w:t>2025.90</w:t>
            </w:r>
          </w:p>
        </w:tc>
      </w:tr>
      <w:tr w:rsidR="00245CBF" w:rsidRPr="00870621" w14:paraId="01026377" w14:textId="77777777" w:rsidTr="00514011">
        <w:trPr>
          <w:trHeight w:val="288"/>
        </w:trPr>
        <w:tc>
          <w:tcPr>
            <w:tcW w:w="1354" w:type="dxa"/>
            <w:noWrap/>
            <w:vAlign w:val="bottom"/>
            <w:hideMark/>
          </w:tcPr>
          <w:p w14:paraId="6EF6CD99" w14:textId="77777777" w:rsidR="00245CBF" w:rsidRPr="008727D0" w:rsidRDefault="00245CBF" w:rsidP="00514011">
            <w:pPr>
              <w:rPr>
                <w:b/>
                <w:bCs/>
              </w:rPr>
            </w:pPr>
            <w:r w:rsidRPr="00E92F0B">
              <w:rPr>
                <w:rFonts w:ascii="Calibri" w:hAnsi="Calibri" w:cs="Calibri"/>
                <w:b/>
                <w:bCs/>
                <w:color w:val="000000"/>
              </w:rPr>
              <w:t>Fire</w:t>
            </w:r>
          </w:p>
        </w:tc>
        <w:tc>
          <w:tcPr>
            <w:tcW w:w="960" w:type="dxa"/>
            <w:noWrap/>
            <w:vAlign w:val="bottom"/>
            <w:hideMark/>
          </w:tcPr>
          <w:p w14:paraId="0D3A4658" w14:textId="77777777" w:rsidR="00245CBF" w:rsidRPr="00870621" w:rsidRDefault="00245CBF" w:rsidP="00514011">
            <w:r>
              <w:rPr>
                <w:rFonts w:ascii="Calibri" w:hAnsi="Calibri" w:cs="Calibri"/>
                <w:color w:val="000000"/>
              </w:rPr>
              <w:t>-0.27</w:t>
            </w:r>
          </w:p>
        </w:tc>
        <w:tc>
          <w:tcPr>
            <w:tcW w:w="960" w:type="dxa"/>
            <w:noWrap/>
            <w:vAlign w:val="bottom"/>
            <w:hideMark/>
          </w:tcPr>
          <w:p w14:paraId="0FA956D8" w14:textId="77777777" w:rsidR="00245CBF" w:rsidRPr="00870621" w:rsidRDefault="00245CBF" w:rsidP="00514011">
            <w:r>
              <w:rPr>
                <w:rFonts w:ascii="Calibri" w:hAnsi="Calibri" w:cs="Calibri"/>
                <w:color w:val="000000"/>
              </w:rPr>
              <w:t>-0.20</w:t>
            </w:r>
          </w:p>
        </w:tc>
        <w:tc>
          <w:tcPr>
            <w:tcW w:w="960" w:type="dxa"/>
            <w:noWrap/>
            <w:vAlign w:val="bottom"/>
            <w:hideMark/>
          </w:tcPr>
          <w:p w14:paraId="6E754AC6" w14:textId="77777777" w:rsidR="00245CBF" w:rsidRPr="00870621" w:rsidRDefault="00245CBF" w:rsidP="00514011">
            <w:r>
              <w:rPr>
                <w:rFonts w:ascii="Calibri" w:hAnsi="Calibri" w:cs="Calibri"/>
                <w:color w:val="000000"/>
              </w:rPr>
              <w:t>1.02</w:t>
            </w:r>
          </w:p>
        </w:tc>
        <w:tc>
          <w:tcPr>
            <w:tcW w:w="960" w:type="dxa"/>
            <w:noWrap/>
            <w:vAlign w:val="bottom"/>
            <w:hideMark/>
          </w:tcPr>
          <w:p w14:paraId="24C27183" w14:textId="77777777" w:rsidR="00245CBF" w:rsidRPr="00870621" w:rsidRDefault="00245CBF" w:rsidP="00514011">
            <w:r>
              <w:rPr>
                <w:rFonts w:ascii="Calibri" w:hAnsi="Calibri" w:cs="Calibri"/>
                <w:color w:val="000000"/>
              </w:rPr>
              <w:t>-2.03</w:t>
            </w:r>
          </w:p>
        </w:tc>
        <w:tc>
          <w:tcPr>
            <w:tcW w:w="960" w:type="dxa"/>
            <w:noWrap/>
            <w:vAlign w:val="bottom"/>
            <w:hideMark/>
          </w:tcPr>
          <w:p w14:paraId="52897180" w14:textId="77777777" w:rsidR="00245CBF" w:rsidRPr="00870621" w:rsidRDefault="00245CBF" w:rsidP="00514011">
            <w:r>
              <w:rPr>
                <w:rFonts w:ascii="Calibri" w:hAnsi="Calibri" w:cs="Calibri"/>
                <w:color w:val="000000"/>
              </w:rPr>
              <w:t>1.30</w:t>
            </w:r>
          </w:p>
        </w:tc>
        <w:tc>
          <w:tcPr>
            <w:tcW w:w="960" w:type="dxa"/>
            <w:noWrap/>
            <w:vAlign w:val="bottom"/>
            <w:hideMark/>
          </w:tcPr>
          <w:p w14:paraId="7DD41D34" w14:textId="77777777" w:rsidR="00245CBF" w:rsidRPr="00870621" w:rsidRDefault="00245CBF" w:rsidP="00514011">
            <w:r>
              <w:rPr>
                <w:rFonts w:ascii="Calibri" w:hAnsi="Calibri" w:cs="Calibri"/>
                <w:color w:val="000000"/>
              </w:rPr>
              <w:t>1.00</w:t>
            </w:r>
          </w:p>
        </w:tc>
        <w:tc>
          <w:tcPr>
            <w:tcW w:w="1008" w:type="dxa"/>
            <w:noWrap/>
            <w:vAlign w:val="bottom"/>
            <w:hideMark/>
          </w:tcPr>
          <w:p w14:paraId="4D714EB3" w14:textId="77777777" w:rsidR="00245CBF" w:rsidRPr="00870621" w:rsidRDefault="00245CBF" w:rsidP="00514011">
            <w:r>
              <w:rPr>
                <w:rFonts w:ascii="Calibri" w:hAnsi="Calibri" w:cs="Calibri"/>
                <w:color w:val="000000"/>
              </w:rPr>
              <w:t>1798.17</w:t>
            </w:r>
          </w:p>
        </w:tc>
        <w:tc>
          <w:tcPr>
            <w:tcW w:w="960" w:type="dxa"/>
            <w:noWrap/>
            <w:vAlign w:val="bottom"/>
            <w:hideMark/>
          </w:tcPr>
          <w:p w14:paraId="0EE4F7C8" w14:textId="77777777" w:rsidR="00245CBF" w:rsidRPr="00870621" w:rsidRDefault="00245CBF" w:rsidP="00514011">
            <w:r>
              <w:rPr>
                <w:rFonts w:ascii="Calibri" w:hAnsi="Calibri" w:cs="Calibri"/>
                <w:color w:val="000000"/>
              </w:rPr>
              <w:t>2444.86</w:t>
            </w:r>
          </w:p>
        </w:tc>
      </w:tr>
      <w:tr w:rsidR="00245CBF" w:rsidRPr="00870621" w14:paraId="743F2DB6" w14:textId="77777777" w:rsidTr="00514011">
        <w:trPr>
          <w:trHeight w:val="288"/>
        </w:trPr>
        <w:tc>
          <w:tcPr>
            <w:tcW w:w="1354" w:type="dxa"/>
            <w:noWrap/>
            <w:vAlign w:val="bottom"/>
            <w:hideMark/>
          </w:tcPr>
          <w:p w14:paraId="53AE7B5C" w14:textId="77777777" w:rsidR="00245CBF" w:rsidRPr="008727D0" w:rsidRDefault="00245CBF" w:rsidP="00514011">
            <w:pPr>
              <w:rPr>
                <w:b/>
                <w:bCs/>
              </w:rPr>
            </w:pPr>
            <w:r w:rsidRPr="00E92F0B">
              <w:rPr>
                <w:rFonts w:ascii="Calibri" w:hAnsi="Calibri" w:cs="Calibri"/>
                <w:b/>
                <w:bCs/>
                <w:color w:val="000000"/>
              </w:rPr>
              <w:t>WPBR</w:t>
            </w:r>
          </w:p>
        </w:tc>
        <w:tc>
          <w:tcPr>
            <w:tcW w:w="960" w:type="dxa"/>
            <w:noWrap/>
            <w:vAlign w:val="bottom"/>
            <w:hideMark/>
          </w:tcPr>
          <w:p w14:paraId="67BF5BED" w14:textId="77777777" w:rsidR="00245CBF" w:rsidRPr="00870621" w:rsidRDefault="00245CBF" w:rsidP="00514011">
            <w:r>
              <w:rPr>
                <w:rFonts w:ascii="Calibri" w:hAnsi="Calibri" w:cs="Calibri"/>
                <w:color w:val="000000"/>
              </w:rPr>
              <w:t>-2.14</w:t>
            </w:r>
          </w:p>
        </w:tc>
        <w:tc>
          <w:tcPr>
            <w:tcW w:w="960" w:type="dxa"/>
            <w:noWrap/>
            <w:vAlign w:val="bottom"/>
            <w:hideMark/>
          </w:tcPr>
          <w:p w14:paraId="333680CB" w14:textId="77777777" w:rsidR="00245CBF" w:rsidRPr="00870621" w:rsidRDefault="00245CBF" w:rsidP="00514011">
            <w:r>
              <w:rPr>
                <w:rFonts w:ascii="Calibri" w:hAnsi="Calibri" w:cs="Calibri"/>
                <w:color w:val="000000"/>
              </w:rPr>
              <w:t>-2.08</w:t>
            </w:r>
          </w:p>
        </w:tc>
        <w:tc>
          <w:tcPr>
            <w:tcW w:w="960" w:type="dxa"/>
            <w:noWrap/>
            <w:vAlign w:val="bottom"/>
            <w:hideMark/>
          </w:tcPr>
          <w:p w14:paraId="4CF7C296" w14:textId="77777777" w:rsidR="00245CBF" w:rsidRPr="00870621" w:rsidRDefault="00245CBF" w:rsidP="00514011">
            <w:r>
              <w:rPr>
                <w:rFonts w:ascii="Calibri" w:hAnsi="Calibri" w:cs="Calibri"/>
                <w:color w:val="000000"/>
              </w:rPr>
              <w:t>1.45</w:t>
            </w:r>
          </w:p>
        </w:tc>
        <w:tc>
          <w:tcPr>
            <w:tcW w:w="960" w:type="dxa"/>
            <w:noWrap/>
            <w:vAlign w:val="bottom"/>
            <w:hideMark/>
          </w:tcPr>
          <w:p w14:paraId="57F0E256" w14:textId="77777777" w:rsidR="00245CBF" w:rsidRPr="00870621" w:rsidRDefault="00245CBF" w:rsidP="00514011">
            <w:r>
              <w:rPr>
                <w:rFonts w:ascii="Calibri" w:hAnsi="Calibri" w:cs="Calibri"/>
                <w:color w:val="000000"/>
              </w:rPr>
              <w:t>-4.67</w:t>
            </w:r>
          </w:p>
        </w:tc>
        <w:tc>
          <w:tcPr>
            <w:tcW w:w="960" w:type="dxa"/>
            <w:noWrap/>
            <w:vAlign w:val="bottom"/>
            <w:hideMark/>
          </w:tcPr>
          <w:p w14:paraId="4F27E205" w14:textId="77777777" w:rsidR="00245CBF" w:rsidRPr="00870621" w:rsidRDefault="00245CBF" w:rsidP="00514011">
            <w:r>
              <w:rPr>
                <w:rFonts w:ascii="Calibri" w:hAnsi="Calibri" w:cs="Calibri"/>
                <w:color w:val="000000"/>
              </w:rPr>
              <w:t>0.13</w:t>
            </w:r>
          </w:p>
        </w:tc>
        <w:tc>
          <w:tcPr>
            <w:tcW w:w="960" w:type="dxa"/>
            <w:noWrap/>
            <w:vAlign w:val="bottom"/>
            <w:hideMark/>
          </w:tcPr>
          <w:p w14:paraId="4816BF6B" w14:textId="77777777" w:rsidR="00245CBF" w:rsidRPr="00870621" w:rsidRDefault="00245CBF" w:rsidP="00514011">
            <w:r>
              <w:rPr>
                <w:rFonts w:ascii="Calibri" w:hAnsi="Calibri" w:cs="Calibri"/>
                <w:color w:val="000000"/>
              </w:rPr>
              <w:t>1.00</w:t>
            </w:r>
          </w:p>
        </w:tc>
        <w:tc>
          <w:tcPr>
            <w:tcW w:w="1008" w:type="dxa"/>
            <w:noWrap/>
            <w:vAlign w:val="bottom"/>
            <w:hideMark/>
          </w:tcPr>
          <w:p w14:paraId="2BBA5167" w14:textId="77777777" w:rsidR="00245CBF" w:rsidRPr="00870621" w:rsidRDefault="00245CBF" w:rsidP="00514011">
            <w:r>
              <w:rPr>
                <w:rFonts w:ascii="Calibri" w:hAnsi="Calibri" w:cs="Calibri"/>
                <w:color w:val="000000"/>
              </w:rPr>
              <w:t>2005.95</w:t>
            </w:r>
          </w:p>
        </w:tc>
        <w:tc>
          <w:tcPr>
            <w:tcW w:w="960" w:type="dxa"/>
            <w:noWrap/>
            <w:vAlign w:val="bottom"/>
            <w:hideMark/>
          </w:tcPr>
          <w:p w14:paraId="25D1949E" w14:textId="77777777" w:rsidR="00245CBF" w:rsidRPr="00870621" w:rsidRDefault="00245CBF" w:rsidP="00514011">
            <w:r>
              <w:rPr>
                <w:rFonts w:ascii="Calibri" w:hAnsi="Calibri" w:cs="Calibri"/>
                <w:color w:val="000000"/>
              </w:rPr>
              <w:t>1710.63</w:t>
            </w:r>
          </w:p>
        </w:tc>
      </w:tr>
      <w:tr w:rsidR="00245CBF" w:rsidRPr="00870621" w14:paraId="075E91C0" w14:textId="77777777" w:rsidTr="00514011">
        <w:trPr>
          <w:trHeight w:val="288"/>
        </w:trPr>
        <w:tc>
          <w:tcPr>
            <w:tcW w:w="1354" w:type="dxa"/>
            <w:noWrap/>
            <w:vAlign w:val="bottom"/>
            <w:hideMark/>
          </w:tcPr>
          <w:p w14:paraId="36C9A7CA" w14:textId="77777777" w:rsidR="00245CBF" w:rsidRPr="008727D0" w:rsidRDefault="00245CBF" w:rsidP="00514011">
            <w:pPr>
              <w:rPr>
                <w:b/>
                <w:bCs/>
              </w:rPr>
            </w:pPr>
            <w:r w:rsidRPr="00E92F0B">
              <w:rPr>
                <w:rFonts w:ascii="Calibri" w:hAnsi="Calibri" w:cs="Calibri"/>
                <w:b/>
                <w:bCs/>
                <w:color w:val="000000"/>
              </w:rPr>
              <w:t>Basal Area</w:t>
            </w:r>
          </w:p>
        </w:tc>
        <w:tc>
          <w:tcPr>
            <w:tcW w:w="960" w:type="dxa"/>
            <w:noWrap/>
            <w:vAlign w:val="bottom"/>
            <w:hideMark/>
          </w:tcPr>
          <w:p w14:paraId="7136AFD8" w14:textId="77777777" w:rsidR="00245CBF" w:rsidRPr="00870621" w:rsidRDefault="00245CBF" w:rsidP="00514011">
            <w:r>
              <w:rPr>
                <w:rFonts w:ascii="Calibri" w:hAnsi="Calibri" w:cs="Calibri"/>
                <w:color w:val="000000"/>
              </w:rPr>
              <w:t>0.40</w:t>
            </w:r>
          </w:p>
        </w:tc>
        <w:tc>
          <w:tcPr>
            <w:tcW w:w="960" w:type="dxa"/>
            <w:noWrap/>
            <w:vAlign w:val="bottom"/>
            <w:hideMark/>
          </w:tcPr>
          <w:p w14:paraId="5A04EBE6" w14:textId="77777777" w:rsidR="00245CBF" w:rsidRPr="00870621" w:rsidRDefault="00245CBF" w:rsidP="00514011">
            <w:r>
              <w:rPr>
                <w:rFonts w:ascii="Calibri" w:hAnsi="Calibri" w:cs="Calibri"/>
                <w:color w:val="000000"/>
              </w:rPr>
              <w:t>0.40</w:t>
            </w:r>
          </w:p>
        </w:tc>
        <w:tc>
          <w:tcPr>
            <w:tcW w:w="960" w:type="dxa"/>
            <w:noWrap/>
            <w:vAlign w:val="bottom"/>
            <w:hideMark/>
          </w:tcPr>
          <w:p w14:paraId="09DACF45" w14:textId="77777777" w:rsidR="00245CBF" w:rsidRPr="00870621" w:rsidRDefault="00245CBF" w:rsidP="00514011">
            <w:r>
              <w:rPr>
                <w:rFonts w:ascii="Calibri" w:hAnsi="Calibri" w:cs="Calibri"/>
                <w:color w:val="000000"/>
              </w:rPr>
              <w:t>0.31</w:t>
            </w:r>
          </w:p>
        </w:tc>
        <w:tc>
          <w:tcPr>
            <w:tcW w:w="960" w:type="dxa"/>
            <w:noWrap/>
            <w:vAlign w:val="bottom"/>
            <w:hideMark/>
          </w:tcPr>
          <w:p w14:paraId="2A4E2F15" w14:textId="77777777" w:rsidR="00245CBF" w:rsidRPr="00870621" w:rsidRDefault="00245CBF" w:rsidP="00514011">
            <w:r>
              <w:rPr>
                <w:rFonts w:ascii="Calibri" w:hAnsi="Calibri" w:cs="Calibri"/>
                <w:color w:val="000000"/>
              </w:rPr>
              <w:t>-0.10</w:t>
            </w:r>
          </w:p>
        </w:tc>
        <w:tc>
          <w:tcPr>
            <w:tcW w:w="960" w:type="dxa"/>
            <w:noWrap/>
            <w:vAlign w:val="bottom"/>
            <w:hideMark/>
          </w:tcPr>
          <w:p w14:paraId="14710821" w14:textId="77777777" w:rsidR="00245CBF" w:rsidRPr="00870621" w:rsidRDefault="00245CBF" w:rsidP="00514011">
            <w:r>
              <w:rPr>
                <w:rFonts w:ascii="Calibri" w:hAnsi="Calibri" w:cs="Calibri"/>
                <w:color w:val="000000"/>
              </w:rPr>
              <w:t>0.93</w:t>
            </w:r>
          </w:p>
        </w:tc>
        <w:tc>
          <w:tcPr>
            <w:tcW w:w="960" w:type="dxa"/>
            <w:noWrap/>
            <w:vAlign w:val="bottom"/>
            <w:hideMark/>
          </w:tcPr>
          <w:p w14:paraId="4F51A91D" w14:textId="77777777" w:rsidR="00245CBF" w:rsidRPr="00870621" w:rsidRDefault="00245CBF" w:rsidP="00514011">
            <w:r>
              <w:rPr>
                <w:rFonts w:ascii="Calibri" w:hAnsi="Calibri" w:cs="Calibri"/>
                <w:color w:val="000000"/>
              </w:rPr>
              <w:t>1.00</w:t>
            </w:r>
          </w:p>
        </w:tc>
        <w:tc>
          <w:tcPr>
            <w:tcW w:w="1008" w:type="dxa"/>
            <w:noWrap/>
            <w:vAlign w:val="bottom"/>
            <w:hideMark/>
          </w:tcPr>
          <w:p w14:paraId="0AD1902F" w14:textId="77777777" w:rsidR="00245CBF" w:rsidRPr="00870621" w:rsidRDefault="00245CBF" w:rsidP="00514011">
            <w:r>
              <w:rPr>
                <w:rFonts w:ascii="Calibri" w:hAnsi="Calibri" w:cs="Calibri"/>
                <w:color w:val="000000"/>
              </w:rPr>
              <w:t>1817.20</w:t>
            </w:r>
          </w:p>
        </w:tc>
        <w:tc>
          <w:tcPr>
            <w:tcW w:w="960" w:type="dxa"/>
            <w:noWrap/>
            <w:vAlign w:val="bottom"/>
            <w:hideMark/>
          </w:tcPr>
          <w:p w14:paraId="24951BF7" w14:textId="77777777" w:rsidR="00245CBF" w:rsidRPr="00870621" w:rsidRDefault="00245CBF" w:rsidP="00514011">
            <w:r>
              <w:rPr>
                <w:rFonts w:ascii="Calibri" w:hAnsi="Calibri" w:cs="Calibri"/>
                <w:color w:val="000000"/>
              </w:rPr>
              <w:t>2445.80</w:t>
            </w:r>
          </w:p>
        </w:tc>
      </w:tr>
      <w:tr w:rsidR="00245CBF" w:rsidRPr="00870621" w14:paraId="37AC5EC5" w14:textId="77777777" w:rsidTr="00514011">
        <w:trPr>
          <w:trHeight w:val="288"/>
        </w:trPr>
        <w:tc>
          <w:tcPr>
            <w:tcW w:w="1354" w:type="dxa"/>
            <w:noWrap/>
            <w:vAlign w:val="bottom"/>
            <w:hideMark/>
          </w:tcPr>
          <w:p w14:paraId="520A1D02" w14:textId="77777777" w:rsidR="00245CBF" w:rsidRPr="008727D0" w:rsidRDefault="00245CBF" w:rsidP="00514011">
            <w:pPr>
              <w:rPr>
                <w:b/>
                <w:bCs/>
              </w:rPr>
            </w:pPr>
            <w:r w:rsidRPr="00E92F0B">
              <w:rPr>
                <w:rFonts w:ascii="Calibri" w:hAnsi="Calibri" w:cs="Calibri"/>
                <w:b/>
                <w:bCs/>
                <w:color w:val="000000"/>
              </w:rPr>
              <w:t>Drought</w:t>
            </w:r>
          </w:p>
        </w:tc>
        <w:tc>
          <w:tcPr>
            <w:tcW w:w="960" w:type="dxa"/>
            <w:noWrap/>
            <w:vAlign w:val="bottom"/>
            <w:hideMark/>
          </w:tcPr>
          <w:p w14:paraId="6907C0A6" w14:textId="77777777" w:rsidR="00245CBF" w:rsidRPr="00870621" w:rsidRDefault="00245CBF" w:rsidP="00514011">
            <w:r>
              <w:rPr>
                <w:rFonts w:ascii="Calibri" w:hAnsi="Calibri" w:cs="Calibri"/>
                <w:color w:val="000000"/>
              </w:rPr>
              <w:t>0.07</w:t>
            </w:r>
          </w:p>
        </w:tc>
        <w:tc>
          <w:tcPr>
            <w:tcW w:w="960" w:type="dxa"/>
            <w:noWrap/>
            <w:vAlign w:val="bottom"/>
            <w:hideMark/>
          </w:tcPr>
          <w:p w14:paraId="697681DC" w14:textId="77777777" w:rsidR="00245CBF" w:rsidRPr="00870621" w:rsidRDefault="00245CBF" w:rsidP="00514011">
            <w:r>
              <w:rPr>
                <w:rFonts w:ascii="Calibri" w:hAnsi="Calibri" w:cs="Calibri"/>
                <w:color w:val="000000"/>
              </w:rPr>
              <w:t>0.05</w:t>
            </w:r>
          </w:p>
        </w:tc>
        <w:tc>
          <w:tcPr>
            <w:tcW w:w="960" w:type="dxa"/>
            <w:noWrap/>
            <w:vAlign w:val="bottom"/>
            <w:hideMark/>
          </w:tcPr>
          <w:p w14:paraId="0260C1CC" w14:textId="77777777" w:rsidR="00245CBF" w:rsidRPr="00870621" w:rsidRDefault="00245CBF" w:rsidP="00514011">
            <w:r>
              <w:rPr>
                <w:rFonts w:ascii="Calibri" w:hAnsi="Calibri" w:cs="Calibri"/>
                <w:color w:val="000000"/>
              </w:rPr>
              <w:t>0.23</w:t>
            </w:r>
          </w:p>
        </w:tc>
        <w:tc>
          <w:tcPr>
            <w:tcW w:w="960" w:type="dxa"/>
            <w:noWrap/>
            <w:vAlign w:val="bottom"/>
            <w:hideMark/>
          </w:tcPr>
          <w:p w14:paraId="54F75FA9" w14:textId="77777777" w:rsidR="00245CBF" w:rsidRPr="00870621" w:rsidRDefault="00245CBF" w:rsidP="00514011">
            <w:r>
              <w:rPr>
                <w:rFonts w:ascii="Calibri" w:hAnsi="Calibri" w:cs="Calibri"/>
                <w:color w:val="000000"/>
              </w:rPr>
              <w:t>-0.31</w:t>
            </w:r>
          </w:p>
        </w:tc>
        <w:tc>
          <w:tcPr>
            <w:tcW w:w="960" w:type="dxa"/>
            <w:noWrap/>
            <w:vAlign w:val="bottom"/>
            <w:hideMark/>
          </w:tcPr>
          <w:p w14:paraId="311DCB36" w14:textId="77777777" w:rsidR="00245CBF" w:rsidRPr="00870621" w:rsidRDefault="00245CBF" w:rsidP="00514011">
            <w:r>
              <w:rPr>
                <w:rFonts w:ascii="Calibri" w:hAnsi="Calibri" w:cs="Calibri"/>
                <w:color w:val="000000"/>
              </w:rPr>
              <w:t>0.45</w:t>
            </w:r>
          </w:p>
        </w:tc>
        <w:tc>
          <w:tcPr>
            <w:tcW w:w="960" w:type="dxa"/>
            <w:noWrap/>
            <w:vAlign w:val="bottom"/>
            <w:hideMark/>
          </w:tcPr>
          <w:p w14:paraId="5F09A7EA" w14:textId="77777777" w:rsidR="00245CBF" w:rsidRPr="00870621" w:rsidRDefault="00245CBF" w:rsidP="00514011">
            <w:r>
              <w:rPr>
                <w:rFonts w:ascii="Calibri" w:hAnsi="Calibri" w:cs="Calibri"/>
                <w:color w:val="000000"/>
              </w:rPr>
              <w:t>1.00</w:t>
            </w:r>
          </w:p>
        </w:tc>
        <w:tc>
          <w:tcPr>
            <w:tcW w:w="1008" w:type="dxa"/>
            <w:noWrap/>
            <w:vAlign w:val="bottom"/>
            <w:hideMark/>
          </w:tcPr>
          <w:p w14:paraId="107B98EC" w14:textId="77777777" w:rsidR="00245CBF" w:rsidRPr="00870621" w:rsidRDefault="00245CBF" w:rsidP="00514011">
            <w:r>
              <w:rPr>
                <w:rFonts w:ascii="Calibri" w:hAnsi="Calibri" w:cs="Calibri"/>
                <w:color w:val="000000"/>
              </w:rPr>
              <w:t>1962.79</w:t>
            </w:r>
          </w:p>
        </w:tc>
        <w:tc>
          <w:tcPr>
            <w:tcW w:w="960" w:type="dxa"/>
            <w:noWrap/>
            <w:vAlign w:val="bottom"/>
            <w:hideMark/>
          </w:tcPr>
          <w:p w14:paraId="70A65233" w14:textId="77777777" w:rsidR="00245CBF" w:rsidRPr="00870621" w:rsidRDefault="00245CBF" w:rsidP="00514011">
            <w:r>
              <w:rPr>
                <w:rFonts w:ascii="Calibri" w:hAnsi="Calibri" w:cs="Calibri"/>
                <w:color w:val="000000"/>
              </w:rPr>
              <w:t>2208.44</w:t>
            </w:r>
          </w:p>
        </w:tc>
      </w:tr>
      <w:tr w:rsidR="00245CBF" w:rsidRPr="00870621" w14:paraId="757EC12D" w14:textId="77777777" w:rsidTr="00514011">
        <w:trPr>
          <w:trHeight w:val="288"/>
        </w:trPr>
        <w:tc>
          <w:tcPr>
            <w:tcW w:w="1354" w:type="dxa"/>
            <w:noWrap/>
            <w:vAlign w:val="bottom"/>
            <w:hideMark/>
          </w:tcPr>
          <w:p w14:paraId="6ABC894D" w14:textId="77777777" w:rsidR="00245CBF" w:rsidRPr="008727D0" w:rsidRDefault="00245CBF" w:rsidP="00514011">
            <w:pPr>
              <w:rPr>
                <w:b/>
                <w:bCs/>
              </w:rPr>
            </w:pPr>
            <w:r w:rsidRPr="00E92F0B">
              <w:rPr>
                <w:rFonts w:ascii="Calibri" w:hAnsi="Calibri" w:cs="Calibri"/>
                <w:b/>
                <w:bCs/>
                <w:color w:val="000000"/>
              </w:rPr>
              <w:t>Site Dryness</w:t>
            </w:r>
          </w:p>
        </w:tc>
        <w:tc>
          <w:tcPr>
            <w:tcW w:w="960" w:type="dxa"/>
            <w:noWrap/>
            <w:vAlign w:val="bottom"/>
            <w:hideMark/>
          </w:tcPr>
          <w:p w14:paraId="5DEC31BA" w14:textId="77777777" w:rsidR="00245CBF" w:rsidRPr="00870621" w:rsidRDefault="00245CBF" w:rsidP="00514011">
            <w:r>
              <w:rPr>
                <w:rFonts w:ascii="Calibri" w:hAnsi="Calibri" w:cs="Calibri"/>
                <w:color w:val="000000"/>
              </w:rPr>
              <w:t>0.80</w:t>
            </w:r>
          </w:p>
        </w:tc>
        <w:tc>
          <w:tcPr>
            <w:tcW w:w="960" w:type="dxa"/>
            <w:noWrap/>
            <w:vAlign w:val="bottom"/>
            <w:hideMark/>
          </w:tcPr>
          <w:p w14:paraId="493C95D8" w14:textId="77777777" w:rsidR="00245CBF" w:rsidRPr="00870621" w:rsidRDefault="00245CBF" w:rsidP="00514011">
            <w:r>
              <w:rPr>
                <w:rFonts w:ascii="Calibri" w:hAnsi="Calibri" w:cs="Calibri"/>
                <w:color w:val="000000"/>
              </w:rPr>
              <w:t>0.80</w:t>
            </w:r>
          </w:p>
        </w:tc>
        <w:tc>
          <w:tcPr>
            <w:tcW w:w="960" w:type="dxa"/>
            <w:noWrap/>
            <w:vAlign w:val="bottom"/>
            <w:hideMark/>
          </w:tcPr>
          <w:p w14:paraId="344D612D" w14:textId="77777777" w:rsidR="00245CBF" w:rsidRPr="00870621" w:rsidRDefault="00245CBF" w:rsidP="00514011">
            <w:r>
              <w:rPr>
                <w:rFonts w:ascii="Calibri" w:hAnsi="Calibri" w:cs="Calibri"/>
                <w:color w:val="000000"/>
              </w:rPr>
              <w:t>0.31</w:t>
            </w:r>
          </w:p>
        </w:tc>
        <w:tc>
          <w:tcPr>
            <w:tcW w:w="960" w:type="dxa"/>
            <w:noWrap/>
            <w:vAlign w:val="bottom"/>
            <w:hideMark/>
          </w:tcPr>
          <w:p w14:paraId="1795CFCB" w14:textId="77777777" w:rsidR="00245CBF" w:rsidRPr="00870621" w:rsidRDefault="00245CBF" w:rsidP="00514011">
            <w:r>
              <w:rPr>
                <w:rFonts w:ascii="Calibri" w:hAnsi="Calibri" w:cs="Calibri"/>
                <w:color w:val="000000"/>
              </w:rPr>
              <w:t>0.31</w:t>
            </w:r>
          </w:p>
        </w:tc>
        <w:tc>
          <w:tcPr>
            <w:tcW w:w="960" w:type="dxa"/>
            <w:noWrap/>
            <w:vAlign w:val="bottom"/>
            <w:hideMark/>
          </w:tcPr>
          <w:p w14:paraId="69516D6B" w14:textId="77777777" w:rsidR="00245CBF" w:rsidRPr="00870621" w:rsidRDefault="00245CBF" w:rsidP="00514011">
            <w:r>
              <w:rPr>
                <w:rFonts w:ascii="Calibri" w:hAnsi="Calibri" w:cs="Calibri"/>
                <w:color w:val="000000"/>
              </w:rPr>
              <w:t>1.33</w:t>
            </w:r>
          </w:p>
        </w:tc>
        <w:tc>
          <w:tcPr>
            <w:tcW w:w="960" w:type="dxa"/>
            <w:noWrap/>
            <w:vAlign w:val="bottom"/>
            <w:hideMark/>
          </w:tcPr>
          <w:p w14:paraId="73DF976E" w14:textId="77777777" w:rsidR="00245CBF" w:rsidRPr="00870621" w:rsidRDefault="00245CBF" w:rsidP="00514011">
            <w:r>
              <w:rPr>
                <w:rFonts w:ascii="Calibri" w:hAnsi="Calibri" w:cs="Calibri"/>
                <w:color w:val="000000"/>
              </w:rPr>
              <w:t>1.00</w:t>
            </w:r>
          </w:p>
        </w:tc>
        <w:tc>
          <w:tcPr>
            <w:tcW w:w="1008" w:type="dxa"/>
            <w:noWrap/>
            <w:vAlign w:val="bottom"/>
            <w:hideMark/>
          </w:tcPr>
          <w:p w14:paraId="63C156F0" w14:textId="77777777" w:rsidR="00245CBF" w:rsidRPr="00870621" w:rsidRDefault="00245CBF" w:rsidP="00514011">
            <w:r>
              <w:rPr>
                <w:rFonts w:ascii="Calibri" w:hAnsi="Calibri" w:cs="Calibri"/>
                <w:color w:val="000000"/>
              </w:rPr>
              <w:t>1735.81</w:t>
            </w:r>
          </w:p>
        </w:tc>
        <w:tc>
          <w:tcPr>
            <w:tcW w:w="960" w:type="dxa"/>
            <w:noWrap/>
            <w:vAlign w:val="bottom"/>
            <w:hideMark/>
          </w:tcPr>
          <w:p w14:paraId="0B311852" w14:textId="77777777" w:rsidR="00245CBF" w:rsidRPr="00870621" w:rsidRDefault="00245CBF" w:rsidP="00514011">
            <w:r>
              <w:rPr>
                <w:rFonts w:ascii="Calibri" w:hAnsi="Calibri" w:cs="Calibri"/>
                <w:color w:val="000000"/>
              </w:rPr>
              <w:t>2291.06</w:t>
            </w:r>
          </w:p>
        </w:tc>
      </w:tr>
      <w:tr w:rsidR="00245CBF" w:rsidRPr="00870621" w14:paraId="014C5D81" w14:textId="77777777" w:rsidTr="00514011">
        <w:trPr>
          <w:trHeight w:val="288"/>
        </w:trPr>
        <w:tc>
          <w:tcPr>
            <w:tcW w:w="1354" w:type="dxa"/>
            <w:noWrap/>
            <w:vAlign w:val="bottom"/>
            <w:hideMark/>
          </w:tcPr>
          <w:p w14:paraId="1AC5CED1" w14:textId="77777777" w:rsidR="00245CBF" w:rsidRPr="008727D0" w:rsidRDefault="00245CBF" w:rsidP="00514011">
            <w:pPr>
              <w:rPr>
                <w:b/>
                <w:bCs/>
              </w:rPr>
            </w:pPr>
            <w:r w:rsidRPr="00E92F0B">
              <w:rPr>
                <w:rFonts w:ascii="Calibri" w:hAnsi="Calibri" w:cs="Calibri"/>
                <w:b/>
                <w:bCs/>
                <w:color w:val="000000"/>
              </w:rPr>
              <w:t>DBH x Fire</w:t>
            </w:r>
          </w:p>
        </w:tc>
        <w:tc>
          <w:tcPr>
            <w:tcW w:w="960" w:type="dxa"/>
            <w:noWrap/>
            <w:vAlign w:val="bottom"/>
            <w:hideMark/>
          </w:tcPr>
          <w:p w14:paraId="319BD7F5" w14:textId="77777777" w:rsidR="00245CBF" w:rsidRPr="00870621" w:rsidRDefault="00245CBF" w:rsidP="00514011">
            <w:r>
              <w:rPr>
                <w:rFonts w:ascii="Calibri" w:hAnsi="Calibri" w:cs="Calibri"/>
                <w:color w:val="000000"/>
              </w:rPr>
              <w:t>0.37</w:t>
            </w:r>
          </w:p>
        </w:tc>
        <w:tc>
          <w:tcPr>
            <w:tcW w:w="960" w:type="dxa"/>
            <w:noWrap/>
            <w:vAlign w:val="bottom"/>
            <w:hideMark/>
          </w:tcPr>
          <w:p w14:paraId="42B8960A" w14:textId="77777777" w:rsidR="00245CBF" w:rsidRPr="00870621" w:rsidRDefault="00245CBF" w:rsidP="00514011">
            <w:r>
              <w:rPr>
                <w:rFonts w:ascii="Calibri" w:hAnsi="Calibri" w:cs="Calibri"/>
                <w:color w:val="000000"/>
              </w:rPr>
              <w:t>0.42</w:t>
            </w:r>
          </w:p>
        </w:tc>
        <w:tc>
          <w:tcPr>
            <w:tcW w:w="960" w:type="dxa"/>
            <w:noWrap/>
            <w:vAlign w:val="bottom"/>
            <w:hideMark/>
          </w:tcPr>
          <w:p w14:paraId="3E60D4C6" w14:textId="77777777" w:rsidR="00245CBF" w:rsidRPr="00870621" w:rsidRDefault="00245CBF" w:rsidP="00514011">
            <w:r>
              <w:rPr>
                <w:rFonts w:ascii="Calibri" w:hAnsi="Calibri" w:cs="Calibri"/>
                <w:color w:val="000000"/>
              </w:rPr>
              <w:t>2.14</w:t>
            </w:r>
          </w:p>
        </w:tc>
        <w:tc>
          <w:tcPr>
            <w:tcW w:w="960" w:type="dxa"/>
            <w:noWrap/>
            <w:vAlign w:val="bottom"/>
            <w:hideMark/>
          </w:tcPr>
          <w:p w14:paraId="23CF9349" w14:textId="77777777" w:rsidR="00245CBF" w:rsidRPr="00870621" w:rsidRDefault="00245CBF" w:rsidP="00514011">
            <w:r>
              <w:rPr>
                <w:rFonts w:ascii="Calibri" w:hAnsi="Calibri" w:cs="Calibri"/>
                <w:color w:val="000000"/>
              </w:rPr>
              <w:t>-3.18</w:t>
            </w:r>
          </w:p>
        </w:tc>
        <w:tc>
          <w:tcPr>
            <w:tcW w:w="960" w:type="dxa"/>
            <w:noWrap/>
            <w:vAlign w:val="bottom"/>
            <w:hideMark/>
          </w:tcPr>
          <w:p w14:paraId="6D522BD0" w14:textId="77777777" w:rsidR="00245CBF" w:rsidRPr="00870621" w:rsidRDefault="00245CBF" w:rsidP="00514011">
            <w:r>
              <w:rPr>
                <w:rFonts w:ascii="Calibri" w:hAnsi="Calibri" w:cs="Calibri"/>
                <w:color w:val="000000"/>
              </w:rPr>
              <w:t>3.86</w:t>
            </w:r>
          </w:p>
        </w:tc>
        <w:tc>
          <w:tcPr>
            <w:tcW w:w="960" w:type="dxa"/>
            <w:noWrap/>
            <w:vAlign w:val="bottom"/>
            <w:hideMark/>
          </w:tcPr>
          <w:p w14:paraId="0467B1AB" w14:textId="77777777" w:rsidR="00245CBF" w:rsidRPr="00870621" w:rsidRDefault="00245CBF" w:rsidP="00514011">
            <w:r>
              <w:rPr>
                <w:rFonts w:ascii="Calibri" w:hAnsi="Calibri" w:cs="Calibri"/>
                <w:color w:val="000000"/>
              </w:rPr>
              <w:t>1.00</w:t>
            </w:r>
          </w:p>
        </w:tc>
        <w:tc>
          <w:tcPr>
            <w:tcW w:w="1008" w:type="dxa"/>
            <w:noWrap/>
            <w:vAlign w:val="bottom"/>
            <w:hideMark/>
          </w:tcPr>
          <w:p w14:paraId="19179E34" w14:textId="77777777" w:rsidR="00245CBF" w:rsidRPr="00870621" w:rsidRDefault="00245CBF" w:rsidP="00514011">
            <w:r>
              <w:rPr>
                <w:rFonts w:ascii="Calibri" w:hAnsi="Calibri" w:cs="Calibri"/>
                <w:color w:val="000000"/>
              </w:rPr>
              <w:t>1513.14</w:t>
            </w:r>
          </w:p>
        </w:tc>
        <w:tc>
          <w:tcPr>
            <w:tcW w:w="960" w:type="dxa"/>
            <w:noWrap/>
            <w:vAlign w:val="bottom"/>
            <w:hideMark/>
          </w:tcPr>
          <w:p w14:paraId="3A1CE365" w14:textId="77777777" w:rsidR="00245CBF" w:rsidRPr="00870621" w:rsidRDefault="00245CBF" w:rsidP="00514011">
            <w:r>
              <w:rPr>
                <w:rFonts w:ascii="Calibri" w:hAnsi="Calibri" w:cs="Calibri"/>
                <w:color w:val="000000"/>
              </w:rPr>
              <w:t>2242.98</w:t>
            </w:r>
          </w:p>
        </w:tc>
      </w:tr>
      <w:tr w:rsidR="00245CBF" w:rsidRPr="00870621" w14:paraId="4DFDF71B" w14:textId="77777777" w:rsidTr="00514011">
        <w:trPr>
          <w:trHeight w:val="288"/>
        </w:trPr>
        <w:tc>
          <w:tcPr>
            <w:tcW w:w="1354" w:type="dxa"/>
            <w:noWrap/>
            <w:vAlign w:val="bottom"/>
            <w:hideMark/>
          </w:tcPr>
          <w:p w14:paraId="69ABE019" w14:textId="77777777" w:rsidR="00245CBF" w:rsidRPr="008727D0" w:rsidRDefault="00245CBF" w:rsidP="00514011">
            <w:pPr>
              <w:rPr>
                <w:b/>
                <w:bCs/>
              </w:rPr>
            </w:pPr>
            <w:r w:rsidRPr="00E92F0B">
              <w:rPr>
                <w:rFonts w:ascii="Calibri" w:hAnsi="Calibri" w:cs="Calibri"/>
                <w:b/>
                <w:bCs/>
                <w:color w:val="000000"/>
              </w:rPr>
              <w:t>DBH^2 x Fire</w:t>
            </w:r>
          </w:p>
        </w:tc>
        <w:tc>
          <w:tcPr>
            <w:tcW w:w="960" w:type="dxa"/>
            <w:noWrap/>
            <w:vAlign w:val="bottom"/>
            <w:hideMark/>
          </w:tcPr>
          <w:p w14:paraId="01C10ECE" w14:textId="77777777" w:rsidR="00245CBF" w:rsidRPr="00870621" w:rsidRDefault="00245CBF" w:rsidP="00514011">
            <w:r>
              <w:rPr>
                <w:rFonts w:ascii="Calibri" w:hAnsi="Calibri" w:cs="Calibri"/>
                <w:color w:val="000000"/>
              </w:rPr>
              <w:t>0.04</w:t>
            </w:r>
          </w:p>
        </w:tc>
        <w:tc>
          <w:tcPr>
            <w:tcW w:w="960" w:type="dxa"/>
            <w:noWrap/>
            <w:vAlign w:val="bottom"/>
            <w:hideMark/>
          </w:tcPr>
          <w:p w14:paraId="6661AD1B" w14:textId="77777777" w:rsidR="00245CBF" w:rsidRPr="00870621" w:rsidRDefault="00245CBF" w:rsidP="00514011">
            <w:r>
              <w:rPr>
                <w:rFonts w:ascii="Calibri" w:hAnsi="Calibri" w:cs="Calibri"/>
                <w:color w:val="000000"/>
              </w:rPr>
              <w:t>0.02</w:t>
            </w:r>
          </w:p>
        </w:tc>
        <w:tc>
          <w:tcPr>
            <w:tcW w:w="960" w:type="dxa"/>
            <w:noWrap/>
            <w:vAlign w:val="bottom"/>
            <w:hideMark/>
          </w:tcPr>
          <w:p w14:paraId="4C3ACE76" w14:textId="77777777" w:rsidR="00245CBF" w:rsidRPr="00870621" w:rsidRDefault="00245CBF" w:rsidP="00514011">
            <w:r>
              <w:rPr>
                <w:rFonts w:ascii="Calibri" w:hAnsi="Calibri" w:cs="Calibri"/>
                <w:color w:val="000000"/>
              </w:rPr>
              <w:t>0.91</w:t>
            </w:r>
          </w:p>
        </w:tc>
        <w:tc>
          <w:tcPr>
            <w:tcW w:w="960" w:type="dxa"/>
            <w:noWrap/>
            <w:vAlign w:val="bottom"/>
            <w:hideMark/>
          </w:tcPr>
          <w:p w14:paraId="070F53B2" w14:textId="77777777" w:rsidR="00245CBF" w:rsidRPr="00870621" w:rsidRDefault="00245CBF" w:rsidP="00514011">
            <w:r>
              <w:rPr>
                <w:rFonts w:ascii="Calibri" w:hAnsi="Calibri" w:cs="Calibri"/>
                <w:color w:val="000000"/>
              </w:rPr>
              <w:t>-1.42</w:t>
            </w:r>
          </w:p>
        </w:tc>
        <w:tc>
          <w:tcPr>
            <w:tcW w:w="960" w:type="dxa"/>
            <w:noWrap/>
            <w:vAlign w:val="bottom"/>
            <w:hideMark/>
          </w:tcPr>
          <w:p w14:paraId="720A8A6F" w14:textId="77777777" w:rsidR="00245CBF" w:rsidRPr="00870621" w:rsidRDefault="00245CBF" w:rsidP="00514011">
            <w:r>
              <w:rPr>
                <w:rFonts w:ascii="Calibri" w:hAnsi="Calibri" w:cs="Calibri"/>
                <w:color w:val="000000"/>
              </w:rPr>
              <w:t>1.54</w:t>
            </w:r>
          </w:p>
        </w:tc>
        <w:tc>
          <w:tcPr>
            <w:tcW w:w="960" w:type="dxa"/>
            <w:noWrap/>
            <w:vAlign w:val="bottom"/>
            <w:hideMark/>
          </w:tcPr>
          <w:p w14:paraId="196DBC10" w14:textId="77777777" w:rsidR="00245CBF" w:rsidRPr="00870621" w:rsidRDefault="00245CBF" w:rsidP="00514011">
            <w:r>
              <w:rPr>
                <w:rFonts w:ascii="Calibri" w:hAnsi="Calibri" w:cs="Calibri"/>
                <w:color w:val="000000"/>
              </w:rPr>
              <w:t>1.00</w:t>
            </w:r>
          </w:p>
        </w:tc>
        <w:tc>
          <w:tcPr>
            <w:tcW w:w="1008" w:type="dxa"/>
            <w:noWrap/>
            <w:vAlign w:val="bottom"/>
            <w:hideMark/>
          </w:tcPr>
          <w:p w14:paraId="21D46F7B" w14:textId="77777777" w:rsidR="00245CBF" w:rsidRPr="00870621" w:rsidRDefault="00245CBF" w:rsidP="00514011">
            <w:r>
              <w:rPr>
                <w:rFonts w:ascii="Calibri" w:hAnsi="Calibri" w:cs="Calibri"/>
                <w:color w:val="000000"/>
              </w:rPr>
              <w:t>1618.22</w:t>
            </w:r>
          </w:p>
        </w:tc>
        <w:tc>
          <w:tcPr>
            <w:tcW w:w="960" w:type="dxa"/>
            <w:noWrap/>
            <w:vAlign w:val="bottom"/>
            <w:hideMark/>
          </w:tcPr>
          <w:p w14:paraId="6DC587F7" w14:textId="77777777" w:rsidR="00245CBF" w:rsidRPr="00870621" w:rsidRDefault="00245CBF" w:rsidP="00514011">
            <w:r>
              <w:rPr>
                <w:rFonts w:ascii="Calibri" w:hAnsi="Calibri" w:cs="Calibri"/>
                <w:color w:val="000000"/>
              </w:rPr>
              <w:t>2513.76</w:t>
            </w:r>
          </w:p>
        </w:tc>
      </w:tr>
      <w:tr w:rsidR="00245CBF" w:rsidRPr="00870621" w14:paraId="2614448B" w14:textId="77777777" w:rsidTr="00514011">
        <w:trPr>
          <w:trHeight w:val="288"/>
        </w:trPr>
        <w:tc>
          <w:tcPr>
            <w:tcW w:w="1354" w:type="dxa"/>
            <w:noWrap/>
            <w:vAlign w:val="bottom"/>
            <w:hideMark/>
          </w:tcPr>
          <w:p w14:paraId="22FDA1B3" w14:textId="77777777" w:rsidR="00245CBF" w:rsidRPr="008727D0" w:rsidRDefault="00245CBF" w:rsidP="00514011">
            <w:pPr>
              <w:rPr>
                <w:b/>
                <w:bCs/>
              </w:rPr>
            </w:pPr>
            <w:r w:rsidRPr="00E92F0B">
              <w:rPr>
                <w:rFonts w:ascii="Calibri" w:hAnsi="Calibri" w:cs="Calibri"/>
                <w:b/>
                <w:bCs/>
                <w:color w:val="000000"/>
              </w:rPr>
              <w:t>DBH x WPBR</w:t>
            </w:r>
          </w:p>
        </w:tc>
        <w:tc>
          <w:tcPr>
            <w:tcW w:w="960" w:type="dxa"/>
            <w:noWrap/>
            <w:vAlign w:val="bottom"/>
            <w:hideMark/>
          </w:tcPr>
          <w:p w14:paraId="7731102A" w14:textId="77777777" w:rsidR="00245CBF" w:rsidRPr="00870621" w:rsidRDefault="00245CBF" w:rsidP="00514011">
            <w:r>
              <w:rPr>
                <w:rFonts w:ascii="Calibri" w:hAnsi="Calibri" w:cs="Calibri"/>
                <w:color w:val="000000"/>
              </w:rPr>
              <w:t>4.95</w:t>
            </w:r>
          </w:p>
        </w:tc>
        <w:tc>
          <w:tcPr>
            <w:tcW w:w="960" w:type="dxa"/>
            <w:noWrap/>
            <w:vAlign w:val="bottom"/>
            <w:hideMark/>
          </w:tcPr>
          <w:p w14:paraId="304607AE" w14:textId="77777777" w:rsidR="00245CBF" w:rsidRPr="00870621" w:rsidRDefault="00245CBF" w:rsidP="00514011">
            <w:r>
              <w:rPr>
                <w:rFonts w:ascii="Calibri" w:hAnsi="Calibri" w:cs="Calibri"/>
                <w:color w:val="000000"/>
              </w:rPr>
              <w:t>4.84</w:t>
            </w:r>
          </w:p>
        </w:tc>
        <w:tc>
          <w:tcPr>
            <w:tcW w:w="960" w:type="dxa"/>
            <w:noWrap/>
            <w:vAlign w:val="bottom"/>
            <w:hideMark/>
          </w:tcPr>
          <w:p w14:paraId="09A171C2" w14:textId="77777777" w:rsidR="00245CBF" w:rsidRPr="00870621" w:rsidRDefault="00245CBF" w:rsidP="00514011">
            <w:r>
              <w:rPr>
                <w:rFonts w:ascii="Calibri" w:hAnsi="Calibri" w:cs="Calibri"/>
                <w:color w:val="000000"/>
              </w:rPr>
              <w:t>2.62</w:t>
            </w:r>
          </w:p>
        </w:tc>
        <w:tc>
          <w:tcPr>
            <w:tcW w:w="960" w:type="dxa"/>
            <w:noWrap/>
            <w:vAlign w:val="bottom"/>
            <w:hideMark/>
          </w:tcPr>
          <w:p w14:paraId="1195E743" w14:textId="77777777" w:rsidR="00245CBF" w:rsidRPr="00870621" w:rsidRDefault="00245CBF" w:rsidP="00514011">
            <w:r>
              <w:rPr>
                <w:rFonts w:ascii="Calibri" w:hAnsi="Calibri" w:cs="Calibri"/>
                <w:color w:val="000000"/>
              </w:rPr>
              <w:t>0.80</w:t>
            </w:r>
          </w:p>
        </w:tc>
        <w:tc>
          <w:tcPr>
            <w:tcW w:w="960" w:type="dxa"/>
            <w:noWrap/>
            <w:vAlign w:val="bottom"/>
            <w:hideMark/>
          </w:tcPr>
          <w:p w14:paraId="3ED5A944" w14:textId="77777777" w:rsidR="00245CBF" w:rsidRPr="00870621" w:rsidRDefault="00245CBF" w:rsidP="00514011">
            <w:r>
              <w:rPr>
                <w:rFonts w:ascii="Calibri" w:hAnsi="Calibri" w:cs="Calibri"/>
                <w:color w:val="000000"/>
              </w:rPr>
              <w:t>9.38</w:t>
            </w:r>
          </w:p>
        </w:tc>
        <w:tc>
          <w:tcPr>
            <w:tcW w:w="960" w:type="dxa"/>
            <w:noWrap/>
            <w:vAlign w:val="bottom"/>
            <w:hideMark/>
          </w:tcPr>
          <w:p w14:paraId="25CB6AD3" w14:textId="77777777" w:rsidR="00245CBF" w:rsidRPr="00870621" w:rsidRDefault="00245CBF" w:rsidP="00514011">
            <w:r>
              <w:rPr>
                <w:rFonts w:ascii="Calibri" w:hAnsi="Calibri" w:cs="Calibri"/>
                <w:color w:val="000000"/>
              </w:rPr>
              <w:t>1.00</w:t>
            </w:r>
          </w:p>
        </w:tc>
        <w:tc>
          <w:tcPr>
            <w:tcW w:w="1008" w:type="dxa"/>
            <w:noWrap/>
            <w:vAlign w:val="bottom"/>
            <w:hideMark/>
          </w:tcPr>
          <w:p w14:paraId="07CDE152" w14:textId="77777777" w:rsidR="00245CBF" w:rsidRPr="00870621" w:rsidRDefault="00245CBF" w:rsidP="00514011">
            <w:r>
              <w:rPr>
                <w:rFonts w:ascii="Calibri" w:hAnsi="Calibri" w:cs="Calibri"/>
                <w:color w:val="000000"/>
              </w:rPr>
              <w:t>1667.46</w:t>
            </w:r>
          </w:p>
        </w:tc>
        <w:tc>
          <w:tcPr>
            <w:tcW w:w="960" w:type="dxa"/>
            <w:noWrap/>
            <w:vAlign w:val="bottom"/>
            <w:hideMark/>
          </w:tcPr>
          <w:p w14:paraId="0049B0E7" w14:textId="77777777" w:rsidR="00245CBF" w:rsidRPr="00870621" w:rsidRDefault="00245CBF" w:rsidP="00514011">
            <w:r>
              <w:rPr>
                <w:rFonts w:ascii="Calibri" w:hAnsi="Calibri" w:cs="Calibri"/>
                <w:color w:val="000000"/>
              </w:rPr>
              <w:t>1534.56</w:t>
            </w:r>
          </w:p>
        </w:tc>
      </w:tr>
      <w:tr w:rsidR="00245CBF" w:rsidRPr="00870621" w14:paraId="41C67425" w14:textId="77777777" w:rsidTr="00514011">
        <w:trPr>
          <w:trHeight w:val="288"/>
        </w:trPr>
        <w:tc>
          <w:tcPr>
            <w:tcW w:w="1354" w:type="dxa"/>
            <w:noWrap/>
            <w:vAlign w:val="bottom"/>
            <w:hideMark/>
          </w:tcPr>
          <w:p w14:paraId="72964BEE" w14:textId="77777777" w:rsidR="00245CBF" w:rsidRPr="008727D0" w:rsidRDefault="00245CBF" w:rsidP="00514011">
            <w:pPr>
              <w:rPr>
                <w:b/>
                <w:bCs/>
              </w:rPr>
            </w:pPr>
            <w:r w:rsidRPr="00E92F0B">
              <w:rPr>
                <w:rFonts w:ascii="Calibri" w:hAnsi="Calibri" w:cs="Calibri"/>
                <w:b/>
                <w:bCs/>
                <w:color w:val="000000"/>
              </w:rPr>
              <w:t>DBH^2 x WPBR</w:t>
            </w:r>
          </w:p>
        </w:tc>
        <w:tc>
          <w:tcPr>
            <w:tcW w:w="960" w:type="dxa"/>
            <w:noWrap/>
            <w:vAlign w:val="bottom"/>
            <w:hideMark/>
          </w:tcPr>
          <w:p w14:paraId="0AEBE3F9" w14:textId="77777777" w:rsidR="00245CBF" w:rsidRPr="00870621" w:rsidRDefault="00245CBF" w:rsidP="00514011">
            <w:r>
              <w:rPr>
                <w:rFonts w:ascii="Calibri" w:hAnsi="Calibri" w:cs="Calibri"/>
                <w:color w:val="000000"/>
              </w:rPr>
              <w:t>-2.19</w:t>
            </w:r>
          </w:p>
        </w:tc>
        <w:tc>
          <w:tcPr>
            <w:tcW w:w="960" w:type="dxa"/>
            <w:noWrap/>
            <w:vAlign w:val="bottom"/>
            <w:hideMark/>
          </w:tcPr>
          <w:p w14:paraId="16957A56" w14:textId="77777777" w:rsidR="00245CBF" w:rsidRPr="00870621" w:rsidRDefault="00245CBF" w:rsidP="00514011">
            <w:r>
              <w:rPr>
                <w:rFonts w:ascii="Calibri" w:hAnsi="Calibri" w:cs="Calibri"/>
                <w:color w:val="000000"/>
              </w:rPr>
              <w:t>-2.15</w:t>
            </w:r>
          </w:p>
        </w:tc>
        <w:tc>
          <w:tcPr>
            <w:tcW w:w="960" w:type="dxa"/>
            <w:noWrap/>
            <w:vAlign w:val="bottom"/>
            <w:hideMark/>
          </w:tcPr>
          <w:p w14:paraId="7F82F587" w14:textId="77777777" w:rsidR="00245CBF" w:rsidRPr="00870621" w:rsidRDefault="00245CBF" w:rsidP="00514011">
            <w:r>
              <w:rPr>
                <w:rFonts w:ascii="Calibri" w:hAnsi="Calibri" w:cs="Calibri"/>
                <w:color w:val="000000"/>
              </w:rPr>
              <w:t>1.17</w:t>
            </w:r>
          </w:p>
        </w:tc>
        <w:tc>
          <w:tcPr>
            <w:tcW w:w="960" w:type="dxa"/>
            <w:noWrap/>
            <w:vAlign w:val="bottom"/>
            <w:hideMark/>
          </w:tcPr>
          <w:p w14:paraId="5E123666" w14:textId="77777777" w:rsidR="00245CBF" w:rsidRPr="00870621" w:rsidRDefault="00245CBF" w:rsidP="00514011">
            <w:r>
              <w:rPr>
                <w:rFonts w:ascii="Calibri" w:hAnsi="Calibri" w:cs="Calibri"/>
                <w:color w:val="000000"/>
              </w:rPr>
              <w:t>-4.23</w:t>
            </w:r>
          </w:p>
        </w:tc>
        <w:tc>
          <w:tcPr>
            <w:tcW w:w="960" w:type="dxa"/>
            <w:noWrap/>
            <w:vAlign w:val="bottom"/>
            <w:hideMark/>
          </w:tcPr>
          <w:p w14:paraId="7BBDD8B8" w14:textId="77777777" w:rsidR="00245CBF" w:rsidRPr="00870621" w:rsidRDefault="00245CBF" w:rsidP="00514011">
            <w:r>
              <w:rPr>
                <w:rFonts w:ascii="Calibri" w:hAnsi="Calibri" w:cs="Calibri"/>
                <w:color w:val="000000"/>
              </w:rPr>
              <w:t>-0.34</w:t>
            </w:r>
          </w:p>
        </w:tc>
        <w:tc>
          <w:tcPr>
            <w:tcW w:w="960" w:type="dxa"/>
            <w:noWrap/>
            <w:vAlign w:val="bottom"/>
            <w:hideMark/>
          </w:tcPr>
          <w:p w14:paraId="3D2FF9BD" w14:textId="77777777" w:rsidR="00245CBF" w:rsidRPr="00870621" w:rsidRDefault="00245CBF" w:rsidP="00514011">
            <w:r>
              <w:rPr>
                <w:rFonts w:ascii="Calibri" w:hAnsi="Calibri" w:cs="Calibri"/>
                <w:color w:val="000000"/>
              </w:rPr>
              <w:t>1.00</w:t>
            </w:r>
          </w:p>
        </w:tc>
        <w:tc>
          <w:tcPr>
            <w:tcW w:w="1008" w:type="dxa"/>
            <w:noWrap/>
            <w:vAlign w:val="bottom"/>
            <w:hideMark/>
          </w:tcPr>
          <w:p w14:paraId="748C9AE7" w14:textId="77777777" w:rsidR="00245CBF" w:rsidRPr="00870621" w:rsidRDefault="00245CBF" w:rsidP="00514011">
            <w:r>
              <w:rPr>
                <w:rFonts w:ascii="Calibri" w:hAnsi="Calibri" w:cs="Calibri"/>
                <w:color w:val="000000"/>
              </w:rPr>
              <w:t>1851.86</w:t>
            </w:r>
          </w:p>
        </w:tc>
        <w:tc>
          <w:tcPr>
            <w:tcW w:w="960" w:type="dxa"/>
            <w:noWrap/>
            <w:vAlign w:val="bottom"/>
            <w:hideMark/>
          </w:tcPr>
          <w:p w14:paraId="511F888D" w14:textId="77777777" w:rsidR="00245CBF" w:rsidRPr="00870621" w:rsidRDefault="00245CBF" w:rsidP="00514011">
            <w:r>
              <w:rPr>
                <w:rFonts w:ascii="Calibri" w:hAnsi="Calibri" w:cs="Calibri"/>
                <w:color w:val="000000"/>
              </w:rPr>
              <w:t>2202.04</w:t>
            </w:r>
          </w:p>
        </w:tc>
      </w:tr>
      <w:tr w:rsidR="00245CBF" w:rsidRPr="00870621" w14:paraId="23F8C60A" w14:textId="77777777" w:rsidTr="00514011">
        <w:trPr>
          <w:trHeight w:val="288"/>
        </w:trPr>
        <w:tc>
          <w:tcPr>
            <w:tcW w:w="1354" w:type="dxa"/>
            <w:noWrap/>
            <w:vAlign w:val="bottom"/>
            <w:hideMark/>
          </w:tcPr>
          <w:p w14:paraId="756290FF" w14:textId="77777777" w:rsidR="00245CBF" w:rsidRPr="008727D0" w:rsidRDefault="00245CBF" w:rsidP="00514011">
            <w:pPr>
              <w:rPr>
                <w:b/>
                <w:bCs/>
              </w:rPr>
            </w:pPr>
            <w:r w:rsidRPr="00E92F0B">
              <w:rPr>
                <w:rFonts w:ascii="Calibri" w:hAnsi="Calibri" w:cs="Calibri"/>
                <w:b/>
                <w:bCs/>
                <w:color w:val="000000"/>
              </w:rPr>
              <w:t>DBH x BA</w:t>
            </w:r>
          </w:p>
        </w:tc>
        <w:tc>
          <w:tcPr>
            <w:tcW w:w="960" w:type="dxa"/>
            <w:noWrap/>
            <w:vAlign w:val="bottom"/>
            <w:hideMark/>
          </w:tcPr>
          <w:p w14:paraId="61617381" w14:textId="77777777" w:rsidR="00245CBF" w:rsidRPr="00870621" w:rsidRDefault="00245CBF" w:rsidP="00514011">
            <w:r>
              <w:rPr>
                <w:rFonts w:ascii="Calibri" w:hAnsi="Calibri" w:cs="Calibri"/>
                <w:color w:val="000000"/>
              </w:rPr>
              <w:t>-1.33</w:t>
            </w:r>
          </w:p>
        </w:tc>
        <w:tc>
          <w:tcPr>
            <w:tcW w:w="960" w:type="dxa"/>
            <w:noWrap/>
            <w:vAlign w:val="bottom"/>
            <w:hideMark/>
          </w:tcPr>
          <w:p w14:paraId="72991937" w14:textId="77777777" w:rsidR="00245CBF" w:rsidRPr="00870621" w:rsidRDefault="00245CBF" w:rsidP="00514011">
            <w:r>
              <w:rPr>
                <w:rFonts w:ascii="Calibri" w:hAnsi="Calibri" w:cs="Calibri"/>
                <w:color w:val="000000"/>
              </w:rPr>
              <w:t>-1.33</w:t>
            </w:r>
          </w:p>
        </w:tc>
        <w:tc>
          <w:tcPr>
            <w:tcW w:w="960" w:type="dxa"/>
            <w:noWrap/>
            <w:vAlign w:val="bottom"/>
            <w:hideMark/>
          </w:tcPr>
          <w:p w14:paraId="76694EC2" w14:textId="77777777" w:rsidR="00245CBF" w:rsidRPr="00870621" w:rsidRDefault="00245CBF" w:rsidP="00514011">
            <w:r>
              <w:rPr>
                <w:rFonts w:ascii="Calibri" w:hAnsi="Calibri" w:cs="Calibri"/>
                <w:color w:val="000000"/>
              </w:rPr>
              <w:t>0.68</w:t>
            </w:r>
          </w:p>
        </w:tc>
        <w:tc>
          <w:tcPr>
            <w:tcW w:w="960" w:type="dxa"/>
            <w:noWrap/>
            <w:vAlign w:val="bottom"/>
            <w:hideMark/>
          </w:tcPr>
          <w:p w14:paraId="40FF6B60" w14:textId="77777777" w:rsidR="00245CBF" w:rsidRPr="00870621" w:rsidRDefault="00245CBF" w:rsidP="00514011">
            <w:r>
              <w:rPr>
                <w:rFonts w:ascii="Calibri" w:hAnsi="Calibri" w:cs="Calibri"/>
                <w:color w:val="000000"/>
              </w:rPr>
              <w:t>-2.43</w:t>
            </w:r>
          </w:p>
        </w:tc>
        <w:tc>
          <w:tcPr>
            <w:tcW w:w="960" w:type="dxa"/>
            <w:noWrap/>
            <w:vAlign w:val="bottom"/>
            <w:hideMark/>
          </w:tcPr>
          <w:p w14:paraId="21C7284E" w14:textId="77777777" w:rsidR="00245CBF" w:rsidRPr="00870621" w:rsidRDefault="00245CBF" w:rsidP="00514011">
            <w:r>
              <w:rPr>
                <w:rFonts w:ascii="Calibri" w:hAnsi="Calibri" w:cs="Calibri"/>
                <w:color w:val="000000"/>
              </w:rPr>
              <w:t>-0.19</w:t>
            </w:r>
          </w:p>
        </w:tc>
        <w:tc>
          <w:tcPr>
            <w:tcW w:w="960" w:type="dxa"/>
            <w:noWrap/>
            <w:vAlign w:val="bottom"/>
            <w:hideMark/>
          </w:tcPr>
          <w:p w14:paraId="7061F76C" w14:textId="77777777" w:rsidR="00245CBF" w:rsidRPr="00870621" w:rsidRDefault="00245CBF" w:rsidP="00514011">
            <w:r>
              <w:rPr>
                <w:rFonts w:ascii="Calibri" w:hAnsi="Calibri" w:cs="Calibri"/>
                <w:color w:val="000000"/>
              </w:rPr>
              <w:t>1.00</w:t>
            </w:r>
          </w:p>
        </w:tc>
        <w:tc>
          <w:tcPr>
            <w:tcW w:w="1008" w:type="dxa"/>
            <w:noWrap/>
            <w:vAlign w:val="bottom"/>
            <w:hideMark/>
          </w:tcPr>
          <w:p w14:paraId="795DE830" w14:textId="77777777" w:rsidR="00245CBF" w:rsidRPr="00870621" w:rsidRDefault="00245CBF" w:rsidP="00514011">
            <w:r>
              <w:rPr>
                <w:rFonts w:ascii="Calibri" w:hAnsi="Calibri" w:cs="Calibri"/>
                <w:color w:val="000000"/>
              </w:rPr>
              <w:t>1352.48</w:t>
            </w:r>
          </w:p>
        </w:tc>
        <w:tc>
          <w:tcPr>
            <w:tcW w:w="960" w:type="dxa"/>
            <w:noWrap/>
            <w:vAlign w:val="bottom"/>
            <w:hideMark/>
          </w:tcPr>
          <w:p w14:paraId="22A16051" w14:textId="77777777" w:rsidR="00245CBF" w:rsidRPr="00870621" w:rsidRDefault="00245CBF" w:rsidP="00514011">
            <w:r>
              <w:rPr>
                <w:rFonts w:ascii="Calibri" w:hAnsi="Calibri" w:cs="Calibri"/>
                <w:color w:val="000000"/>
              </w:rPr>
              <w:t>2404.24</w:t>
            </w:r>
          </w:p>
        </w:tc>
      </w:tr>
      <w:tr w:rsidR="00245CBF" w:rsidRPr="00870621" w14:paraId="387CA39B" w14:textId="77777777" w:rsidTr="00514011">
        <w:trPr>
          <w:trHeight w:val="288"/>
        </w:trPr>
        <w:tc>
          <w:tcPr>
            <w:tcW w:w="1354" w:type="dxa"/>
            <w:noWrap/>
            <w:vAlign w:val="bottom"/>
            <w:hideMark/>
          </w:tcPr>
          <w:p w14:paraId="19D23378" w14:textId="77777777" w:rsidR="00245CBF" w:rsidRPr="008727D0" w:rsidRDefault="00245CBF" w:rsidP="00514011">
            <w:pPr>
              <w:rPr>
                <w:b/>
                <w:bCs/>
              </w:rPr>
            </w:pPr>
            <w:r w:rsidRPr="00E92F0B">
              <w:rPr>
                <w:rFonts w:ascii="Calibri" w:hAnsi="Calibri" w:cs="Calibri"/>
                <w:b/>
                <w:bCs/>
                <w:color w:val="000000"/>
              </w:rPr>
              <w:t>DBH^2 x BA</w:t>
            </w:r>
          </w:p>
        </w:tc>
        <w:tc>
          <w:tcPr>
            <w:tcW w:w="960" w:type="dxa"/>
            <w:noWrap/>
            <w:vAlign w:val="bottom"/>
            <w:hideMark/>
          </w:tcPr>
          <w:p w14:paraId="300D4129" w14:textId="77777777" w:rsidR="00245CBF" w:rsidRPr="00870621" w:rsidRDefault="00245CBF" w:rsidP="00514011">
            <w:r>
              <w:rPr>
                <w:rFonts w:ascii="Calibri" w:hAnsi="Calibri" w:cs="Calibri"/>
                <w:color w:val="000000"/>
              </w:rPr>
              <w:t>0.50</w:t>
            </w:r>
          </w:p>
        </w:tc>
        <w:tc>
          <w:tcPr>
            <w:tcW w:w="960" w:type="dxa"/>
            <w:noWrap/>
            <w:vAlign w:val="bottom"/>
            <w:hideMark/>
          </w:tcPr>
          <w:p w14:paraId="07898F13" w14:textId="77777777" w:rsidR="00245CBF" w:rsidRPr="00870621" w:rsidRDefault="00245CBF" w:rsidP="00514011">
            <w:r>
              <w:rPr>
                <w:rFonts w:ascii="Calibri" w:hAnsi="Calibri" w:cs="Calibri"/>
                <w:color w:val="000000"/>
              </w:rPr>
              <w:t>0.50</w:t>
            </w:r>
          </w:p>
        </w:tc>
        <w:tc>
          <w:tcPr>
            <w:tcW w:w="960" w:type="dxa"/>
            <w:noWrap/>
            <w:vAlign w:val="bottom"/>
            <w:hideMark/>
          </w:tcPr>
          <w:p w14:paraId="434282D3" w14:textId="77777777" w:rsidR="00245CBF" w:rsidRPr="00870621" w:rsidRDefault="00245CBF" w:rsidP="00514011">
            <w:r>
              <w:rPr>
                <w:rFonts w:ascii="Calibri" w:hAnsi="Calibri" w:cs="Calibri"/>
                <w:color w:val="000000"/>
              </w:rPr>
              <w:t>0.30</w:t>
            </w:r>
          </w:p>
        </w:tc>
        <w:tc>
          <w:tcPr>
            <w:tcW w:w="960" w:type="dxa"/>
            <w:noWrap/>
            <w:vAlign w:val="bottom"/>
            <w:hideMark/>
          </w:tcPr>
          <w:p w14:paraId="69A1B7F5" w14:textId="77777777" w:rsidR="00245CBF" w:rsidRPr="00870621" w:rsidRDefault="00245CBF" w:rsidP="00514011">
            <w:r>
              <w:rPr>
                <w:rFonts w:ascii="Calibri" w:hAnsi="Calibri" w:cs="Calibri"/>
                <w:color w:val="000000"/>
              </w:rPr>
              <w:t>0.01</w:t>
            </w:r>
          </w:p>
        </w:tc>
        <w:tc>
          <w:tcPr>
            <w:tcW w:w="960" w:type="dxa"/>
            <w:noWrap/>
            <w:vAlign w:val="bottom"/>
            <w:hideMark/>
          </w:tcPr>
          <w:p w14:paraId="7C1B3400" w14:textId="77777777" w:rsidR="00245CBF" w:rsidRPr="00870621" w:rsidRDefault="00245CBF" w:rsidP="00514011">
            <w:r>
              <w:rPr>
                <w:rFonts w:ascii="Calibri" w:hAnsi="Calibri" w:cs="Calibri"/>
                <w:color w:val="000000"/>
              </w:rPr>
              <w:t>1.00</w:t>
            </w:r>
          </w:p>
        </w:tc>
        <w:tc>
          <w:tcPr>
            <w:tcW w:w="960" w:type="dxa"/>
            <w:noWrap/>
            <w:vAlign w:val="bottom"/>
            <w:hideMark/>
          </w:tcPr>
          <w:p w14:paraId="3AA6E9D3" w14:textId="77777777" w:rsidR="00245CBF" w:rsidRPr="00870621" w:rsidRDefault="00245CBF" w:rsidP="00514011">
            <w:r>
              <w:rPr>
                <w:rFonts w:ascii="Calibri" w:hAnsi="Calibri" w:cs="Calibri"/>
                <w:color w:val="000000"/>
              </w:rPr>
              <w:t>1.00</w:t>
            </w:r>
          </w:p>
        </w:tc>
        <w:tc>
          <w:tcPr>
            <w:tcW w:w="1008" w:type="dxa"/>
            <w:noWrap/>
            <w:vAlign w:val="bottom"/>
            <w:hideMark/>
          </w:tcPr>
          <w:p w14:paraId="30650704" w14:textId="77777777" w:rsidR="00245CBF" w:rsidRPr="00870621" w:rsidRDefault="00245CBF" w:rsidP="00514011">
            <w:r>
              <w:rPr>
                <w:rFonts w:ascii="Calibri" w:hAnsi="Calibri" w:cs="Calibri"/>
                <w:color w:val="000000"/>
              </w:rPr>
              <w:t>1485.97</w:t>
            </w:r>
          </w:p>
        </w:tc>
        <w:tc>
          <w:tcPr>
            <w:tcW w:w="960" w:type="dxa"/>
            <w:noWrap/>
            <w:vAlign w:val="bottom"/>
            <w:hideMark/>
          </w:tcPr>
          <w:p w14:paraId="2ECAE33F" w14:textId="77777777" w:rsidR="00245CBF" w:rsidRPr="00870621" w:rsidRDefault="00245CBF" w:rsidP="00514011">
            <w:r>
              <w:rPr>
                <w:rFonts w:ascii="Calibri" w:hAnsi="Calibri" w:cs="Calibri"/>
                <w:color w:val="000000"/>
              </w:rPr>
              <w:t>2159.68</w:t>
            </w:r>
          </w:p>
        </w:tc>
      </w:tr>
      <w:tr w:rsidR="00245CBF" w:rsidRPr="00870621" w14:paraId="64CCD9DC" w14:textId="77777777" w:rsidTr="00514011">
        <w:trPr>
          <w:trHeight w:val="288"/>
        </w:trPr>
        <w:tc>
          <w:tcPr>
            <w:tcW w:w="1354" w:type="dxa"/>
            <w:noWrap/>
            <w:vAlign w:val="bottom"/>
            <w:hideMark/>
          </w:tcPr>
          <w:p w14:paraId="209D423C" w14:textId="77777777" w:rsidR="00245CBF" w:rsidRPr="008727D0" w:rsidRDefault="00245CBF" w:rsidP="00514011">
            <w:pPr>
              <w:rPr>
                <w:b/>
                <w:bCs/>
              </w:rPr>
            </w:pPr>
            <w:r w:rsidRPr="00E92F0B">
              <w:rPr>
                <w:rFonts w:ascii="Calibri" w:hAnsi="Calibri" w:cs="Calibri"/>
                <w:b/>
                <w:bCs/>
                <w:color w:val="000000"/>
              </w:rPr>
              <w:t>DBH x Drought</w:t>
            </w:r>
          </w:p>
        </w:tc>
        <w:tc>
          <w:tcPr>
            <w:tcW w:w="960" w:type="dxa"/>
            <w:noWrap/>
            <w:vAlign w:val="bottom"/>
            <w:hideMark/>
          </w:tcPr>
          <w:p w14:paraId="4C02B1DE" w14:textId="77777777" w:rsidR="00245CBF" w:rsidRPr="00870621" w:rsidRDefault="00245CBF" w:rsidP="00514011">
            <w:r>
              <w:rPr>
                <w:rFonts w:ascii="Calibri" w:hAnsi="Calibri" w:cs="Calibri"/>
                <w:color w:val="000000"/>
              </w:rPr>
              <w:t>0.49</w:t>
            </w:r>
          </w:p>
        </w:tc>
        <w:tc>
          <w:tcPr>
            <w:tcW w:w="960" w:type="dxa"/>
            <w:noWrap/>
            <w:vAlign w:val="bottom"/>
            <w:hideMark/>
          </w:tcPr>
          <w:p w14:paraId="1E6E62B9" w14:textId="77777777" w:rsidR="00245CBF" w:rsidRPr="00870621" w:rsidRDefault="00245CBF" w:rsidP="00514011">
            <w:r>
              <w:rPr>
                <w:rFonts w:ascii="Calibri" w:hAnsi="Calibri" w:cs="Calibri"/>
                <w:color w:val="000000"/>
              </w:rPr>
              <w:t>0.49</w:t>
            </w:r>
          </w:p>
        </w:tc>
        <w:tc>
          <w:tcPr>
            <w:tcW w:w="960" w:type="dxa"/>
            <w:noWrap/>
            <w:vAlign w:val="bottom"/>
            <w:hideMark/>
          </w:tcPr>
          <w:p w14:paraId="0BCE1B37" w14:textId="77777777" w:rsidR="00245CBF" w:rsidRPr="00870621" w:rsidRDefault="00245CBF" w:rsidP="00514011">
            <w:r>
              <w:rPr>
                <w:rFonts w:ascii="Calibri" w:hAnsi="Calibri" w:cs="Calibri"/>
                <w:color w:val="000000"/>
              </w:rPr>
              <w:t>0.50</w:t>
            </w:r>
          </w:p>
        </w:tc>
        <w:tc>
          <w:tcPr>
            <w:tcW w:w="960" w:type="dxa"/>
            <w:noWrap/>
            <w:vAlign w:val="bottom"/>
            <w:hideMark/>
          </w:tcPr>
          <w:p w14:paraId="7CF6D5CF" w14:textId="77777777" w:rsidR="00245CBF" w:rsidRPr="00870621" w:rsidRDefault="00245CBF" w:rsidP="00514011">
            <w:r>
              <w:rPr>
                <w:rFonts w:ascii="Calibri" w:hAnsi="Calibri" w:cs="Calibri"/>
                <w:color w:val="000000"/>
              </w:rPr>
              <w:t>-0.36</w:t>
            </w:r>
          </w:p>
        </w:tc>
        <w:tc>
          <w:tcPr>
            <w:tcW w:w="960" w:type="dxa"/>
            <w:noWrap/>
            <w:vAlign w:val="bottom"/>
            <w:hideMark/>
          </w:tcPr>
          <w:p w14:paraId="24755552" w14:textId="77777777" w:rsidR="00245CBF" w:rsidRPr="00870621" w:rsidRDefault="00245CBF" w:rsidP="00514011">
            <w:r>
              <w:rPr>
                <w:rFonts w:ascii="Calibri" w:hAnsi="Calibri" w:cs="Calibri"/>
                <w:color w:val="000000"/>
              </w:rPr>
              <w:t>1.30</w:t>
            </w:r>
          </w:p>
        </w:tc>
        <w:tc>
          <w:tcPr>
            <w:tcW w:w="960" w:type="dxa"/>
            <w:noWrap/>
            <w:vAlign w:val="bottom"/>
            <w:hideMark/>
          </w:tcPr>
          <w:p w14:paraId="4456ECA7" w14:textId="77777777" w:rsidR="00245CBF" w:rsidRPr="00870621" w:rsidRDefault="00245CBF" w:rsidP="00514011">
            <w:r>
              <w:rPr>
                <w:rFonts w:ascii="Calibri" w:hAnsi="Calibri" w:cs="Calibri"/>
                <w:color w:val="000000"/>
              </w:rPr>
              <w:t>1.00</w:t>
            </w:r>
          </w:p>
        </w:tc>
        <w:tc>
          <w:tcPr>
            <w:tcW w:w="1008" w:type="dxa"/>
            <w:noWrap/>
            <w:vAlign w:val="bottom"/>
            <w:hideMark/>
          </w:tcPr>
          <w:p w14:paraId="55C18F8B" w14:textId="77777777" w:rsidR="00245CBF" w:rsidRPr="00870621" w:rsidRDefault="00245CBF" w:rsidP="00514011">
            <w:r>
              <w:rPr>
                <w:rFonts w:ascii="Calibri" w:hAnsi="Calibri" w:cs="Calibri"/>
                <w:color w:val="000000"/>
              </w:rPr>
              <w:t>1592.82</w:t>
            </w:r>
          </w:p>
        </w:tc>
        <w:tc>
          <w:tcPr>
            <w:tcW w:w="960" w:type="dxa"/>
            <w:noWrap/>
            <w:vAlign w:val="bottom"/>
            <w:hideMark/>
          </w:tcPr>
          <w:p w14:paraId="7DACAF45" w14:textId="77777777" w:rsidR="00245CBF" w:rsidRPr="00870621" w:rsidRDefault="00245CBF" w:rsidP="00514011">
            <w:pPr>
              <w:keepNext/>
            </w:pPr>
            <w:r>
              <w:rPr>
                <w:rFonts w:ascii="Calibri" w:hAnsi="Calibri" w:cs="Calibri"/>
                <w:color w:val="000000"/>
              </w:rPr>
              <w:t>2356.51</w:t>
            </w:r>
          </w:p>
        </w:tc>
      </w:tr>
      <w:tr w:rsidR="00245CBF" w:rsidRPr="00870621" w14:paraId="20B25C33" w14:textId="77777777" w:rsidTr="00514011">
        <w:trPr>
          <w:trHeight w:val="288"/>
        </w:trPr>
        <w:tc>
          <w:tcPr>
            <w:tcW w:w="1354" w:type="dxa"/>
            <w:noWrap/>
            <w:vAlign w:val="bottom"/>
          </w:tcPr>
          <w:p w14:paraId="21CEA710" w14:textId="77777777" w:rsidR="00245CBF" w:rsidRPr="008727D0" w:rsidRDefault="00245CBF" w:rsidP="00514011">
            <w:pPr>
              <w:rPr>
                <w:b/>
                <w:bCs/>
              </w:rPr>
            </w:pPr>
            <w:r w:rsidRPr="00E92F0B">
              <w:rPr>
                <w:rFonts w:ascii="Calibri" w:hAnsi="Calibri" w:cs="Calibri"/>
                <w:b/>
                <w:bCs/>
                <w:color w:val="000000"/>
              </w:rPr>
              <w:t>DBH^2 x Drought</w:t>
            </w:r>
          </w:p>
        </w:tc>
        <w:tc>
          <w:tcPr>
            <w:tcW w:w="960" w:type="dxa"/>
            <w:noWrap/>
            <w:vAlign w:val="bottom"/>
          </w:tcPr>
          <w:p w14:paraId="0FEBD7FF" w14:textId="77777777" w:rsidR="00245CBF" w:rsidRPr="00870621" w:rsidRDefault="00245CBF" w:rsidP="00514011">
            <w:r>
              <w:rPr>
                <w:rFonts w:ascii="Calibri" w:hAnsi="Calibri" w:cs="Calibri"/>
                <w:color w:val="000000"/>
              </w:rPr>
              <w:t>-0.26</w:t>
            </w:r>
          </w:p>
        </w:tc>
        <w:tc>
          <w:tcPr>
            <w:tcW w:w="960" w:type="dxa"/>
            <w:noWrap/>
            <w:vAlign w:val="bottom"/>
          </w:tcPr>
          <w:p w14:paraId="65CA1A8A" w14:textId="77777777" w:rsidR="00245CBF" w:rsidRPr="00870621" w:rsidRDefault="00245CBF" w:rsidP="00514011">
            <w:r>
              <w:rPr>
                <w:rFonts w:ascii="Calibri" w:hAnsi="Calibri" w:cs="Calibri"/>
                <w:color w:val="000000"/>
              </w:rPr>
              <w:t>-0.26</w:t>
            </w:r>
          </w:p>
        </w:tc>
        <w:tc>
          <w:tcPr>
            <w:tcW w:w="960" w:type="dxa"/>
            <w:noWrap/>
            <w:vAlign w:val="bottom"/>
          </w:tcPr>
          <w:p w14:paraId="15691639" w14:textId="77777777" w:rsidR="00245CBF" w:rsidRPr="00870621" w:rsidRDefault="00245CBF" w:rsidP="00514011">
            <w:r>
              <w:rPr>
                <w:rFonts w:ascii="Calibri" w:hAnsi="Calibri" w:cs="Calibri"/>
                <w:color w:val="000000"/>
              </w:rPr>
              <w:t>0.23</w:t>
            </w:r>
          </w:p>
        </w:tc>
        <w:tc>
          <w:tcPr>
            <w:tcW w:w="960" w:type="dxa"/>
            <w:noWrap/>
            <w:vAlign w:val="bottom"/>
          </w:tcPr>
          <w:p w14:paraId="7B86465F" w14:textId="77777777" w:rsidR="00245CBF" w:rsidRPr="00870621" w:rsidRDefault="00245CBF" w:rsidP="00514011">
            <w:r>
              <w:rPr>
                <w:rFonts w:ascii="Calibri" w:hAnsi="Calibri" w:cs="Calibri"/>
                <w:color w:val="000000"/>
              </w:rPr>
              <w:t>-0.64</w:t>
            </w:r>
          </w:p>
        </w:tc>
        <w:tc>
          <w:tcPr>
            <w:tcW w:w="960" w:type="dxa"/>
            <w:noWrap/>
            <w:vAlign w:val="bottom"/>
          </w:tcPr>
          <w:p w14:paraId="69469728" w14:textId="77777777" w:rsidR="00245CBF" w:rsidRPr="00870621" w:rsidRDefault="00245CBF" w:rsidP="00514011">
            <w:r>
              <w:rPr>
                <w:rFonts w:ascii="Calibri" w:hAnsi="Calibri" w:cs="Calibri"/>
                <w:color w:val="000000"/>
              </w:rPr>
              <w:t>0.13</w:t>
            </w:r>
          </w:p>
        </w:tc>
        <w:tc>
          <w:tcPr>
            <w:tcW w:w="960" w:type="dxa"/>
            <w:noWrap/>
            <w:vAlign w:val="bottom"/>
          </w:tcPr>
          <w:p w14:paraId="5421C20E" w14:textId="77777777" w:rsidR="00245CBF" w:rsidRPr="00870621" w:rsidRDefault="00245CBF" w:rsidP="00514011">
            <w:r>
              <w:rPr>
                <w:rFonts w:ascii="Calibri" w:hAnsi="Calibri" w:cs="Calibri"/>
                <w:color w:val="000000"/>
              </w:rPr>
              <w:t>1.00</w:t>
            </w:r>
          </w:p>
        </w:tc>
        <w:tc>
          <w:tcPr>
            <w:tcW w:w="1008" w:type="dxa"/>
            <w:noWrap/>
            <w:vAlign w:val="bottom"/>
          </w:tcPr>
          <w:p w14:paraId="2E1E7BD6" w14:textId="77777777" w:rsidR="00245CBF" w:rsidRPr="00870621" w:rsidRDefault="00245CBF" w:rsidP="00514011">
            <w:r>
              <w:rPr>
                <w:rFonts w:ascii="Calibri" w:hAnsi="Calibri" w:cs="Calibri"/>
                <w:color w:val="000000"/>
              </w:rPr>
              <w:t>1805.73</w:t>
            </w:r>
          </w:p>
        </w:tc>
        <w:tc>
          <w:tcPr>
            <w:tcW w:w="960" w:type="dxa"/>
            <w:noWrap/>
            <w:vAlign w:val="bottom"/>
          </w:tcPr>
          <w:p w14:paraId="62819808" w14:textId="77777777" w:rsidR="00245CBF" w:rsidRPr="00870621" w:rsidRDefault="00245CBF" w:rsidP="00514011">
            <w:pPr>
              <w:keepNext/>
            </w:pPr>
            <w:r>
              <w:rPr>
                <w:rFonts w:ascii="Calibri" w:hAnsi="Calibri" w:cs="Calibri"/>
                <w:color w:val="000000"/>
              </w:rPr>
              <w:t>2694.80</w:t>
            </w:r>
          </w:p>
        </w:tc>
      </w:tr>
      <w:tr w:rsidR="00245CBF" w:rsidRPr="00870621" w14:paraId="5666B719" w14:textId="77777777" w:rsidTr="00514011">
        <w:trPr>
          <w:trHeight w:val="288"/>
        </w:trPr>
        <w:tc>
          <w:tcPr>
            <w:tcW w:w="1354" w:type="dxa"/>
            <w:noWrap/>
            <w:vAlign w:val="bottom"/>
          </w:tcPr>
          <w:p w14:paraId="7587DC94" w14:textId="77777777" w:rsidR="00245CBF" w:rsidRPr="008727D0" w:rsidRDefault="00245CBF" w:rsidP="00514011">
            <w:pPr>
              <w:rPr>
                <w:b/>
                <w:bCs/>
              </w:rPr>
            </w:pPr>
            <w:r w:rsidRPr="00E92F0B">
              <w:rPr>
                <w:rFonts w:ascii="Calibri" w:hAnsi="Calibri" w:cs="Calibri"/>
                <w:b/>
                <w:bCs/>
                <w:color w:val="000000"/>
              </w:rPr>
              <w:t>DBH x Dryness</w:t>
            </w:r>
          </w:p>
        </w:tc>
        <w:tc>
          <w:tcPr>
            <w:tcW w:w="960" w:type="dxa"/>
            <w:noWrap/>
            <w:vAlign w:val="bottom"/>
          </w:tcPr>
          <w:p w14:paraId="7826019D" w14:textId="77777777" w:rsidR="00245CBF" w:rsidRPr="00870621" w:rsidRDefault="00245CBF" w:rsidP="00514011">
            <w:r>
              <w:rPr>
                <w:rFonts w:ascii="Calibri" w:hAnsi="Calibri" w:cs="Calibri"/>
                <w:color w:val="000000"/>
              </w:rPr>
              <w:t>-0.32</w:t>
            </w:r>
          </w:p>
        </w:tc>
        <w:tc>
          <w:tcPr>
            <w:tcW w:w="960" w:type="dxa"/>
            <w:noWrap/>
            <w:vAlign w:val="bottom"/>
          </w:tcPr>
          <w:p w14:paraId="6518DAF2" w14:textId="77777777" w:rsidR="00245CBF" w:rsidRPr="00870621" w:rsidRDefault="00245CBF" w:rsidP="00514011">
            <w:r>
              <w:rPr>
                <w:rFonts w:ascii="Calibri" w:hAnsi="Calibri" w:cs="Calibri"/>
                <w:color w:val="000000"/>
              </w:rPr>
              <w:t>-0.33</w:t>
            </w:r>
          </w:p>
        </w:tc>
        <w:tc>
          <w:tcPr>
            <w:tcW w:w="960" w:type="dxa"/>
            <w:noWrap/>
            <w:vAlign w:val="bottom"/>
          </w:tcPr>
          <w:p w14:paraId="059459F2" w14:textId="77777777" w:rsidR="00245CBF" w:rsidRPr="00870621" w:rsidRDefault="00245CBF" w:rsidP="00514011">
            <w:r>
              <w:rPr>
                <w:rFonts w:ascii="Calibri" w:hAnsi="Calibri" w:cs="Calibri"/>
                <w:color w:val="000000"/>
              </w:rPr>
              <w:t>0.63</w:t>
            </w:r>
          </w:p>
        </w:tc>
        <w:tc>
          <w:tcPr>
            <w:tcW w:w="960" w:type="dxa"/>
            <w:noWrap/>
            <w:vAlign w:val="bottom"/>
          </w:tcPr>
          <w:p w14:paraId="274B5F33" w14:textId="77777777" w:rsidR="00245CBF" w:rsidRPr="00870621" w:rsidRDefault="00245CBF" w:rsidP="00514011">
            <w:r>
              <w:rPr>
                <w:rFonts w:ascii="Calibri" w:hAnsi="Calibri" w:cs="Calibri"/>
                <w:color w:val="000000"/>
              </w:rPr>
              <w:t>-1.36</w:t>
            </w:r>
          </w:p>
        </w:tc>
        <w:tc>
          <w:tcPr>
            <w:tcW w:w="960" w:type="dxa"/>
            <w:noWrap/>
            <w:vAlign w:val="bottom"/>
          </w:tcPr>
          <w:p w14:paraId="118FE98B" w14:textId="77777777" w:rsidR="00245CBF" w:rsidRPr="00870621" w:rsidRDefault="00245CBF" w:rsidP="00514011">
            <w:r>
              <w:rPr>
                <w:rFonts w:ascii="Calibri" w:hAnsi="Calibri" w:cs="Calibri"/>
                <w:color w:val="000000"/>
              </w:rPr>
              <w:t>0.72</w:t>
            </w:r>
          </w:p>
        </w:tc>
        <w:tc>
          <w:tcPr>
            <w:tcW w:w="960" w:type="dxa"/>
            <w:noWrap/>
            <w:vAlign w:val="bottom"/>
          </w:tcPr>
          <w:p w14:paraId="58FF2DF2" w14:textId="77777777" w:rsidR="00245CBF" w:rsidRPr="00870621" w:rsidRDefault="00245CBF" w:rsidP="00514011">
            <w:r>
              <w:rPr>
                <w:rFonts w:ascii="Calibri" w:hAnsi="Calibri" w:cs="Calibri"/>
                <w:color w:val="000000"/>
              </w:rPr>
              <w:t>1.00</w:t>
            </w:r>
          </w:p>
        </w:tc>
        <w:tc>
          <w:tcPr>
            <w:tcW w:w="1008" w:type="dxa"/>
            <w:noWrap/>
            <w:vAlign w:val="bottom"/>
          </w:tcPr>
          <w:p w14:paraId="50927C72" w14:textId="77777777" w:rsidR="00245CBF" w:rsidRPr="00870621" w:rsidRDefault="00245CBF" w:rsidP="00514011">
            <w:r>
              <w:rPr>
                <w:rFonts w:ascii="Calibri" w:hAnsi="Calibri" w:cs="Calibri"/>
                <w:color w:val="000000"/>
              </w:rPr>
              <w:t>1562.24</w:t>
            </w:r>
          </w:p>
        </w:tc>
        <w:tc>
          <w:tcPr>
            <w:tcW w:w="960" w:type="dxa"/>
            <w:noWrap/>
            <w:vAlign w:val="bottom"/>
          </w:tcPr>
          <w:p w14:paraId="1EBD11F5" w14:textId="77777777" w:rsidR="00245CBF" w:rsidRPr="00870621" w:rsidRDefault="00245CBF" w:rsidP="00514011">
            <w:pPr>
              <w:keepNext/>
            </w:pPr>
            <w:r>
              <w:rPr>
                <w:rFonts w:ascii="Calibri" w:hAnsi="Calibri" w:cs="Calibri"/>
                <w:color w:val="000000"/>
              </w:rPr>
              <w:t>1894.60</w:t>
            </w:r>
          </w:p>
        </w:tc>
      </w:tr>
      <w:tr w:rsidR="00245CBF" w:rsidRPr="00870621" w14:paraId="2B2DE5E1" w14:textId="77777777" w:rsidTr="00514011">
        <w:trPr>
          <w:trHeight w:val="288"/>
        </w:trPr>
        <w:tc>
          <w:tcPr>
            <w:tcW w:w="1354" w:type="dxa"/>
            <w:noWrap/>
            <w:vAlign w:val="bottom"/>
          </w:tcPr>
          <w:p w14:paraId="3D8B24C8" w14:textId="77777777" w:rsidR="00245CBF" w:rsidRPr="008727D0" w:rsidRDefault="00245CBF" w:rsidP="00514011">
            <w:pPr>
              <w:rPr>
                <w:b/>
                <w:bCs/>
              </w:rPr>
            </w:pPr>
            <w:r w:rsidRPr="00E92F0B">
              <w:rPr>
                <w:rFonts w:ascii="Calibri" w:hAnsi="Calibri" w:cs="Calibri"/>
                <w:b/>
                <w:bCs/>
                <w:color w:val="000000"/>
              </w:rPr>
              <w:t>DBH^2 x Dryness</w:t>
            </w:r>
          </w:p>
        </w:tc>
        <w:tc>
          <w:tcPr>
            <w:tcW w:w="960" w:type="dxa"/>
            <w:noWrap/>
            <w:vAlign w:val="bottom"/>
          </w:tcPr>
          <w:p w14:paraId="1E0ED94F" w14:textId="77777777" w:rsidR="00245CBF" w:rsidRPr="00870621" w:rsidRDefault="00245CBF" w:rsidP="00514011">
            <w:r>
              <w:rPr>
                <w:rFonts w:ascii="Calibri" w:hAnsi="Calibri" w:cs="Calibri"/>
                <w:color w:val="000000"/>
              </w:rPr>
              <w:t>-0.08</w:t>
            </w:r>
          </w:p>
        </w:tc>
        <w:tc>
          <w:tcPr>
            <w:tcW w:w="960" w:type="dxa"/>
            <w:noWrap/>
            <w:vAlign w:val="bottom"/>
          </w:tcPr>
          <w:p w14:paraId="3AB37E92" w14:textId="77777777" w:rsidR="00245CBF" w:rsidRPr="00870621" w:rsidRDefault="00245CBF" w:rsidP="00514011">
            <w:r>
              <w:rPr>
                <w:rFonts w:ascii="Calibri" w:hAnsi="Calibri" w:cs="Calibri"/>
                <w:color w:val="000000"/>
              </w:rPr>
              <w:t>-0.08</w:t>
            </w:r>
          </w:p>
        </w:tc>
        <w:tc>
          <w:tcPr>
            <w:tcW w:w="960" w:type="dxa"/>
            <w:noWrap/>
            <w:vAlign w:val="bottom"/>
          </w:tcPr>
          <w:p w14:paraId="130B7CD6" w14:textId="77777777" w:rsidR="00245CBF" w:rsidRPr="00870621" w:rsidRDefault="00245CBF" w:rsidP="00514011">
            <w:r>
              <w:rPr>
                <w:rFonts w:ascii="Calibri" w:hAnsi="Calibri" w:cs="Calibri"/>
                <w:color w:val="000000"/>
              </w:rPr>
              <w:t>0.29</w:t>
            </w:r>
          </w:p>
        </w:tc>
        <w:tc>
          <w:tcPr>
            <w:tcW w:w="960" w:type="dxa"/>
            <w:noWrap/>
            <w:vAlign w:val="bottom"/>
          </w:tcPr>
          <w:p w14:paraId="3AC0D065" w14:textId="77777777" w:rsidR="00245CBF" w:rsidRPr="00870621" w:rsidRDefault="00245CBF" w:rsidP="00514011">
            <w:r>
              <w:rPr>
                <w:rFonts w:ascii="Calibri" w:hAnsi="Calibri" w:cs="Calibri"/>
                <w:color w:val="000000"/>
              </w:rPr>
              <w:t>-0.55</w:t>
            </w:r>
          </w:p>
        </w:tc>
        <w:tc>
          <w:tcPr>
            <w:tcW w:w="960" w:type="dxa"/>
            <w:noWrap/>
            <w:vAlign w:val="bottom"/>
          </w:tcPr>
          <w:p w14:paraId="12078471" w14:textId="77777777" w:rsidR="00245CBF" w:rsidRPr="00870621" w:rsidRDefault="00245CBF" w:rsidP="00514011">
            <w:r>
              <w:rPr>
                <w:rFonts w:ascii="Calibri" w:hAnsi="Calibri" w:cs="Calibri"/>
                <w:color w:val="000000"/>
              </w:rPr>
              <w:t>0.40</w:t>
            </w:r>
          </w:p>
        </w:tc>
        <w:tc>
          <w:tcPr>
            <w:tcW w:w="960" w:type="dxa"/>
            <w:noWrap/>
            <w:vAlign w:val="bottom"/>
          </w:tcPr>
          <w:p w14:paraId="45709D0C" w14:textId="77777777" w:rsidR="00245CBF" w:rsidRPr="00870621" w:rsidRDefault="00245CBF" w:rsidP="00514011">
            <w:r>
              <w:rPr>
                <w:rFonts w:ascii="Calibri" w:hAnsi="Calibri" w:cs="Calibri"/>
                <w:color w:val="000000"/>
              </w:rPr>
              <w:t>1.00</w:t>
            </w:r>
          </w:p>
        </w:tc>
        <w:tc>
          <w:tcPr>
            <w:tcW w:w="1008" w:type="dxa"/>
            <w:noWrap/>
            <w:vAlign w:val="bottom"/>
          </w:tcPr>
          <w:p w14:paraId="0C459F78" w14:textId="77777777" w:rsidR="00245CBF" w:rsidRPr="00870621" w:rsidRDefault="00245CBF" w:rsidP="00514011">
            <w:r>
              <w:rPr>
                <w:rFonts w:ascii="Calibri" w:hAnsi="Calibri" w:cs="Calibri"/>
                <w:color w:val="000000"/>
              </w:rPr>
              <w:t>1812.10</w:t>
            </w:r>
          </w:p>
        </w:tc>
        <w:tc>
          <w:tcPr>
            <w:tcW w:w="960" w:type="dxa"/>
            <w:noWrap/>
            <w:vAlign w:val="bottom"/>
          </w:tcPr>
          <w:p w14:paraId="6603645B" w14:textId="77777777" w:rsidR="00245CBF" w:rsidRPr="00870621" w:rsidRDefault="00245CBF" w:rsidP="00514011">
            <w:pPr>
              <w:keepNext/>
            </w:pPr>
            <w:r>
              <w:rPr>
                <w:rFonts w:ascii="Calibri" w:hAnsi="Calibri" w:cs="Calibri"/>
                <w:color w:val="000000"/>
              </w:rPr>
              <w:t>2451.13</w:t>
            </w:r>
          </w:p>
        </w:tc>
      </w:tr>
      <w:tr w:rsidR="00245CBF" w:rsidRPr="00870621" w14:paraId="6271A4E4" w14:textId="77777777" w:rsidTr="00514011">
        <w:trPr>
          <w:trHeight w:val="288"/>
        </w:trPr>
        <w:tc>
          <w:tcPr>
            <w:tcW w:w="1354" w:type="dxa"/>
            <w:noWrap/>
            <w:vAlign w:val="bottom"/>
          </w:tcPr>
          <w:p w14:paraId="1AD8B505" w14:textId="77777777" w:rsidR="00245CBF" w:rsidRPr="008727D0" w:rsidRDefault="00245CBF" w:rsidP="00514011">
            <w:pPr>
              <w:rPr>
                <w:b/>
                <w:bCs/>
              </w:rPr>
            </w:pPr>
            <w:r w:rsidRPr="00E92F0B">
              <w:rPr>
                <w:rFonts w:ascii="Calibri" w:hAnsi="Calibri" w:cs="Calibri"/>
                <w:b/>
                <w:bCs/>
                <w:color w:val="000000"/>
              </w:rPr>
              <w:t>SD Ecoregions</w:t>
            </w:r>
          </w:p>
        </w:tc>
        <w:tc>
          <w:tcPr>
            <w:tcW w:w="960" w:type="dxa"/>
            <w:noWrap/>
            <w:vAlign w:val="bottom"/>
          </w:tcPr>
          <w:p w14:paraId="06A530D9" w14:textId="77777777" w:rsidR="00245CBF" w:rsidRPr="00870621" w:rsidRDefault="00245CBF" w:rsidP="00514011">
            <w:r>
              <w:rPr>
                <w:rFonts w:ascii="Calibri" w:hAnsi="Calibri" w:cs="Calibri"/>
                <w:color w:val="000000"/>
              </w:rPr>
              <w:t>0.88</w:t>
            </w:r>
          </w:p>
        </w:tc>
        <w:tc>
          <w:tcPr>
            <w:tcW w:w="960" w:type="dxa"/>
            <w:noWrap/>
            <w:vAlign w:val="bottom"/>
          </w:tcPr>
          <w:p w14:paraId="0A4FB8DF" w14:textId="77777777" w:rsidR="00245CBF" w:rsidRPr="00870621" w:rsidRDefault="00245CBF" w:rsidP="00514011">
            <w:r>
              <w:rPr>
                <w:rFonts w:ascii="Calibri" w:hAnsi="Calibri" w:cs="Calibri"/>
                <w:color w:val="000000"/>
              </w:rPr>
              <w:t>0.85</w:t>
            </w:r>
          </w:p>
        </w:tc>
        <w:tc>
          <w:tcPr>
            <w:tcW w:w="960" w:type="dxa"/>
            <w:noWrap/>
            <w:vAlign w:val="bottom"/>
          </w:tcPr>
          <w:p w14:paraId="2F73F3CB" w14:textId="77777777" w:rsidR="00245CBF" w:rsidRPr="00870621" w:rsidRDefault="00245CBF" w:rsidP="00514011">
            <w:r>
              <w:rPr>
                <w:rFonts w:ascii="Calibri" w:hAnsi="Calibri" w:cs="Calibri"/>
                <w:color w:val="000000"/>
              </w:rPr>
              <w:t>0.24</w:t>
            </w:r>
          </w:p>
        </w:tc>
        <w:tc>
          <w:tcPr>
            <w:tcW w:w="960" w:type="dxa"/>
            <w:noWrap/>
            <w:vAlign w:val="bottom"/>
          </w:tcPr>
          <w:p w14:paraId="0E5C6FBE" w14:textId="77777777" w:rsidR="00245CBF" w:rsidRPr="00870621" w:rsidRDefault="00245CBF" w:rsidP="00514011">
            <w:r>
              <w:rPr>
                <w:rFonts w:ascii="Calibri" w:hAnsi="Calibri" w:cs="Calibri"/>
                <w:color w:val="000000"/>
              </w:rPr>
              <w:t>0.51</w:t>
            </w:r>
          </w:p>
        </w:tc>
        <w:tc>
          <w:tcPr>
            <w:tcW w:w="960" w:type="dxa"/>
            <w:noWrap/>
            <w:vAlign w:val="bottom"/>
          </w:tcPr>
          <w:p w14:paraId="0B3779F5" w14:textId="77777777" w:rsidR="00245CBF" w:rsidRPr="00870621" w:rsidRDefault="00245CBF" w:rsidP="00514011">
            <w:r>
              <w:rPr>
                <w:rFonts w:ascii="Calibri" w:hAnsi="Calibri" w:cs="Calibri"/>
                <w:color w:val="000000"/>
              </w:rPr>
              <w:t>1.30</w:t>
            </w:r>
          </w:p>
        </w:tc>
        <w:tc>
          <w:tcPr>
            <w:tcW w:w="960" w:type="dxa"/>
            <w:noWrap/>
            <w:vAlign w:val="bottom"/>
          </w:tcPr>
          <w:p w14:paraId="6A4E6CBD" w14:textId="77777777" w:rsidR="00245CBF" w:rsidRPr="00870621" w:rsidRDefault="00245CBF" w:rsidP="00514011">
            <w:r>
              <w:rPr>
                <w:rFonts w:ascii="Calibri" w:hAnsi="Calibri" w:cs="Calibri"/>
                <w:color w:val="000000"/>
              </w:rPr>
              <w:t>1.00</w:t>
            </w:r>
          </w:p>
        </w:tc>
        <w:tc>
          <w:tcPr>
            <w:tcW w:w="1008" w:type="dxa"/>
            <w:noWrap/>
            <w:vAlign w:val="bottom"/>
          </w:tcPr>
          <w:p w14:paraId="5DAE8C77" w14:textId="77777777" w:rsidR="00245CBF" w:rsidRPr="00870621" w:rsidRDefault="00245CBF" w:rsidP="00514011">
            <w:r>
              <w:rPr>
                <w:rFonts w:ascii="Calibri" w:hAnsi="Calibri" w:cs="Calibri"/>
                <w:color w:val="000000"/>
              </w:rPr>
              <w:t>1264.58</w:t>
            </w:r>
          </w:p>
        </w:tc>
        <w:tc>
          <w:tcPr>
            <w:tcW w:w="960" w:type="dxa"/>
            <w:noWrap/>
            <w:vAlign w:val="bottom"/>
          </w:tcPr>
          <w:p w14:paraId="0C4F8A19" w14:textId="77777777" w:rsidR="00245CBF" w:rsidRPr="00870621" w:rsidRDefault="00245CBF" w:rsidP="00514011">
            <w:pPr>
              <w:keepNext/>
            </w:pPr>
            <w:r>
              <w:rPr>
                <w:rFonts w:ascii="Calibri" w:hAnsi="Calibri" w:cs="Calibri"/>
                <w:color w:val="000000"/>
              </w:rPr>
              <w:t>1891.26</w:t>
            </w:r>
          </w:p>
        </w:tc>
      </w:tr>
      <w:tr w:rsidR="00245CBF" w:rsidRPr="00870621" w14:paraId="25451BBD" w14:textId="77777777" w:rsidTr="00514011">
        <w:trPr>
          <w:trHeight w:val="288"/>
        </w:trPr>
        <w:tc>
          <w:tcPr>
            <w:tcW w:w="1354" w:type="dxa"/>
            <w:noWrap/>
            <w:vAlign w:val="bottom"/>
          </w:tcPr>
          <w:p w14:paraId="3CCFA76E" w14:textId="77777777" w:rsidR="00245CBF" w:rsidRPr="008727D0" w:rsidRDefault="00245CBF" w:rsidP="00514011">
            <w:pPr>
              <w:rPr>
                <w:b/>
                <w:bCs/>
              </w:rPr>
            </w:pPr>
            <w:r w:rsidRPr="00E92F0B">
              <w:rPr>
                <w:rFonts w:ascii="Calibri" w:hAnsi="Calibri" w:cs="Calibri"/>
                <w:b/>
                <w:bCs/>
                <w:color w:val="000000"/>
              </w:rPr>
              <w:t>NB Dispersion</w:t>
            </w:r>
          </w:p>
        </w:tc>
        <w:tc>
          <w:tcPr>
            <w:tcW w:w="960" w:type="dxa"/>
            <w:noWrap/>
            <w:vAlign w:val="bottom"/>
          </w:tcPr>
          <w:p w14:paraId="0556F052" w14:textId="77777777" w:rsidR="00245CBF" w:rsidRPr="00870621" w:rsidRDefault="00245CBF" w:rsidP="00514011">
            <w:r>
              <w:rPr>
                <w:rFonts w:ascii="Calibri" w:hAnsi="Calibri" w:cs="Calibri"/>
                <w:color w:val="000000"/>
              </w:rPr>
              <w:t>0.45</w:t>
            </w:r>
          </w:p>
        </w:tc>
        <w:tc>
          <w:tcPr>
            <w:tcW w:w="960" w:type="dxa"/>
            <w:noWrap/>
            <w:vAlign w:val="bottom"/>
          </w:tcPr>
          <w:p w14:paraId="734E2698" w14:textId="77777777" w:rsidR="00245CBF" w:rsidRPr="00870621" w:rsidRDefault="00245CBF" w:rsidP="00514011">
            <w:r>
              <w:rPr>
                <w:rFonts w:ascii="Calibri" w:hAnsi="Calibri" w:cs="Calibri"/>
                <w:color w:val="000000"/>
              </w:rPr>
              <w:t>0.44</w:t>
            </w:r>
          </w:p>
        </w:tc>
        <w:tc>
          <w:tcPr>
            <w:tcW w:w="960" w:type="dxa"/>
            <w:noWrap/>
            <w:vAlign w:val="bottom"/>
          </w:tcPr>
          <w:p w14:paraId="182B86E3" w14:textId="77777777" w:rsidR="00245CBF" w:rsidRPr="00870621" w:rsidRDefault="00245CBF" w:rsidP="00514011">
            <w:r>
              <w:rPr>
                <w:rFonts w:ascii="Calibri" w:hAnsi="Calibri" w:cs="Calibri"/>
                <w:color w:val="000000"/>
              </w:rPr>
              <w:t>0.07</w:t>
            </w:r>
          </w:p>
        </w:tc>
        <w:tc>
          <w:tcPr>
            <w:tcW w:w="960" w:type="dxa"/>
            <w:noWrap/>
            <w:vAlign w:val="bottom"/>
          </w:tcPr>
          <w:p w14:paraId="58E27B12" w14:textId="77777777" w:rsidR="00245CBF" w:rsidRPr="00870621" w:rsidRDefault="00245CBF" w:rsidP="00514011">
            <w:r>
              <w:rPr>
                <w:rFonts w:ascii="Calibri" w:hAnsi="Calibri" w:cs="Calibri"/>
                <w:color w:val="000000"/>
              </w:rPr>
              <w:t>0.35</w:t>
            </w:r>
          </w:p>
        </w:tc>
        <w:tc>
          <w:tcPr>
            <w:tcW w:w="960" w:type="dxa"/>
            <w:noWrap/>
            <w:vAlign w:val="bottom"/>
          </w:tcPr>
          <w:p w14:paraId="03983BC2" w14:textId="77777777" w:rsidR="00245CBF" w:rsidRPr="00870621" w:rsidRDefault="00245CBF" w:rsidP="00514011">
            <w:r>
              <w:rPr>
                <w:rFonts w:ascii="Calibri" w:hAnsi="Calibri" w:cs="Calibri"/>
                <w:color w:val="000000"/>
              </w:rPr>
              <w:t>0.57</w:t>
            </w:r>
          </w:p>
        </w:tc>
        <w:tc>
          <w:tcPr>
            <w:tcW w:w="960" w:type="dxa"/>
            <w:noWrap/>
            <w:vAlign w:val="bottom"/>
          </w:tcPr>
          <w:p w14:paraId="02392945" w14:textId="77777777" w:rsidR="00245CBF" w:rsidRPr="00870621" w:rsidRDefault="00245CBF" w:rsidP="00514011">
            <w:r>
              <w:rPr>
                <w:rFonts w:ascii="Calibri" w:hAnsi="Calibri" w:cs="Calibri"/>
                <w:color w:val="000000"/>
              </w:rPr>
              <w:t>1.00</w:t>
            </w:r>
          </w:p>
        </w:tc>
        <w:tc>
          <w:tcPr>
            <w:tcW w:w="1008" w:type="dxa"/>
            <w:noWrap/>
            <w:vAlign w:val="bottom"/>
          </w:tcPr>
          <w:p w14:paraId="65F0DA7C" w14:textId="77777777" w:rsidR="00245CBF" w:rsidRPr="00870621" w:rsidRDefault="00245CBF" w:rsidP="00514011">
            <w:r>
              <w:rPr>
                <w:rFonts w:ascii="Calibri" w:hAnsi="Calibri" w:cs="Calibri"/>
                <w:color w:val="000000"/>
              </w:rPr>
              <w:t>3248.49</w:t>
            </w:r>
          </w:p>
        </w:tc>
        <w:tc>
          <w:tcPr>
            <w:tcW w:w="960" w:type="dxa"/>
            <w:noWrap/>
            <w:vAlign w:val="bottom"/>
          </w:tcPr>
          <w:p w14:paraId="63FABD82" w14:textId="77777777" w:rsidR="00245CBF" w:rsidRPr="00870621" w:rsidRDefault="00245CBF" w:rsidP="00514011">
            <w:pPr>
              <w:keepNext/>
            </w:pPr>
            <w:r>
              <w:rPr>
                <w:rFonts w:ascii="Calibri" w:hAnsi="Calibri" w:cs="Calibri"/>
                <w:color w:val="000000"/>
              </w:rPr>
              <w:t>2768.46</w:t>
            </w:r>
          </w:p>
        </w:tc>
      </w:tr>
    </w:tbl>
    <w:p w14:paraId="0C100CE1" w14:textId="77777777" w:rsidR="00245CBF" w:rsidRPr="00870621" w:rsidRDefault="00245CBF" w:rsidP="00245CBF">
      <w:pPr>
        <w:pStyle w:val="Caption"/>
      </w:pPr>
      <w:bookmarkStart w:id="76" w:name="_Ref94613081"/>
      <w:r>
        <w:t xml:space="preserve">Table </w:t>
      </w:r>
      <w:r w:rsidR="007B669E">
        <w:fldChar w:fldCharType="begin"/>
      </w:r>
      <w:r w:rsidR="007B669E">
        <w:instrText xml:space="preserve"> SEQ Table \* ARABIC </w:instrText>
      </w:r>
      <w:r w:rsidR="007B669E">
        <w:fldChar w:fldCharType="separate"/>
      </w:r>
      <w:r>
        <w:rPr>
          <w:noProof/>
        </w:rPr>
        <w:t>3</w:t>
      </w:r>
      <w:r w:rsidR="007B669E">
        <w:rPr>
          <w:noProof/>
        </w:rPr>
        <w:fldChar w:fldCharType="end"/>
      </w:r>
      <w:bookmarkEnd w:id="76"/>
      <w:r>
        <w:t>: Summary of results for recruitment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30B6AB74" w14:textId="1132E5C4" w:rsidR="0021575D" w:rsidRDefault="0021575D" w:rsidP="00E92F0B">
      <w:r>
        <w:br w:type="page"/>
      </w:r>
    </w:p>
    <w:p w14:paraId="499CE184" w14:textId="05628C8D" w:rsidR="00E9049A" w:rsidRDefault="00E9049A" w:rsidP="00E9049A">
      <w:pPr>
        <w:pStyle w:val="Heading1"/>
      </w:pPr>
      <w:r>
        <w:lastRenderedPageBreak/>
        <w:t>Figures</w:t>
      </w:r>
    </w:p>
    <w:p w14:paraId="589CC1D4" w14:textId="77777777" w:rsidR="003E0B60" w:rsidRDefault="003E0B60" w:rsidP="008400A4">
      <w:pPr>
        <w:keepNext/>
        <w:spacing w:line="360" w:lineRule="auto"/>
      </w:pPr>
      <w:r>
        <w:rPr>
          <w:noProof/>
        </w:rPr>
        <w:drawing>
          <wp:inline distT="0" distB="0" distL="0" distR="0" wp14:anchorId="69642FD4" wp14:editId="19737D5F">
            <wp:extent cx="2938668" cy="45737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rcRect l="1812" r="1812"/>
                    <a:stretch>
                      <a:fillRect/>
                    </a:stretch>
                  </pic:blipFill>
                  <pic:spPr bwMode="auto">
                    <a:xfrm>
                      <a:off x="0" y="0"/>
                      <a:ext cx="2938668" cy="4573783"/>
                    </a:xfrm>
                    <a:prstGeom prst="rect">
                      <a:avLst/>
                    </a:prstGeom>
                    <a:ln>
                      <a:noFill/>
                    </a:ln>
                    <a:extLst>
                      <a:ext uri="{53640926-AAD7-44D8-BBD7-CCE9431645EC}">
                        <a14:shadowObscured xmlns:a14="http://schemas.microsoft.com/office/drawing/2010/main"/>
                      </a:ext>
                    </a:extLst>
                  </pic:spPr>
                </pic:pic>
              </a:graphicData>
            </a:graphic>
          </wp:inline>
        </w:drawing>
      </w:r>
    </w:p>
    <w:p w14:paraId="10C4CFCA" w14:textId="4A8D1746" w:rsidR="003E0B60" w:rsidRDefault="003E0B60" w:rsidP="008400A4">
      <w:pPr>
        <w:pStyle w:val="Caption"/>
      </w:pPr>
      <w:bookmarkStart w:id="77" w:name="_Ref94877166"/>
      <w:r>
        <w:t xml:space="preserve">Figure </w:t>
      </w:r>
      <w:r w:rsidR="007B669E">
        <w:fldChar w:fldCharType="begin"/>
      </w:r>
      <w:r w:rsidR="007B669E">
        <w:instrText xml:space="preserve"> SEQ Figure \* ARABIC </w:instrText>
      </w:r>
      <w:r w:rsidR="007B669E">
        <w:fldChar w:fldCharType="separate"/>
      </w:r>
      <w:r w:rsidR="006A10AA">
        <w:rPr>
          <w:noProof/>
        </w:rPr>
        <w:t>1</w:t>
      </w:r>
      <w:r w:rsidR="007B669E">
        <w:rPr>
          <w:noProof/>
        </w:rPr>
        <w:fldChar w:fldCharType="end"/>
      </w:r>
      <w:bookmarkEnd w:id="77"/>
      <w:r>
        <w:t xml:space="preserve">: </w:t>
      </w:r>
      <w:r w:rsidR="00AF1B9C">
        <w:t>1,</w:t>
      </w:r>
      <w:r w:rsidR="005E185A">
        <w:t>221</w:t>
      </w:r>
      <w:r w:rsidR="00AF1B9C">
        <w:t xml:space="preserve"> Forest Inventory and Analysis (FIA) plots where </w:t>
      </w:r>
      <w:r w:rsidR="004769F7">
        <w:t xml:space="preserve">live </w:t>
      </w:r>
      <w:r w:rsidR="00AF1B9C">
        <w:t xml:space="preserve">sugar pine </w:t>
      </w:r>
      <w:r w:rsidR="004769F7">
        <w:t>was present at initial measurement (2001-20</w:t>
      </w:r>
      <w:r w:rsidR="005E185A">
        <w:t>09</w:t>
      </w:r>
      <w:r w:rsidR="004769F7">
        <w:t>)</w:t>
      </w:r>
      <w:r w:rsidR="00AF1B9C">
        <w:t xml:space="preserve"> </w:t>
      </w:r>
      <w:r w:rsidR="005E185A">
        <w:t xml:space="preserve">or remeasurement (2010-2019) </w:t>
      </w:r>
      <w:r w:rsidR="00AF1B9C">
        <w:t xml:space="preserve">with US state borders. Plot locations based on the nominal, rather than true, coordinates. </w:t>
      </w:r>
      <w:r>
        <w:t xml:space="preserve"> Inset shows position relative to North America</w:t>
      </w:r>
      <w:r w:rsidR="00AF1B9C">
        <w:t xml:space="preserve"> and national borders</w:t>
      </w:r>
      <w:r>
        <w:t>.</w:t>
      </w:r>
    </w:p>
    <w:p w14:paraId="26E01EDC" w14:textId="7F0CA301" w:rsidR="009D4174" w:rsidRDefault="009D4174">
      <w:r>
        <w:br w:type="page"/>
      </w:r>
    </w:p>
    <w:p w14:paraId="67A8FBA6" w14:textId="77777777" w:rsidR="006A10AA" w:rsidRDefault="006A10AA" w:rsidP="006A10AA">
      <w:pPr>
        <w:keepNext/>
      </w:pPr>
      <w:r>
        <w:rPr>
          <w:noProof/>
        </w:rPr>
        <w:lastRenderedPageBreak/>
        <w:drawing>
          <wp:inline distT="0" distB="0" distL="0" distR="0" wp14:anchorId="0E493D17" wp14:editId="6B08EE88">
            <wp:extent cx="5943612" cy="3657607"/>
            <wp:effectExtent l="0" t="0" r="0" b="0"/>
            <wp:docPr id="15" name="Picture 1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p>
    <w:p w14:paraId="58CAF6A1" w14:textId="4E787394" w:rsidR="006A10AA" w:rsidRDefault="006A10AA" w:rsidP="006A10AA">
      <w:pPr>
        <w:pStyle w:val="Caption"/>
      </w:pPr>
      <w:bookmarkStart w:id="78" w:name="_Ref104988009"/>
      <w:r>
        <w:t xml:space="preserve">Figure </w:t>
      </w:r>
      <w:fldSimple w:instr=" SEQ Figure \* ARABIC ">
        <w:r>
          <w:rPr>
            <w:noProof/>
          </w:rPr>
          <w:t>2</w:t>
        </w:r>
      </w:fldSimple>
      <w:bookmarkEnd w:id="78"/>
      <w:r>
        <w:t>: Changes in plot-level basal area and stems per hectare for</w:t>
      </w:r>
      <w:r w:rsidR="00E45F15">
        <w:t xml:space="preserve"> 1,221</w:t>
      </w:r>
      <w:r>
        <w:t xml:space="preserve"> plots where sugar pine was present at initial measurement (2001-2009) or remeasurement (2010-2019). Points are means and error bars are +/- one standard error across </w:t>
      </w:r>
      <w:r w:rsidR="00E45F15">
        <w:t>plots.</w:t>
      </w:r>
    </w:p>
    <w:p w14:paraId="4926421D" w14:textId="20E40BE4" w:rsidR="006A10AA" w:rsidRDefault="006A10AA">
      <w:r>
        <w:br w:type="page"/>
      </w:r>
    </w:p>
    <w:p w14:paraId="09AC7E5E" w14:textId="77777777" w:rsidR="009D4174" w:rsidRPr="009D4174" w:rsidRDefault="009D4174" w:rsidP="009D4174"/>
    <w:p w14:paraId="40E71624" w14:textId="77777777" w:rsidR="007E3804" w:rsidRDefault="007E3804" w:rsidP="008400A4">
      <w:pPr>
        <w:keepNext/>
      </w:pPr>
      <w:r>
        <w:rPr>
          <w:noProof/>
        </w:rPr>
        <w:drawing>
          <wp:inline distT="0" distB="0" distL="0" distR="0" wp14:anchorId="7E22CEF5" wp14:editId="1AAB24E2">
            <wp:extent cx="5682602" cy="69939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82602" cy="6993971"/>
                    </a:xfrm>
                    <a:prstGeom prst="rect">
                      <a:avLst/>
                    </a:prstGeom>
                  </pic:spPr>
                </pic:pic>
              </a:graphicData>
            </a:graphic>
          </wp:inline>
        </w:drawing>
      </w:r>
    </w:p>
    <w:p w14:paraId="7C4930ED" w14:textId="6051BD0F" w:rsidR="007E3804" w:rsidRDefault="007E3804" w:rsidP="007E3804">
      <w:pPr>
        <w:pStyle w:val="Caption"/>
        <w:rPr>
          <w:noProof/>
        </w:rPr>
      </w:pPr>
      <w:bookmarkStart w:id="79" w:name="_Ref93744929"/>
      <w:commentRangeStart w:id="80"/>
      <w:r>
        <w:t xml:space="preserve">Figure </w:t>
      </w:r>
      <w:r w:rsidR="007B669E">
        <w:fldChar w:fldCharType="begin"/>
      </w:r>
      <w:r w:rsidR="007B669E">
        <w:instrText xml:space="preserve"> SEQ Figure \* ARABIC </w:instrText>
      </w:r>
      <w:r w:rsidR="007B669E">
        <w:fldChar w:fldCharType="separate"/>
      </w:r>
      <w:r w:rsidR="006A10AA">
        <w:rPr>
          <w:noProof/>
        </w:rPr>
        <w:t>3</w:t>
      </w:r>
      <w:r w:rsidR="007B669E">
        <w:rPr>
          <w:noProof/>
        </w:rPr>
        <w:fldChar w:fldCharType="end"/>
      </w:r>
      <w:bookmarkEnd w:id="79"/>
      <w:r w:rsidR="008400A4">
        <w:rPr>
          <w:noProof/>
        </w:rPr>
        <w:t xml:space="preserve">: </w:t>
      </w:r>
      <w:commentRangeEnd w:id="80"/>
      <w:r w:rsidR="00090276">
        <w:rPr>
          <w:rStyle w:val="CommentReference"/>
          <w:i w:val="0"/>
          <w:iCs w:val="0"/>
          <w:color w:val="auto"/>
        </w:rPr>
        <w:commentReference w:id="80"/>
      </w:r>
      <w:r w:rsidR="008400A4">
        <w:rPr>
          <w:noProof/>
        </w:rPr>
        <w:t xml:space="preserve">Fixed effects of initial DBH, fire, WPBR, neighborhood basal area, drought, and site dryness on survival. </w:t>
      </w:r>
      <w:r w:rsidR="00AC4853">
        <w:rPr>
          <w:noProof/>
        </w:rPr>
        <w:t xml:space="preserve">In the top left panel, probability of survival (Y-axis) is predicted for stems of various initial size (X-axis), holding other variables at “Absent” (for fire and WPBR) or 0 (scaled mean, for basal area, drought, and site dryness). In the other panels, probability of survival is predicted for stems of various sizes and across two levels of each other explanatory variable: with or without disturbance, or at high (1.0) or low (-1.0) values for scaled continuous variables. Predictions were generated using the posterior samples for model </w:t>
      </w:r>
      <w:r w:rsidR="00AC4853">
        <w:rPr>
          <w:noProof/>
        </w:rPr>
        <w:lastRenderedPageBreak/>
        <w:t>parameters</w:t>
      </w:r>
      <w:r w:rsidR="00143E5F">
        <w:rPr>
          <w:noProof/>
        </w:rPr>
        <w:t>, resulting in a range of predicted survival for each set of explanatory variable values. Lines show the median predicted survival, darker ribbons show a 50% credible interval, and lighter ribbons show a 95% credible interval. Random effects were held at 0.</w:t>
      </w:r>
      <w:r w:rsidR="006271C9">
        <w:rPr>
          <w:noProof/>
        </w:rPr>
        <w:t xml:space="preserve"> 1.25 m is approximately the 95</w:t>
      </w:r>
      <w:r w:rsidR="006271C9" w:rsidRPr="006271C9">
        <w:rPr>
          <w:noProof/>
          <w:vertAlign w:val="superscript"/>
        </w:rPr>
        <w:t>th</w:t>
      </w:r>
      <w:r w:rsidR="006271C9">
        <w:rPr>
          <w:noProof/>
        </w:rPr>
        <w:t xml:space="preserve"> percentile DBH of trees used to train the model</w:t>
      </w:r>
      <w:r w:rsidR="00950212">
        <w:rPr>
          <w:noProof/>
        </w:rPr>
        <w:t>, resulting in relatively wide uncertainty about the survival of stems larger than 1.25m.</w:t>
      </w:r>
    </w:p>
    <w:p w14:paraId="3FB3925B" w14:textId="67028CE4" w:rsidR="00F365CE" w:rsidRDefault="00F365CE">
      <w:r>
        <w:br w:type="page"/>
      </w:r>
    </w:p>
    <w:p w14:paraId="67E3ECE1" w14:textId="77777777" w:rsidR="00F365CE" w:rsidRPr="00F365CE" w:rsidRDefault="00F365CE" w:rsidP="00F365CE"/>
    <w:p w14:paraId="5D348714" w14:textId="72487FFF" w:rsidR="007E3804" w:rsidRDefault="00143E5F" w:rsidP="008400A4">
      <w:pPr>
        <w:keepNext/>
      </w:pPr>
      <w:r>
        <w:rPr>
          <w:noProof/>
        </w:rPr>
        <w:t xml:space="preserve"> </w:t>
      </w:r>
      <w:commentRangeStart w:id="81"/>
      <w:commentRangeStart w:id="82"/>
      <w:r w:rsidR="007E3804">
        <w:rPr>
          <w:noProof/>
        </w:rPr>
        <w:drawing>
          <wp:inline distT="0" distB="0" distL="0" distR="0" wp14:anchorId="1515FA6E" wp14:editId="7EDD58FE">
            <wp:extent cx="5655068" cy="696008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55068" cy="6960085"/>
                    </a:xfrm>
                    <a:prstGeom prst="rect">
                      <a:avLst/>
                    </a:prstGeom>
                  </pic:spPr>
                </pic:pic>
              </a:graphicData>
            </a:graphic>
          </wp:inline>
        </w:drawing>
      </w:r>
      <w:commentRangeEnd w:id="81"/>
      <w:r w:rsidR="00D750DC">
        <w:rPr>
          <w:rStyle w:val="CommentReference"/>
        </w:rPr>
        <w:commentReference w:id="81"/>
      </w:r>
      <w:commentRangeEnd w:id="82"/>
      <w:r w:rsidR="00D750DC">
        <w:rPr>
          <w:rStyle w:val="CommentReference"/>
        </w:rPr>
        <w:commentReference w:id="82"/>
      </w:r>
    </w:p>
    <w:p w14:paraId="45744BE9" w14:textId="1036B518" w:rsidR="007E3804" w:rsidRDefault="007E3804" w:rsidP="007E3804">
      <w:pPr>
        <w:pStyle w:val="Caption"/>
        <w:rPr>
          <w:noProof/>
        </w:rPr>
      </w:pPr>
      <w:bookmarkStart w:id="83" w:name="_Ref94611931"/>
      <w:r>
        <w:t xml:space="preserve">Figure </w:t>
      </w:r>
      <w:r w:rsidR="007B669E">
        <w:fldChar w:fldCharType="begin"/>
      </w:r>
      <w:r w:rsidR="007B669E">
        <w:instrText xml:space="preserve"> SEQ Figure \* ARABIC </w:instrText>
      </w:r>
      <w:r w:rsidR="007B669E">
        <w:fldChar w:fldCharType="separate"/>
      </w:r>
      <w:r w:rsidR="006A10AA">
        <w:rPr>
          <w:noProof/>
        </w:rPr>
        <w:t>4</w:t>
      </w:r>
      <w:r w:rsidR="007B669E">
        <w:rPr>
          <w:noProof/>
        </w:rPr>
        <w:fldChar w:fldCharType="end"/>
      </w:r>
      <w:bookmarkEnd w:id="83"/>
      <w:r w:rsidR="00DE4D0E">
        <w:rPr>
          <w:noProof/>
        </w:rPr>
        <w:t>:</w:t>
      </w:r>
      <w:r w:rsidR="00143E5F" w:rsidRPr="00143E5F">
        <w:rPr>
          <w:noProof/>
        </w:rPr>
        <w:t xml:space="preserve"> </w:t>
      </w:r>
      <w:r w:rsidR="00143E5F">
        <w:rPr>
          <w:noProof/>
        </w:rPr>
        <w:t xml:space="preserve">Fixed effects of initial DBH, fire, WPBR, neighborhood basal area, drought, and site dryness on growth. In the top left panel, DBH growth over the 10 years between censuses (Y-axis) is predicted for stems of various initial size (X-axis), holding other variables at “Absent” (for fire and WPBR) or 0 (scaled mean, for basal area, drought, and site dryness). In the other panels, growth is predicted for stems of various sizes and across two levels of each other explanatory variable: with or without disturbance, or at high (1.0) or low (-1.0) values for scaled continuous variables. Predictions were generated using the posterior samples for model parameters, resulting in a range of predicted survival for each set of explanatory variable values. Lines show </w:t>
      </w:r>
      <w:r w:rsidR="00143E5F">
        <w:rPr>
          <w:noProof/>
        </w:rPr>
        <w:lastRenderedPageBreak/>
        <w:t>the median predicted survival, darker ribbons show a 50% credible interval, and lighter ribbons show a 95% credible interval.</w:t>
      </w:r>
      <w:r w:rsidR="00F23E3D">
        <w:rPr>
          <w:noProof/>
        </w:rPr>
        <w:t xml:space="preserve"> Random effects were held at 0.</w:t>
      </w:r>
    </w:p>
    <w:p w14:paraId="69A252AD" w14:textId="134AA991" w:rsidR="00F365CE" w:rsidRDefault="00F365CE">
      <w:r>
        <w:br w:type="page"/>
      </w:r>
    </w:p>
    <w:p w14:paraId="3257D6AD" w14:textId="77777777" w:rsidR="00F365CE" w:rsidRPr="00F365CE" w:rsidRDefault="00F365CE" w:rsidP="00F365CE"/>
    <w:p w14:paraId="7A90CA33" w14:textId="77777777" w:rsidR="007E3804" w:rsidRDefault="007E3804" w:rsidP="008400A4">
      <w:pPr>
        <w:keepNext/>
      </w:pPr>
      <w:commentRangeStart w:id="84"/>
      <w:commentRangeStart w:id="85"/>
      <w:commentRangeStart w:id="86"/>
      <w:r>
        <w:rPr>
          <w:noProof/>
        </w:rPr>
        <w:drawing>
          <wp:inline distT="0" distB="0" distL="0" distR="0" wp14:anchorId="5BB37C55" wp14:editId="3D490A9C">
            <wp:extent cx="5637805" cy="6938837"/>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37805" cy="6938837"/>
                    </a:xfrm>
                    <a:prstGeom prst="rect">
                      <a:avLst/>
                    </a:prstGeom>
                  </pic:spPr>
                </pic:pic>
              </a:graphicData>
            </a:graphic>
          </wp:inline>
        </w:drawing>
      </w:r>
      <w:commentRangeEnd w:id="84"/>
      <w:r w:rsidR="00D750DC">
        <w:rPr>
          <w:rStyle w:val="CommentReference"/>
        </w:rPr>
        <w:commentReference w:id="84"/>
      </w:r>
      <w:commentRangeEnd w:id="85"/>
      <w:r w:rsidR="00D750DC">
        <w:rPr>
          <w:rStyle w:val="CommentReference"/>
        </w:rPr>
        <w:commentReference w:id="85"/>
      </w:r>
      <w:commentRangeEnd w:id="86"/>
      <w:r w:rsidR="00427DBC">
        <w:rPr>
          <w:rStyle w:val="CommentReference"/>
        </w:rPr>
        <w:commentReference w:id="86"/>
      </w:r>
    </w:p>
    <w:p w14:paraId="6DB62EB3" w14:textId="3297A5F2" w:rsidR="007E3804" w:rsidRDefault="007E3804" w:rsidP="007E3804">
      <w:pPr>
        <w:pStyle w:val="Caption"/>
        <w:rPr>
          <w:noProof/>
        </w:rPr>
      </w:pPr>
      <w:bookmarkStart w:id="87" w:name="_Ref94613276"/>
      <w:r>
        <w:t xml:space="preserve">Figure </w:t>
      </w:r>
      <w:r w:rsidR="007B669E">
        <w:fldChar w:fldCharType="begin"/>
      </w:r>
      <w:r w:rsidR="007B669E">
        <w:instrText xml:space="preserve"> SEQ Figure \* ARABIC </w:instrText>
      </w:r>
      <w:r w:rsidR="007B669E">
        <w:fldChar w:fldCharType="separate"/>
      </w:r>
      <w:r w:rsidR="006A10AA">
        <w:rPr>
          <w:noProof/>
        </w:rPr>
        <w:t>5</w:t>
      </w:r>
      <w:r w:rsidR="007B669E">
        <w:rPr>
          <w:noProof/>
        </w:rPr>
        <w:fldChar w:fldCharType="end"/>
      </w:r>
      <w:bookmarkEnd w:id="87"/>
      <w:r w:rsidR="00DE4D0E">
        <w:rPr>
          <w:noProof/>
        </w:rPr>
        <w:t>:</w:t>
      </w:r>
      <w:r w:rsidR="00143E5F">
        <w:rPr>
          <w:noProof/>
        </w:rPr>
        <w:t xml:space="preserve"> Fixed effects of initial DBH, fire, WPBR, neighborhood basal area, drought, and site dryness on </w:t>
      </w:r>
      <w:r w:rsidR="00F23E3D">
        <w:rPr>
          <w:noProof/>
        </w:rPr>
        <w:t>fecundity</w:t>
      </w:r>
      <w:r w:rsidR="00143E5F">
        <w:rPr>
          <w:noProof/>
        </w:rPr>
        <w:t xml:space="preserve">. In the top left panel, </w:t>
      </w:r>
      <w:r w:rsidR="00F23E3D">
        <w:rPr>
          <w:noProof/>
        </w:rPr>
        <w:t xml:space="preserve">fecundity </w:t>
      </w:r>
      <w:r w:rsidR="00143E5F">
        <w:rPr>
          <w:noProof/>
        </w:rPr>
        <w:t xml:space="preserve">(Y-axis) is predicted for stems of various initial size (X-axis), holding other variables at “Absent” (for fire and WPBR) or 0 (scaled mean, for basal area, drought, and site dryness). In the other panels, </w:t>
      </w:r>
      <w:r w:rsidR="00F23E3D">
        <w:rPr>
          <w:noProof/>
        </w:rPr>
        <w:t>fecundity</w:t>
      </w:r>
      <w:r w:rsidR="00143E5F">
        <w:rPr>
          <w:noProof/>
        </w:rPr>
        <w:t xml:space="preserve"> is predicted for stems of various sizes and across two levels of each other explanatory variable: with or without disturbance, or at high (1.0) or low (-1.0) values for scaled continuous variables. Predictions were generated using the posterior samples for model parameters, resulting in a range of predicted survival for each set of explanatory variable values. Lines show the median predicted survival, darker </w:t>
      </w:r>
      <w:r w:rsidR="00143E5F">
        <w:rPr>
          <w:noProof/>
        </w:rPr>
        <w:lastRenderedPageBreak/>
        <w:t>ribbons show a 50% credible interval, and lighter ribbons show a 95% credible interval.</w:t>
      </w:r>
      <w:r w:rsidR="00F23E3D">
        <w:rPr>
          <w:noProof/>
        </w:rPr>
        <w:t xml:space="preserve"> Random effects were held at 0.</w:t>
      </w:r>
      <w:r w:rsidR="008A7C78">
        <w:rPr>
          <w:noProof/>
        </w:rPr>
        <w:t xml:space="preserve"> Note the varying scales</w:t>
      </w:r>
      <w:r w:rsidR="00FD714B">
        <w:rPr>
          <w:noProof/>
        </w:rPr>
        <w:t xml:space="preserve"> and log</w:t>
      </w:r>
      <w:r w:rsidR="00FD714B" w:rsidRPr="00FD714B">
        <w:rPr>
          <w:noProof/>
          <w:vertAlign w:val="subscript"/>
        </w:rPr>
        <w:t>10</w:t>
      </w:r>
      <w:r w:rsidR="00FD714B">
        <w:rPr>
          <w:noProof/>
        </w:rPr>
        <w:t xml:space="preserve"> scaling </w:t>
      </w:r>
      <w:r w:rsidR="008A7C78">
        <w:rPr>
          <w:noProof/>
        </w:rPr>
        <w:t>on the Y-axis.</w:t>
      </w:r>
    </w:p>
    <w:p w14:paraId="39A0F6D6" w14:textId="6F2A5006" w:rsidR="00211000" w:rsidRDefault="00211000">
      <w:r>
        <w:br w:type="page"/>
      </w:r>
    </w:p>
    <w:p w14:paraId="454CDFAE" w14:textId="77777777" w:rsidR="00211000" w:rsidRPr="00211000" w:rsidRDefault="00211000" w:rsidP="00211000"/>
    <w:p w14:paraId="33A71862" w14:textId="77777777" w:rsidR="001161D9" w:rsidRDefault="001161D9" w:rsidP="001161D9">
      <w:pPr>
        <w:keepNext/>
      </w:pPr>
      <w:r>
        <w:rPr>
          <w:noProof/>
        </w:rPr>
        <w:drawing>
          <wp:inline distT="0" distB="0" distL="0" distR="0" wp14:anchorId="7CF0ADA3" wp14:editId="30E87773">
            <wp:extent cx="3169924" cy="5943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9924" cy="5943610"/>
                    </a:xfrm>
                    <a:prstGeom prst="rect">
                      <a:avLst/>
                    </a:prstGeom>
                  </pic:spPr>
                </pic:pic>
              </a:graphicData>
            </a:graphic>
          </wp:inline>
        </w:drawing>
      </w:r>
    </w:p>
    <w:p w14:paraId="2C5F2E8F" w14:textId="068DD948" w:rsidR="001161D9" w:rsidRDefault="001161D9" w:rsidP="001161D9">
      <w:pPr>
        <w:pStyle w:val="Caption"/>
      </w:pPr>
      <w:bookmarkStart w:id="88" w:name="_Ref94616225"/>
      <w:r>
        <w:t xml:space="preserve">Figure </w:t>
      </w:r>
      <w:r w:rsidR="007B669E">
        <w:fldChar w:fldCharType="begin"/>
      </w:r>
      <w:r w:rsidR="007B669E">
        <w:instrText xml:space="preserve"> SEQ Figure \* ARABIC </w:instrText>
      </w:r>
      <w:r w:rsidR="007B669E">
        <w:fldChar w:fldCharType="separate"/>
      </w:r>
      <w:r w:rsidR="006A10AA">
        <w:rPr>
          <w:noProof/>
        </w:rPr>
        <w:t>6</w:t>
      </w:r>
      <w:r w:rsidR="007B669E">
        <w:rPr>
          <w:noProof/>
        </w:rPr>
        <w:fldChar w:fldCharType="end"/>
      </w:r>
      <w:bookmarkEnd w:id="88"/>
      <w:r>
        <w:t>: Posterior distribution of asymptotic population growth rate (</w:t>
      </w:r>
      <m:oMath>
        <m:r>
          <w:rPr>
            <w:rFonts w:ascii="Cambria Math" w:hAnsi="Cambria Math" w:cstheme="minorHAnsi"/>
          </w:rPr>
          <m:t>λ</m:t>
        </m:r>
      </m:oMath>
      <w:r>
        <w:t>) under a variety of hypothetical scenarios</w:t>
      </w:r>
      <w:r w:rsidR="00B41811">
        <w:t>, each corresponding to the presence or absence of a specific stressor. In the “Undisturbed” scenario, all fixed effect covariates other than the intercept are held at 0 (representing the absence of fire and WPBR, and basal area, drought, and site dryness at average levels). In each other scenario, a single stressor is set to TRUE (for fire and WPBR), -1 (low levels of basal area, drought, or site dryness), or +1 (high levels of basal area, drought, or site dryness).  R</w:t>
      </w:r>
      <w:r>
        <w:t>andom effect values are held at 0</w:t>
      </w:r>
      <w:r w:rsidR="00B41811">
        <w:t xml:space="preserve">, </w:t>
      </w:r>
      <w:r>
        <w:t>representing an average plot in an average ecoregion</w:t>
      </w:r>
      <w:r w:rsidR="00B41811">
        <w:t>. The bounds of the figure have been restricted for readability of scenarios other than “Low BA.”</w:t>
      </w:r>
    </w:p>
    <w:p w14:paraId="1FB33984" w14:textId="77777777" w:rsidR="00F94B8B" w:rsidRDefault="00F94B8B" w:rsidP="00F94B8B">
      <w:r>
        <w:br w:type="page"/>
      </w:r>
    </w:p>
    <w:p w14:paraId="4A917602" w14:textId="5FC06DA3" w:rsidR="008F25B6" w:rsidRDefault="008F25B6" w:rsidP="008F25B6">
      <w:pPr>
        <w:pStyle w:val="Heading1"/>
      </w:pPr>
      <w:bookmarkStart w:id="89" w:name="_Ref93658815"/>
      <w:r>
        <w:lastRenderedPageBreak/>
        <w:t>Supplementary Materials</w:t>
      </w:r>
      <w:bookmarkEnd w:id="89"/>
    </w:p>
    <w:p w14:paraId="25197900" w14:textId="5D43AE05" w:rsidR="008F25B6" w:rsidRDefault="008F25B6" w:rsidP="008F25B6"/>
    <w:p w14:paraId="2C2B22C3" w14:textId="77777777" w:rsidR="008F25B6" w:rsidRDefault="008F25B6" w:rsidP="008F25B6">
      <w:pPr>
        <w:keepNext/>
      </w:pPr>
      <w:r>
        <w:rPr>
          <w:noProof/>
        </w:rPr>
        <w:drawing>
          <wp:inline distT="0" distB="0" distL="0" distR="0" wp14:anchorId="241831C2" wp14:editId="0C355191">
            <wp:extent cx="4526721" cy="278567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26721" cy="2785674"/>
                    </a:xfrm>
                    <a:prstGeom prst="rect">
                      <a:avLst/>
                    </a:prstGeom>
                  </pic:spPr>
                </pic:pic>
              </a:graphicData>
            </a:graphic>
          </wp:inline>
        </w:drawing>
      </w:r>
    </w:p>
    <w:p w14:paraId="0877D86D" w14:textId="396345B3" w:rsidR="008F25B6" w:rsidRDefault="008F25B6" w:rsidP="008F25B6">
      <w:pPr>
        <w:pStyle w:val="Caption"/>
        <w:rPr>
          <w:rFonts w:eastAsiaTheme="minorEastAsia"/>
        </w:rPr>
      </w:pPr>
      <w:bookmarkStart w:id="90" w:name="_Ref93658573"/>
      <w:r>
        <w:t xml:space="preserve">Supplementary Figure </w:t>
      </w:r>
      <w:r w:rsidR="007B669E">
        <w:fldChar w:fldCharType="begin"/>
      </w:r>
      <w:r w:rsidR="007B669E">
        <w:instrText xml:space="preserve"> SEQ Supplementary_Figure \* ARABIC </w:instrText>
      </w:r>
      <w:r w:rsidR="007B669E">
        <w:fldChar w:fldCharType="separate"/>
      </w:r>
      <w:r w:rsidR="003E04A3">
        <w:rPr>
          <w:noProof/>
        </w:rPr>
        <w:t>1</w:t>
      </w:r>
      <w:r w:rsidR="007B669E">
        <w:rPr>
          <w:noProof/>
        </w:rPr>
        <w:fldChar w:fldCharType="end"/>
      </w:r>
      <w:bookmarkEnd w:id="90"/>
      <w:r>
        <w:t xml:space="preserve">: Posterior distributions (black) and prior distributions (red) for </w:t>
      </w:r>
      <m:oMath>
        <m:sSub>
          <m:sSubPr>
            <m:ctrlPr>
              <w:rPr>
                <w:rFonts w:ascii="Cambria Math" w:hAnsi="Cambria Math"/>
              </w:rPr>
            </m:ctrlPr>
          </m:sSubPr>
          <m:e>
            <m:r>
              <w:rPr>
                <w:rFonts w:ascii="Cambria Math" w:hAnsi="Cambria Math"/>
              </w:rPr>
              <m:t>β</m:t>
            </m:r>
          </m:e>
          <m:sub>
            <m:r>
              <w:rPr>
                <w:rFonts w:ascii="Cambria Math" w:hAnsi="Cambria Math"/>
              </w:rPr>
              <m:t>(s)</m:t>
            </m:r>
          </m:sub>
        </m:sSub>
      </m:oMath>
      <w:r>
        <w:rPr>
          <w:rFonts w:eastAsiaTheme="minorEastAsia"/>
        </w:rPr>
        <w:t xml:space="preserve">, the fixed effect coefficients for survival. </w:t>
      </w:r>
      <w:r w:rsidR="00323FA0">
        <w:rPr>
          <w:rFonts w:eastAsiaTheme="minorEastAsia"/>
        </w:rPr>
        <w:t xml:space="preserve">The magnitude of the discrepancy between the two indicates the extent to which the posterior distribution was informed by the data, rather than the prior. </w:t>
      </w:r>
    </w:p>
    <w:p w14:paraId="743F7CFC" w14:textId="77777777" w:rsidR="006144D6" w:rsidRDefault="006144D6" w:rsidP="006144D6">
      <w:pPr>
        <w:keepNext/>
      </w:pPr>
      <w:r>
        <w:rPr>
          <w:noProof/>
        </w:rPr>
        <w:drawing>
          <wp:inline distT="0" distB="0" distL="0" distR="0" wp14:anchorId="0E83FFD3" wp14:editId="1D2F9587">
            <wp:extent cx="4531765" cy="278877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31765" cy="2788778"/>
                    </a:xfrm>
                    <a:prstGeom prst="rect">
                      <a:avLst/>
                    </a:prstGeom>
                  </pic:spPr>
                </pic:pic>
              </a:graphicData>
            </a:graphic>
          </wp:inline>
        </w:drawing>
      </w:r>
    </w:p>
    <w:p w14:paraId="1EB7E987" w14:textId="699E8D73" w:rsidR="006144D6" w:rsidRDefault="006144D6" w:rsidP="006144D6">
      <w:pPr>
        <w:pStyle w:val="Caption"/>
      </w:pPr>
      <w:bookmarkStart w:id="91" w:name="_Ref93658580"/>
      <w:r>
        <w:t xml:space="preserve">Supplementary Figure </w:t>
      </w:r>
      <w:r w:rsidR="007B669E">
        <w:fldChar w:fldCharType="begin"/>
      </w:r>
      <w:r w:rsidR="007B669E">
        <w:instrText xml:space="preserve"> SEQ Supplementary_Figure \* ARABIC </w:instrText>
      </w:r>
      <w:r w:rsidR="007B669E">
        <w:fldChar w:fldCharType="separate"/>
      </w:r>
      <w:r w:rsidR="003E04A3">
        <w:rPr>
          <w:noProof/>
        </w:rPr>
        <w:t>2</w:t>
      </w:r>
      <w:r w:rsidR="007B669E">
        <w:rPr>
          <w:noProof/>
        </w:rPr>
        <w:fldChar w:fldCharType="end"/>
      </w:r>
      <w:bookmarkEnd w:id="91"/>
      <w:r>
        <w:t>: Posterior distributions (black) against prior distributions (red) for the standard deviations of the plot and ecoregion random effects in the survival model.</w:t>
      </w:r>
    </w:p>
    <w:p w14:paraId="20D86ED2" w14:textId="77777777" w:rsidR="00166284" w:rsidRDefault="00166284" w:rsidP="00166284">
      <w:pPr>
        <w:keepNext/>
      </w:pPr>
      <w:r>
        <w:rPr>
          <w:noProof/>
        </w:rPr>
        <w:lastRenderedPageBreak/>
        <w:drawing>
          <wp:inline distT="0" distB="0" distL="0" distR="0" wp14:anchorId="4357D991" wp14:editId="7366D5AC">
            <wp:extent cx="4992063" cy="30720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92063" cy="3072038"/>
                    </a:xfrm>
                    <a:prstGeom prst="rect">
                      <a:avLst/>
                    </a:prstGeom>
                  </pic:spPr>
                </pic:pic>
              </a:graphicData>
            </a:graphic>
          </wp:inline>
        </w:drawing>
      </w:r>
    </w:p>
    <w:p w14:paraId="121401EB" w14:textId="59C57447" w:rsidR="006144D6" w:rsidRDefault="00166284" w:rsidP="00166284">
      <w:pPr>
        <w:pStyle w:val="Caption"/>
      </w:pPr>
      <w:bookmarkStart w:id="92" w:name="_Ref93658585"/>
      <w:r>
        <w:t xml:space="preserve">Supplementary Figure </w:t>
      </w:r>
      <w:r w:rsidR="007B669E">
        <w:fldChar w:fldCharType="begin"/>
      </w:r>
      <w:r w:rsidR="007B669E">
        <w:instrText xml:space="preserve"> SEQ Supplementary_Figure \* ARABIC </w:instrText>
      </w:r>
      <w:r w:rsidR="007B669E">
        <w:fldChar w:fldCharType="separate"/>
      </w:r>
      <w:r w:rsidR="003E04A3">
        <w:rPr>
          <w:noProof/>
        </w:rPr>
        <w:t>3</w:t>
      </w:r>
      <w:r w:rsidR="007B669E">
        <w:rPr>
          <w:noProof/>
        </w:rPr>
        <w:fldChar w:fldCharType="end"/>
      </w:r>
      <w:bookmarkEnd w:id="92"/>
      <w:r>
        <w:t>: Posterior distributions (black) against prior distributions (red) for fixed effect coefficients in the growth model.</w:t>
      </w:r>
    </w:p>
    <w:p w14:paraId="1CDD9D8B" w14:textId="77777777" w:rsidR="00166284" w:rsidRDefault="00166284" w:rsidP="00166284">
      <w:pPr>
        <w:keepNext/>
      </w:pPr>
      <w:r>
        <w:rPr>
          <w:noProof/>
        </w:rPr>
        <w:drawing>
          <wp:inline distT="0" distB="0" distL="0" distR="0" wp14:anchorId="0F42EB64" wp14:editId="1EF8149D">
            <wp:extent cx="4716469" cy="2902442"/>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16469" cy="2902442"/>
                    </a:xfrm>
                    <a:prstGeom prst="rect">
                      <a:avLst/>
                    </a:prstGeom>
                  </pic:spPr>
                </pic:pic>
              </a:graphicData>
            </a:graphic>
          </wp:inline>
        </w:drawing>
      </w:r>
    </w:p>
    <w:p w14:paraId="13C04A4A" w14:textId="1C907B1F" w:rsidR="00166284" w:rsidRDefault="00166284" w:rsidP="00166284">
      <w:pPr>
        <w:pStyle w:val="Caption"/>
      </w:pPr>
      <w:bookmarkStart w:id="93" w:name="_Ref93658594"/>
      <w:r>
        <w:t xml:space="preserve">Supplementary Figure </w:t>
      </w:r>
      <w:r w:rsidR="007B669E">
        <w:fldChar w:fldCharType="begin"/>
      </w:r>
      <w:r w:rsidR="007B669E">
        <w:instrText xml:space="preserve"> SEQ Supplementary_Figure \* ARABIC </w:instrText>
      </w:r>
      <w:r w:rsidR="007B669E">
        <w:fldChar w:fldCharType="separate"/>
      </w:r>
      <w:r w:rsidR="003E04A3">
        <w:rPr>
          <w:noProof/>
        </w:rPr>
        <w:t>4</w:t>
      </w:r>
      <w:r w:rsidR="007B669E">
        <w:rPr>
          <w:noProof/>
        </w:rPr>
        <w:fldChar w:fldCharType="end"/>
      </w:r>
      <w:bookmarkEnd w:id="93"/>
      <w:r>
        <w:t>: Posterior distributions (black, along Y axis) against prior distributions (red, along X axis) for the standard deviations of the plot random effect, the ecoregion random effect, and the residuals in the growth model.</w:t>
      </w:r>
    </w:p>
    <w:p w14:paraId="65EECE6D" w14:textId="77777777" w:rsidR="00166284" w:rsidRDefault="00166284" w:rsidP="00166284">
      <w:pPr>
        <w:keepNext/>
      </w:pPr>
      <w:r>
        <w:rPr>
          <w:noProof/>
        </w:rPr>
        <w:lastRenderedPageBreak/>
        <w:drawing>
          <wp:inline distT="0" distB="0" distL="0" distR="0" wp14:anchorId="1304EEFF" wp14:editId="01002EA4">
            <wp:extent cx="4559389" cy="280577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59389" cy="2805777"/>
                    </a:xfrm>
                    <a:prstGeom prst="rect">
                      <a:avLst/>
                    </a:prstGeom>
                  </pic:spPr>
                </pic:pic>
              </a:graphicData>
            </a:graphic>
          </wp:inline>
        </w:drawing>
      </w:r>
    </w:p>
    <w:p w14:paraId="501B2DA9" w14:textId="046AB594" w:rsidR="00166284" w:rsidRDefault="00166284" w:rsidP="00166284">
      <w:pPr>
        <w:pStyle w:val="Caption"/>
      </w:pPr>
      <w:bookmarkStart w:id="94" w:name="_Ref93658597"/>
      <w:r>
        <w:t xml:space="preserve">Supplementary Figure </w:t>
      </w:r>
      <w:r w:rsidR="007B669E">
        <w:fldChar w:fldCharType="begin"/>
      </w:r>
      <w:r w:rsidR="007B669E">
        <w:instrText xml:space="preserve"> SEQ Supplementary_Figure</w:instrText>
      </w:r>
      <w:r w:rsidR="007B669E">
        <w:instrText xml:space="preserve"> \* ARABIC </w:instrText>
      </w:r>
      <w:r w:rsidR="007B669E">
        <w:fldChar w:fldCharType="separate"/>
      </w:r>
      <w:r w:rsidR="003E04A3">
        <w:rPr>
          <w:noProof/>
        </w:rPr>
        <w:t>5</w:t>
      </w:r>
      <w:r w:rsidR="007B669E">
        <w:rPr>
          <w:noProof/>
        </w:rPr>
        <w:fldChar w:fldCharType="end"/>
      </w:r>
      <w:bookmarkEnd w:id="94"/>
      <w:r>
        <w:t>: Posterior distributions (black) against prior distributions (red) for the fixed effect coefficients affecting fecundity in the recruitment model.</w:t>
      </w:r>
    </w:p>
    <w:p w14:paraId="0051D5B8" w14:textId="77777777" w:rsidR="00C45A1A" w:rsidRDefault="00C45A1A" w:rsidP="00C45A1A">
      <w:pPr>
        <w:keepNext/>
      </w:pPr>
      <w:commentRangeStart w:id="95"/>
      <w:r>
        <w:rPr>
          <w:noProof/>
        </w:rPr>
        <w:drawing>
          <wp:inline distT="0" distB="0" distL="0" distR="0" wp14:anchorId="2242AF05" wp14:editId="01F0CAD3">
            <wp:extent cx="4422760" cy="272169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22760" cy="2721698"/>
                    </a:xfrm>
                    <a:prstGeom prst="rect">
                      <a:avLst/>
                    </a:prstGeom>
                  </pic:spPr>
                </pic:pic>
              </a:graphicData>
            </a:graphic>
          </wp:inline>
        </w:drawing>
      </w:r>
      <w:commentRangeEnd w:id="95"/>
      <w:r w:rsidR="001C02F2">
        <w:rPr>
          <w:rStyle w:val="CommentReference"/>
        </w:rPr>
        <w:commentReference w:id="95"/>
      </w:r>
    </w:p>
    <w:p w14:paraId="725CAA6F" w14:textId="633B505C" w:rsidR="00C45A1A" w:rsidRDefault="00C45A1A" w:rsidP="00C45A1A">
      <w:pPr>
        <w:pStyle w:val="Caption"/>
      </w:pPr>
      <w:bookmarkStart w:id="96" w:name="_Ref93658599"/>
      <w:r>
        <w:t xml:space="preserve">Supplementary Figure </w:t>
      </w:r>
      <w:r w:rsidR="007B669E">
        <w:fldChar w:fldCharType="begin"/>
      </w:r>
      <w:r w:rsidR="007B669E">
        <w:instrText xml:space="preserve"> SEQ Supplementary_Figure \* ARABIC </w:instrText>
      </w:r>
      <w:r w:rsidR="007B669E">
        <w:fldChar w:fldCharType="separate"/>
      </w:r>
      <w:r w:rsidR="003E04A3">
        <w:rPr>
          <w:noProof/>
        </w:rPr>
        <w:t>6</w:t>
      </w:r>
      <w:r w:rsidR="007B669E">
        <w:rPr>
          <w:noProof/>
        </w:rPr>
        <w:fldChar w:fldCharType="end"/>
      </w:r>
      <w:bookmarkEnd w:id="96"/>
      <w:r>
        <w:t>: Posterior distribution (black, along Y axis) against prior distribution (red, along X axis) for the dispersion term of the negative binomial response in the recruitment model.</w:t>
      </w:r>
    </w:p>
    <w:p w14:paraId="7DF76535" w14:textId="77777777" w:rsidR="0027122B" w:rsidRDefault="0027122B" w:rsidP="0027122B">
      <w:pPr>
        <w:keepNext/>
      </w:pPr>
      <w:r>
        <w:rPr>
          <w:noProof/>
        </w:rPr>
        <w:lastRenderedPageBreak/>
        <w:drawing>
          <wp:inline distT="0" distB="0" distL="0" distR="0" wp14:anchorId="3AF82127" wp14:editId="1C43B841">
            <wp:extent cx="5943010" cy="40586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010" cy="4058640"/>
                    </a:xfrm>
                    <a:prstGeom prst="rect">
                      <a:avLst/>
                    </a:prstGeom>
                  </pic:spPr>
                </pic:pic>
              </a:graphicData>
            </a:graphic>
          </wp:inline>
        </w:drawing>
      </w:r>
    </w:p>
    <w:p w14:paraId="324DC867" w14:textId="50F1F14E" w:rsidR="0027122B" w:rsidRDefault="0027122B" w:rsidP="0027122B">
      <w:pPr>
        <w:pStyle w:val="Caption"/>
      </w:pPr>
      <w:r>
        <w:t xml:space="preserve">Supplementary Figure </w:t>
      </w:r>
      <w:r w:rsidR="007B669E">
        <w:fldChar w:fldCharType="begin"/>
      </w:r>
      <w:r w:rsidR="007B669E">
        <w:instrText xml:space="preserve"> SEQ Supplementary_Figure \* ARABIC </w:instrText>
      </w:r>
      <w:r w:rsidR="007B669E">
        <w:fldChar w:fldCharType="separate"/>
      </w:r>
      <w:r w:rsidR="003E04A3">
        <w:rPr>
          <w:noProof/>
        </w:rPr>
        <w:t>7</w:t>
      </w:r>
      <w:r w:rsidR="007B669E">
        <w:rPr>
          <w:noProof/>
        </w:rPr>
        <w:fldChar w:fldCharType="end"/>
      </w:r>
      <w:r>
        <w:t xml:space="preserve">: Results of posterior retrodictive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t xml:space="preserve">Equation </w:t>
      </w:r>
      <w:r>
        <w:rPr>
          <w:noProof/>
        </w:rPr>
        <w:t>2</w:t>
      </w:r>
      <w:r>
        <w:fldChar w:fldCharType="end"/>
      </w:r>
      <w:r>
        <w:t xml:space="preserve"> and the training data used to fit the model. </w:t>
      </w:r>
      <w:r w:rsidR="0047208D">
        <w:t>Individual trees (red points) are ranked along the X-axis by their m</w:t>
      </w:r>
      <w:r w:rsidR="00873E42">
        <w:t>ean</w:t>
      </w:r>
      <w:r w:rsidR="0047208D">
        <w:t xml:space="preserve"> predicted survival probability, and their actual survival (0 or 1) </w:t>
      </w:r>
      <w:r w:rsidR="00873E42">
        <w:t xml:space="preserve">is plotted </w:t>
      </w:r>
      <w:r w:rsidR="0047208D">
        <w:t>along the Y-axis</w:t>
      </w:r>
      <w:r w:rsidR="00873E42">
        <w:t xml:space="preserve"> (including a jitter for readability)</w:t>
      </w:r>
      <w:r w:rsidR="0047208D">
        <w:t>. Blue points indicate the actual proportion of individuals in each rank bin which survived</w:t>
      </w:r>
      <w:r w:rsidR="00BA5AB2">
        <w:t xml:space="preserve">. Black points indicate the </w:t>
      </w:r>
      <w:r w:rsidR="00873E42">
        <w:t xml:space="preserve">mean predicted survival for </w:t>
      </w:r>
      <w:proofErr w:type="gramStart"/>
      <w:r w:rsidR="00873E42">
        <w:t>each individual</w:t>
      </w:r>
      <w:proofErr w:type="gramEnd"/>
      <w:r w:rsidR="00873E42">
        <w:t xml:space="preserve">, with a gray ribbon showing a 95% credible interval for survival probability for each individual. The model does a good job ranking trees by their actual survival probability, as shown by the red points. However, the model is slightly under-certain about survival probability, relative to reality: It slightly overpredicts survival for the least-likely-to-survive trees, and slightly underpredicts survival for the most-likely-to-survive trees. </w:t>
      </w:r>
    </w:p>
    <w:p w14:paraId="2D485BA5" w14:textId="77777777" w:rsidR="004438A3" w:rsidRDefault="004438A3" w:rsidP="004438A3">
      <w:pPr>
        <w:keepNext/>
      </w:pPr>
      <w:r>
        <w:rPr>
          <w:noProof/>
        </w:rPr>
        <w:lastRenderedPageBreak/>
        <w:drawing>
          <wp:inline distT="0" distB="0" distL="0" distR="0" wp14:anchorId="15C250D0" wp14:editId="623E6102">
            <wp:extent cx="5943600" cy="40590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059043"/>
                    </a:xfrm>
                    <a:prstGeom prst="rect">
                      <a:avLst/>
                    </a:prstGeom>
                  </pic:spPr>
                </pic:pic>
              </a:graphicData>
            </a:graphic>
          </wp:inline>
        </w:drawing>
      </w:r>
    </w:p>
    <w:p w14:paraId="4858AA0B" w14:textId="258F48DD" w:rsidR="004438A3" w:rsidRDefault="004438A3" w:rsidP="004438A3">
      <w:pPr>
        <w:pStyle w:val="Caption"/>
      </w:pPr>
      <w:r>
        <w:t xml:space="preserve">Supplementary Figure </w:t>
      </w:r>
      <w:r w:rsidR="007B669E">
        <w:fldChar w:fldCharType="begin"/>
      </w:r>
      <w:r w:rsidR="007B669E">
        <w:instrText xml:space="preserve"> SEQ Supplementary_Figure \* ARABIC </w:instrText>
      </w:r>
      <w:r w:rsidR="007B669E">
        <w:fldChar w:fldCharType="separate"/>
      </w:r>
      <w:r w:rsidR="003E04A3">
        <w:rPr>
          <w:noProof/>
        </w:rPr>
        <w:t>8</w:t>
      </w:r>
      <w:r w:rsidR="007B669E">
        <w:rPr>
          <w:noProof/>
        </w:rPr>
        <w:fldChar w:fldCharType="end"/>
      </w:r>
      <w:r>
        <w:t xml:space="preserve">: </w:t>
      </w:r>
      <w:r w:rsidR="00857BF9">
        <w:t xml:space="preserve">Posterior retrodictions for the growth model, using posterior parameter values and the training data. </w:t>
      </w:r>
      <w:r w:rsidR="00873E42">
        <w:t xml:space="preserve">Individual trees (black points) are plotted </w:t>
      </w:r>
      <w:r w:rsidR="00422EF5">
        <w:t xml:space="preserve">with their median predicted size at remeasurement along the X-axis, and their true size at remeasurement along the y axis. The blue line has slope 1 and intercept 0, </w:t>
      </w:r>
      <w:proofErr w:type="gramStart"/>
      <w:r w:rsidR="00422EF5">
        <w:t>i.e.</w:t>
      </w:r>
      <w:proofErr w:type="gramEnd"/>
      <w:r w:rsidR="00422EF5">
        <w:t xml:space="preserve"> perfect prediction. The gray ribbon gives a 95% credible interval for size at remeasurement as predicted by the </w:t>
      </w:r>
      <w:proofErr w:type="gramStart"/>
      <w:r w:rsidR="00422EF5">
        <w:t>model, and</w:t>
      </w:r>
      <w:proofErr w:type="gramEnd"/>
      <w:r w:rsidR="00422EF5">
        <w:t xml:space="preserve"> contains nearly all of the true sizes. </w:t>
      </w:r>
    </w:p>
    <w:p w14:paraId="7D4F1C83" w14:textId="77777777" w:rsidR="00422EF5" w:rsidRDefault="00422EF5" w:rsidP="00422EF5">
      <w:pPr>
        <w:keepNext/>
      </w:pPr>
      <w:r>
        <w:rPr>
          <w:noProof/>
        </w:rPr>
        <w:lastRenderedPageBreak/>
        <w:drawing>
          <wp:inline distT="0" distB="0" distL="0" distR="0" wp14:anchorId="2EF50AE3" wp14:editId="6E82F1C7">
            <wp:extent cx="5943010" cy="405864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010" cy="4058640"/>
                    </a:xfrm>
                    <a:prstGeom prst="rect">
                      <a:avLst/>
                    </a:prstGeom>
                  </pic:spPr>
                </pic:pic>
              </a:graphicData>
            </a:graphic>
          </wp:inline>
        </w:drawing>
      </w:r>
    </w:p>
    <w:p w14:paraId="5131CEB9" w14:textId="25197612" w:rsidR="00422EF5" w:rsidRDefault="00422EF5" w:rsidP="00422EF5">
      <w:pPr>
        <w:pStyle w:val="Caption"/>
      </w:pPr>
      <w:r>
        <w:t xml:space="preserve">Supplementary Figure </w:t>
      </w:r>
      <w:r w:rsidR="007B669E">
        <w:fldChar w:fldCharType="begin"/>
      </w:r>
      <w:r w:rsidR="007B669E">
        <w:instrText xml:space="preserve"> SEQ Supplementary_Figure \* ARABIC </w:instrText>
      </w:r>
      <w:r w:rsidR="007B669E">
        <w:fldChar w:fldCharType="separate"/>
      </w:r>
      <w:r w:rsidR="003E04A3">
        <w:rPr>
          <w:noProof/>
        </w:rPr>
        <w:t>9</w:t>
      </w:r>
      <w:r w:rsidR="007B669E">
        <w:rPr>
          <w:noProof/>
        </w:rPr>
        <w:fldChar w:fldCharType="end"/>
      </w:r>
      <w:r>
        <w:t xml:space="preserve">: </w:t>
      </w:r>
      <w:r w:rsidR="00807967">
        <w:t xml:space="preserve">Posterior retrodictions for the recruitment model. The black points show the observed count of untagged individuals (new recruits and preexisting small stems) on each subplot on the Y-axis, and the median predicted density on the X-axis. </w:t>
      </w:r>
      <w:r w:rsidR="006E6E45">
        <w:t xml:space="preserve">The blue line has slope 1 and intercept 0, </w:t>
      </w:r>
      <w:proofErr w:type="gramStart"/>
      <w:r w:rsidR="006E6E45">
        <w:t>i.e.</w:t>
      </w:r>
      <w:proofErr w:type="gramEnd"/>
      <w:r w:rsidR="006E6E45">
        <w:t xml:space="preserve"> perfect prediction. The bounds of the grey ribbon correspond to the 2.5</w:t>
      </w:r>
      <w:r w:rsidR="006E6E45" w:rsidRPr="006E6E45">
        <w:rPr>
          <w:vertAlign w:val="superscript"/>
        </w:rPr>
        <w:t>th</w:t>
      </w:r>
      <w:r w:rsidR="006E6E45">
        <w:t xml:space="preserve"> and 97.5</w:t>
      </w:r>
      <w:r w:rsidR="006E6E45" w:rsidRPr="006E6E45">
        <w:rPr>
          <w:vertAlign w:val="superscript"/>
        </w:rPr>
        <w:t>th</w:t>
      </w:r>
      <w:r w:rsidR="006E6E45">
        <w:t xml:space="preserve"> percentiles of simulated counts drawn from a negative binomial distribution with location parameter predicted from the posterior distribution of the model. The gray ribbon contains all the true values, indicating that </w:t>
      </w:r>
      <w:proofErr w:type="gramStart"/>
      <w:r w:rsidR="006E6E45">
        <w:t>all of</w:t>
      </w:r>
      <w:proofErr w:type="gramEnd"/>
      <w:r w:rsidR="006E6E45">
        <w:t xml:space="preserve"> the observed counts are consistent with the variability expected from the model.</w:t>
      </w:r>
    </w:p>
    <w:p w14:paraId="55C09F63" w14:textId="77777777" w:rsidR="00857BF9" w:rsidRDefault="00857BF9" w:rsidP="00857BF9">
      <w:pPr>
        <w:keepNext/>
      </w:pPr>
      <w:r>
        <w:rPr>
          <w:noProof/>
        </w:rPr>
        <w:lastRenderedPageBreak/>
        <w:drawing>
          <wp:inline distT="0" distB="0" distL="0" distR="0" wp14:anchorId="5DD8294E" wp14:editId="28C5DE78">
            <wp:extent cx="5943010" cy="405864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010" cy="4058640"/>
                    </a:xfrm>
                    <a:prstGeom prst="rect">
                      <a:avLst/>
                    </a:prstGeom>
                  </pic:spPr>
                </pic:pic>
              </a:graphicData>
            </a:graphic>
          </wp:inline>
        </w:drawing>
      </w:r>
    </w:p>
    <w:p w14:paraId="5617C7AB" w14:textId="557EC0F6" w:rsidR="0026626B" w:rsidRDefault="00857BF9" w:rsidP="00857BF9">
      <w:pPr>
        <w:pStyle w:val="Caption"/>
      </w:pPr>
      <w:r>
        <w:t xml:space="preserve">Supplementary Figure </w:t>
      </w:r>
      <w:r w:rsidR="007B669E">
        <w:fldChar w:fldCharType="begin"/>
      </w:r>
      <w:r w:rsidR="007B669E">
        <w:instrText xml:space="preserve"> SEQ Supplementary_Figure \* ARABIC </w:instrText>
      </w:r>
      <w:r w:rsidR="007B669E">
        <w:fldChar w:fldCharType="separate"/>
      </w:r>
      <w:r w:rsidR="003E04A3">
        <w:rPr>
          <w:noProof/>
        </w:rPr>
        <w:t>10</w:t>
      </w:r>
      <w:r w:rsidR="007B669E">
        <w:rPr>
          <w:noProof/>
        </w:rPr>
        <w:fldChar w:fldCharType="end"/>
      </w:r>
      <w:r w:rsidR="000B07C3">
        <w:rPr>
          <w:noProof/>
        </w:rPr>
        <w:t>:</w:t>
      </w:r>
      <w:r w:rsidRPr="00857BF9">
        <w:t xml:space="preserve"> </w:t>
      </w:r>
      <w:r>
        <w:t xml:space="preserve">Results of posterior predictive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t xml:space="preserve">Equation </w:t>
      </w:r>
      <w:r>
        <w:rPr>
          <w:noProof/>
        </w:rPr>
        <w:t>2</w:t>
      </w:r>
      <w:r>
        <w:fldChar w:fldCharType="end"/>
      </w:r>
      <w:r>
        <w:t xml:space="preserve"> and the validation data. Individual trees (red points) are ranked along the X-axis by their mean predicted survival probability, and their actual survival (0 or 1) is plotted along the Y-axis (including a jitter for readability). Blue points indicate the actual proportion of individuals in each rank bin which survived. Black points indicate the mean predicted survival for </w:t>
      </w:r>
      <w:proofErr w:type="gramStart"/>
      <w:r>
        <w:t>each individual</w:t>
      </w:r>
      <w:proofErr w:type="gramEnd"/>
      <w:r>
        <w:t xml:space="preserve">, with a gray ribbon showing a 95% credible interval for survival probability for each individual. </w:t>
      </w:r>
    </w:p>
    <w:p w14:paraId="5EF1ACF9" w14:textId="77777777" w:rsidR="00857BF9" w:rsidRDefault="00857BF9" w:rsidP="00857BF9">
      <w:pPr>
        <w:keepNext/>
      </w:pPr>
      <w:r>
        <w:rPr>
          <w:noProof/>
        </w:rPr>
        <w:lastRenderedPageBreak/>
        <w:drawing>
          <wp:inline distT="0" distB="0" distL="0" distR="0" wp14:anchorId="4C51AD53" wp14:editId="2C93ECC6">
            <wp:extent cx="5943010" cy="405864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010" cy="4058640"/>
                    </a:xfrm>
                    <a:prstGeom prst="rect">
                      <a:avLst/>
                    </a:prstGeom>
                  </pic:spPr>
                </pic:pic>
              </a:graphicData>
            </a:graphic>
          </wp:inline>
        </w:drawing>
      </w:r>
    </w:p>
    <w:p w14:paraId="472115B4" w14:textId="1514AEB3" w:rsidR="00857BF9" w:rsidRDefault="00857BF9" w:rsidP="00857BF9">
      <w:pPr>
        <w:pStyle w:val="Caption"/>
      </w:pPr>
      <w:r>
        <w:t xml:space="preserve">Supplementary Figure </w:t>
      </w:r>
      <w:r w:rsidR="007B669E">
        <w:fldChar w:fldCharType="begin"/>
      </w:r>
      <w:r w:rsidR="007B669E">
        <w:instrText xml:space="preserve"> SEQ Supplementary_Figure \* ARABIC </w:instrText>
      </w:r>
      <w:r w:rsidR="007B669E">
        <w:fldChar w:fldCharType="separate"/>
      </w:r>
      <w:r w:rsidR="003E04A3">
        <w:rPr>
          <w:noProof/>
        </w:rPr>
        <w:t>11</w:t>
      </w:r>
      <w:r w:rsidR="007B669E">
        <w:rPr>
          <w:noProof/>
        </w:rPr>
        <w:fldChar w:fldCharType="end"/>
      </w:r>
      <w:r w:rsidR="000B07C3">
        <w:rPr>
          <w:noProof/>
        </w:rPr>
        <w:t>:</w:t>
      </w:r>
      <w:r w:rsidRPr="00857BF9">
        <w:t xml:space="preserve"> </w:t>
      </w:r>
      <w:r>
        <w:t xml:space="preserve">Posterior retrodictions for the growth model, using posterior parameter values and the validation data. Individual trees (black points) are plotted with their median predicted size at remeasurement along the X-axis, and their true size at remeasurement along the y axis. The blue line has slope 1 and intercept 0, </w:t>
      </w:r>
      <w:proofErr w:type="gramStart"/>
      <w:r>
        <w:t>i.e.</w:t>
      </w:r>
      <w:proofErr w:type="gramEnd"/>
      <w:r>
        <w:t xml:space="preserve"> perfect prediction. The gray ribbon gives a 95% credible interval for size at remeasurement as predicted by the </w:t>
      </w:r>
      <w:proofErr w:type="gramStart"/>
      <w:r>
        <w:t>model, and</w:t>
      </w:r>
      <w:proofErr w:type="gramEnd"/>
      <w:r>
        <w:t xml:space="preserve"> contains nearly all of the true sizes.</w:t>
      </w:r>
    </w:p>
    <w:p w14:paraId="0627B8E2" w14:textId="77777777" w:rsidR="003E04A3" w:rsidRDefault="003E04A3" w:rsidP="003E04A3">
      <w:pPr>
        <w:keepNext/>
      </w:pPr>
      <w:r>
        <w:rPr>
          <w:noProof/>
        </w:rPr>
        <w:lastRenderedPageBreak/>
        <w:drawing>
          <wp:inline distT="0" distB="0" distL="0" distR="0" wp14:anchorId="14EA4EF2" wp14:editId="1B3435EC">
            <wp:extent cx="5943600" cy="40590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059043"/>
                    </a:xfrm>
                    <a:prstGeom prst="rect">
                      <a:avLst/>
                    </a:prstGeom>
                  </pic:spPr>
                </pic:pic>
              </a:graphicData>
            </a:graphic>
          </wp:inline>
        </w:drawing>
      </w:r>
    </w:p>
    <w:p w14:paraId="64348548" w14:textId="312FE298" w:rsidR="003E04A3" w:rsidRDefault="003E04A3" w:rsidP="003E04A3">
      <w:pPr>
        <w:pStyle w:val="Caption"/>
      </w:pPr>
      <w:r>
        <w:t xml:space="preserve">Supplementary Figure </w:t>
      </w:r>
      <w:r w:rsidR="007B669E">
        <w:fldChar w:fldCharType="begin"/>
      </w:r>
      <w:r w:rsidR="007B669E">
        <w:instrText xml:space="preserve"> SEQ Supplementary_Figure \* ARABIC </w:instrText>
      </w:r>
      <w:r w:rsidR="007B669E">
        <w:fldChar w:fldCharType="separate"/>
      </w:r>
      <w:r>
        <w:rPr>
          <w:noProof/>
        </w:rPr>
        <w:t>12</w:t>
      </w:r>
      <w:r w:rsidR="007B669E">
        <w:rPr>
          <w:noProof/>
        </w:rPr>
        <w:fldChar w:fldCharType="end"/>
      </w:r>
      <w:r w:rsidR="000B07C3">
        <w:rPr>
          <w:noProof/>
        </w:rPr>
        <w:t>:</w:t>
      </w:r>
      <w:r>
        <w:t xml:space="preserve"> Posterior predictions for the recruitment model, using the out-of-sample validation data. The black points show the observed count of untagged individuals (new recruits and preexisting small stems) on each subplot on the Y-axis, and the median predicted density on the X-axis. The blue line has slope 1 and intercept 0, </w:t>
      </w:r>
      <w:proofErr w:type="gramStart"/>
      <w:r>
        <w:t>i.e.</w:t>
      </w:r>
      <w:proofErr w:type="gramEnd"/>
      <w:r>
        <w:t xml:space="preserve"> perfect prediction. The bounds of the grey ribbon correspond to the 2.5</w:t>
      </w:r>
      <w:r w:rsidRPr="006E6E45">
        <w:rPr>
          <w:vertAlign w:val="superscript"/>
        </w:rPr>
        <w:t>th</w:t>
      </w:r>
      <w:r>
        <w:t xml:space="preserve"> and 97.5</w:t>
      </w:r>
      <w:r w:rsidRPr="006E6E45">
        <w:rPr>
          <w:vertAlign w:val="superscript"/>
        </w:rPr>
        <w:t>th</w:t>
      </w:r>
      <w:r>
        <w:t xml:space="preserve"> percentiles of simulated counts drawn from a negative binomial distribution with location parameter predicted from the posterior distribution of the model. The gray ribbon contains all the true values, indicating that all the observed counts are consistent with the variability expected from the model.</w:t>
      </w:r>
    </w:p>
    <w:p w14:paraId="484F3304" w14:textId="3D656DCB" w:rsidR="000B07C3" w:rsidRDefault="000B07C3">
      <w:r>
        <w:br w:type="page"/>
      </w:r>
    </w:p>
    <w:p w14:paraId="7F26ABAD" w14:textId="5204CE27" w:rsidR="00E16782" w:rsidRDefault="00E16782">
      <w:r>
        <w:lastRenderedPageBreak/>
        <w:br w:type="page"/>
      </w:r>
    </w:p>
    <w:p w14:paraId="1D65920D" w14:textId="77777777" w:rsidR="00E16782" w:rsidRPr="00E16782" w:rsidRDefault="00E16782" w:rsidP="00E16782"/>
    <w:p w14:paraId="1C4F3DCC" w14:textId="77777777" w:rsidR="00E16782" w:rsidRPr="00E16782" w:rsidRDefault="00E16782" w:rsidP="00E16782"/>
    <w:p w14:paraId="525D7C3E" w14:textId="7CD99F83" w:rsidR="00870621" w:rsidRDefault="00870621" w:rsidP="00870621">
      <w:pPr>
        <w:pStyle w:val="Caption"/>
      </w:pPr>
    </w:p>
    <w:tbl>
      <w:tblPr>
        <w:tblStyle w:val="TableGrid"/>
        <w:tblW w:w="0" w:type="auto"/>
        <w:tblLook w:val="04A0" w:firstRow="1" w:lastRow="0" w:firstColumn="1" w:lastColumn="0" w:noHBand="0" w:noVBand="1"/>
      </w:tblPr>
      <w:tblGrid>
        <w:gridCol w:w="1480"/>
        <w:gridCol w:w="1155"/>
        <w:gridCol w:w="1208"/>
        <w:gridCol w:w="1208"/>
      </w:tblGrid>
      <w:tr w:rsidR="002D364A" w:rsidRPr="002D364A" w14:paraId="31437CDC" w14:textId="77777777" w:rsidTr="001545DE">
        <w:trPr>
          <w:trHeight w:val="288"/>
        </w:trPr>
        <w:tc>
          <w:tcPr>
            <w:tcW w:w="1480" w:type="dxa"/>
            <w:noWrap/>
            <w:hideMark/>
          </w:tcPr>
          <w:p w14:paraId="410325F6" w14:textId="5DFEAC07" w:rsidR="002D364A" w:rsidRPr="002D364A" w:rsidRDefault="002D364A">
            <w:pPr>
              <w:rPr>
                <w:b/>
                <w:bCs/>
              </w:rPr>
            </w:pPr>
            <w:r w:rsidRPr="002D364A">
              <w:rPr>
                <w:b/>
                <w:bCs/>
              </w:rPr>
              <w:t>Scenario</w:t>
            </w:r>
          </w:p>
        </w:tc>
        <w:tc>
          <w:tcPr>
            <w:tcW w:w="1155" w:type="dxa"/>
            <w:noWrap/>
            <w:hideMark/>
          </w:tcPr>
          <w:p w14:paraId="30D42E34" w14:textId="5BB4AEEC" w:rsidR="002D364A" w:rsidRPr="002D364A" w:rsidRDefault="002D364A">
            <w:pPr>
              <w:rPr>
                <w:b/>
                <w:bCs/>
              </w:rPr>
            </w:pPr>
            <w:r w:rsidRPr="002D364A">
              <w:rPr>
                <w:b/>
                <w:bCs/>
              </w:rPr>
              <w:t>Lambda (median)</w:t>
            </w:r>
          </w:p>
        </w:tc>
        <w:tc>
          <w:tcPr>
            <w:tcW w:w="1208" w:type="dxa"/>
            <w:noWrap/>
            <w:hideMark/>
          </w:tcPr>
          <w:p w14:paraId="56FD4094" w14:textId="43EB2568" w:rsidR="002D364A" w:rsidRPr="002D364A" w:rsidRDefault="002D364A">
            <w:pPr>
              <w:rPr>
                <w:b/>
                <w:bCs/>
              </w:rPr>
            </w:pPr>
            <w:r w:rsidRPr="002D364A">
              <w:rPr>
                <w:b/>
                <w:bCs/>
              </w:rPr>
              <w:t>Lambda (5</w:t>
            </w:r>
            <w:r w:rsidRPr="002D364A">
              <w:rPr>
                <w:b/>
                <w:bCs/>
                <w:vertAlign w:val="superscript"/>
              </w:rPr>
              <w:t>th</w:t>
            </w:r>
            <w:r w:rsidRPr="002D364A">
              <w:rPr>
                <w:b/>
                <w:bCs/>
              </w:rPr>
              <w:t xml:space="preserve"> percentile)</w:t>
            </w:r>
          </w:p>
        </w:tc>
        <w:tc>
          <w:tcPr>
            <w:tcW w:w="1208" w:type="dxa"/>
            <w:noWrap/>
            <w:hideMark/>
          </w:tcPr>
          <w:p w14:paraId="4CA356BD" w14:textId="3493B491" w:rsidR="002D364A" w:rsidRPr="002D364A" w:rsidRDefault="002D364A">
            <w:pPr>
              <w:rPr>
                <w:b/>
                <w:bCs/>
              </w:rPr>
            </w:pPr>
            <w:r w:rsidRPr="002D364A">
              <w:rPr>
                <w:b/>
                <w:bCs/>
              </w:rPr>
              <w:t>Lambda (95</w:t>
            </w:r>
            <w:r w:rsidRPr="002D364A">
              <w:rPr>
                <w:b/>
                <w:bCs/>
                <w:vertAlign w:val="superscript"/>
              </w:rPr>
              <w:t>th</w:t>
            </w:r>
            <w:r w:rsidRPr="002D364A">
              <w:rPr>
                <w:b/>
                <w:bCs/>
              </w:rPr>
              <w:t xml:space="preserve"> percentile)</w:t>
            </w:r>
          </w:p>
        </w:tc>
      </w:tr>
      <w:tr w:rsidR="00894D9E" w:rsidRPr="002D364A" w14:paraId="27D99596" w14:textId="77777777" w:rsidTr="001545DE">
        <w:trPr>
          <w:trHeight w:val="288"/>
        </w:trPr>
        <w:tc>
          <w:tcPr>
            <w:tcW w:w="1480" w:type="dxa"/>
            <w:noWrap/>
            <w:hideMark/>
          </w:tcPr>
          <w:p w14:paraId="0519C27E" w14:textId="77777777" w:rsidR="00894D9E" w:rsidRPr="002D364A" w:rsidRDefault="00894D9E" w:rsidP="00894D9E">
            <w:pPr>
              <w:rPr>
                <w:b/>
                <w:bCs/>
              </w:rPr>
            </w:pPr>
            <w:r w:rsidRPr="002D364A">
              <w:rPr>
                <w:b/>
                <w:bCs/>
              </w:rPr>
              <w:t>Undisturbed</w:t>
            </w:r>
          </w:p>
        </w:tc>
        <w:tc>
          <w:tcPr>
            <w:tcW w:w="1155" w:type="dxa"/>
            <w:noWrap/>
            <w:vAlign w:val="bottom"/>
            <w:hideMark/>
          </w:tcPr>
          <w:p w14:paraId="48470296" w14:textId="4B017B96" w:rsidR="00894D9E" w:rsidRPr="002D364A" w:rsidRDefault="00894D9E" w:rsidP="00894D9E">
            <w:r>
              <w:rPr>
                <w:rFonts w:ascii="Calibri" w:hAnsi="Calibri" w:cs="Calibri"/>
                <w:color w:val="000000"/>
              </w:rPr>
              <w:t>1.04</w:t>
            </w:r>
          </w:p>
        </w:tc>
        <w:tc>
          <w:tcPr>
            <w:tcW w:w="1208" w:type="dxa"/>
            <w:noWrap/>
            <w:vAlign w:val="bottom"/>
            <w:hideMark/>
          </w:tcPr>
          <w:p w14:paraId="673B11C7" w14:textId="12EEF865" w:rsidR="00894D9E" w:rsidRPr="002D364A" w:rsidRDefault="00894D9E" w:rsidP="00894D9E">
            <w:r>
              <w:rPr>
                <w:rFonts w:ascii="Calibri" w:hAnsi="Calibri" w:cs="Calibri"/>
                <w:color w:val="000000"/>
              </w:rPr>
              <w:t>1.01</w:t>
            </w:r>
          </w:p>
        </w:tc>
        <w:tc>
          <w:tcPr>
            <w:tcW w:w="1208" w:type="dxa"/>
            <w:noWrap/>
            <w:vAlign w:val="bottom"/>
            <w:hideMark/>
          </w:tcPr>
          <w:p w14:paraId="6025DE9A" w14:textId="74BBF86E" w:rsidR="00894D9E" w:rsidRPr="002D364A" w:rsidRDefault="00894D9E" w:rsidP="00894D9E">
            <w:r>
              <w:rPr>
                <w:rFonts w:ascii="Calibri" w:hAnsi="Calibri" w:cs="Calibri"/>
                <w:color w:val="000000"/>
              </w:rPr>
              <w:t>1.07</w:t>
            </w:r>
          </w:p>
        </w:tc>
      </w:tr>
      <w:tr w:rsidR="00894D9E" w:rsidRPr="002D364A" w14:paraId="4F85A7D7" w14:textId="77777777" w:rsidTr="001545DE">
        <w:trPr>
          <w:trHeight w:val="288"/>
        </w:trPr>
        <w:tc>
          <w:tcPr>
            <w:tcW w:w="1480" w:type="dxa"/>
            <w:noWrap/>
            <w:hideMark/>
          </w:tcPr>
          <w:p w14:paraId="614C5496" w14:textId="77777777" w:rsidR="00894D9E" w:rsidRPr="002D364A" w:rsidRDefault="00894D9E" w:rsidP="00894D9E">
            <w:pPr>
              <w:rPr>
                <w:b/>
                <w:bCs/>
              </w:rPr>
            </w:pPr>
            <w:r w:rsidRPr="002D364A">
              <w:rPr>
                <w:b/>
                <w:bCs/>
              </w:rPr>
              <w:t>Fire</w:t>
            </w:r>
          </w:p>
        </w:tc>
        <w:tc>
          <w:tcPr>
            <w:tcW w:w="1155" w:type="dxa"/>
            <w:noWrap/>
            <w:vAlign w:val="bottom"/>
            <w:hideMark/>
          </w:tcPr>
          <w:p w14:paraId="4855E811" w14:textId="6A368793" w:rsidR="00894D9E" w:rsidRPr="002D364A" w:rsidRDefault="00894D9E" w:rsidP="00894D9E">
            <w:r>
              <w:rPr>
                <w:rFonts w:ascii="Calibri" w:hAnsi="Calibri" w:cs="Calibri"/>
                <w:color w:val="000000"/>
              </w:rPr>
              <w:t>0.61</w:t>
            </w:r>
          </w:p>
        </w:tc>
        <w:tc>
          <w:tcPr>
            <w:tcW w:w="1208" w:type="dxa"/>
            <w:noWrap/>
            <w:vAlign w:val="bottom"/>
            <w:hideMark/>
          </w:tcPr>
          <w:p w14:paraId="22B4AB65" w14:textId="48FBF6BB" w:rsidR="00894D9E" w:rsidRPr="002D364A" w:rsidRDefault="00894D9E" w:rsidP="00894D9E">
            <w:r>
              <w:rPr>
                <w:rFonts w:ascii="Calibri" w:hAnsi="Calibri" w:cs="Calibri"/>
                <w:color w:val="000000"/>
              </w:rPr>
              <w:t>0.51</w:t>
            </w:r>
          </w:p>
        </w:tc>
        <w:tc>
          <w:tcPr>
            <w:tcW w:w="1208" w:type="dxa"/>
            <w:noWrap/>
            <w:vAlign w:val="bottom"/>
            <w:hideMark/>
          </w:tcPr>
          <w:p w14:paraId="082005A8" w14:textId="05354618" w:rsidR="00894D9E" w:rsidRPr="002D364A" w:rsidRDefault="00894D9E" w:rsidP="00894D9E">
            <w:r>
              <w:rPr>
                <w:rFonts w:ascii="Calibri" w:hAnsi="Calibri" w:cs="Calibri"/>
                <w:color w:val="000000"/>
              </w:rPr>
              <w:t>0.70</w:t>
            </w:r>
          </w:p>
        </w:tc>
      </w:tr>
      <w:tr w:rsidR="00894D9E" w:rsidRPr="002D364A" w14:paraId="57510B6D" w14:textId="77777777" w:rsidTr="001545DE">
        <w:trPr>
          <w:trHeight w:val="288"/>
        </w:trPr>
        <w:tc>
          <w:tcPr>
            <w:tcW w:w="1480" w:type="dxa"/>
            <w:noWrap/>
            <w:hideMark/>
          </w:tcPr>
          <w:p w14:paraId="5584CA95" w14:textId="77777777" w:rsidR="00894D9E" w:rsidRPr="002D364A" w:rsidRDefault="00894D9E" w:rsidP="00894D9E">
            <w:pPr>
              <w:rPr>
                <w:b/>
                <w:bCs/>
              </w:rPr>
            </w:pPr>
            <w:r w:rsidRPr="002D364A">
              <w:rPr>
                <w:b/>
                <w:bCs/>
              </w:rPr>
              <w:t>WPBR</w:t>
            </w:r>
          </w:p>
        </w:tc>
        <w:tc>
          <w:tcPr>
            <w:tcW w:w="1155" w:type="dxa"/>
            <w:noWrap/>
            <w:vAlign w:val="bottom"/>
            <w:hideMark/>
          </w:tcPr>
          <w:p w14:paraId="625C8A0C" w14:textId="67CEB83F" w:rsidR="00894D9E" w:rsidRPr="002D364A" w:rsidRDefault="00894D9E" w:rsidP="00894D9E">
            <w:r>
              <w:rPr>
                <w:rFonts w:ascii="Calibri" w:hAnsi="Calibri" w:cs="Calibri"/>
                <w:color w:val="000000"/>
              </w:rPr>
              <w:t>0.99</w:t>
            </w:r>
          </w:p>
        </w:tc>
        <w:tc>
          <w:tcPr>
            <w:tcW w:w="1208" w:type="dxa"/>
            <w:noWrap/>
            <w:vAlign w:val="bottom"/>
            <w:hideMark/>
          </w:tcPr>
          <w:p w14:paraId="1328D8FC" w14:textId="007F2534" w:rsidR="00894D9E" w:rsidRPr="002D364A" w:rsidRDefault="00894D9E" w:rsidP="00894D9E">
            <w:r>
              <w:rPr>
                <w:rFonts w:ascii="Calibri" w:hAnsi="Calibri" w:cs="Calibri"/>
                <w:color w:val="000000"/>
              </w:rPr>
              <w:t>0.90</w:t>
            </w:r>
          </w:p>
        </w:tc>
        <w:tc>
          <w:tcPr>
            <w:tcW w:w="1208" w:type="dxa"/>
            <w:noWrap/>
            <w:vAlign w:val="bottom"/>
            <w:hideMark/>
          </w:tcPr>
          <w:p w14:paraId="2119013B" w14:textId="28C2E6FA" w:rsidR="00894D9E" w:rsidRPr="002D364A" w:rsidRDefault="00894D9E" w:rsidP="00894D9E">
            <w:r>
              <w:rPr>
                <w:rFonts w:ascii="Calibri" w:hAnsi="Calibri" w:cs="Calibri"/>
                <w:color w:val="000000"/>
              </w:rPr>
              <w:t>1.06</w:t>
            </w:r>
          </w:p>
        </w:tc>
      </w:tr>
      <w:tr w:rsidR="00894D9E" w:rsidRPr="002D364A" w14:paraId="7447A570" w14:textId="77777777" w:rsidTr="001545DE">
        <w:trPr>
          <w:trHeight w:val="288"/>
        </w:trPr>
        <w:tc>
          <w:tcPr>
            <w:tcW w:w="1480" w:type="dxa"/>
            <w:noWrap/>
            <w:hideMark/>
          </w:tcPr>
          <w:p w14:paraId="5B302A04" w14:textId="77777777" w:rsidR="00894D9E" w:rsidRPr="002D364A" w:rsidRDefault="00894D9E" w:rsidP="00894D9E">
            <w:pPr>
              <w:rPr>
                <w:b/>
                <w:bCs/>
              </w:rPr>
            </w:pPr>
            <w:r w:rsidRPr="002D364A">
              <w:rPr>
                <w:b/>
                <w:bCs/>
              </w:rPr>
              <w:t>Low BA</w:t>
            </w:r>
          </w:p>
        </w:tc>
        <w:tc>
          <w:tcPr>
            <w:tcW w:w="1155" w:type="dxa"/>
            <w:noWrap/>
            <w:vAlign w:val="bottom"/>
            <w:hideMark/>
          </w:tcPr>
          <w:p w14:paraId="61C8B7FD" w14:textId="5823C94E" w:rsidR="00894D9E" w:rsidRPr="002D364A" w:rsidRDefault="00894D9E" w:rsidP="00894D9E">
            <w:r>
              <w:rPr>
                <w:rFonts w:ascii="Calibri" w:hAnsi="Calibri" w:cs="Calibri"/>
                <w:color w:val="000000"/>
              </w:rPr>
              <w:t>1.09</w:t>
            </w:r>
          </w:p>
        </w:tc>
        <w:tc>
          <w:tcPr>
            <w:tcW w:w="1208" w:type="dxa"/>
            <w:noWrap/>
            <w:vAlign w:val="bottom"/>
            <w:hideMark/>
          </w:tcPr>
          <w:p w14:paraId="6C474B43" w14:textId="6FEE9B6C" w:rsidR="00894D9E" w:rsidRPr="002D364A" w:rsidRDefault="00894D9E" w:rsidP="00894D9E">
            <w:r>
              <w:rPr>
                <w:rFonts w:ascii="Calibri" w:hAnsi="Calibri" w:cs="Calibri"/>
                <w:color w:val="000000"/>
              </w:rPr>
              <w:t>1.06</w:t>
            </w:r>
          </w:p>
        </w:tc>
        <w:tc>
          <w:tcPr>
            <w:tcW w:w="1208" w:type="dxa"/>
            <w:noWrap/>
            <w:vAlign w:val="bottom"/>
            <w:hideMark/>
          </w:tcPr>
          <w:p w14:paraId="061F27D4" w14:textId="2FCD7DEA" w:rsidR="00894D9E" w:rsidRPr="002D364A" w:rsidRDefault="00894D9E" w:rsidP="00894D9E">
            <w:r>
              <w:rPr>
                <w:rFonts w:ascii="Calibri" w:hAnsi="Calibri" w:cs="Calibri"/>
                <w:color w:val="000000"/>
              </w:rPr>
              <w:t>1.13</w:t>
            </w:r>
          </w:p>
        </w:tc>
      </w:tr>
      <w:tr w:rsidR="00894D9E" w:rsidRPr="002D364A" w14:paraId="060C0E1D" w14:textId="77777777" w:rsidTr="001545DE">
        <w:trPr>
          <w:trHeight w:val="288"/>
        </w:trPr>
        <w:tc>
          <w:tcPr>
            <w:tcW w:w="1480" w:type="dxa"/>
            <w:noWrap/>
            <w:hideMark/>
          </w:tcPr>
          <w:p w14:paraId="7BA2A714" w14:textId="77777777" w:rsidR="00894D9E" w:rsidRPr="002D364A" w:rsidRDefault="00894D9E" w:rsidP="00894D9E">
            <w:pPr>
              <w:rPr>
                <w:b/>
                <w:bCs/>
              </w:rPr>
            </w:pPr>
            <w:r w:rsidRPr="002D364A">
              <w:rPr>
                <w:b/>
                <w:bCs/>
              </w:rPr>
              <w:t>High BA</w:t>
            </w:r>
          </w:p>
        </w:tc>
        <w:tc>
          <w:tcPr>
            <w:tcW w:w="1155" w:type="dxa"/>
            <w:noWrap/>
            <w:vAlign w:val="bottom"/>
            <w:hideMark/>
          </w:tcPr>
          <w:p w14:paraId="29F0B1F6" w14:textId="79644143" w:rsidR="00894D9E" w:rsidRPr="002D364A" w:rsidRDefault="00894D9E" w:rsidP="00894D9E">
            <w:r>
              <w:rPr>
                <w:rFonts w:ascii="Calibri" w:hAnsi="Calibri" w:cs="Calibri"/>
                <w:color w:val="000000"/>
              </w:rPr>
              <w:t>0.98</w:t>
            </w:r>
          </w:p>
        </w:tc>
        <w:tc>
          <w:tcPr>
            <w:tcW w:w="1208" w:type="dxa"/>
            <w:noWrap/>
            <w:vAlign w:val="bottom"/>
            <w:hideMark/>
          </w:tcPr>
          <w:p w14:paraId="11E80269" w14:textId="16289D94" w:rsidR="00894D9E" w:rsidRPr="002D364A" w:rsidRDefault="00894D9E" w:rsidP="00894D9E">
            <w:r>
              <w:rPr>
                <w:rFonts w:ascii="Calibri" w:hAnsi="Calibri" w:cs="Calibri"/>
                <w:color w:val="000000"/>
              </w:rPr>
              <w:t>0.94</w:t>
            </w:r>
          </w:p>
        </w:tc>
        <w:tc>
          <w:tcPr>
            <w:tcW w:w="1208" w:type="dxa"/>
            <w:noWrap/>
            <w:vAlign w:val="bottom"/>
            <w:hideMark/>
          </w:tcPr>
          <w:p w14:paraId="0CB13A08" w14:textId="2F320285" w:rsidR="00894D9E" w:rsidRPr="002D364A" w:rsidRDefault="00894D9E" w:rsidP="00894D9E">
            <w:r>
              <w:rPr>
                <w:rFonts w:ascii="Calibri" w:hAnsi="Calibri" w:cs="Calibri"/>
                <w:color w:val="000000"/>
              </w:rPr>
              <w:t>1.02</w:t>
            </w:r>
          </w:p>
        </w:tc>
      </w:tr>
      <w:tr w:rsidR="00894D9E" w:rsidRPr="002D364A" w14:paraId="794CAA99" w14:textId="77777777" w:rsidTr="001545DE">
        <w:trPr>
          <w:trHeight w:val="288"/>
        </w:trPr>
        <w:tc>
          <w:tcPr>
            <w:tcW w:w="1480" w:type="dxa"/>
            <w:noWrap/>
            <w:hideMark/>
          </w:tcPr>
          <w:p w14:paraId="178633C6" w14:textId="77777777" w:rsidR="00894D9E" w:rsidRPr="002D364A" w:rsidRDefault="00894D9E" w:rsidP="00894D9E">
            <w:pPr>
              <w:rPr>
                <w:b/>
                <w:bCs/>
              </w:rPr>
            </w:pPr>
            <w:r w:rsidRPr="002D364A">
              <w:rPr>
                <w:b/>
                <w:bCs/>
              </w:rPr>
              <w:t>Low Drought</w:t>
            </w:r>
          </w:p>
        </w:tc>
        <w:tc>
          <w:tcPr>
            <w:tcW w:w="1155" w:type="dxa"/>
            <w:noWrap/>
            <w:vAlign w:val="bottom"/>
            <w:hideMark/>
          </w:tcPr>
          <w:p w14:paraId="127CE01D" w14:textId="2C97744C" w:rsidR="00894D9E" w:rsidRPr="002D364A" w:rsidRDefault="00894D9E" w:rsidP="00894D9E">
            <w:r>
              <w:rPr>
                <w:rFonts w:ascii="Calibri" w:hAnsi="Calibri" w:cs="Calibri"/>
                <w:color w:val="000000"/>
              </w:rPr>
              <w:t>1.05</w:t>
            </w:r>
          </w:p>
        </w:tc>
        <w:tc>
          <w:tcPr>
            <w:tcW w:w="1208" w:type="dxa"/>
            <w:noWrap/>
            <w:vAlign w:val="bottom"/>
            <w:hideMark/>
          </w:tcPr>
          <w:p w14:paraId="5BAE8051" w14:textId="49554221" w:rsidR="00894D9E" w:rsidRPr="002D364A" w:rsidRDefault="00894D9E" w:rsidP="00894D9E">
            <w:r>
              <w:rPr>
                <w:rFonts w:ascii="Calibri" w:hAnsi="Calibri" w:cs="Calibri"/>
                <w:color w:val="000000"/>
              </w:rPr>
              <w:t>1.01</w:t>
            </w:r>
          </w:p>
        </w:tc>
        <w:tc>
          <w:tcPr>
            <w:tcW w:w="1208" w:type="dxa"/>
            <w:noWrap/>
            <w:vAlign w:val="bottom"/>
            <w:hideMark/>
          </w:tcPr>
          <w:p w14:paraId="507D7DB7" w14:textId="66D6C081" w:rsidR="00894D9E" w:rsidRPr="002D364A" w:rsidRDefault="00894D9E" w:rsidP="00894D9E">
            <w:r>
              <w:rPr>
                <w:rFonts w:ascii="Calibri" w:hAnsi="Calibri" w:cs="Calibri"/>
                <w:color w:val="000000"/>
              </w:rPr>
              <w:t>1.08</w:t>
            </w:r>
          </w:p>
        </w:tc>
      </w:tr>
      <w:tr w:rsidR="00894D9E" w:rsidRPr="002D364A" w14:paraId="27FE14C2" w14:textId="77777777" w:rsidTr="001545DE">
        <w:trPr>
          <w:trHeight w:val="288"/>
        </w:trPr>
        <w:tc>
          <w:tcPr>
            <w:tcW w:w="1480" w:type="dxa"/>
            <w:noWrap/>
            <w:hideMark/>
          </w:tcPr>
          <w:p w14:paraId="0D39969D" w14:textId="77777777" w:rsidR="00894D9E" w:rsidRPr="002D364A" w:rsidRDefault="00894D9E" w:rsidP="00894D9E">
            <w:pPr>
              <w:rPr>
                <w:b/>
                <w:bCs/>
              </w:rPr>
            </w:pPr>
            <w:r w:rsidRPr="002D364A">
              <w:rPr>
                <w:b/>
                <w:bCs/>
              </w:rPr>
              <w:t>High Drought</w:t>
            </w:r>
          </w:p>
        </w:tc>
        <w:tc>
          <w:tcPr>
            <w:tcW w:w="1155" w:type="dxa"/>
            <w:noWrap/>
            <w:vAlign w:val="bottom"/>
            <w:hideMark/>
          </w:tcPr>
          <w:p w14:paraId="7553AF38" w14:textId="57A410DE" w:rsidR="00894D9E" w:rsidRPr="002D364A" w:rsidRDefault="00894D9E" w:rsidP="00894D9E">
            <w:r>
              <w:rPr>
                <w:rFonts w:ascii="Calibri" w:hAnsi="Calibri" w:cs="Calibri"/>
                <w:color w:val="000000"/>
              </w:rPr>
              <w:t>1.03</w:t>
            </w:r>
          </w:p>
        </w:tc>
        <w:tc>
          <w:tcPr>
            <w:tcW w:w="1208" w:type="dxa"/>
            <w:noWrap/>
            <w:vAlign w:val="bottom"/>
            <w:hideMark/>
          </w:tcPr>
          <w:p w14:paraId="2675DB4D" w14:textId="4C280617" w:rsidR="00894D9E" w:rsidRPr="002D364A" w:rsidRDefault="00894D9E" w:rsidP="00894D9E">
            <w:r>
              <w:rPr>
                <w:rFonts w:ascii="Calibri" w:hAnsi="Calibri" w:cs="Calibri"/>
                <w:color w:val="000000"/>
              </w:rPr>
              <w:t>0.99</w:t>
            </w:r>
          </w:p>
        </w:tc>
        <w:tc>
          <w:tcPr>
            <w:tcW w:w="1208" w:type="dxa"/>
            <w:noWrap/>
            <w:vAlign w:val="bottom"/>
            <w:hideMark/>
          </w:tcPr>
          <w:p w14:paraId="126AD871" w14:textId="367E7A58" w:rsidR="00894D9E" w:rsidRPr="002D364A" w:rsidRDefault="00894D9E" w:rsidP="00894D9E">
            <w:r>
              <w:rPr>
                <w:rFonts w:ascii="Calibri" w:hAnsi="Calibri" w:cs="Calibri"/>
                <w:color w:val="000000"/>
              </w:rPr>
              <w:t>1.08</w:t>
            </w:r>
          </w:p>
        </w:tc>
      </w:tr>
      <w:tr w:rsidR="00894D9E" w:rsidRPr="002D364A" w14:paraId="07158831" w14:textId="77777777" w:rsidTr="001545DE">
        <w:trPr>
          <w:trHeight w:val="288"/>
        </w:trPr>
        <w:tc>
          <w:tcPr>
            <w:tcW w:w="1480" w:type="dxa"/>
            <w:noWrap/>
            <w:hideMark/>
          </w:tcPr>
          <w:p w14:paraId="596F28AC" w14:textId="77777777" w:rsidR="00894D9E" w:rsidRPr="002D364A" w:rsidRDefault="00894D9E" w:rsidP="00894D9E">
            <w:pPr>
              <w:rPr>
                <w:b/>
                <w:bCs/>
              </w:rPr>
            </w:pPr>
            <w:r w:rsidRPr="002D364A">
              <w:rPr>
                <w:b/>
                <w:bCs/>
              </w:rPr>
              <w:t>Wet Site</w:t>
            </w:r>
          </w:p>
        </w:tc>
        <w:tc>
          <w:tcPr>
            <w:tcW w:w="1155" w:type="dxa"/>
            <w:noWrap/>
            <w:vAlign w:val="bottom"/>
            <w:hideMark/>
          </w:tcPr>
          <w:p w14:paraId="1878324B" w14:textId="2D286194" w:rsidR="00894D9E" w:rsidRPr="002D364A" w:rsidRDefault="00894D9E" w:rsidP="00894D9E">
            <w:r>
              <w:rPr>
                <w:rFonts w:ascii="Calibri" w:hAnsi="Calibri" w:cs="Calibri"/>
                <w:color w:val="000000"/>
              </w:rPr>
              <w:t>1.05</w:t>
            </w:r>
          </w:p>
        </w:tc>
        <w:tc>
          <w:tcPr>
            <w:tcW w:w="1208" w:type="dxa"/>
            <w:noWrap/>
            <w:vAlign w:val="bottom"/>
            <w:hideMark/>
          </w:tcPr>
          <w:p w14:paraId="562E189F" w14:textId="01343BEB" w:rsidR="00894D9E" w:rsidRPr="002D364A" w:rsidRDefault="00894D9E" w:rsidP="00894D9E">
            <w:r>
              <w:rPr>
                <w:rFonts w:ascii="Calibri" w:hAnsi="Calibri" w:cs="Calibri"/>
                <w:color w:val="000000"/>
              </w:rPr>
              <w:t>1.02</w:t>
            </w:r>
          </w:p>
        </w:tc>
        <w:tc>
          <w:tcPr>
            <w:tcW w:w="1208" w:type="dxa"/>
            <w:noWrap/>
            <w:vAlign w:val="bottom"/>
            <w:hideMark/>
          </w:tcPr>
          <w:p w14:paraId="41738080" w14:textId="4BEB4EFB" w:rsidR="00894D9E" w:rsidRPr="002D364A" w:rsidRDefault="00894D9E" w:rsidP="00894D9E">
            <w:r>
              <w:rPr>
                <w:rFonts w:ascii="Calibri" w:hAnsi="Calibri" w:cs="Calibri"/>
                <w:color w:val="000000"/>
              </w:rPr>
              <w:t>1.08</w:t>
            </w:r>
          </w:p>
        </w:tc>
      </w:tr>
      <w:tr w:rsidR="00F30BF0" w:rsidRPr="002D364A" w14:paraId="6DC08BBB" w14:textId="77777777" w:rsidTr="001545DE">
        <w:trPr>
          <w:trHeight w:val="288"/>
        </w:trPr>
        <w:tc>
          <w:tcPr>
            <w:tcW w:w="1480" w:type="dxa"/>
            <w:noWrap/>
            <w:hideMark/>
          </w:tcPr>
          <w:p w14:paraId="60168389" w14:textId="77777777" w:rsidR="00F30BF0" w:rsidRPr="002D364A" w:rsidRDefault="00F30BF0" w:rsidP="00F30BF0">
            <w:pPr>
              <w:rPr>
                <w:b/>
                <w:bCs/>
              </w:rPr>
            </w:pPr>
            <w:r w:rsidRPr="002D364A">
              <w:rPr>
                <w:b/>
                <w:bCs/>
              </w:rPr>
              <w:t>Dry Site</w:t>
            </w:r>
          </w:p>
        </w:tc>
        <w:tc>
          <w:tcPr>
            <w:tcW w:w="1155" w:type="dxa"/>
            <w:noWrap/>
            <w:vAlign w:val="bottom"/>
            <w:hideMark/>
          </w:tcPr>
          <w:p w14:paraId="5AC10066" w14:textId="3CACB9F8" w:rsidR="00F30BF0" w:rsidRPr="002D364A" w:rsidRDefault="00F30BF0" w:rsidP="00F30BF0">
            <w:r>
              <w:rPr>
                <w:rFonts w:ascii="Calibri" w:hAnsi="Calibri" w:cs="Calibri"/>
                <w:color w:val="000000"/>
              </w:rPr>
              <w:t>1.14</w:t>
            </w:r>
          </w:p>
        </w:tc>
        <w:tc>
          <w:tcPr>
            <w:tcW w:w="1208" w:type="dxa"/>
            <w:noWrap/>
            <w:vAlign w:val="bottom"/>
            <w:hideMark/>
          </w:tcPr>
          <w:p w14:paraId="39393CE5" w14:textId="19338CA9" w:rsidR="00F30BF0" w:rsidRPr="002D364A" w:rsidRDefault="00F30BF0" w:rsidP="00F30BF0">
            <w:r>
              <w:rPr>
                <w:rFonts w:ascii="Calibri" w:hAnsi="Calibri" w:cs="Calibri"/>
                <w:color w:val="000000"/>
              </w:rPr>
              <w:t>1.02</w:t>
            </w:r>
          </w:p>
        </w:tc>
        <w:tc>
          <w:tcPr>
            <w:tcW w:w="1208" w:type="dxa"/>
            <w:noWrap/>
            <w:vAlign w:val="bottom"/>
            <w:hideMark/>
          </w:tcPr>
          <w:p w14:paraId="63E1EFFC" w14:textId="6B8E95F6" w:rsidR="00F30BF0" w:rsidRPr="002D364A" w:rsidRDefault="00F30BF0" w:rsidP="00F30BF0">
            <w:pPr>
              <w:keepNext/>
            </w:pPr>
            <w:r>
              <w:rPr>
                <w:rFonts w:ascii="Calibri" w:hAnsi="Calibri" w:cs="Calibri"/>
                <w:color w:val="000000"/>
              </w:rPr>
              <w:t>1.38</w:t>
            </w:r>
          </w:p>
        </w:tc>
      </w:tr>
    </w:tbl>
    <w:p w14:paraId="43C96B16" w14:textId="349B66E5" w:rsidR="002D364A" w:rsidRPr="002D364A" w:rsidRDefault="007E7CA6" w:rsidP="002D364A">
      <w:pPr>
        <w:pStyle w:val="Caption"/>
      </w:pPr>
      <w:bookmarkStart w:id="97" w:name="_Ref94619410"/>
      <w:r>
        <w:t xml:space="preserve">Supplementary </w:t>
      </w:r>
      <w:r w:rsidR="00245CBF">
        <w:t>Table</w:t>
      </w:r>
      <w:r w:rsidR="002D364A">
        <w:t xml:space="preserve"> </w:t>
      </w:r>
      <w:bookmarkEnd w:id="97"/>
      <w:r>
        <w:t>1</w:t>
      </w:r>
      <w:r w:rsidR="002D364A">
        <w:t>: Summary of posterior distributions of population asymptotic growth rate (</w:t>
      </w:r>
      <m:oMath>
        <m:r>
          <w:rPr>
            <w:rFonts w:ascii="Cambria Math" w:hAnsi="Cambria Math" w:cstheme="minorHAnsi"/>
          </w:rPr>
          <m:t>λ</m:t>
        </m:r>
      </m:oMath>
      <w:r w:rsidR="002D364A">
        <w:t>) under a variety of idealized scenarios. In each scenario, the relevant stressor is either present (for fire and WPBR), elevated (</w:t>
      </w:r>
      <w:r w:rsidR="00B05195">
        <w:t>BA, drought, and site dryness), or depressed (BA, drought, and site dryness), while other stressors are held at absent (fire and WPBR) or their mean value (BA, drought, and site dryness).</w:t>
      </w:r>
      <w:r w:rsidR="00DD37D1" w:rsidRPr="00DD37D1">
        <w:rPr>
          <w:rFonts w:ascii="Cambria Math" w:hAnsi="Cambria Math" w:cstheme="minorHAnsi"/>
          <w:i w:val="0"/>
        </w:rPr>
        <w:t xml:space="preserve"> </w:t>
      </w:r>
      <m:oMath>
        <m:r>
          <w:rPr>
            <w:rFonts w:ascii="Cambria Math" w:hAnsi="Cambria Math" w:cstheme="minorHAnsi"/>
          </w:rPr>
          <m:t>λ</m:t>
        </m:r>
      </m:oMath>
      <w:r w:rsidR="00DD37D1">
        <w:rPr>
          <w:rFonts w:cstheme="minorHAnsi"/>
        </w:rPr>
        <w:t xml:space="preserve"> </w:t>
      </w:r>
      <w:r w:rsidR="00B05195">
        <w:t xml:space="preserve">was estimated for each posterior sample by constructing a transition matrix using the posterior sample parameters and the vital rate as described in the </w:t>
      </w:r>
      <w:proofErr w:type="gramStart"/>
      <w:r w:rsidR="00B05195">
        <w:t>methods, and</w:t>
      </w:r>
      <w:proofErr w:type="gramEnd"/>
      <w:r w:rsidR="00B05195">
        <w:t xml:space="preserve"> taking the dominant eigenvalue of the transition matrix.</w:t>
      </w:r>
    </w:p>
    <w:sectPr w:rsidR="002D364A" w:rsidRPr="002D364A">
      <w:headerReference w:type="default" r:id="rId3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niel Foster" w:date="2022-02-15T12:20:00Z" w:initials="DF">
    <w:p w14:paraId="636E9554" w14:textId="01EABD3E" w:rsidR="000B15A1" w:rsidRDefault="000B15A1">
      <w:pPr>
        <w:pStyle w:val="CommentText"/>
      </w:pPr>
      <w:r>
        <w:rPr>
          <w:rStyle w:val="CommentReference"/>
        </w:rPr>
        <w:annotationRef/>
      </w:r>
      <w:r>
        <w:t>JJB: need to better make the case that PILA is in trouble; fig 7  / FSI / spp comparison useful</w:t>
      </w:r>
    </w:p>
  </w:comment>
  <w:comment w:id="1" w:author="j battles" w:date="2022-02-14T04:48:00Z" w:initials="jjb">
    <w:p w14:paraId="7FE583B2" w14:textId="77777777" w:rsidR="00A95BB0" w:rsidRDefault="00A95BB0" w:rsidP="00EA5F23">
      <w:pPr>
        <w:pStyle w:val="CommentText"/>
      </w:pPr>
      <w:r>
        <w:rPr>
          <w:rStyle w:val="CommentReference"/>
        </w:rPr>
        <w:annotationRef/>
      </w:r>
      <w:r>
        <w:t xml:space="preserve">Try to start with a wider context. Sugar pine is an example of what process exactly? </w:t>
      </w:r>
    </w:p>
  </w:comment>
  <w:comment w:id="2" w:author="j battles" w:date="2022-02-14T04:48:00Z" w:initials="jjb">
    <w:p w14:paraId="7D74136D" w14:textId="77777777" w:rsidR="00D070A9" w:rsidRDefault="00D070A9" w:rsidP="00D070A9">
      <w:pPr>
        <w:pStyle w:val="CommentText"/>
      </w:pPr>
      <w:r>
        <w:rPr>
          <w:rStyle w:val="CommentReference"/>
        </w:rPr>
        <w:annotationRef/>
      </w:r>
      <w:r>
        <w:t xml:space="preserve">Lead with this idea. </w:t>
      </w:r>
    </w:p>
  </w:comment>
  <w:comment w:id="3" w:author="Daniel Foster" w:date="2022-02-15T11:53:00Z" w:initials="DF">
    <w:p w14:paraId="1887F201" w14:textId="4E2295B8" w:rsidR="00105668" w:rsidRDefault="00105668">
      <w:pPr>
        <w:pStyle w:val="CommentText"/>
      </w:pPr>
      <w:r>
        <w:rPr>
          <w:rStyle w:val="CommentReference"/>
        </w:rPr>
        <w:annotationRef/>
      </w:r>
      <w:r>
        <w:t>SS: break into 2 sents</w:t>
      </w:r>
    </w:p>
  </w:comment>
  <w:comment w:id="4" w:author="j battles" w:date="2022-02-14T04:47:00Z" w:initials="jjb">
    <w:p w14:paraId="1E38F6F8" w14:textId="22FA3063" w:rsidR="00A95BB0" w:rsidRDefault="00A95BB0" w:rsidP="003F5D21">
      <w:pPr>
        <w:pStyle w:val="CommentText"/>
      </w:pPr>
      <w:r>
        <w:rPr>
          <w:rStyle w:val="CommentReference"/>
        </w:rPr>
        <w:annotationRef/>
      </w:r>
      <w:r>
        <w:t xml:space="preserve">Forestry term; heart of its range? </w:t>
      </w:r>
    </w:p>
  </w:comment>
  <w:comment w:id="5" w:author="Daniel Foster" w:date="2022-02-15T12:23:00Z" w:initials="DF">
    <w:p w14:paraId="29B2D88F" w14:textId="1F95337F" w:rsidR="002626E1" w:rsidRDefault="002626E1">
      <w:pPr>
        <w:pStyle w:val="CommentText"/>
      </w:pPr>
      <w:r>
        <w:rPr>
          <w:rStyle w:val="CommentReference"/>
        </w:rPr>
        <w:annotationRef/>
      </w:r>
      <w:r>
        <w:t>TS: provide example / more specifics about what this key role is</w:t>
      </w:r>
    </w:p>
  </w:comment>
  <w:comment w:id="6" w:author="Daniel Foster" w:date="2022-02-15T11:55:00Z" w:initials="DF">
    <w:p w14:paraId="5289D00C" w14:textId="3F6B9717" w:rsidR="00105668" w:rsidRDefault="00105668">
      <w:pPr>
        <w:pStyle w:val="CommentText"/>
      </w:pPr>
      <w:r>
        <w:rPr>
          <w:rStyle w:val="CommentReference"/>
        </w:rPr>
        <w:annotationRef/>
      </w:r>
      <w:r>
        <w:t>SS: need to set up the 1</w:t>
      </w:r>
      <w:r w:rsidRPr="00105668">
        <w:rPr>
          <w:vertAlign w:val="superscript"/>
        </w:rPr>
        <w:t>st</w:t>
      </w:r>
      <w:r>
        <w:t xml:space="preserve"> 2</w:t>
      </w:r>
      <w:r w:rsidRPr="00105668">
        <w:rPr>
          <w:vertAlign w:val="superscript"/>
        </w:rPr>
        <w:t>nd</w:t>
      </w:r>
      <w:r>
        <w:t xml:space="preserve"> 3</w:t>
      </w:r>
      <w:r w:rsidRPr="00105668">
        <w:rPr>
          <w:vertAlign w:val="superscript"/>
        </w:rPr>
        <w:t>rd</w:t>
      </w:r>
      <w:r>
        <w:t xml:space="preserve"> by describing the things I’m gonna list</w:t>
      </w:r>
    </w:p>
  </w:comment>
  <w:comment w:id="7" w:author="Daniel Foster" w:date="2022-02-15T12:25:00Z" w:initials="DF">
    <w:p w14:paraId="1740E1C3" w14:textId="715FE01A" w:rsidR="002626E1" w:rsidRDefault="002626E1">
      <w:pPr>
        <w:pStyle w:val="CommentText"/>
      </w:pPr>
      <w:r>
        <w:rPr>
          <w:rStyle w:val="CommentReference"/>
        </w:rPr>
        <w:annotationRef/>
      </w:r>
      <w:r>
        <w:t>Does this fungal pathogen also interact with the stressor of a warming climate? You mention the interactions between fire regime X climate change and forest structure X other stressors- I’m curious if drought stress makes these trees more vulnerable to WPBR (similar to drought’s exacerbation of bark beetle impacts)</w:t>
      </w:r>
    </w:p>
  </w:comment>
  <w:comment w:id="8" w:author="j battles" w:date="2022-02-14T04:52:00Z" w:initials="jjb">
    <w:p w14:paraId="1DA08E0E" w14:textId="77777777" w:rsidR="00A95BB0" w:rsidRDefault="00A95BB0" w:rsidP="00897BB4">
      <w:pPr>
        <w:pStyle w:val="CommentText"/>
      </w:pPr>
      <w:r>
        <w:rPr>
          <w:rStyle w:val="CommentReference"/>
        </w:rPr>
        <w:annotationRef/>
      </w:r>
      <w:r>
        <w:t xml:space="preserve">Relevance? </w:t>
      </w:r>
    </w:p>
  </w:comment>
  <w:comment w:id="9" w:author="j battles" w:date="2022-02-14T04:54:00Z" w:initials="jjb">
    <w:p w14:paraId="18B30F1A" w14:textId="77777777" w:rsidR="00A95BB0" w:rsidRDefault="00A95BB0" w:rsidP="00E24FC6">
      <w:pPr>
        <w:pStyle w:val="CommentText"/>
      </w:pPr>
      <w:r>
        <w:rPr>
          <w:rStyle w:val="CommentReference"/>
        </w:rPr>
        <w:annotationRef/>
      </w:r>
      <w:r>
        <w:t>Seems like this driver is just a consequence of the fire regime change</w:t>
      </w:r>
    </w:p>
  </w:comment>
  <w:comment w:id="10" w:author="Daniel Foster" w:date="2022-02-15T12:02:00Z" w:initials="DF">
    <w:p w14:paraId="59E7DADC" w14:textId="1B31BD74" w:rsidR="00105668" w:rsidRDefault="00105668">
      <w:pPr>
        <w:pStyle w:val="CommentText"/>
      </w:pPr>
      <w:r>
        <w:rPr>
          <w:rStyle w:val="CommentReference"/>
        </w:rPr>
        <w:annotationRef/>
      </w:r>
      <w:r>
        <w:t>SS: cite North 2021 (not sure which one? Pyrosilv?)</w:t>
      </w:r>
    </w:p>
  </w:comment>
  <w:comment w:id="11" w:author="Daniel Foster" w:date="2022-05-13T12:03:00Z" w:initials="DF">
    <w:p w14:paraId="7E316F93" w14:textId="77777777" w:rsidR="002F78E4" w:rsidRDefault="002F78E4" w:rsidP="00AD7BB1">
      <w:pPr>
        <w:pStyle w:val="CommentText"/>
      </w:pPr>
      <w:r>
        <w:rPr>
          <w:rStyle w:val="CommentReference"/>
        </w:rPr>
        <w:annotationRef/>
      </w:r>
      <w:r>
        <w:t>Cite the SDI paper</w:t>
      </w:r>
    </w:p>
  </w:comment>
  <w:comment w:id="12" w:author="j battles" w:date="2022-02-14T05:10:00Z" w:initials="jjb">
    <w:p w14:paraId="7BF5FE4C" w14:textId="499265C5" w:rsidR="00BD0EC9" w:rsidRDefault="00BD0EC9">
      <w:pPr>
        <w:pStyle w:val="CommentText"/>
      </w:pPr>
      <w:r>
        <w:rPr>
          <w:rStyle w:val="CommentReference"/>
        </w:rPr>
        <w:annotationRef/>
      </w:r>
      <w:r>
        <w:t xml:space="preserve">Joan's work is relevant here. </w:t>
      </w:r>
    </w:p>
    <w:p w14:paraId="27299236" w14:textId="77777777" w:rsidR="00BD0EC9" w:rsidRDefault="00BD0EC9" w:rsidP="008532C6">
      <w:pPr>
        <w:pStyle w:val="CommentText"/>
      </w:pPr>
      <w:r>
        <w:t xml:space="preserve">Dudney, J., Willing, C.E., Das, A.J., Latimer, A.M., Nesmith, J.C. and Battles, J.J., 2021. Nonlinear shifts in infectious rust disease due to climate change. </w:t>
      </w:r>
      <w:r>
        <w:rPr>
          <w:i/>
          <w:iCs/>
        </w:rPr>
        <w:t xml:space="preserve">Nature communications, 12(1), pp.1-13. </w:t>
      </w:r>
    </w:p>
  </w:comment>
  <w:comment w:id="13" w:author="Daniel Foster" w:date="2022-02-15T12:02:00Z" w:initials="DF">
    <w:p w14:paraId="060D81E0" w14:textId="5EB37470" w:rsidR="007108F6" w:rsidRDefault="007108F6">
      <w:pPr>
        <w:pStyle w:val="CommentText"/>
      </w:pPr>
      <w:r>
        <w:rPr>
          <w:rStyle w:val="CommentReference"/>
        </w:rPr>
        <w:annotationRef/>
      </w:r>
      <w:r>
        <w:t xml:space="preserve">SS: </w:t>
      </w:r>
      <w:r w:rsidRPr="00626734">
        <w:t>Stephens, S.L., J.J. Moghaddas, C. Ediminster, C.E. Fiedler, S. Hasse, M.Harrington, J.E. Keeley, J.D. McIver, K. Metlen, C.N. Skinner, and A.Youngblood. 2009. Fire treatment effects on vegetation structure, fuels, and potential fire severity in western U.S. forests.   Ecological Applications 19: 305-320.</w:t>
      </w:r>
    </w:p>
  </w:comment>
  <w:comment w:id="14" w:author="Daniel Foster" w:date="2022-02-15T12:26:00Z" w:initials="DF">
    <w:p w14:paraId="2A6403CB" w14:textId="26F3D144" w:rsidR="002626E1" w:rsidRDefault="002626E1">
      <w:pPr>
        <w:pStyle w:val="CommentText"/>
      </w:pPr>
      <w:r>
        <w:rPr>
          <w:rStyle w:val="CommentReference"/>
        </w:rPr>
        <w:annotationRef/>
      </w:r>
      <w:r>
        <w:t>TS: In terms of management, what is the justification to approach conservation at the species level instead of approaching it as an ecosystem type, i.e. status/outlook of mixed conifer forest type rather than just sugar pine? Might be beyond scope of paper, but it was a question that naturally arose for me when reading the intro.</w:t>
      </w:r>
    </w:p>
  </w:comment>
  <w:comment w:id="15" w:author="Daniel Foster" w:date="2022-02-15T12:18:00Z" w:initials="DF">
    <w:p w14:paraId="6866659D" w14:textId="202FF684" w:rsidR="000B15A1" w:rsidRDefault="000B15A1">
      <w:pPr>
        <w:pStyle w:val="CommentText"/>
      </w:pPr>
      <w:r>
        <w:rPr>
          <w:rStyle w:val="CommentReference"/>
        </w:rPr>
        <w:annotationRef/>
      </w:r>
      <w:r>
        <w:t>JJB: make temporal window clear</w:t>
      </w:r>
    </w:p>
  </w:comment>
  <w:comment w:id="16" w:author="Daniel Foster" w:date="2022-02-15T12:18:00Z" w:initials="DF">
    <w:p w14:paraId="21E219BD" w14:textId="07AA53D9" w:rsidR="000B15A1" w:rsidRDefault="000B15A1">
      <w:pPr>
        <w:pStyle w:val="CommentText"/>
      </w:pPr>
      <w:r>
        <w:rPr>
          <w:rStyle w:val="CommentReference"/>
        </w:rPr>
        <w:annotationRef/>
      </w:r>
      <w:r>
        <w:t>Make sure to make special fecundity window clear</w:t>
      </w:r>
    </w:p>
  </w:comment>
  <w:comment w:id="17" w:author="Daniel Foster" w:date="2022-02-15T12:18:00Z" w:initials="DF">
    <w:p w14:paraId="4AB51EEC" w14:textId="45F87322" w:rsidR="000B15A1" w:rsidRDefault="000B15A1">
      <w:pPr>
        <w:pStyle w:val="CommentText"/>
      </w:pPr>
      <w:r>
        <w:rPr>
          <w:rStyle w:val="CommentReference"/>
        </w:rPr>
        <w:annotationRef/>
      </w:r>
      <w:r>
        <w:t>JJB: document the interval distributrion, # of samples (# of samples in each exp var?), etc. more info about explanatory data</w:t>
      </w:r>
    </w:p>
  </w:comment>
  <w:comment w:id="18" w:author="Daniel Foster" w:date="2022-05-16T11:33:00Z" w:initials="DF">
    <w:p w14:paraId="35ABCFF4" w14:textId="77777777" w:rsidR="00BD15C5" w:rsidRDefault="00BD15C5">
      <w:pPr>
        <w:pStyle w:val="CommentText"/>
      </w:pPr>
      <w:r>
        <w:rPr>
          <w:rStyle w:val="CommentReference"/>
        </w:rPr>
        <w:annotationRef/>
      </w:r>
      <w:r>
        <w:t xml:space="preserve">Interval distribution: </w:t>
      </w:r>
    </w:p>
    <w:p w14:paraId="1B558368" w14:textId="77777777" w:rsidR="00BD15C5" w:rsidRDefault="00BD15C5">
      <w:pPr>
        <w:pStyle w:val="CommentText"/>
      </w:pPr>
      <w:r>
        <w:t>- min: 7.9</w:t>
      </w:r>
    </w:p>
    <w:p w14:paraId="3A9EF65D" w14:textId="77777777" w:rsidR="00BD15C5" w:rsidRDefault="00BD15C5">
      <w:pPr>
        <w:pStyle w:val="CommentText"/>
      </w:pPr>
      <w:r>
        <w:t>- 5%: 9.5</w:t>
      </w:r>
    </w:p>
    <w:p w14:paraId="7F5E0F7E" w14:textId="77777777" w:rsidR="00BD15C5" w:rsidRDefault="00BD15C5">
      <w:pPr>
        <w:pStyle w:val="CommentText"/>
      </w:pPr>
      <w:r>
        <w:t>- 50%: 10</w:t>
      </w:r>
    </w:p>
    <w:p w14:paraId="56856070" w14:textId="77777777" w:rsidR="00BD15C5" w:rsidRDefault="00BD15C5">
      <w:pPr>
        <w:pStyle w:val="CommentText"/>
      </w:pPr>
      <w:r>
        <w:t>- Mean: 10</w:t>
      </w:r>
    </w:p>
    <w:p w14:paraId="55D198B4" w14:textId="77777777" w:rsidR="00BD15C5" w:rsidRDefault="00BD15C5">
      <w:pPr>
        <w:pStyle w:val="CommentText"/>
      </w:pPr>
      <w:r>
        <w:t>- 95%: 10.4</w:t>
      </w:r>
    </w:p>
    <w:p w14:paraId="64DC206F" w14:textId="77777777" w:rsidR="00BD15C5" w:rsidRDefault="00BD15C5" w:rsidP="00052197">
      <w:pPr>
        <w:pStyle w:val="CommentText"/>
      </w:pPr>
      <w:r>
        <w:t>- max: 12.3</w:t>
      </w:r>
    </w:p>
  </w:comment>
  <w:comment w:id="19" w:author="Daniel Foster" w:date="2022-05-24T14:04:00Z" w:initials="DF">
    <w:p w14:paraId="011023D5" w14:textId="77777777" w:rsidR="009E5157" w:rsidRDefault="009E5157" w:rsidP="006D3D82">
      <w:pPr>
        <w:pStyle w:val="CommentText"/>
      </w:pPr>
      <w:r>
        <w:rPr>
          <w:rStyle w:val="CommentReference"/>
        </w:rPr>
        <w:annotationRef/>
      </w:r>
      <w:r>
        <w:t>Make FIA version number clear</w:t>
      </w:r>
    </w:p>
  </w:comment>
  <w:comment w:id="20" w:author="Daniel Foster" w:date="2022-05-24T14:04:00Z" w:initials="DF">
    <w:p w14:paraId="0674A2C4" w14:textId="77777777" w:rsidR="009E5157" w:rsidRDefault="009E5157" w:rsidP="00087427">
      <w:pPr>
        <w:pStyle w:val="CommentText"/>
      </w:pPr>
      <w:r>
        <w:rPr>
          <w:rStyle w:val="CommentReference"/>
        </w:rPr>
        <w:annotationRef/>
      </w:r>
      <w:r>
        <w:t>Make sure I clarify that I included harvests as mortalities</w:t>
      </w:r>
    </w:p>
  </w:comment>
  <w:comment w:id="21" w:author="j battles" w:date="2022-02-14T05:28:00Z" w:initials="jjb">
    <w:p w14:paraId="7920D9D5" w14:textId="4394E842" w:rsidR="001854A2" w:rsidRDefault="001854A2" w:rsidP="008303C5">
      <w:pPr>
        <w:pStyle w:val="CommentText"/>
      </w:pPr>
      <w:r>
        <w:rPr>
          <w:rStyle w:val="CommentReference"/>
        </w:rPr>
        <w:annotationRef/>
      </w:r>
      <w:r>
        <w:t>Relevance?</w:t>
      </w:r>
    </w:p>
  </w:comment>
  <w:comment w:id="22" w:author="j battles" w:date="2022-02-14T05:29:00Z" w:initials="jjb">
    <w:p w14:paraId="28858193" w14:textId="77777777" w:rsidR="001854A2" w:rsidRDefault="001854A2" w:rsidP="00687573">
      <w:pPr>
        <w:pStyle w:val="CommentText"/>
      </w:pPr>
      <w:r>
        <w:rPr>
          <w:rStyle w:val="CommentReference"/>
        </w:rPr>
        <w:annotationRef/>
      </w:r>
      <w:r>
        <w:t xml:space="preserve">Difference? </w:t>
      </w:r>
    </w:p>
  </w:comment>
  <w:comment w:id="23" w:author="Daniel Foster" w:date="2022-02-15T12:28:00Z" w:initials="DF">
    <w:p w14:paraId="54BCD148" w14:textId="09EDD86D" w:rsidR="002626E1" w:rsidRDefault="002626E1">
      <w:pPr>
        <w:pStyle w:val="CommentText"/>
      </w:pPr>
      <w:r>
        <w:rPr>
          <w:rStyle w:val="CommentReference"/>
        </w:rPr>
        <w:annotationRef/>
      </w:r>
      <w:r>
        <w:t>TS: define this term at first introduction</w:t>
      </w:r>
    </w:p>
  </w:comment>
  <w:comment w:id="24" w:author="j battles" w:date="2022-02-14T05:39:00Z" w:initials="jjb">
    <w:p w14:paraId="31782CEE" w14:textId="77777777" w:rsidR="00565CA7" w:rsidRDefault="00565CA7" w:rsidP="00CA62A1">
      <w:pPr>
        <w:pStyle w:val="CommentText"/>
      </w:pPr>
      <w:r>
        <w:rPr>
          <w:rStyle w:val="CommentReference"/>
        </w:rPr>
        <w:annotationRef/>
      </w:r>
      <w:r>
        <w:t>Need to explain</w:t>
      </w:r>
    </w:p>
  </w:comment>
  <w:comment w:id="25" w:author="j battles" w:date="2022-02-14T06:08:00Z" w:initials="jjb">
    <w:p w14:paraId="484A4806" w14:textId="77777777" w:rsidR="00FE1095" w:rsidRDefault="00FE1095" w:rsidP="00D37C5E">
      <w:pPr>
        <w:pStyle w:val="CommentText"/>
      </w:pPr>
      <w:r>
        <w:rPr>
          <w:rStyle w:val="CommentReference"/>
        </w:rPr>
        <w:annotationRef/>
      </w:r>
      <w:r>
        <w:t xml:space="preserve">This section has the details but I think most should go into a supplement. What is relevant is the underlying logic and explanation.  </w:t>
      </w:r>
    </w:p>
  </w:comment>
  <w:comment w:id="26" w:author="Daniel Foster" w:date="2022-05-31T14:43:00Z" w:initials="DF">
    <w:p w14:paraId="185E502C" w14:textId="77777777" w:rsidR="00545F95" w:rsidRDefault="00545F95" w:rsidP="004E4139">
      <w:pPr>
        <w:pStyle w:val="CommentText"/>
      </w:pPr>
      <w:r>
        <w:rPr>
          <w:rStyle w:val="CommentReference"/>
        </w:rPr>
        <w:annotationRef/>
      </w:r>
      <w:r>
        <w:t>Perry thought I should make this section more self-contained, not less</w:t>
      </w:r>
    </w:p>
  </w:comment>
  <w:comment w:id="27" w:author="Daniel Foster" w:date="2022-04-14T16:45:00Z" w:initials="DF">
    <w:p w14:paraId="4EA188E8" w14:textId="77777777" w:rsidR="0090133B" w:rsidRDefault="0090133B" w:rsidP="0090133B">
      <w:pPr>
        <w:pStyle w:val="CommentText"/>
      </w:pPr>
      <w:r>
        <w:rPr>
          <w:rStyle w:val="CommentReference"/>
        </w:rPr>
        <w:annotationRef/>
      </w:r>
      <w:r>
        <w:t>PdV: Yes, this was confusing as noted in my comments above.  Perhaps at the outset make clear what the connections are among the sub models, especially the last one which sounded separate the way it was introduced at first, as I read it anyway.</w:t>
      </w:r>
    </w:p>
  </w:comment>
  <w:comment w:id="30" w:author="j battles" w:date="2022-02-14T08:10:00Z" w:initials="jjb">
    <w:p w14:paraId="43179952" w14:textId="26EEA1C0" w:rsidR="00A22F02" w:rsidRDefault="00A22F02" w:rsidP="00461425">
      <w:pPr>
        <w:pStyle w:val="CommentText"/>
      </w:pPr>
      <w:r>
        <w:rPr>
          <w:rStyle w:val="CommentReference"/>
        </w:rPr>
        <w:annotationRef/>
      </w:r>
      <w:r>
        <w:t xml:space="preserve">So if we were specifically interested in ecoregion responses, would we make it a fixed effect in the model? </w:t>
      </w:r>
    </w:p>
  </w:comment>
  <w:comment w:id="33" w:author="j battles" w:date="2022-02-14T05:48:00Z" w:initials="jjb">
    <w:p w14:paraId="4F850460" w14:textId="7B61C48A" w:rsidR="00DF0297" w:rsidRDefault="00DF0297" w:rsidP="00BC4D3D">
      <w:pPr>
        <w:pStyle w:val="CommentText"/>
      </w:pPr>
      <w:r>
        <w:rPr>
          <w:rStyle w:val="CommentReference"/>
        </w:rPr>
        <w:annotationRef/>
      </w:r>
      <w:r>
        <w:t xml:space="preserve">Introducing a necessary bias here, I think. You are truncating the low outliers (negative growth) but not the large outliers. </w:t>
      </w:r>
    </w:p>
  </w:comment>
  <w:comment w:id="34" w:author="Daniel Foster" w:date="2022-02-15T12:05:00Z" w:initials="DF">
    <w:p w14:paraId="023A6CC2" w14:textId="6DC54605" w:rsidR="007108F6" w:rsidRDefault="007108F6">
      <w:pPr>
        <w:pStyle w:val="CommentText"/>
      </w:pPr>
      <w:r>
        <w:rPr>
          <w:rStyle w:val="CommentReference"/>
        </w:rPr>
        <w:annotationRef/>
      </w:r>
      <w:r>
        <w:t>Reformat to be nicer inline</w:t>
      </w:r>
    </w:p>
  </w:comment>
  <w:comment w:id="35" w:author="Daniel Foster" w:date="2022-05-24T16:47:00Z" w:initials="DF">
    <w:p w14:paraId="65CB9711" w14:textId="77777777" w:rsidR="005D2253" w:rsidRDefault="005D2253" w:rsidP="008C5EA3">
      <w:pPr>
        <w:pStyle w:val="CommentText"/>
      </w:pPr>
      <w:r>
        <w:rPr>
          <w:rStyle w:val="CommentReference"/>
        </w:rPr>
        <w:annotationRef/>
      </w:r>
      <w:r>
        <w:t>Start here: it's really n'_i[1], the first element in a size distribution vector</w:t>
      </w:r>
    </w:p>
  </w:comment>
  <w:comment w:id="36" w:author="Daniel Foster" w:date="2022-04-14T16:38:00Z" w:initials="DF">
    <w:p w14:paraId="56583A44" w14:textId="77777777" w:rsidR="00DA5840" w:rsidRDefault="00DA5840">
      <w:pPr>
        <w:pStyle w:val="CommentText"/>
      </w:pPr>
      <w:r>
        <w:rPr>
          <w:rStyle w:val="CommentReference"/>
        </w:rPr>
        <w:annotationRef/>
      </w:r>
      <w:r>
        <w:t xml:space="preserve">PdV:A lot starts to get confusing here.  Your notation has l,t subscripts. You are replacing those with u,v for elements of an A_l,t matrix.  I see the sentence explaining that at the end of the paragraph, but the notation is still problematic because it is really A_{first index, second index}.  Choice of variable label for first index or second index should not change the meaning of the notation, ideally.  </w:t>
      </w:r>
    </w:p>
    <w:p w14:paraId="11C02769" w14:textId="77777777" w:rsidR="00DA5840" w:rsidRDefault="00DA5840">
      <w:pPr>
        <w:pStyle w:val="CommentText"/>
      </w:pPr>
    </w:p>
    <w:p w14:paraId="13B49F6B" w14:textId="77777777" w:rsidR="00DA5840" w:rsidRDefault="00DA5840">
      <w:pPr>
        <w:pStyle w:val="CommentText"/>
      </w:pPr>
      <w:r>
        <w:t xml:space="preserve">Also if I follow the g_u,1 is really g_u,v for v = 1, but v is not always 1, so I think this doesn’t work notation-wise for saying what I think you are trying to say, which I could be wrong about. Ditto for s1. </w:t>
      </w:r>
    </w:p>
    <w:p w14:paraId="13548F29" w14:textId="77777777" w:rsidR="00DA5840" w:rsidRDefault="00DA5840">
      <w:pPr>
        <w:pStyle w:val="CommentText"/>
      </w:pPr>
    </w:p>
    <w:p w14:paraId="2E04CFB8" w14:textId="77777777" w:rsidR="00DA5840" w:rsidRDefault="00DA5840">
      <w:pPr>
        <w:pStyle w:val="CommentText"/>
      </w:pPr>
      <w:r>
        <w:t>Also “from the smallest into the smallest two size classes” is hard for me to make sense of.</w:t>
      </w:r>
    </w:p>
    <w:p w14:paraId="09A185B0" w14:textId="77777777" w:rsidR="00DA5840" w:rsidRDefault="00DA5840">
      <w:pPr>
        <w:pStyle w:val="CommentText"/>
      </w:pPr>
    </w:p>
    <w:p w14:paraId="14925B20" w14:textId="77777777" w:rsidR="00DA5840" w:rsidRDefault="00DA5840">
      <w:pPr>
        <w:pStyle w:val="CommentText"/>
      </w:pPr>
      <w:r>
        <w:t>Also I wondering if the growth model here is parametrically linked to the growth model of larger individuals, or if it is toally separate.</w:t>
      </w:r>
    </w:p>
    <w:p w14:paraId="4DBE9837" w14:textId="77777777" w:rsidR="00DA5840" w:rsidRDefault="00DA5840">
      <w:pPr>
        <w:pStyle w:val="CommentText"/>
      </w:pPr>
    </w:p>
    <w:p w14:paraId="23E25BA9" w14:textId="77777777" w:rsidR="00DA5840" w:rsidRDefault="00DA5840">
      <w:pPr>
        <w:pStyle w:val="CommentText"/>
      </w:pPr>
      <w:r>
        <w:t>Also this is starting to seem like a lot to hope to estimate from two time points, but I could be wrong.</w:t>
      </w:r>
    </w:p>
    <w:p w14:paraId="3DE32887" w14:textId="77777777" w:rsidR="00DA5840" w:rsidRDefault="00DA5840">
      <w:pPr>
        <w:pStyle w:val="CommentText"/>
      </w:pPr>
    </w:p>
    <w:p w14:paraId="4E969D7B" w14:textId="77777777" w:rsidR="00DA5840" w:rsidRDefault="00DA5840">
      <w:pPr>
        <w:pStyle w:val="CommentText"/>
      </w:pPr>
      <w:r>
        <w:t>Summary: I put a lot of comments on this spot, but basically this part of the model I feel could benefit from clearer explanation.</w:t>
      </w:r>
    </w:p>
    <w:p w14:paraId="03245ABE" w14:textId="77777777" w:rsidR="00DA5840" w:rsidRDefault="00DA5840">
      <w:pPr>
        <w:pStyle w:val="CommentText"/>
      </w:pPr>
    </w:p>
    <w:p w14:paraId="24B9E372" w14:textId="77777777" w:rsidR="00DA5840" w:rsidRDefault="00DA5840">
      <w:pPr>
        <w:pStyle w:val="CommentText"/>
      </w:pPr>
      <w:r>
        <w:t>Also Equation 6 starts out of nowhere and “Where…” is not a sentence.</w:t>
      </w:r>
    </w:p>
    <w:p w14:paraId="0A575DA4" w14:textId="77777777" w:rsidR="00DA5840" w:rsidRDefault="00DA5840">
      <w:pPr>
        <w:pStyle w:val="CommentText"/>
      </w:pPr>
    </w:p>
    <w:p w14:paraId="54B02329" w14:textId="77777777" w:rsidR="00DA5840" w:rsidRDefault="00DA5840">
      <w:pPr>
        <w:pStyle w:val="CommentText"/>
      </w:pPr>
      <w:r>
        <w:t xml:space="preserve">Also I am confused about what is data vs latent state in equation 6.  I think all the elements of n_l,t are known (data), but do the smallest elements correspond to the c_l, t+1?  </w:t>
      </w:r>
    </w:p>
    <w:p w14:paraId="0441B9C9" w14:textId="77777777" w:rsidR="00DA5840" w:rsidRDefault="00DA5840">
      <w:pPr>
        <w:pStyle w:val="CommentText"/>
      </w:pPr>
    </w:p>
    <w:p w14:paraId="6880F7FC" w14:textId="77777777" w:rsidR="00DA5840" w:rsidRDefault="00DA5840" w:rsidP="007C579F">
      <w:pPr>
        <w:pStyle w:val="CommentText"/>
      </w:pPr>
      <w:r>
        <w:t>I know you refer readers to Shriver et al, and to some degree that’s fine, but I feel your write-up should be a notch or two higher on the self-contained scale.</w:t>
      </w:r>
    </w:p>
  </w:comment>
  <w:comment w:id="37" w:author="j battles" w:date="2022-02-14T06:06:00Z" w:initials="jjb">
    <w:p w14:paraId="01E2B449" w14:textId="36B65F94" w:rsidR="00FE1095" w:rsidRDefault="00FE1095" w:rsidP="00BF6BFE">
      <w:pPr>
        <w:pStyle w:val="CommentText"/>
      </w:pPr>
      <w:r>
        <w:rPr>
          <w:rStyle w:val="CommentReference"/>
        </w:rPr>
        <w:annotationRef/>
      </w:r>
      <w:r>
        <w:t>Can all size classes reproduce?</w:t>
      </w:r>
    </w:p>
  </w:comment>
  <w:comment w:id="39" w:author="j battles" w:date="2022-02-14T06:09:00Z" w:initials="jjb">
    <w:p w14:paraId="524881A6" w14:textId="77777777" w:rsidR="00FE1095" w:rsidRDefault="00FE1095" w:rsidP="000F5A37">
      <w:pPr>
        <w:pStyle w:val="CommentText"/>
      </w:pPr>
      <w:r>
        <w:rPr>
          <w:rStyle w:val="CommentReference"/>
        </w:rPr>
        <w:annotationRef/>
      </w:r>
      <w:r>
        <w:t xml:space="preserve">I am lost here in this sequence of equations. </w:t>
      </w:r>
    </w:p>
  </w:comment>
  <w:comment w:id="40" w:author="Daniel Foster" w:date="2022-04-14T16:39:00Z" w:initials="DF">
    <w:p w14:paraId="64B4D400" w14:textId="77777777" w:rsidR="00DA5840" w:rsidRDefault="00DA5840">
      <w:pPr>
        <w:pStyle w:val="CommentText"/>
      </w:pPr>
      <w:r>
        <w:rPr>
          <w:rStyle w:val="CommentReference"/>
        </w:rPr>
        <w:annotationRef/>
      </w:r>
      <w:r>
        <w:t>PdV: I recommend not starting a paragraph with an equation.  An equation can be thought of as part of a sentence, and then the “where” would be lower-case, to avoid having a sentence fragment (i.e., non-sentence).</w:t>
      </w:r>
    </w:p>
    <w:p w14:paraId="0836033B" w14:textId="77777777" w:rsidR="00DA5840" w:rsidRDefault="00DA5840">
      <w:pPr>
        <w:pStyle w:val="CommentText"/>
      </w:pPr>
    </w:p>
    <w:p w14:paraId="1B26B23F" w14:textId="77777777" w:rsidR="00DA5840" w:rsidRDefault="00DA5840">
      <w:pPr>
        <w:pStyle w:val="CommentText"/>
      </w:pPr>
      <w:r>
        <w:t>The equation has mu_l, but the paragraph refers to mu.  Are those the same?</w:t>
      </w:r>
    </w:p>
    <w:p w14:paraId="3690DD20" w14:textId="77777777" w:rsidR="00DA5840" w:rsidRDefault="00DA5840">
      <w:pPr>
        <w:pStyle w:val="CommentText"/>
      </w:pPr>
    </w:p>
    <w:p w14:paraId="6E7FDDFA" w14:textId="77777777" w:rsidR="00DA5840" w:rsidRDefault="00DA5840">
      <w:pPr>
        <w:pStyle w:val="CommentText"/>
      </w:pPr>
      <w:r>
        <w:t>Does this equation mean that equation 4 is also used for equation 7?  That feels confusing because equations 5-7 were introduced as a separate (I thought) IPM for recruitment, but maybe not really separate?  Are they “itself an integral projection model” or really part of a single model with the larger trees?</w:t>
      </w:r>
    </w:p>
    <w:p w14:paraId="3A73B95B" w14:textId="77777777" w:rsidR="00DA5840" w:rsidRDefault="00DA5840">
      <w:pPr>
        <w:pStyle w:val="CommentText"/>
      </w:pPr>
    </w:p>
    <w:p w14:paraId="049AA384" w14:textId="77777777" w:rsidR="00DA5840" w:rsidRDefault="00DA5840" w:rsidP="00686AA4">
      <w:pPr>
        <w:pStyle w:val="CommentText"/>
      </w:pPr>
      <w:r>
        <w:t>Can you state the interpretation of this equation?</w:t>
      </w:r>
    </w:p>
  </w:comment>
  <w:comment w:id="41" w:author="Daniel Foster" w:date="2022-02-15T12:06:00Z" w:initials="DF">
    <w:p w14:paraId="2F6B9171" w14:textId="3B7FAF0F" w:rsidR="007108F6" w:rsidRDefault="007108F6">
      <w:pPr>
        <w:pStyle w:val="CommentText"/>
      </w:pPr>
      <w:r>
        <w:rPr>
          <w:rStyle w:val="CommentReference"/>
        </w:rPr>
        <w:annotationRef/>
      </w:r>
      <w:r>
        <w:t>Add year</w:t>
      </w:r>
    </w:p>
  </w:comment>
  <w:comment w:id="42" w:author="Daniel Foster" w:date="2022-04-14T16:41:00Z" w:initials="DF">
    <w:p w14:paraId="0BB07E8F" w14:textId="77777777" w:rsidR="00DA5840" w:rsidRDefault="00DA5840" w:rsidP="00BB7264">
      <w:pPr>
        <w:pStyle w:val="CommentText"/>
      </w:pPr>
      <w:r>
        <w:rPr>
          <w:rStyle w:val="CommentReference"/>
        </w:rPr>
        <w:annotationRef/>
      </w:r>
      <w:r>
        <w:t>PdV: Is this described in the literature as a basis for determining that something can’t be estimated (what you’ve called non-identifiability?).  I often see people think that bad MCMC mixing means the model is bad, and that is incorrect reasoning.</w:t>
      </w:r>
    </w:p>
  </w:comment>
  <w:comment w:id="43" w:author="Daniel Foster" w:date="2022-04-14T16:43:00Z" w:initials="DF">
    <w:p w14:paraId="547F0D74" w14:textId="77777777" w:rsidR="00DA5840" w:rsidRDefault="00DA5840" w:rsidP="00611030">
      <w:pPr>
        <w:pStyle w:val="CommentText"/>
      </w:pPr>
      <w:r>
        <w:rPr>
          <w:rStyle w:val="CommentReference"/>
        </w:rPr>
        <w:annotationRef/>
      </w:r>
      <w:r>
        <w:t>PdV: I think in terms of IPM and stats methodology, the recruitment part of this endeavor is the hardest and perhaps most nebulous.  Separating fecundity from survival for untagged individuals that could be really entering each year in the entire 10-year interval seems like it can only be coarse and approximate.  Am I missing some intuition on why it should work?</w:t>
      </w:r>
    </w:p>
  </w:comment>
  <w:comment w:id="45" w:author="j battles" w:date="2022-02-14T06:54:00Z" w:initials="jjb">
    <w:p w14:paraId="5B58A15D" w14:textId="3E611DF8" w:rsidR="005A03F5" w:rsidRDefault="005A03F5" w:rsidP="002114DB">
      <w:pPr>
        <w:pStyle w:val="CommentText"/>
      </w:pPr>
      <w:r>
        <w:rPr>
          <w:rStyle w:val="CommentReference"/>
        </w:rPr>
        <w:annotationRef/>
      </w:r>
      <w:r>
        <w:t>Packages require citations I think</w:t>
      </w:r>
    </w:p>
  </w:comment>
  <w:comment w:id="46" w:author="Daniel Foster" w:date="2022-04-14T16:46:00Z" w:initials="DF">
    <w:p w14:paraId="28859AF8" w14:textId="77777777" w:rsidR="00907D59" w:rsidRDefault="00907D59" w:rsidP="009127D2">
      <w:pPr>
        <w:pStyle w:val="CommentText"/>
      </w:pPr>
      <w:r>
        <w:rPr>
          <w:rStyle w:val="CommentReference"/>
        </w:rPr>
        <w:annotationRef/>
      </w:r>
      <w:r>
        <w:t>PdV: Some would say it would be worth trying smaller bins and computing longer to check the sensitivity to bin width.  Depends on programmatically your code is set up whether that would be easy or hard to do.</w:t>
      </w:r>
    </w:p>
  </w:comment>
  <w:comment w:id="47" w:author="j battles" w:date="2022-02-14T06:55:00Z" w:initials="jjb">
    <w:p w14:paraId="57FF6C4B" w14:textId="2896D318" w:rsidR="005A03F5" w:rsidRDefault="005A03F5" w:rsidP="007F5BF6">
      <w:pPr>
        <w:pStyle w:val="CommentText"/>
      </w:pPr>
      <w:r>
        <w:rPr>
          <w:rStyle w:val="CommentReference"/>
        </w:rPr>
        <w:annotationRef/>
      </w:r>
      <w:r>
        <w:t>Seems like you are going halfway here. Either full description/citation or include in supplement.</w:t>
      </w:r>
    </w:p>
  </w:comment>
  <w:comment w:id="48" w:author="Daniel Foster" w:date="2022-02-15T12:22:00Z" w:initials="DF">
    <w:p w14:paraId="74072166" w14:textId="0F279BE8" w:rsidR="000B15A1" w:rsidRDefault="000B15A1">
      <w:pPr>
        <w:pStyle w:val="CommentText"/>
      </w:pPr>
      <w:r>
        <w:rPr>
          <w:rStyle w:val="CommentReference"/>
        </w:rPr>
        <w:annotationRef/>
      </w:r>
      <w:r>
        <w:t>JJB: need to define rhat</w:t>
      </w:r>
    </w:p>
  </w:comment>
  <w:comment w:id="49" w:author="j battles" w:date="2022-02-14T07:34:00Z" w:initials="jjb">
    <w:p w14:paraId="504CE0B5" w14:textId="6A8FE301" w:rsidR="00A128BA" w:rsidRDefault="00A128BA" w:rsidP="00751A10">
      <w:pPr>
        <w:pStyle w:val="CommentText"/>
      </w:pPr>
      <w:r>
        <w:rPr>
          <w:rStyle w:val="CommentReference"/>
        </w:rPr>
        <w:annotationRef/>
      </w:r>
      <w:r>
        <w:t>Info out of order</w:t>
      </w:r>
    </w:p>
  </w:comment>
  <w:comment w:id="50" w:author="j battles" w:date="2022-02-14T07:47:00Z" w:initials="jjb">
    <w:p w14:paraId="31D20EEB" w14:textId="77777777" w:rsidR="004C5044" w:rsidRDefault="004C5044" w:rsidP="00E97A29">
      <w:pPr>
        <w:pStyle w:val="CommentText"/>
      </w:pPr>
      <w:r>
        <w:rPr>
          <w:rStyle w:val="CommentReference"/>
        </w:rPr>
        <w:annotationRef/>
      </w:r>
      <w:r>
        <w:t>Word choice?</w:t>
      </w:r>
    </w:p>
  </w:comment>
  <w:comment w:id="51" w:author="Daniel Foster" w:date="2022-04-14T16:52:00Z" w:initials="DF">
    <w:p w14:paraId="4B388982" w14:textId="77777777" w:rsidR="006B7651" w:rsidRDefault="006B7651" w:rsidP="000D377C">
      <w:pPr>
        <w:pStyle w:val="CommentText"/>
      </w:pPr>
      <w:r>
        <w:rPr>
          <w:rStyle w:val="CommentReference"/>
        </w:rPr>
        <w:annotationRef/>
      </w:r>
      <w:r>
        <w:t>PdV: These are really well done.  See comment there.  Nice job on these!</w:t>
      </w:r>
    </w:p>
  </w:comment>
  <w:comment w:id="53" w:author="Daniel Foster" w:date="2022-04-14T17:02:00Z" w:initials="DF">
    <w:p w14:paraId="1076B911" w14:textId="77777777" w:rsidR="00B95CE0" w:rsidRDefault="00B95CE0" w:rsidP="009C530B">
      <w:pPr>
        <w:pStyle w:val="CommentText"/>
      </w:pPr>
      <w:r>
        <w:rPr>
          <w:rStyle w:val="CommentReference"/>
        </w:rPr>
        <w:annotationRef/>
      </w:r>
      <w:r>
        <w:t>PdV: See above comments about your A notation.  You could use A_u,v(c, d), for example.</w:t>
      </w:r>
    </w:p>
  </w:comment>
  <w:comment w:id="54" w:author="Daniel Foster" w:date="2022-04-14T17:02:00Z" w:initials="DF">
    <w:p w14:paraId="7F29A7A3" w14:textId="77777777" w:rsidR="00B95CE0" w:rsidRDefault="00B95CE0" w:rsidP="00E503F7">
      <w:pPr>
        <w:pStyle w:val="CommentText"/>
      </w:pPr>
      <w:r>
        <w:rPr>
          <w:rStyle w:val="CommentReference"/>
        </w:rPr>
        <w:annotationRef/>
      </w:r>
      <w:r>
        <w:t>asymptotic</w:t>
      </w:r>
    </w:p>
  </w:comment>
  <w:comment w:id="55" w:author="Daniel Foster" w:date="2022-04-14T17:01:00Z" w:initials="DF">
    <w:p w14:paraId="55ACDD77" w14:textId="7C111471" w:rsidR="00B95CE0" w:rsidRDefault="00B95CE0" w:rsidP="00F87982">
      <w:pPr>
        <w:pStyle w:val="CommentText"/>
      </w:pPr>
      <w:r>
        <w:rPr>
          <w:rStyle w:val="CommentReference"/>
        </w:rPr>
        <w:annotationRef/>
      </w:r>
      <w:r>
        <w:t>PdV: Paragraph break here.</w:t>
      </w:r>
    </w:p>
  </w:comment>
  <w:comment w:id="56" w:author="Daniel Foster" w:date="2022-02-15T12:19:00Z" w:initials="DF">
    <w:p w14:paraId="53C8D511" w14:textId="63B913CB" w:rsidR="000B15A1" w:rsidRDefault="000B15A1">
      <w:pPr>
        <w:pStyle w:val="CommentText"/>
      </w:pPr>
      <w:r>
        <w:rPr>
          <w:rStyle w:val="CommentReference"/>
        </w:rPr>
        <w:annotationRef/>
      </w:r>
      <w:r>
        <w:t>JJB: results are all in 10-year-interval-land, need to map them to annual values</w:t>
      </w:r>
    </w:p>
  </w:comment>
  <w:comment w:id="57" w:author="Daniel Foster" w:date="2022-02-15T12:20:00Z" w:initials="DF">
    <w:p w14:paraId="2B53ED64" w14:textId="336CC8AC" w:rsidR="000B15A1" w:rsidRDefault="000B15A1">
      <w:pPr>
        <w:pStyle w:val="CommentText"/>
      </w:pPr>
      <w:r>
        <w:rPr>
          <w:rStyle w:val="CommentReference"/>
        </w:rPr>
        <w:annotationRef/>
      </w:r>
      <w:r>
        <w:t>Jjb: easy way is to just provide more info about what a census interval is (distribution of intervals)</w:t>
      </w:r>
    </w:p>
  </w:comment>
  <w:comment w:id="58" w:author="Daniel Foster" w:date="2022-04-14T17:02:00Z" w:initials="DF">
    <w:p w14:paraId="711AC4A4" w14:textId="77777777" w:rsidR="00B95CE0" w:rsidRDefault="00B95CE0" w:rsidP="003A3D10">
      <w:pPr>
        <w:pStyle w:val="CommentText"/>
      </w:pPr>
      <w:r>
        <w:rPr>
          <w:rStyle w:val="CommentReference"/>
        </w:rPr>
        <w:annotationRef/>
      </w:r>
      <w:r>
        <w:t>See comments above: I don’t know what this all means very clearly.</w:t>
      </w:r>
    </w:p>
  </w:comment>
  <w:comment w:id="59" w:author="j battles" w:date="2022-02-14T07:50:00Z" w:initials="jjb">
    <w:p w14:paraId="14DD7EF8" w14:textId="2AF6B354" w:rsidR="004C5044" w:rsidRDefault="004C5044" w:rsidP="00EB16E5">
      <w:pPr>
        <w:pStyle w:val="CommentText"/>
      </w:pPr>
      <w:r>
        <w:rPr>
          <w:rStyle w:val="CommentReference"/>
        </w:rPr>
        <w:annotationRef/>
      </w:r>
      <w:r>
        <w:t>So validation is just a yes/no type response? How good is the model?</w:t>
      </w:r>
    </w:p>
  </w:comment>
  <w:comment w:id="60" w:author="j battles" w:date="2022-02-14T08:03:00Z" w:initials="jjb">
    <w:p w14:paraId="3C23C491" w14:textId="77777777" w:rsidR="00A22F02" w:rsidRDefault="001C02F2" w:rsidP="000F1741">
      <w:pPr>
        <w:pStyle w:val="CommentText"/>
      </w:pPr>
      <w:r>
        <w:rPr>
          <w:rStyle w:val="CommentReference"/>
        </w:rPr>
        <w:annotationRef/>
      </w:r>
      <w:r w:rsidR="00A22F02">
        <w:t>The appropriate metric for growth is always an issue. DBH has a scale problem, but then again size is in the model. So the stats are OK but the interpretation lends itself to misinterpretation. Big trees grew faster at a rate proportional to the square of the DBH.</w:t>
      </w:r>
    </w:p>
  </w:comment>
  <w:comment w:id="61" w:author="Daniel Foster" w:date="2022-04-14T17:04:00Z" w:initials="DF">
    <w:p w14:paraId="73D3D6EC" w14:textId="77777777" w:rsidR="00B95CE0" w:rsidRDefault="00B95CE0" w:rsidP="00134424">
      <w:pPr>
        <w:pStyle w:val="CommentText"/>
      </w:pPr>
      <w:r>
        <w:rPr>
          <w:rStyle w:val="CommentReference"/>
        </w:rPr>
        <w:annotationRef/>
      </w:r>
      <w:r>
        <w:t>PdV: BTW, another term if you want something less arcane would be “long-term”, just noting that.</w:t>
      </w:r>
    </w:p>
  </w:comment>
  <w:comment w:id="62" w:author="Daniel Foster" w:date="2022-04-14T17:04:00Z" w:initials="DF">
    <w:p w14:paraId="1DCA23AA" w14:textId="14595BC0" w:rsidR="00B95CE0" w:rsidRDefault="00B95CE0" w:rsidP="00297E89">
      <w:pPr>
        <w:pStyle w:val="CommentText"/>
      </w:pPr>
      <w:r>
        <w:rPr>
          <w:rStyle w:val="CommentReference"/>
        </w:rPr>
        <w:annotationRef/>
      </w:r>
      <w:r>
        <w:t>PdV: I only skimmed this.</w:t>
      </w:r>
    </w:p>
  </w:comment>
  <w:comment w:id="63" w:author="j battles" w:date="2022-02-14T08:19:00Z" w:initials="jjb">
    <w:p w14:paraId="00FAAEC5" w14:textId="6EC6F7F0" w:rsidR="008A2F91" w:rsidRDefault="008A2F91">
      <w:pPr>
        <w:pStyle w:val="CommentText"/>
      </w:pPr>
      <w:r>
        <w:rPr>
          <w:rStyle w:val="CommentReference"/>
        </w:rPr>
        <w:annotationRef/>
      </w:r>
      <w:r>
        <w:t xml:space="preserve">Not your first question. Answer them in the order posed: </w:t>
      </w:r>
    </w:p>
    <w:p w14:paraId="2C0F7CD5" w14:textId="77777777" w:rsidR="008A2F91" w:rsidRDefault="008A2F91">
      <w:pPr>
        <w:pStyle w:val="CommentText"/>
      </w:pPr>
      <w:r>
        <w:t>What is the current status and trajectory of the ensemble of sugar pine populations across its range?</w:t>
      </w:r>
    </w:p>
    <w:p w14:paraId="6934B2DF" w14:textId="77777777" w:rsidR="008A2F91" w:rsidRDefault="008A2F91" w:rsidP="0089566E">
      <w:pPr>
        <w:pStyle w:val="CommentText"/>
      </w:pPr>
      <w:r>
        <w:t>What is the relative importance of the various stressors acting on sugar pine?</w:t>
      </w:r>
    </w:p>
  </w:comment>
  <w:comment w:id="64" w:author="j battles" w:date="2022-02-14T08:19:00Z" w:initials="jjb">
    <w:p w14:paraId="1E7BE88B" w14:textId="77777777" w:rsidR="008A2F91" w:rsidRDefault="008A2F91" w:rsidP="003F49B7">
      <w:pPr>
        <w:pStyle w:val="CommentText"/>
      </w:pPr>
      <w:r>
        <w:rPr>
          <w:rStyle w:val="CommentReference"/>
        </w:rPr>
        <w:annotationRef/>
      </w:r>
      <w:r>
        <w:t>Can you do a demographic sensitivity analysis?</w:t>
      </w:r>
    </w:p>
  </w:comment>
  <w:comment w:id="65" w:author="j battles" w:date="2022-02-14T08:23:00Z" w:initials="jjb">
    <w:p w14:paraId="25C3DF89" w14:textId="77777777" w:rsidR="00A47588" w:rsidRDefault="00A47588" w:rsidP="002F1C58">
      <w:pPr>
        <w:pStyle w:val="CommentText"/>
      </w:pPr>
      <w:r>
        <w:rPr>
          <w:rStyle w:val="CommentReference"/>
        </w:rPr>
        <w:annotationRef/>
      </w:r>
      <w:r>
        <w:t>Not sure what you mean by temporary. Do you mean it is an one-time disturbance and not a chronic stressor?</w:t>
      </w:r>
    </w:p>
  </w:comment>
  <w:comment w:id="66" w:author="j battles" w:date="2022-02-14T08:25:00Z" w:initials="jjb">
    <w:p w14:paraId="2CE9BFA9" w14:textId="77777777" w:rsidR="00A47588" w:rsidRDefault="00A47588" w:rsidP="00CF6252">
      <w:pPr>
        <w:pStyle w:val="CommentText"/>
      </w:pPr>
      <w:r>
        <w:rPr>
          <w:rStyle w:val="CommentReference"/>
        </w:rPr>
        <w:annotationRef/>
      </w:r>
      <w:r>
        <w:t>Relevance?</w:t>
      </w:r>
    </w:p>
  </w:comment>
  <w:comment w:id="67" w:author="j battles" w:date="2022-02-14T08:30:00Z" w:initials="jjb">
    <w:p w14:paraId="28535D48" w14:textId="77777777" w:rsidR="00A47588" w:rsidRDefault="00A47588" w:rsidP="005563B4">
      <w:pPr>
        <w:pStyle w:val="CommentText"/>
      </w:pPr>
      <w:r>
        <w:rPr>
          <w:rStyle w:val="CommentReference"/>
        </w:rPr>
        <w:annotationRef/>
      </w:r>
      <w:r>
        <w:t xml:space="preserve">Yes but consider the timing. What 10 year interval did you sample? </w:t>
      </w:r>
    </w:p>
  </w:comment>
  <w:comment w:id="69" w:author="Daniel Foster" w:date="2022-02-15T12:30:00Z" w:initials="DF">
    <w:p w14:paraId="6DD3F7DE" w14:textId="37D10956" w:rsidR="002626E1" w:rsidRDefault="002626E1">
      <w:pPr>
        <w:pStyle w:val="CommentText"/>
      </w:pPr>
      <w:r>
        <w:rPr>
          <w:rStyle w:val="CommentReference"/>
        </w:rPr>
        <w:annotationRef/>
      </w:r>
      <w:r>
        <w:t>TS: This is very interesting- can you provide a more specific example or theoretical scenario similar to the examples provided above this?</w:t>
      </w:r>
    </w:p>
  </w:comment>
  <w:comment w:id="68" w:author="j battles" w:date="2022-02-14T08:35:00Z" w:initials="jjb">
    <w:p w14:paraId="792E6663" w14:textId="77777777" w:rsidR="00832E90" w:rsidRDefault="00832E90" w:rsidP="004215BA">
      <w:pPr>
        <w:pStyle w:val="CommentText"/>
      </w:pPr>
      <w:r>
        <w:rPr>
          <w:rStyle w:val="CommentReference"/>
        </w:rPr>
        <w:annotationRef/>
      </w:r>
      <w:r>
        <w:t>Important point. Develop.</w:t>
      </w:r>
    </w:p>
  </w:comment>
  <w:comment w:id="70" w:author="Daniel Foster" w:date="2022-02-15T12:14:00Z" w:initials="DF">
    <w:p w14:paraId="1549214D" w14:textId="7BCD5C98" w:rsidR="00B13331" w:rsidRDefault="00B13331">
      <w:pPr>
        <w:pStyle w:val="CommentText"/>
      </w:pPr>
      <w:r>
        <w:rPr>
          <w:rStyle w:val="CommentReference"/>
        </w:rPr>
        <w:annotationRef/>
      </w:r>
      <w:r>
        <w:t>Ss: add cite for stephens 2005</w:t>
      </w:r>
    </w:p>
  </w:comment>
  <w:comment w:id="71" w:author="j battles" w:date="2022-02-14T08:42:00Z" w:initials="jjb">
    <w:p w14:paraId="27EAFBC6" w14:textId="77777777" w:rsidR="00832E90" w:rsidRDefault="00832E90" w:rsidP="004D63AB">
      <w:pPr>
        <w:pStyle w:val="CommentText"/>
      </w:pPr>
      <w:r>
        <w:rPr>
          <w:rStyle w:val="CommentReference"/>
        </w:rPr>
        <w:annotationRef/>
      </w:r>
      <w:r>
        <w:t>Huh?</w:t>
      </w:r>
    </w:p>
  </w:comment>
  <w:comment w:id="73" w:author="j battles" w:date="2022-02-14T08:42:00Z" w:initials="jjb">
    <w:p w14:paraId="0B0CAB76" w14:textId="77777777" w:rsidR="00832E90" w:rsidRDefault="00832E90" w:rsidP="00A20768">
      <w:pPr>
        <w:pStyle w:val="CommentText"/>
      </w:pPr>
      <w:r>
        <w:rPr>
          <w:rStyle w:val="CommentReference"/>
        </w:rPr>
        <w:annotationRef/>
      </w:r>
      <w:r>
        <w:t xml:space="preserve">Need to set-up these management recommendations. </w:t>
      </w:r>
    </w:p>
  </w:comment>
  <w:comment w:id="72" w:author="Daniel Foster" w:date="2022-02-15T12:30:00Z" w:initials="DF">
    <w:p w14:paraId="0F91713B" w14:textId="4198F13E" w:rsidR="002626E1" w:rsidRDefault="002626E1">
      <w:pPr>
        <w:pStyle w:val="CommentText"/>
      </w:pPr>
      <w:r>
        <w:rPr>
          <w:rStyle w:val="CommentReference"/>
        </w:rPr>
        <w:annotationRef/>
      </w:r>
      <w:r>
        <w:t>TS: Such a great results section! You provided fantastic context for your results and help the reader understand the significance of all your modeling, etc. Really well done. My one question which I’ll bring up in lab meeting is about disentangling CWD from fire risk just as a general conceptual premise. If CWD contributes to fire risk, whats the best approach to acknowledging that while also presenting an analysis that isolates the two. Overall, you should be really proud of your work!</w:t>
      </w:r>
    </w:p>
  </w:comment>
  <w:comment w:id="80" w:author="Daniel Foster" w:date="2022-04-14T16:54:00Z" w:initials="DF">
    <w:p w14:paraId="30648AA3" w14:textId="77777777" w:rsidR="00090276" w:rsidRDefault="00090276" w:rsidP="007D5C0E">
      <w:pPr>
        <w:pStyle w:val="CommentText"/>
      </w:pPr>
      <w:r>
        <w:rPr>
          <w:rStyle w:val="CommentReference"/>
        </w:rPr>
        <w:annotationRef/>
      </w:r>
      <w:r>
        <w:t>PdV: This is very nicely done.  I’ve seen so many derived posterior results figures that are hard to make sense and use poor graphical choices.  Nice job.</w:t>
      </w:r>
    </w:p>
  </w:comment>
  <w:comment w:id="81" w:author="Daniel Foster" w:date="2022-06-01T09:54:00Z" w:initials="DF">
    <w:p w14:paraId="303A7E9A" w14:textId="77777777" w:rsidR="00D750DC" w:rsidRDefault="00D750DC" w:rsidP="00C639FA">
      <w:pPr>
        <w:pStyle w:val="CommentText"/>
      </w:pPr>
      <w:r>
        <w:rPr>
          <w:rStyle w:val="CommentReference"/>
        </w:rPr>
        <w:annotationRef/>
      </w:r>
      <w:r>
        <w:t>This is actually a growth rate</w:t>
      </w:r>
    </w:p>
  </w:comment>
  <w:comment w:id="82" w:author="Daniel Foster" w:date="2022-06-01T09:55:00Z" w:initials="DF">
    <w:p w14:paraId="121FC835" w14:textId="77777777" w:rsidR="00D750DC" w:rsidRDefault="00D750DC" w:rsidP="000D10CD">
      <w:pPr>
        <w:pStyle w:val="CommentText"/>
      </w:pPr>
      <w:r>
        <w:rPr>
          <w:rStyle w:val="CommentReference"/>
        </w:rPr>
        <w:annotationRef/>
      </w:r>
      <w:r>
        <w:t>Way to think about this is in relative comparative terms, in the text convert to real terms</w:t>
      </w:r>
    </w:p>
  </w:comment>
  <w:comment w:id="84" w:author="Daniel Foster" w:date="2022-06-01T09:51:00Z" w:initials="DF">
    <w:p w14:paraId="3464CB31" w14:textId="68505784" w:rsidR="00D750DC" w:rsidRDefault="00D750DC" w:rsidP="005C5735">
      <w:pPr>
        <w:pStyle w:val="CommentText"/>
      </w:pPr>
      <w:r>
        <w:rPr>
          <w:rStyle w:val="CommentReference"/>
        </w:rPr>
        <w:annotationRef/>
      </w:r>
      <w:r>
        <w:t>Standardize scales</w:t>
      </w:r>
    </w:p>
  </w:comment>
  <w:comment w:id="85" w:author="Daniel Foster" w:date="2022-06-01T09:55:00Z" w:initials="DF">
    <w:p w14:paraId="3BEAB2E0" w14:textId="77777777" w:rsidR="00D750DC" w:rsidRDefault="00D750DC" w:rsidP="00F4286A">
      <w:pPr>
        <w:pStyle w:val="CommentText"/>
      </w:pPr>
      <w:r>
        <w:rPr>
          <w:rStyle w:val="CommentReference"/>
        </w:rPr>
        <w:annotationRef/>
      </w:r>
      <w:r>
        <w:t>Per capita replacement rate over a decade</w:t>
      </w:r>
    </w:p>
  </w:comment>
  <w:comment w:id="86" w:author="Daniel Foster" w:date="2022-06-01T09:58:00Z" w:initials="DF">
    <w:p w14:paraId="144835F8" w14:textId="77777777" w:rsidR="00427DBC" w:rsidRDefault="00427DBC" w:rsidP="00DA39B1">
      <w:pPr>
        <w:pStyle w:val="CommentText"/>
      </w:pPr>
      <w:r>
        <w:rPr>
          <w:rStyle w:val="CommentReference"/>
        </w:rPr>
        <w:annotationRef/>
      </w:r>
      <w:r>
        <w:t>Repeatedly interpret rates for a small (20cm) and a big (100cm) tree</w:t>
      </w:r>
    </w:p>
  </w:comment>
  <w:comment w:id="95" w:author="j battles" w:date="2022-02-14T07:57:00Z" w:initials="jjb">
    <w:p w14:paraId="7A77AEE1" w14:textId="314B15A7" w:rsidR="001C02F2" w:rsidRDefault="001C02F2" w:rsidP="00965CD0">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6E9554" w15:done="0"/>
  <w15:commentEx w15:paraId="7FE583B2" w15:done="1"/>
  <w15:commentEx w15:paraId="7D74136D" w15:done="1"/>
  <w15:commentEx w15:paraId="1887F201" w15:done="1"/>
  <w15:commentEx w15:paraId="1E38F6F8" w15:done="1"/>
  <w15:commentEx w15:paraId="29B2D88F" w15:done="0"/>
  <w15:commentEx w15:paraId="5289D00C" w15:done="1"/>
  <w15:commentEx w15:paraId="1740E1C3" w15:done="1"/>
  <w15:commentEx w15:paraId="1DA08E0E" w15:done="0"/>
  <w15:commentEx w15:paraId="18B30F1A" w15:done="1"/>
  <w15:commentEx w15:paraId="59E7DADC" w15:done="1"/>
  <w15:commentEx w15:paraId="7E316F93" w15:paraIdParent="59E7DADC" w15:done="1"/>
  <w15:commentEx w15:paraId="27299236" w15:done="1"/>
  <w15:commentEx w15:paraId="060D81E0" w15:done="1"/>
  <w15:commentEx w15:paraId="2A6403CB" w15:done="1"/>
  <w15:commentEx w15:paraId="6866659D" w15:done="1"/>
  <w15:commentEx w15:paraId="21E219BD" w15:paraIdParent="6866659D" w15:done="1"/>
  <w15:commentEx w15:paraId="4AB51EEC" w15:done="1"/>
  <w15:commentEx w15:paraId="64DC206F" w15:paraIdParent="4AB51EEC" w15:done="1"/>
  <w15:commentEx w15:paraId="011023D5" w15:done="1"/>
  <w15:commentEx w15:paraId="0674A2C4" w15:done="1"/>
  <w15:commentEx w15:paraId="7920D9D5" w15:done="1"/>
  <w15:commentEx w15:paraId="28858193" w15:done="1"/>
  <w15:commentEx w15:paraId="54BCD148" w15:done="1"/>
  <w15:commentEx w15:paraId="31782CEE" w15:done="0"/>
  <w15:commentEx w15:paraId="484A4806" w15:done="1"/>
  <w15:commentEx w15:paraId="185E502C" w15:paraIdParent="484A4806" w15:done="1"/>
  <w15:commentEx w15:paraId="4EA188E8" w15:done="1"/>
  <w15:commentEx w15:paraId="43179952" w15:done="0"/>
  <w15:commentEx w15:paraId="4F850460" w15:done="1"/>
  <w15:commentEx w15:paraId="023A6CC2" w15:done="1"/>
  <w15:commentEx w15:paraId="65CB9711" w15:done="1"/>
  <w15:commentEx w15:paraId="6880F7FC" w15:done="1"/>
  <w15:commentEx w15:paraId="01E2B449" w15:done="1"/>
  <w15:commentEx w15:paraId="524881A6" w15:done="1"/>
  <w15:commentEx w15:paraId="049AA384" w15:done="1"/>
  <w15:commentEx w15:paraId="2F6B9171" w15:done="1"/>
  <w15:commentEx w15:paraId="0BB07E8F" w15:done="1"/>
  <w15:commentEx w15:paraId="547F0D74" w15:done="1"/>
  <w15:commentEx w15:paraId="5B58A15D" w15:done="0"/>
  <w15:commentEx w15:paraId="28859AF8" w15:done="1"/>
  <w15:commentEx w15:paraId="57FF6C4B" w15:done="0"/>
  <w15:commentEx w15:paraId="74072166" w15:done="0"/>
  <w15:commentEx w15:paraId="504CE0B5" w15:done="1"/>
  <w15:commentEx w15:paraId="31D20EEB" w15:done="1"/>
  <w15:commentEx w15:paraId="4B388982" w15:done="1"/>
  <w15:commentEx w15:paraId="1076B911" w15:done="1"/>
  <w15:commentEx w15:paraId="7F29A7A3" w15:done="1"/>
  <w15:commentEx w15:paraId="55ACDD77" w15:done="1"/>
  <w15:commentEx w15:paraId="53C8D511" w15:done="1"/>
  <w15:commentEx w15:paraId="2B53ED64" w15:paraIdParent="53C8D511" w15:done="1"/>
  <w15:commentEx w15:paraId="711AC4A4" w15:done="1"/>
  <w15:commentEx w15:paraId="14DD7EF8" w15:done="1"/>
  <w15:commentEx w15:paraId="3C23C491" w15:done="1"/>
  <w15:commentEx w15:paraId="73D3D6EC" w15:done="1"/>
  <w15:commentEx w15:paraId="1DCA23AA" w15:done="1"/>
  <w15:commentEx w15:paraId="6934B2DF" w15:done="1"/>
  <w15:commentEx w15:paraId="1E7BE88B" w15:done="1"/>
  <w15:commentEx w15:paraId="25C3DF89" w15:done="1"/>
  <w15:commentEx w15:paraId="2CE9BFA9" w15:done="1"/>
  <w15:commentEx w15:paraId="28535D48" w15:done="1"/>
  <w15:commentEx w15:paraId="6DD3F7DE" w15:done="1"/>
  <w15:commentEx w15:paraId="792E6663" w15:done="1"/>
  <w15:commentEx w15:paraId="1549214D" w15:done="1"/>
  <w15:commentEx w15:paraId="27EAFBC6" w15:done="1"/>
  <w15:commentEx w15:paraId="0B0CAB76" w15:done="1"/>
  <w15:commentEx w15:paraId="0F91713B" w15:done="1"/>
  <w15:commentEx w15:paraId="30648AA3" w15:done="1"/>
  <w15:commentEx w15:paraId="303A7E9A" w15:done="0"/>
  <w15:commentEx w15:paraId="121FC835" w15:paraIdParent="303A7E9A" w15:done="0"/>
  <w15:commentEx w15:paraId="3464CB31" w15:done="0"/>
  <w15:commentEx w15:paraId="3BEAB2E0" w15:paraIdParent="3464CB31" w15:done="0"/>
  <w15:commentEx w15:paraId="144835F8" w15:paraIdParent="3464CB31" w15:done="0"/>
  <w15:commentEx w15:paraId="7A77AE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61921" w16cex:dateUtc="2022-02-15T20:20:00Z"/>
  <w16cex:commentExtensible w16cex:durableId="25B45D95" w16cex:dateUtc="2022-02-14T12:48:00Z"/>
  <w16cex:commentExtensible w16cex:durableId="25B45DB5" w16cex:dateUtc="2022-02-14T12:48:00Z"/>
  <w16cex:commentExtensible w16cex:durableId="25B612CF" w16cex:dateUtc="2022-02-15T19:53:00Z"/>
  <w16cex:commentExtensible w16cex:durableId="25B45D59" w16cex:dateUtc="2022-02-14T12:47:00Z"/>
  <w16cex:commentExtensible w16cex:durableId="25B619D9" w16cex:dateUtc="2022-02-15T20:23:00Z"/>
  <w16cex:commentExtensible w16cex:durableId="25B6132A" w16cex:dateUtc="2022-02-15T19:55:00Z"/>
  <w16cex:commentExtensible w16cex:durableId="25B61A3F" w16cex:dateUtc="2022-02-15T20:25:00Z"/>
  <w16cex:commentExtensible w16cex:durableId="25B45E87" w16cex:dateUtc="2022-02-14T12:52:00Z"/>
  <w16cex:commentExtensible w16cex:durableId="25B45EED" w16cex:dateUtc="2022-02-14T12:54:00Z"/>
  <w16cex:commentExtensible w16cex:durableId="25B614BB" w16cex:dateUtc="2022-02-15T20:02:00Z"/>
  <w16cex:commentExtensible w16cex:durableId="2628C774" w16cex:dateUtc="2022-05-13T19:03:00Z"/>
  <w16cex:commentExtensible w16cex:durableId="25B462DB" w16cex:dateUtc="2022-02-14T13:10:00Z"/>
  <w16cex:commentExtensible w16cex:durableId="25B614EA" w16cex:dateUtc="2022-02-15T20:02:00Z"/>
  <w16cex:commentExtensible w16cex:durableId="25B61A64" w16cex:dateUtc="2022-02-15T20:26:00Z"/>
  <w16cex:commentExtensible w16cex:durableId="25B61880" w16cex:dateUtc="2022-02-15T20:18:00Z"/>
  <w16cex:commentExtensible w16cex:durableId="25B61891" w16cex:dateUtc="2022-02-15T20:18:00Z"/>
  <w16cex:commentExtensible w16cex:durableId="25B6188C" w16cex:dateUtc="2022-02-15T20:18:00Z"/>
  <w16cex:commentExtensible w16cex:durableId="262CB50D" w16cex:dateUtc="2022-05-16T18:33:00Z"/>
  <w16cex:commentExtensible w16cex:durableId="26376458" w16cex:dateUtc="2022-05-24T21:04:00Z"/>
  <w16cex:commentExtensible w16cex:durableId="26376469" w16cex:dateUtc="2022-05-24T21:04:00Z"/>
  <w16cex:commentExtensible w16cex:durableId="25B4671A" w16cex:dateUtc="2022-02-14T13:28:00Z"/>
  <w16cex:commentExtensible w16cex:durableId="25B46747" w16cex:dateUtc="2022-02-14T13:29:00Z"/>
  <w16cex:commentExtensible w16cex:durableId="25B61AFB" w16cex:dateUtc="2022-02-15T20:28:00Z"/>
  <w16cex:commentExtensible w16cex:durableId="25B469A1" w16cex:dateUtc="2022-02-14T13:39:00Z"/>
  <w16cex:commentExtensible w16cex:durableId="25B47054" w16cex:dateUtc="2022-02-14T14:08:00Z"/>
  <w16cex:commentExtensible w16cex:durableId="2640A800" w16cex:dateUtc="2022-05-31T21:43:00Z"/>
  <w16cex:commentExtensible w16cex:durableId="263883CB" w16cex:dateUtc="2022-04-14T23:45:00Z"/>
  <w16cex:commentExtensible w16cex:durableId="25B48CEE" w16cex:dateUtc="2022-02-14T16:10:00Z"/>
  <w16cex:commentExtensible w16cex:durableId="25B46BBF" w16cex:dateUtc="2022-02-14T13:48:00Z"/>
  <w16cex:commentExtensible w16cex:durableId="25B6157D" w16cex:dateUtc="2022-02-15T20:05:00Z"/>
  <w16cex:commentExtensible w16cex:durableId="26378AB8" w16cex:dateUtc="2022-05-24T23:47:00Z"/>
  <w16cex:commentExtensible w16cex:durableId="2602CCA3" w16cex:dateUtc="2022-04-14T23:38:00Z"/>
  <w16cex:commentExtensible w16cex:durableId="25B46FD4" w16cex:dateUtc="2022-02-14T14:06:00Z"/>
  <w16cex:commentExtensible w16cex:durableId="25B47093" w16cex:dateUtc="2022-02-14T14:09:00Z"/>
  <w16cex:commentExtensible w16cex:durableId="2602CCB5" w16cex:dateUtc="2022-04-14T23:39:00Z"/>
  <w16cex:commentExtensible w16cex:durableId="25B615DD" w16cex:dateUtc="2022-02-15T20:06:00Z"/>
  <w16cex:commentExtensible w16cex:durableId="2602CD22" w16cex:dateUtc="2022-04-14T23:41:00Z"/>
  <w16cex:commentExtensible w16cex:durableId="2602CDA6" w16cex:dateUtc="2022-04-14T23:43:00Z"/>
  <w16cex:commentExtensible w16cex:durableId="25B47B18" w16cex:dateUtc="2022-02-14T14:54:00Z"/>
  <w16cex:commentExtensible w16cex:durableId="2602CE6D" w16cex:dateUtc="2022-04-14T23:46:00Z"/>
  <w16cex:commentExtensible w16cex:durableId="25B47B7A" w16cex:dateUtc="2022-02-14T14:55:00Z"/>
  <w16cex:commentExtensible w16cex:durableId="25B6198C" w16cex:dateUtc="2022-02-15T20:22:00Z"/>
  <w16cex:commentExtensible w16cex:durableId="25B4847C" w16cex:dateUtc="2022-02-14T15:34:00Z"/>
  <w16cex:commentExtensible w16cex:durableId="25B487AD" w16cex:dateUtc="2022-02-14T15:47:00Z"/>
  <w16cex:commentExtensible w16cex:durableId="2602CFEA" w16cex:dateUtc="2022-04-14T23:52:00Z"/>
  <w16cex:commentExtensible w16cex:durableId="2602D211" w16cex:dateUtc="2022-04-15T00:02:00Z"/>
  <w16cex:commentExtensible w16cex:durableId="2602D224" w16cex:dateUtc="2022-04-15T00:02:00Z"/>
  <w16cex:commentExtensible w16cex:durableId="2602D1FE" w16cex:dateUtc="2022-04-15T00:01:00Z"/>
  <w16cex:commentExtensible w16cex:durableId="25B618E6" w16cex:dateUtc="2022-02-15T20:19:00Z"/>
  <w16cex:commentExtensible w16cex:durableId="25B61902" w16cex:dateUtc="2022-02-15T20:20:00Z"/>
  <w16cex:commentExtensible w16cex:durableId="2602D23C" w16cex:dateUtc="2022-04-15T00:02:00Z"/>
  <w16cex:commentExtensible w16cex:durableId="25B4882E" w16cex:dateUtc="2022-02-14T15:50:00Z"/>
  <w16cex:commentExtensible w16cex:durableId="25B48B42" w16cex:dateUtc="2022-02-14T16:03:00Z"/>
  <w16cex:commentExtensible w16cex:durableId="2602D284" w16cex:dateUtc="2022-04-15T00:04:00Z"/>
  <w16cex:commentExtensible w16cex:durableId="2602D298" w16cex:dateUtc="2022-04-15T00:04:00Z"/>
  <w16cex:commentExtensible w16cex:durableId="25B48F0D" w16cex:dateUtc="2022-02-14T16:19:00Z"/>
  <w16cex:commentExtensible w16cex:durableId="25B48F1F" w16cex:dateUtc="2022-02-14T16:19:00Z"/>
  <w16cex:commentExtensible w16cex:durableId="25B4900F" w16cex:dateUtc="2022-02-14T16:23:00Z"/>
  <w16cex:commentExtensible w16cex:durableId="25B49064" w16cex:dateUtc="2022-02-14T16:25:00Z"/>
  <w16cex:commentExtensible w16cex:durableId="25B4919E" w16cex:dateUtc="2022-02-14T16:30:00Z"/>
  <w16cex:commentExtensible w16cex:durableId="25B61B48" w16cex:dateUtc="2022-02-15T20:30:00Z"/>
  <w16cex:commentExtensible w16cex:durableId="25B492E6" w16cex:dateUtc="2022-02-14T16:35:00Z"/>
  <w16cex:commentExtensible w16cex:durableId="25B61792" w16cex:dateUtc="2022-02-15T20:14:00Z"/>
  <w16cex:commentExtensible w16cex:durableId="25B49462" w16cex:dateUtc="2022-02-14T16:42:00Z"/>
  <w16cex:commentExtensible w16cex:durableId="25B49487" w16cex:dateUtc="2022-02-14T16:42:00Z"/>
  <w16cex:commentExtensible w16cex:durableId="25B61B76" w16cex:dateUtc="2022-02-15T20:30:00Z"/>
  <w16cex:commentExtensible w16cex:durableId="2602D061" w16cex:dateUtc="2022-04-14T23:54:00Z"/>
  <w16cex:commentExtensible w16cex:durableId="2641B5C1" w16cex:dateUtc="2022-06-01T16:54:00Z"/>
  <w16cex:commentExtensible w16cex:durableId="2641B5F7" w16cex:dateUtc="2022-06-01T16:55:00Z"/>
  <w16cex:commentExtensible w16cex:durableId="2641B507" w16cex:dateUtc="2022-06-01T16:51:00Z"/>
  <w16cex:commentExtensible w16cex:durableId="2641B608" w16cex:dateUtc="2022-06-01T16:55:00Z"/>
  <w16cex:commentExtensible w16cex:durableId="2641B6C9" w16cex:dateUtc="2022-06-01T16:58:00Z"/>
  <w16cex:commentExtensible w16cex:durableId="25B489F7" w16cex:dateUtc="2022-02-14T15: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6E9554" w16cid:durableId="25B61921"/>
  <w16cid:commentId w16cid:paraId="7FE583B2" w16cid:durableId="25B45D95"/>
  <w16cid:commentId w16cid:paraId="7D74136D" w16cid:durableId="25B45DB5"/>
  <w16cid:commentId w16cid:paraId="1887F201" w16cid:durableId="25B612CF"/>
  <w16cid:commentId w16cid:paraId="1E38F6F8" w16cid:durableId="25B45D59"/>
  <w16cid:commentId w16cid:paraId="29B2D88F" w16cid:durableId="25B619D9"/>
  <w16cid:commentId w16cid:paraId="5289D00C" w16cid:durableId="25B6132A"/>
  <w16cid:commentId w16cid:paraId="1740E1C3" w16cid:durableId="25B61A3F"/>
  <w16cid:commentId w16cid:paraId="1DA08E0E" w16cid:durableId="25B45E87"/>
  <w16cid:commentId w16cid:paraId="18B30F1A" w16cid:durableId="25B45EED"/>
  <w16cid:commentId w16cid:paraId="59E7DADC" w16cid:durableId="25B614BB"/>
  <w16cid:commentId w16cid:paraId="7E316F93" w16cid:durableId="2628C774"/>
  <w16cid:commentId w16cid:paraId="27299236" w16cid:durableId="25B462DB"/>
  <w16cid:commentId w16cid:paraId="060D81E0" w16cid:durableId="25B614EA"/>
  <w16cid:commentId w16cid:paraId="2A6403CB" w16cid:durableId="25B61A64"/>
  <w16cid:commentId w16cid:paraId="6866659D" w16cid:durableId="25B61880"/>
  <w16cid:commentId w16cid:paraId="21E219BD" w16cid:durableId="25B61891"/>
  <w16cid:commentId w16cid:paraId="4AB51EEC" w16cid:durableId="25B6188C"/>
  <w16cid:commentId w16cid:paraId="64DC206F" w16cid:durableId="262CB50D"/>
  <w16cid:commentId w16cid:paraId="011023D5" w16cid:durableId="26376458"/>
  <w16cid:commentId w16cid:paraId="0674A2C4" w16cid:durableId="26376469"/>
  <w16cid:commentId w16cid:paraId="7920D9D5" w16cid:durableId="25B4671A"/>
  <w16cid:commentId w16cid:paraId="28858193" w16cid:durableId="25B46747"/>
  <w16cid:commentId w16cid:paraId="54BCD148" w16cid:durableId="25B61AFB"/>
  <w16cid:commentId w16cid:paraId="31782CEE" w16cid:durableId="25B469A1"/>
  <w16cid:commentId w16cid:paraId="484A4806" w16cid:durableId="25B47054"/>
  <w16cid:commentId w16cid:paraId="185E502C" w16cid:durableId="2640A800"/>
  <w16cid:commentId w16cid:paraId="4EA188E8" w16cid:durableId="263883CB"/>
  <w16cid:commentId w16cid:paraId="43179952" w16cid:durableId="25B48CEE"/>
  <w16cid:commentId w16cid:paraId="4F850460" w16cid:durableId="25B46BBF"/>
  <w16cid:commentId w16cid:paraId="023A6CC2" w16cid:durableId="25B6157D"/>
  <w16cid:commentId w16cid:paraId="65CB9711" w16cid:durableId="26378AB8"/>
  <w16cid:commentId w16cid:paraId="6880F7FC" w16cid:durableId="2602CCA3"/>
  <w16cid:commentId w16cid:paraId="01E2B449" w16cid:durableId="25B46FD4"/>
  <w16cid:commentId w16cid:paraId="524881A6" w16cid:durableId="25B47093"/>
  <w16cid:commentId w16cid:paraId="049AA384" w16cid:durableId="2602CCB5"/>
  <w16cid:commentId w16cid:paraId="2F6B9171" w16cid:durableId="25B615DD"/>
  <w16cid:commentId w16cid:paraId="0BB07E8F" w16cid:durableId="2602CD22"/>
  <w16cid:commentId w16cid:paraId="547F0D74" w16cid:durableId="2602CDA6"/>
  <w16cid:commentId w16cid:paraId="5B58A15D" w16cid:durableId="25B47B18"/>
  <w16cid:commentId w16cid:paraId="28859AF8" w16cid:durableId="2602CE6D"/>
  <w16cid:commentId w16cid:paraId="57FF6C4B" w16cid:durableId="25B47B7A"/>
  <w16cid:commentId w16cid:paraId="74072166" w16cid:durableId="25B6198C"/>
  <w16cid:commentId w16cid:paraId="504CE0B5" w16cid:durableId="25B4847C"/>
  <w16cid:commentId w16cid:paraId="31D20EEB" w16cid:durableId="25B487AD"/>
  <w16cid:commentId w16cid:paraId="4B388982" w16cid:durableId="2602CFEA"/>
  <w16cid:commentId w16cid:paraId="1076B911" w16cid:durableId="2602D211"/>
  <w16cid:commentId w16cid:paraId="7F29A7A3" w16cid:durableId="2602D224"/>
  <w16cid:commentId w16cid:paraId="55ACDD77" w16cid:durableId="2602D1FE"/>
  <w16cid:commentId w16cid:paraId="53C8D511" w16cid:durableId="25B618E6"/>
  <w16cid:commentId w16cid:paraId="2B53ED64" w16cid:durableId="25B61902"/>
  <w16cid:commentId w16cid:paraId="711AC4A4" w16cid:durableId="2602D23C"/>
  <w16cid:commentId w16cid:paraId="14DD7EF8" w16cid:durableId="25B4882E"/>
  <w16cid:commentId w16cid:paraId="3C23C491" w16cid:durableId="25B48B42"/>
  <w16cid:commentId w16cid:paraId="73D3D6EC" w16cid:durableId="2602D284"/>
  <w16cid:commentId w16cid:paraId="1DCA23AA" w16cid:durableId="2602D298"/>
  <w16cid:commentId w16cid:paraId="6934B2DF" w16cid:durableId="25B48F0D"/>
  <w16cid:commentId w16cid:paraId="1E7BE88B" w16cid:durableId="25B48F1F"/>
  <w16cid:commentId w16cid:paraId="25C3DF89" w16cid:durableId="25B4900F"/>
  <w16cid:commentId w16cid:paraId="2CE9BFA9" w16cid:durableId="25B49064"/>
  <w16cid:commentId w16cid:paraId="28535D48" w16cid:durableId="25B4919E"/>
  <w16cid:commentId w16cid:paraId="6DD3F7DE" w16cid:durableId="25B61B48"/>
  <w16cid:commentId w16cid:paraId="792E6663" w16cid:durableId="25B492E6"/>
  <w16cid:commentId w16cid:paraId="1549214D" w16cid:durableId="25B61792"/>
  <w16cid:commentId w16cid:paraId="27EAFBC6" w16cid:durableId="25B49462"/>
  <w16cid:commentId w16cid:paraId="0B0CAB76" w16cid:durableId="25B49487"/>
  <w16cid:commentId w16cid:paraId="0F91713B" w16cid:durableId="25B61B76"/>
  <w16cid:commentId w16cid:paraId="30648AA3" w16cid:durableId="2602D061"/>
  <w16cid:commentId w16cid:paraId="303A7E9A" w16cid:durableId="2641B5C1"/>
  <w16cid:commentId w16cid:paraId="121FC835" w16cid:durableId="2641B5F7"/>
  <w16cid:commentId w16cid:paraId="3464CB31" w16cid:durableId="2641B507"/>
  <w16cid:commentId w16cid:paraId="3BEAB2E0" w16cid:durableId="2641B608"/>
  <w16cid:commentId w16cid:paraId="144835F8" w16cid:durableId="2641B6C9"/>
  <w16cid:commentId w16cid:paraId="7A77AEE1" w16cid:durableId="25B489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BF1ACA" w14:textId="77777777" w:rsidR="007B669E" w:rsidRDefault="007B669E" w:rsidP="00912F9C">
      <w:pPr>
        <w:spacing w:after="0" w:line="240" w:lineRule="auto"/>
      </w:pPr>
      <w:r>
        <w:separator/>
      </w:r>
    </w:p>
  </w:endnote>
  <w:endnote w:type="continuationSeparator" w:id="0">
    <w:p w14:paraId="2DB09159" w14:textId="77777777" w:rsidR="007B669E" w:rsidRDefault="007B669E" w:rsidP="00912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2020603050405020304"/>
    <w:charset w:val="01"/>
    <w:family w:val="roman"/>
    <w:pitch w:val="variable"/>
    <w:sig w:usb0="E0000AFF" w:usb1="500078FF" w:usb2="00000021" w:usb3="00000000" w:csb0="000001BF" w:csb1="00000000"/>
  </w:font>
  <w:font w:name="AR PL SungtiL GB">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05C065" w14:textId="77777777" w:rsidR="007B669E" w:rsidRDefault="007B669E" w:rsidP="00912F9C">
      <w:pPr>
        <w:spacing w:after="0" w:line="240" w:lineRule="auto"/>
      </w:pPr>
      <w:r>
        <w:separator/>
      </w:r>
    </w:p>
  </w:footnote>
  <w:footnote w:type="continuationSeparator" w:id="0">
    <w:p w14:paraId="5173C78E" w14:textId="77777777" w:rsidR="007B669E" w:rsidRDefault="007B669E" w:rsidP="00912F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6B9DE" w14:textId="0BB0EF23" w:rsidR="00912F9C" w:rsidRDefault="00912F9C" w:rsidP="00912F9C">
    <w:pPr>
      <w:pStyle w:val="Header"/>
      <w:jc w:val="right"/>
    </w:pPr>
    <w:r>
      <w:t>Foster 2022</w:t>
    </w:r>
  </w:p>
  <w:p w14:paraId="435B66A5" w14:textId="77777777" w:rsidR="00912F9C" w:rsidRDefault="00912F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A0B41"/>
    <w:multiLevelType w:val="hybridMultilevel"/>
    <w:tmpl w:val="FDBEF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501AE"/>
    <w:multiLevelType w:val="hybridMultilevel"/>
    <w:tmpl w:val="6AC0ACBE"/>
    <w:lvl w:ilvl="0" w:tplc="4998C88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263212"/>
    <w:multiLevelType w:val="hybridMultilevel"/>
    <w:tmpl w:val="E5E07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F62D00"/>
    <w:multiLevelType w:val="hybridMultilevel"/>
    <w:tmpl w:val="A9A0D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AE360A"/>
    <w:multiLevelType w:val="hybridMultilevel"/>
    <w:tmpl w:val="60A4F622"/>
    <w:lvl w:ilvl="0" w:tplc="CFEAD3D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56C92A18"/>
    <w:multiLevelType w:val="hybridMultilevel"/>
    <w:tmpl w:val="E222B5EC"/>
    <w:lvl w:ilvl="0" w:tplc="BF64FF6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7A7768E"/>
    <w:multiLevelType w:val="hybridMultilevel"/>
    <w:tmpl w:val="A698BCD0"/>
    <w:lvl w:ilvl="0" w:tplc="A950E3A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4B3044"/>
    <w:multiLevelType w:val="hybridMultilevel"/>
    <w:tmpl w:val="467EB82E"/>
    <w:lvl w:ilvl="0" w:tplc="F93AD06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817092"/>
    <w:multiLevelType w:val="hybridMultilevel"/>
    <w:tmpl w:val="2CDC4968"/>
    <w:lvl w:ilvl="0" w:tplc="5446764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D954EA"/>
    <w:multiLevelType w:val="hybridMultilevel"/>
    <w:tmpl w:val="5DC2582C"/>
    <w:lvl w:ilvl="0" w:tplc="1E18E47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1521822">
    <w:abstractNumId w:val="4"/>
  </w:num>
  <w:num w:numId="2" w16cid:durableId="535853427">
    <w:abstractNumId w:val="0"/>
  </w:num>
  <w:num w:numId="3" w16cid:durableId="1224759816">
    <w:abstractNumId w:val="1"/>
  </w:num>
  <w:num w:numId="4" w16cid:durableId="146164939">
    <w:abstractNumId w:val="9"/>
  </w:num>
  <w:num w:numId="5" w16cid:durableId="2124759403">
    <w:abstractNumId w:val="7"/>
  </w:num>
  <w:num w:numId="6" w16cid:durableId="1684821424">
    <w:abstractNumId w:val="2"/>
  </w:num>
  <w:num w:numId="7" w16cid:durableId="955671046">
    <w:abstractNumId w:val="3"/>
  </w:num>
  <w:num w:numId="8" w16cid:durableId="1801654202">
    <w:abstractNumId w:val="8"/>
  </w:num>
  <w:num w:numId="9" w16cid:durableId="2135710911">
    <w:abstractNumId w:val="5"/>
  </w:num>
  <w:num w:numId="10" w16cid:durableId="65464940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Foster">
    <w15:presenceInfo w15:providerId="None" w15:userId="Daniel Foster"/>
  </w15:person>
  <w15:person w15:author="j battles">
    <w15:presenceInfo w15:providerId="None" w15:userId="j battl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5DE"/>
    <w:rsid w:val="00002AF5"/>
    <w:rsid w:val="00005093"/>
    <w:rsid w:val="000144C2"/>
    <w:rsid w:val="0002014E"/>
    <w:rsid w:val="00021D10"/>
    <w:rsid w:val="00022E40"/>
    <w:rsid w:val="00030856"/>
    <w:rsid w:val="00035CCB"/>
    <w:rsid w:val="00036010"/>
    <w:rsid w:val="000451DF"/>
    <w:rsid w:val="00047C53"/>
    <w:rsid w:val="00052104"/>
    <w:rsid w:val="00054C5F"/>
    <w:rsid w:val="000624D9"/>
    <w:rsid w:val="00065C38"/>
    <w:rsid w:val="00070BD5"/>
    <w:rsid w:val="000711D9"/>
    <w:rsid w:val="0007640A"/>
    <w:rsid w:val="00090276"/>
    <w:rsid w:val="00092713"/>
    <w:rsid w:val="00093900"/>
    <w:rsid w:val="00093A54"/>
    <w:rsid w:val="000948BA"/>
    <w:rsid w:val="00097CE1"/>
    <w:rsid w:val="00097D16"/>
    <w:rsid w:val="000A0F76"/>
    <w:rsid w:val="000A5484"/>
    <w:rsid w:val="000B07C3"/>
    <w:rsid w:val="000B15A1"/>
    <w:rsid w:val="000B2974"/>
    <w:rsid w:val="000B37E1"/>
    <w:rsid w:val="000B464D"/>
    <w:rsid w:val="000B4F67"/>
    <w:rsid w:val="000C0834"/>
    <w:rsid w:val="000C08B9"/>
    <w:rsid w:val="000D023F"/>
    <w:rsid w:val="000D09FA"/>
    <w:rsid w:val="000D3AD8"/>
    <w:rsid w:val="000E59FA"/>
    <w:rsid w:val="000E66BE"/>
    <w:rsid w:val="00101105"/>
    <w:rsid w:val="00105668"/>
    <w:rsid w:val="001161D9"/>
    <w:rsid w:val="00120798"/>
    <w:rsid w:val="00123CAC"/>
    <w:rsid w:val="00134157"/>
    <w:rsid w:val="0013741A"/>
    <w:rsid w:val="00143E5F"/>
    <w:rsid w:val="001545DE"/>
    <w:rsid w:val="00161CA5"/>
    <w:rsid w:val="00165CBF"/>
    <w:rsid w:val="00166284"/>
    <w:rsid w:val="00171F10"/>
    <w:rsid w:val="001854A2"/>
    <w:rsid w:val="00187B04"/>
    <w:rsid w:val="00191A72"/>
    <w:rsid w:val="0019268D"/>
    <w:rsid w:val="001957F1"/>
    <w:rsid w:val="00197ED8"/>
    <w:rsid w:val="001A3E0B"/>
    <w:rsid w:val="001A40BC"/>
    <w:rsid w:val="001A4E05"/>
    <w:rsid w:val="001C02F2"/>
    <w:rsid w:val="001C27C2"/>
    <w:rsid w:val="001C4973"/>
    <w:rsid w:val="001C6B0E"/>
    <w:rsid w:val="001D0752"/>
    <w:rsid w:val="001D3356"/>
    <w:rsid w:val="001E0490"/>
    <w:rsid w:val="001E1A16"/>
    <w:rsid w:val="001E3443"/>
    <w:rsid w:val="001E52DB"/>
    <w:rsid w:val="001F3219"/>
    <w:rsid w:val="001F3ED4"/>
    <w:rsid w:val="001F58D0"/>
    <w:rsid w:val="001F5EDA"/>
    <w:rsid w:val="001F6D70"/>
    <w:rsid w:val="0020010E"/>
    <w:rsid w:val="0020245B"/>
    <w:rsid w:val="00211000"/>
    <w:rsid w:val="0021304E"/>
    <w:rsid w:val="00213912"/>
    <w:rsid w:val="0021575D"/>
    <w:rsid w:val="002212B2"/>
    <w:rsid w:val="00222543"/>
    <w:rsid w:val="00226C3F"/>
    <w:rsid w:val="002352A0"/>
    <w:rsid w:val="00237E63"/>
    <w:rsid w:val="002435DE"/>
    <w:rsid w:val="00243B4B"/>
    <w:rsid w:val="00245CBF"/>
    <w:rsid w:val="00251274"/>
    <w:rsid w:val="002535C7"/>
    <w:rsid w:val="002626E1"/>
    <w:rsid w:val="0026626B"/>
    <w:rsid w:val="002666E7"/>
    <w:rsid w:val="0027112C"/>
    <w:rsid w:val="0027122B"/>
    <w:rsid w:val="00272B03"/>
    <w:rsid w:val="002739B1"/>
    <w:rsid w:val="00276327"/>
    <w:rsid w:val="00277C16"/>
    <w:rsid w:val="00277ED1"/>
    <w:rsid w:val="002821CE"/>
    <w:rsid w:val="00283D34"/>
    <w:rsid w:val="0029268F"/>
    <w:rsid w:val="00293491"/>
    <w:rsid w:val="00296C3D"/>
    <w:rsid w:val="002A29BB"/>
    <w:rsid w:val="002B0C18"/>
    <w:rsid w:val="002B625B"/>
    <w:rsid w:val="002B6328"/>
    <w:rsid w:val="002C19B3"/>
    <w:rsid w:val="002C7D13"/>
    <w:rsid w:val="002D072E"/>
    <w:rsid w:val="002D364A"/>
    <w:rsid w:val="002F38CC"/>
    <w:rsid w:val="002F78E4"/>
    <w:rsid w:val="00304447"/>
    <w:rsid w:val="0030686A"/>
    <w:rsid w:val="00307D27"/>
    <w:rsid w:val="00307FC1"/>
    <w:rsid w:val="003103FA"/>
    <w:rsid w:val="00311911"/>
    <w:rsid w:val="00312174"/>
    <w:rsid w:val="003204E3"/>
    <w:rsid w:val="00323628"/>
    <w:rsid w:val="00323FA0"/>
    <w:rsid w:val="00334F13"/>
    <w:rsid w:val="0033554D"/>
    <w:rsid w:val="00342BA1"/>
    <w:rsid w:val="00346542"/>
    <w:rsid w:val="003502A0"/>
    <w:rsid w:val="0035131C"/>
    <w:rsid w:val="00353F3B"/>
    <w:rsid w:val="00356D90"/>
    <w:rsid w:val="00361DD5"/>
    <w:rsid w:val="00362541"/>
    <w:rsid w:val="00364352"/>
    <w:rsid w:val="0036501F"/>
    <w:rsid w:val="003658FD"/>
    <w:rsid w:val="00366F92"/>
    <w:rsid w:val="00371AC7"/>
    <w:rsid w:val="003735F2"/>
    <w:rsid w:val="00374BD9"/>
    <w:rsid w:val="0038352F"/>
    <w:rsid w:val="003B1739"/>
    <w:rsid w:val="003B43A0"/>
    <w:rsid w:val="003B4431"/>
    <w:rsid w:val="003B72CD"/>
    <w:rsid w:val="003C1D45"/>
    <w:rsid w:val="003C2EB4"/>
    <w:rsid w:val="003D3B95"/>
    <w:rsid w:val="003D564A"/>
    <w:rsid w:val="003E04A3"/>
    <w:rsid w:val="003E0B60"/>
    <w:rsid w:val="003E41BD"/>
    <w:rsid w:val="003E5D44"/>
    <w:rsid w:val="003E6FCE"/>
    <w:rsid w:val="003F0D40"/>
    <w:rsid w:val="003F5372"/>
    <w:rsid w:val="00400795"/>
    <w:rsid w:val="00403C76"/>
    <w:rsid w:val="00407119"/>
    <w:rsid w:val="00420927"/>
    <w:rsid w:val="00422EF5"/>
    <w:rsid w:val="004230C7"/>
    <w:rsid w:val="00427DBC"/>
    <w:rsid w:val="00430D45"/>
    <w:rsid w:val="00433AEF"/>
    <w:rsid w:val="0044137D"/>
    <w:rsid w:val="004438A3"/>
    <w:rsid w:val="00445077"/>
    <w:rsid w:val="004501B5"/>
    <w:rsid w:val="00461C54"/>
    <w:rsid w:val="0046219E"/>
    <w:rsid w:val="00462B96"/>
    <w:rsid w:val="004639A9"/>
    <w:rsid w:val="0047208D"/>
    <w:rsid w:val="004769F7"/>
    <w:rsid w:val="00477228"/>
    <w:rsid w:val="004776E6"/>
    <w:rsid w:val="00481C21"/>
    <w:rsid w:val="00481D04"/>
    <w:rsid w:val="00483267"/>
    <w:rsid w:val="00485321"/>
    <w:rsid w:val="00486861"/>
    <w:rsid w:val="004900A0"/>
    <w:rsid w:val="004940F9"/>
    <w:rsid w:val="0049671D"/>
    <w:rsid w:val="004A222B"/>
    <w:rsid w:val="004A6BFC"/>
    <w:rsid w:val="004A7549"/>
    <w:rsid w:val="004C0B8F"/>
    <w:rsid w:val="004C5044"/>
    <w:rsid w:val="004D47AC"/>
    <w:rsid w:val="004D614E"/>
    <w:rsid w:val="004E6FBC"/>
    <w:rsid w:val="004F00F1"/>
    <w:rsid w:val="004F3A49"/>
    <w:rsid w:val="004F672B"/>
    <w:rsid w:val="004F6CE4"/>
    <w:rsid w:val="00504371"/>
    <w:rsid w:val="00512388"/>
    <w:rsid w:val="00513781"/>
    <w:rsid w:val="00517F42"/>
    <w:rsid w:val="0052071A"/>
    <w:rsid w:val="00522FF0"/>
    <w:rsid w:val="0052326E"/>
    <w:rsid w:val="00533EAF"/>
    <w:rsid w:val="005400AE"/>
    <w:rsid w:val="00540755"/>
    <w:rsid w:val="00542DB6"/>
    <w:rsid w:val="005441D3"/>
    <w:rsid w:val="00545F95"/>
    <w:rsid w:val="00561760"/>
    <w:rsid w:val="00565CA7"/>
    <w:rsid w:val="00566DC3"/>
    <w:rsid w:val="00573E2C"/>
    <w:rsid w:val="00574C47"/>
    <w:rsid w:val="00581B9B"/>
    <w:rsid w:val="00582802"/>
    <w:rsid w:val="00583A63"/>
    <w:rsid w:val="00584886"/>
    <w:rsid w:val="0058771A"/>
    <w:rsid w:val="00592F89"/>
    <w:rsid w:val="005A03F5"/>
    <w:rsid w:val="005A35BD"/>
    <w:rsid w:val="005A4789"/>
    <w:rsid w:val="005B06F2"/>
    <w:rsid w:val="005B0749"/>
    <w:rsid w:val="005B1295"/>
    <w:rsid w:val="005B4308"/>
    <w:rsid w:val="005C0FDC"/>
    <w:rsid w:val="005C39DA"/>
    <w:rsid w:val="005C7999"/>
    <w:rsid w:val="005D154F"/>
    <w:rsid w:val="005D180E"/>
    <w:rsid w:val="005D2253"/>
    <w:rsid w:val="005E185A"/>
    <w:rsid w:val="005E7ECB"/>
    <w:rsid w:val="005F02B2"/>
    <w:rsid w:val="005F1EF2"/>
    <w:rsid w:val="005F4623"/>
    <w:rsid w:val="0061208B"/>
    <w:rsid w:val="00613A4B"/>
    <w:rsid w:val="006144D6"/>
    <w:rsid w:val="006152D3"/>
    <w:rsid w:val="00620936"/>
    <w:rsid w:val="00625B40"/>
    <w:rsid w:val="006271C9"/>
    <w:rsid w:val="006456A1"/>
    <w:rsid w:val="00677CDB"/>
    <w:rsid w:val="006807F0"/>
    <w:rsid w:val="006838F2"/>
    <w:rsid w:val="006A10AA"/>
    <w:rsid w:val="006A2B6F"/>
    <w:rsid w:val="006B3BFA"/>
    <w:rsid w:val="006B6761"/>
    <w:rsid w:val="006B7651"/>
    <w:rsid w:val="006C7CA9"/>
    <w:rsid w:val="006D25A7"/>
    <w:rsid w:val="006E0CA4"/>
    <w:rsid w:val="006E230D"/>
    <w:rsid w:val="006E2387"/>
    <w:rsid w:val="006E26D2"/>
    <w:rsid w:val="006E2D9F"/>
    <w:rsid w:val="006E6E45"/>
    <w:rsid w:val="006E754A"/>
    <w:rsid w:val="006F2ABD"/>
    <w:rsid w:val="006F5254"/>
    <w:rsid w:val="006F5E9A"/>
    <w:rsid w:val="007108F6"/>
    <w:rsid w:val="00714833"/>
    <w:rsid w:val="0071532B"/>
    <w:rsid w:val="00715CFB"/>
    <w:rsid w:val="00717725"/>
    <w:rsid w:val="00725975"/>
    <w:rsid w:val="007314F1"/>
    <w:rsid w:val="00737989"/>
    <w:rsid w:val="007411CB"/>
    <w:rsid w:val="00750468"/>
    <w:rsid w:val="00752208"/>
    <w:rsid w:val="007553FB"/>
    <w:rsid w:val="00766541"/>
    <w:rsid w:val="00771B14"/>
    <w:rsid w:val="007847A0"/>
    <w:rsid w:val="0078488A"/>
    <w:rsid w:val="00785480"/>
    <w:rsid w:val="00787085"/>
    <w:rsid w:val="00790CD7"/>
    <w:rsid w:val="007934A7"/>
    <w:rsid w:val="00796EDF"/>
    <w:rsid w:val="007A371B"/>
    <w:rsid w:val="007B296F"/>
    <w:rsid w:val="007B3DC9"/>
    <w:rsid w:val="007B4248"/>
    <w:rsid w:val="007B6647"/>
    <w:rsid w:val="007B669E"/>
    <w:rsid w:val="007E3804"/>
    <w:rsid w:val="007E7CA6"/>
    <w:rsid w:val="0080786A"/>
    <w:rsid w:val="00807967"/>
    <w:rsid w:val="00812F3F"/>
    <w:rsid w:val="00817E66"/>
    <w:rsid w:val="008206D4"/>
    <w:rsid w:val="0082493A"/>
    <w:rsid w:val="00826123"/>
    <w:rsid w:val="00832565"/>
    <w:rsid w:val="00832E90"/>
    <w:rsid w:val="008360A1"/>
    <w:rsid w:val="00837AAE"/>
    <w:rsid w:val="008400A4"/>
    <w:rsid w:val="0084014F"/>
    <w:rsid w:val="0084135D"/>
    <w:rsid w:val="008415CA"/>
    <w:rsid w:val="00843673"/>
    <w:rsid w:val="00844EFD"/>
    <w:rsid w:val="008469C9"/>
    <w:rsid w:val="00851A3D"/>
    <w:rsid w:val="0085572F"/>
    <w:rsid w:val="008569B1"/>
    <w:rsid w:val="008574D6"/>
    <w:rsid w:val="00857722"/>
    <w:rsid w:val="00857BF9"/>
    <w:rsid w:val="00860357"/>
    <w:rsid w:val="008611C1"/>
    <w:rsid w:val="00870621"/>
    <w:rsid w:val="008727D0"/>
    <w:rsid w:val="00872B19"/>
    <w:rsid w:val="00873E42"/>
    <w:rsid w:val="00874307"/>
    <w:rsid w:val="00877029"/>
    <w:rsid w:val="00880C94"/>
    <w:rsid w:val="00884AB8"/>
    <w:rsid w:val="00894D9E"/>
    <w:rsid w:val="008A1354"/>
    <w:rsid w:val="008A2F91"/>
    <w:rsid w:val="008A7245"/>
    <w:rsid w:val="008A7881"/>
    <w:rsid w:val="008A7C78"/>
    <w:rsid w:val="008C2844"/>
    <w:rsid w:val="008C4383"/>
    <w:rsid w:val="008D1390"/>
    <w:rsid w:val="008E09B2"/>
    <w:rsid w:val="008E28B3"/>
    <w:rsid w:val="008E6E2C"/>
    <w:rsid w:val="008F0ED0"/>
    <w:rsid w:val="008F25B6"/>
    <w:rsid w:val="008F329F"/>
    <w:rsid w:val="008F5DAE"/>
    <w:rsid w:val="0090133B"/>
    <w:rsid w:val="00907D59"/>
    <w:rsid w:val="00910F38"/>
    <w:rsid w:val="00912F9C"/>
    <w:rsid w:val="009166BF"/>
    <w:rsid w:val="00925586"/>
    <w:rsid w:val="0093310D"/>
    <w:rsid w:val="00935912"/>
    <w:rsid w:val="00950212"/>
    <w:rsid w:val="009509EA"/>
    <w:rsid w:val="009525DA"/>
    <w:rsid w:val="00954945"/>
    <w:rsid w:val="009567E4"/>
    <w:rsid w:val="009639E6"/>
    <w:rsid w:val="00972A59"/>
    <w:rsid w:val="0097720B"/>
    <w:rsid w:val="00980556"/>
    <w:rsid w:val="009824D0"/>
    <w:rsid w:val="009917FF"/>
    <w:rsid w:val="00991CC2"/>
    <w:rsid w:val="00996B72"/>
    <w:rsid w:val="009971A5"/>
    <w:rsid w:val="009A1DFC"/>
    <w:rsid w:val="009A3AF4"/>
    <w:rsid w:val="009A512B"/>
    <w:rsid w:val="009A6AAC"/>
    <w:rsid w:val="009B0C1C"/>
    <w:rsid w:val="009B22BB"/>
    <w:rsid w:val="009B3615"/>
    <w:rsid w:val="009B4725"/>
    <w:rsid w:val="009B5737"/>
    <w:rsid w:val="009B5B45"/>
    <w:rsid w:val="009D1E6E"/>
    <w:rsid w:val="009D4174"/>
    <w:rsid w:val="009E14F1"/>
    <w:rsid w:val="009E3517"/>
    <w:rsid w:val="009E4689"/>
    <w:rsid w:val="009E5157"/>
    <w:rsid w:val="009E6363"/>
    <w:rsid w:val="009F381B"/>
    <w:rsid w:val="009F5DED"/>
    <w:rsid w:val="009F616C"/>
    <w:rsid w:val="009F6E8A"/>
    <w:rsid w:val="00A06CE3"/>
    <w:rsid w:val="00A12463"/>
    <w:rsid w:val="00A128BA"/>
    <w:rsid w:val="00A17E82"/>
    <w:rsid w:val="00A22F02"/>
    <w:rsid w:val="00A27379"/>
    <w:rsid w:val="00A27C02"/>
    <w:rsid w:val="00A302ED"/>
    <w:rsid w:val="00A320BF"/>
    <w:rsid w:val="00A354E8"/>
    <w:rsid w:val="00A37AF9"/>
    <w:rsid w:val="00A41A84"/>
    <w:rsid w:val="00A47588"/>
    <w:rsid w:val="00A63A59"/>
    <w:rsid w:val="00A70058"/>
    <w:rsid w:val="00A708CE"/>
    <w:rsid w:val="00A9076E"/>
    <w:rsid w:val="00A95BB0"/>
    <w:rsid w:val="00AA3167"/>
    <w:rsid w:val="00AB1821"/>
    <w:rsid w:val="00AC4853"/>
    <w:rsid w:val="00AC69CD"/>
    <w:rsid w:val="00AD7299"/>
    <w:rsid w:val="00AD7841"/>
    <w:rsid w:val="00AE693D"/>
    <w:rsid w:val="00AF1B9C"/>
    <w:rsid w:val="00B01E28"/>
    <w:rsid w:val="00B02855"/>
    <w:rsid w:val="00B05195"/>
    <w:rsid w:val="00B064C4"/>
    <w:rsid w:val="00B1320D"/>
    <w:rsid w:val="00B13331"/>
    <w:rsid w:val="00B21325"/>
    <w:rsid w:val="00B23450"/>
    <w:rsid w:val="00B27150"/>
    <w:rsid w:val="00B31E6F"/>
    <w:rsid w:val="00B41811"/>
    <w:rsid w:val="00B50353"/>
    <w:rsid w:val="00B57920"/>
    <w:rsid w:val="00B65A24"/>
    <w:rsid w:val="00B66F59"/>
    <w:rsid w:val="00B7042D"/>
    <w:rsid w:val="00B72A60"/>
    <w:rsid w:val="00B76637"/>
    <w:rsid w:val="00B81610"/>
    <w:rsid w:val="00B82FD6"/>
    <w:rsid w:val="00B91F66"/>
    <w:rsid w:val="00B9336D"/>
    <w:rsid w:val="00B95CE0"/>
    <w:rsid w:val="00B95D6C"/>
    <w:rsid w:val="00BA2B3B"/>
    <w:rsid w:val="00BA5424"/>
    <w:rsid w:val="00BA5AB2"/>
    <w:rsid w:val="00BC1636"/>
    <w:rsid w:val="00BC4DD2"/>
    <w:rsid w:val="00BC7D86"/>
    <w:rsid w:val="00BD0EC9"/>
    <w:rsid w:val="00BD15C5"/>
    <w:rsid w:val="00BD1FBD"/>
    <w:rsid w:val="00BD4BA9"/>
    <w:rsid w:val="00BE0F16"/>
    <w:rsid w:val="00BE4CEB"/>
    <w:rsid w:val="00BE5019"/>
    <w:rsid w:val="00BF1ABD"/>
    <w:rsid w:val="00BF1B42"/>
    <w:rsid w:val="00BF40EA"/>
    <w:rsid w:val="00BF4FB1"/>
    <w:rsid w:val="00C07C6D"/>
    <w:rsid w:val="00C125F1"/>
    <w:rsid w:val="00C15C9A"/>
    <w:rsid w:val="00C1655F"/>
    <w:rsid w:val="00C21994"/>
    <w:rsid w:val="00C243DB"/>
    <w:rsid w:val="00C34525"/>
    <w:rsid w:val="00C358F3"/>
    <w:rsid w:val="00C3625A"/>
    <w:rsid w:val="00C37C6B"/>
    <w:rsid w:val="00C45A1A"/>
    <w:rsid w:val="00C52916"/>
    <w:rsid w:val="00C5434B"/>
    <w:rsid w:val="00C56685"/>
    <w:rsid w:val="00C57012"/>
    <w:rsid w:val="00C63FF8"/>
    <w:rsid w:val="00C65DC4"/>
    <w:rsid w:val="00C7269F"/>
    <w:rsid w:val="00C73ACA"/>
    <w:rsid w:val="00C76CEE"/>
    <w:rsid w:val="00C818B3"/>
    <w:rsid w:val="00C83A6E"/>
    <w:rsid w:val="00C942ED"/>
    <w:rsid w:val="00C94452"/>
    <w:rsid w:val="00C945E1"/>
    <w:rsid w:val="00C94BCF"/>
    <w:rsid w:val="00CA6E7F"/>
    <w:rsid w:val="00CA7A32"/>
    <w:rsid w:val="00CB0832"/>
    <w:rsid w:val="00CB34EC"/>
    <w:rsid w:val="00CB38F8"/>
    <w:rsid w:val="00CB550D"/>
    <w:rsid w:val="00CC6F71"/>
    <w:rsid w:val="00CD4F3D"/>
    <w:rsid w:val="00CE6534"/>
    <w:rsid w:val="00CF75E9"/>
    <w:rsid w:val="00D06053"/>
    <w:rsid w:val="00D070A9"/>
    <w:rsid w:val="00D10804"/>
    <w:rsid w:val="00D23103"/>
    <w:rsid w:val="00D2760D"/>
    <w:rsid w:val="00D312C0"/>
    <w:rsid w:val="00D45C6F"/>
    <w:rsid w:val="00D4629E"/>
    <w:rsid w:val="00D54D68"/>
    <w:rsid w:val="00D60BA1"/>
    <w:rsid w:val="00D617E7"/>
    <w:rsid w:val="00D67D58"/>
    <w:rsid w:val="00D70E5C"/>
    <w:rsid w:val="00D71062"/>
    <w:rsid w:val="00D73B16"/>
    <w:rsid w:val="00D750DC"/>
    <w:rsid w:val="00D80EA7"/>
    <w:rsid w:val="00D8211E"/>
    <w:rsid w:val="00D93CCF"/>
    <w:rsid w:val="00D95337"/>
    <w:rsid w:val="00D96875"/>
    <w:rsid w:val="00DA141A"/>
    <w:rsid w:val="00DA5840"/>
    <w:rsid w:val="00DB0132"/>
    <w:rsid w:val="00DB4861"/>
    <w:rsid w:val="00DB4E95"/>
    <w:rsid w:val="00DC36D7"/>
    <w:rsid w:val="00DC37FC"/>
    <w:rsid w:val="00DC514A"/>
    <w:rsid w:val="00DD222B"/>
    <w:rsid w:val="00DD37D1"/>
    <w:rsid w:val="00DE4D0E"/>
    <w:rsid w:val="00DF0297"/>
    <w:rsid w:val="00E005FB"/>
    <w:rsid w:val="00E01957"/>
    <w:rsid w:val="00E07EF6"/>
    <w:rsid w:val="00E13880"/>
    <w:rsid w:val="00E14B2D"/>
    <w:rsid w:val="00E16782"/>
    <w:rsid w:val="00E167D6"/>
    <w:rsid w:val="00E23769"/>
    <w:rsid w:val="00E304D0"/>
    <w:rsid w:val="00E32098"/>
    <w:rsid w:val="00E358D9"/>
    <w:rsid w:val="00E45F15"/>
    <w:rsid w:val="00E52428"/>
    <w:rsid w:val="00E61EC6"/>
    <w:rsid w:val="00E638E5"/>
    <w:rsid w:val="00E813D6"/>
    <w:rsid w:val="00E81A5D"/>
    <w:rsid w:val="00E84CFD"/>
    <w:rsid w:val="00E9049A"/>
    <w:rsid w:val="00E92F0B"/>
    <w:rsid w:val="00E9506F"/>
    <w:rsid w:val="00EA2ACC"/>
    <w:rsid w:val="00EA5263"/>
    <w:rsid w:val="00EB1B4C"/>
    <w:rsid w:val="00EB4A84"/>
    <w:rsid w:val="00EB5290"/>
    <w:rsid w:val="00EE5D6E"/>
    <w:rsid w:val="00EF6399"/>
    <w:rsid w:val="00F067F3"/>
    <w:rsid w:val="00F214FC"/>
    <w:rsid w:val="00F23E3D"/>
    <w:rsid w:val="00F25243"/>
    <w:rsid w:val="00F30BF0"/>
    <w:rsid w:val="00F30DE4"/>
    <w:rsid w:val="00F35683"/>
    <w:rsid w:val="00F365CE"/>
    <w:rsid w:val="00F4015B"/>
    <w:rsid w:val="00F40C3D"/>
    <w:rsid w:val="00F479B6"/>
    <w:rsid w:val="00F47B1D"/>
    <w:rsid w:val="00F50DFD"/>
    <w:rsid w:val="00F72294"/>
    <w:rsid w:val="00F73E88"/>
    <w:rsid w:val="00F91D2B"/>
    <w:rsid w:val="00F94B8B"/>
    <w:rsid w:val="00FA20C3"/>
    <w:rsid w:val="00FB1E1F"/>
    <w:rsid w:val="00FC4865"/>
    <w:rsid w:val="00FC5A10"/>
    <w:rsid w:val="00FD714B"/>
    <w:rsid w:val="00FE1095"/>
    <w:rsid w:val="00FE2333"/>
    <w:rsid w:val="00FF3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4BE2B8"/>
  <w15:chartTrackingRefBased/>
  <w15:docId w15:val="{51AEF918-8962-4B50-BCC4-CEC8E20F8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35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5D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5D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435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35D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435DE"/>
    <w:pPr>
      <w:spacing w:after="0" w:line="240" w:lineRule="auto"/>
      <w:ind w:left="720"/>
      <w:contextualSpacing/>
    </w:pPr>
    <w:rPr>
      <w:rFonts w:ascii="Liberation Serif" w:eastAsia="AR PL SungtiL GB" w:hAnsi="Liberation Serif" w:cs="Mangal"/>
      <w:kern w:val="2"/>
      <w:sz w:val="24"/>
      <w:szCs w:val="21"/>
      <w:lang w:eastAsia="zh-CN" w:bidi="hi-IN"/>
    </w:rPr>
  </w:style>
  <w:style w:type="paragraph" w:styleId="Header">
    <w:name w:val="header"/>
    <w:basedOn w:val="Normal"/>
    <w:link w:val="HeaderChar"/>
    <w:uiPriority w:val="99"/>
    <w:unhideWhenUsed/>
    <w:rsid w:val="00912F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F9C"/>
  </w:style>
  <w:style w:type="paragraph" w:styleId="Footer">
    <w:name w:val="footer"/>
    <w:basedOn w:val="Normal"/>
    <w:link w:val="FooterChar"/>
    <w:uiPriority w:val="99"/>
    <w:unhideWhenUsed/>
    <w:rsid w:val="00912F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F9C"/>
  </w:style>
  <w:style w:type="character" w:customStyle="1" w:styleId="Heading2Char">
    <w:name w:val="Heading 2 Char"/>
    <w:basedOn w:val="DefaultParagraphFont"/>
    <w:link w:val="Heading2"/>
    <w:uiPriority w:val="9"/>
    <w:rsid w:val="00EE5D6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8211E"/>
    <w:rPr>
      <w:color w:val="0563C1" w:themeColor="hyperlink"/>
      <w:u w:val="single"/>
    </w:rPr>
  </w:style>
  <w:style w:type="character" w:styleId="UnresolvedMention">
    <w:name w:val="Unresolved Mention"/>
    <w:basedOn w:val="DefaultParagraphFont"/>
    <w:uiPriority w:val="99"/>
    <w:semiHidden/>
    <w:unhideWhenUsed/>
    <w:rsid w:val="00D8211E"/>
    <w:rPr>
      <w:color w:val="605E5C"/>
      <w:shd w:val="clear" w:color="auto" w:fill="E1DFDD"/>
    </w:rPr>
  </w:style>
  <w:style w:type="character" w:styleId="PlaceholderText">
    <w:name w:val="Placeholder Text"/>
    <w:basedOn w:val="DefaultParagraphFont"/>
    <w:uiPriority w:val="99"/>
    <w:semiHidden/>
    <w:rsid w:val="000B2974"/>
    <w:rPr>
      <w:color w:val="808080"/>
    </w:rPr>
  </w:style>
  <w:style w:type="paragraph" w:styleId="Caption">
    <w:name w:val="caption"/>
    <w:basedOn w:val="Normal"/>
    <w:next w:val="Normal"/>
    <w:uiPriority w:val="35"/>
    <w:unhideWhenUsed/>
    <w:qFormat/>
    <w:rsid w:val="000A0F76"/>
    <w:pPr>
      <w:spacing w:after="200" w:line="240" w:lineRule="auto"/>
    </w:pPr>
    <w:rPr>
      <w:i/>
      <w:iCs/>
      <w:color w:val="44546A" w:themeColor="text2"/>
      <w:sz w:val="18"/>
      <w:szCs w:val="18"/>
    </w:rPr>
  </w:style>
  <w:style w:type="table" w:styleId="TableGrid">
    <w:name w:val="Table Grid"/>
    <w:basedOn w:val="TableNormal"/>
    <w:uiPriority w:val="39"/>
    <w:rsid w:val="00362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E3517"/>
    <w:rPr>
      <w:sz w:val="16"/>
      <w:szCs w:val="16"/>
    </w:rPr>
  </w:style>
  <w:style w:type="paragraph" w:styleId="CommentText">
    <w:name w:val="annotation text"/>
    <w:basedOn w:val="Normal"/>
    <w:link w:val="CommentTextChar"/>
    <w:uiPriority w:val="99"/>
    <w:unhideWhenUsed/>
    <w:rsid w:val="009E3517"/>
    <w:pPr>
      <w:spacing w:line="240" w:lineRule="auto"/>
    </w:pPr>
    <w:rPr>
      <w:sz w:val="20"/>
      <w:szCs w:val="20"/>
    </w:rPr>
  </w:style>
  <w:style w:type="character" w:customStyle="1" w:styleId="CommentTextChar">
    <w:name w:val="Comment Text Char"/>
    <w:basedOn w:val="DefaultParagraphFont"/>
    <w:link w:val="CommentText"/>
    <w:uiPriority w:val="99"/>
    <w:rsid w:val="009E3517"/>
    <w:rPr>
      <w:sz w:val="20"/>
      <w:szCs w:val="20"/>
    </w:rPr>
  </w:style>
  <w:style w:type="paragraph" w:styleId="CommentSubject">
    <w:name w:val="annotation subject"/>
    <w:basedOn w:val="CommentText"/>
    <w:next w:val="CommentText"/>
    <w:link w:val="CommentSubjectChar"/>
    <w:uiPriority w:val="99"/>
    <w:semiHidden/>
    <w:unhideWhenUsed/>
    <w:rsid w:val="009E3517"/>
    <w:rPr>
      <w:b/>
      <w:bCs/>
    </w:rPr>
  </w:style>
  <w:style w:type="character" w:customStyle="1" w:styleId="CommentSubjectChar">
    <w:name w:val="Comment Subject Char"/>
    <w:basedOn w:val="CommentTextChar"/>
    <w:link w:val="CommentSubject"/>
    <w:uiPriority w:val="99"/>
    <w:semiHidden/>
    <w:rsid w:val="009E3517"/>
    <w:rPr>
      <w:b/>
      <w:bCs/>
      <w:sz w:val="20"/>
      <w:szCs w:val="20"/>
    </w:rPr>
  </w:style>
  <w:style w:type="paragraph" w:styleId="Revision">
    <w:name w:val="Revision"/>
    <w:hidden/>
    <w:uiPriority w:val="99"/>
    <w:semiHidden/>
    <w:rsid w:val="00A95BB0"/>
    <w:pPr>
      <w:spacing w:after="0" w:line="240" w:lineRule="auto"/>
    </w:pPr>
  </w:style>
  <w:style w:type="paragraph" w:styleId="FootnoteText">
    <w:name w:val="footnote text"/>
    <w:basedOn w:val="Normal"/>
    <w:link w:val="FootnoteTextChar"/>
    <w:uiPriority w:val="99"/>
    <w:semiHidden/>
    <w:unhideWhenUsed/>
    <w:rsid w:val="00D2760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760D"/>
    <w:rPr>
      <w:sz w:val="20"/>
      <w:szCs w:val="20"/>
    </w:rPr>
  </w:style>
  <w:style w:type="character" w:styleId="FootnoteReference">
    <w:name w:val="footnote reference"/>
    <w:basedOn w:val="DefaultParagraphFont"/>
    <w:uiPriority w:val="99"/>
    <w:semiHidden/>
    <w:unhideWhenUsed/>
    <w:rsid w:val="00D2760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84293">
      <w:bodyDiv w:val="1"/>
      <w:marLeft w:val="0"/>
      <w:marRight w:val="0"/>
      <w:marTop w:val="0"/>
      <w:marBottom w:val="0"/>
      <w:divBdr>
        <w:top w:val="none" w:sz="0" w:space="0" w:color="auto"/>
        <w:left w:val="none" w:sz="0" w:space="0" w:color="auto"/>
        <w:bottom w:val="none" w:sz="0" w:space="0" w:color="auto"/>
        <w:right w:val="none" w:sz="0" w:space="0" w:color="auto"/>
      </w:divBdr>
    </w:div>
    <w:div w:id="318584019">
      <w:bodyDiv w:val="1"/>
      <w:marLeft w:val="0"/>
      <w:marRight w:val="0"/>
      <w:marTop w:val="0"/>
      <w:marBottom w:val="0"/>
      <w:divBdr>
        <w:top w:val="none" w:sz="0" w:space="0" w:color="auto"/>
        <w:left w:val="none" w:sz="0" w:space="0" w:color="auto"/>
        <w:bottom w:val="none" w:sz="0" w:space="0" w:color="auto"/>
        <w:right w:val="none" w:sz="0" w:space="0" w:color="auto"/>
      </w:divBdr>
    </w:div>
    <w:div w:id="668479636">
      <w:bodyDiv w:val="1"/>
      <w:marLeft w:val="0"/>
      <w:marRight w:val="0"/>
      <w:marTop w:val="0"/>
      <w:marBottom w:val="0"/>
      <w:divBdr>
        <w:top w:val="none" w:sz="0" w:space="0" w:color="auto"/>
        <w:left w:val="none" w:sz="0" w:space="0" w:color="auto"/>
        <w:bottom w:val="none" w:sz="0" w:space="0" w:color="auto"/>
        <w:right w:val="none" w:sz="0" w:space="0" w:color="auto"/>
      </w:divBdr>
    </w:div>
    <w:div w:id="834733504">
      <w:bodyDiv w:val="1"/>
      <w:marLeft w:val="0"/>
      <w:marRight w:val="0"/>
      <w:marTop w:val="0"/>
      <w:marBottom w:val="0"/>
      <w:divBdr>
        <w:top w:val="none" w:sz="0" w:space="0" w:color="auto"/>
        <w:left w:val="none" w:sz="0" w:space="0" w:color="auto"/>
        <w:bottom w:val="none" w:sz="0" w:space="0" w:color="auto"/>
        <w:right w:val="none" w:sz="0" w:space="0" w:color="auto"/>
      </w:divBdr>
    </w:div>
    <w:div w:id="1546865695">
      <w:bodyDiv w:val="1"/>
      <w:marLeft w:val="0"/>
      <w:marRight w:val="0"/>
      <w:marTop w:val="0"/>
      <w:marBottom w:val="0"/>
      <w:divBdr>
        <w:top w:val="none" w:sz="0" w:space="0" w:color="auto"/>
        <w:left w:val="none" w:sz="0" w:space="0" w:color="auto"/>
        <w:bottom w:val="none" w:sz="0" w:space="0" w:color="auto"/>
        <w:right w:val="none" w:sz="0" w:space="0" w:color="auto"/>
      </w:divBdr>
    </w:div>
    <w:div w:id="1982154289">
      <w:bodyDiv w:val="1"/>
      <w:marLeft w:val="0"/>
      <w:marRight w:val="0"/>
      <w:marTop w:val="0"/>
      <w:marBottom w:val="0"/>
      <w:divBdr>
        <w:top w:val="none" w:sz="0" w:space="0" w:color="auto"/>
        <w:left w:val="none" w:sz="0" w:space="0" w:color="auto"/>
        <w:bottom w:val="none" w:sz="0" w:space="0" w:color="auto"/>
        <w:right w:val="none" w:sz="0" w:space="0" w:color="auto"/>
      </w:divBdr>
    </w:div>
    <w:div w:id="1994721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A64EA-417B-4882-B137-7E5D17896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48</Pages>
  <Words>68581</Words>
  <Characters>390917</Characters>
  <Application>Microsoft Office Word</Application>
  <DocSecurity>0</DocSecurity>
  <Lines>3257</Lines>
  <Paragraphs>917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Foster</dc:creator>
  <cp:keywords/>
  <dc:description/>
  <cp:lastModifiedBy>Daniel Foster</cp:lastModifiedBy>
  <cp:revision>2</cp:revision>
  <dcterms:created xsi:type="dcterms:W3CDTF">2022-06-01T22:29:00Z</dcterms:created>
  <dcterms:modified xsi:type="dcterms:W3CDTF">2022-06-01T22:29:00Z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fa767aee-db51-350e-9b23-023fa2c56400</vt:lpwstr>
  </property>
  <property fmtid="{D5CDD505-2E9C-101B-9397-08002B2CF9AE}" pid="24" name="Mendeley Citation Style_1">
    <vt:lpwstr>http://www.zotero.org/styles/harvard-cite-them-right</vt:lpwstr>
  </property>
</Properties>
</file>