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55518" w14:textId="2229A193" w:rsidR="00A5477D" w:rsidRDefault="000052BF" w:rsidP="008659A7">
      <w:pPr>
        <w:pStyle w:val="Title"/>
      </w:pPr>
      <w:r>
        <w:t>Beyond fuel reduction: Prescribed fires alter spatial pattern</w:t>
      </w:r>
      <w:r w:rsidR="00360129">
        <w:t xml:space="preserve"> </w:t>
      </w:r>
      <w:r>
        <w:t xml:space="preserve">of </w:t>
      </w:r>
      <w:r w:rsidR="00AC422C">
        <w:t xml:space="preserve">wildland </w:t>
      </w:r>
      <w:r>
        <w:t>fuels</w:t>
      </w:r>
    </w:p>
    <w:p w14:paraId="0A1097CC" w14:textId="399C11AD" w:rsidR="000052BF" w:rsidRDefault="000052BF" w:rsidP="008659A7"/>
    <w:p w14:paraId="335EE5E7" w14:textId="57B61E83" w:rsidR="000052BF" w:rsidRDefault="000052BF" w:rsidP="008659A7">
      <w:pPr>
        <w:pStyle w:val="Heading1"/>
        <w:spacing w:line="480" w:lineRule="auto"/>
      </w:pPr>
      <w:r>
        <w:t>Abstract</w:t>
      </w:r>
    </w:p>
    <w:p w14:paraId="00BD5AEA" w14:textId="540FFE1A" w:rsidR="000052BF" w:rsidRDefault="00BD1DC0" w:rsidP="008659A7">
      <w:pPr>
        <w:spacing w:line="480" w:lineRule="auto"/>
      </w:pPr>
      <w:r>
        <w:t>Pattern-process feedbacks characterize the relationship between the fine-scale spatial pattern of forest ecosystems and the disturbance process of fire. Fine-scale spatial variation in surface fuels is an important, but poorly understood, axis of forest structure in forests adapted to frequent fire. In this study, we applied generalized linear mixed effects models with gaussian process random effect</w:t>
      </w:r>
      <w:r w:rsidR="000C5CFE">
        <w:t>s</w:t>
      </w:r>
      <w:r>
        <w:t xml:space="preserve"> describing fine-scale spatial variation to describe the spatial pattern of litter and duff and fine woody debris</w:t>
      </w:r>
      <w:r w:rsidR="000C5CFE">
        <w:t>,</w:t>
      </w:r>
      <w:r>
        <w:t xml:space="preserve"> both before and after</w:t>
      </w:r>
      <w:r w:rsidR="00D80AEE">
        <w:t xml:space="preserve"> three replicate</w:t>
      </w:r>
      <w:r>
        <w:t xml:space="preserve"> prescribed fires in a Sierra Nevada mixed conifer forest. </w:t>
      </w:r>
      <w:r w:rsidR="00D80AEE">
        <w:t xml:space="preserve">We find that prescribed fire </w:t>
      </w:r>
      <w:r w:rsidR="000C5CFE">
        <w:t>altered</w:t>
      </w:r>
      <w:r w:rsidR="00D80AEE">
        <w:t xml:space="preserve"> not just on fuel loading, but on the fine-scale spatial pattern of fuels. Prescribed fire increased the magnitude of fine-scale spatial autocorrelation for litter and duff, 1-hour fine woody debris, and 10-hour fine woody debris. The</w:t>
      </w:r>
      <w:r w:rsidR="000C5CFE">
        <w:t xml:space="preserve"> burns decreased the</w:t>
      </w:r>
      <w:r w:rsidR="00D80AEE">
        <w:t xml:space="preserve"> length-scale of spatial autocorrelation for litter and duff, increased </w:t>
      </w:r>
      <w:r w:rsidR="000C5CFE">
        <w:t xml:space="preserve">it </w:t>
      </w:r>
      <w:r w:rsidR="00D80AEE">
        <w:t xml:space="preserve">for 1-hour fuels, and did not change </w:t>
      </w:r>
      <w:r w:rsidR="000C5CFE">
        <w:t xml:space="preserve">it </w:t>
      </w:r>
      <w:r w:rsidR="00D80AEE">
        <w:t xml:space="preserve">for 10-hour fuels. The </w:t>
      </w:r>
      <w:r w:rsidR="000C5CFE">
        <w:t xml:space="preserve">gaussian process noise parameter </w:t>
      </w:r>
      <w:r w:rsidR="00D80AEE">
        <w:t>increased for 1-hour fuels</w:t>
      </w:r>
      <w:r w:rsidR="000C5CFE">
        <w:t xml:space="preserve"> </w:t>
      </w:r>
      <w:proofErr w:type="gramStart"/>
      <w:r w:rsidR="000C5CFE">
        <w:t>as a result of</w:t>
      </w:r>
      <w:proofErr w:type="gramEnd"/>
      <w:r w:rsidR="000C5CFE">
        <w:t xml:space="preserve"> the prescribed burns</w:t>
      </w:r>
      <w:r w:rsidR="00D80AEE">
        <w:t xml:space="preserve">. Changes to the fine-scale spatial pattern of surface fuels </w:t>
      </w:r>
      <w:r w:rsidR="00AD6744">
        <w:t>are likely to impact the behavior of future fires and the ecological function of these forest</w:t>
      </w:r>
      <w:r w:rsidR="000C5CFE">
        <w:t>s</w:t>
      </w:r>
      <w:r w:rsidR="00AD6744">
        <w:t>.</w:t>
      </w:r>
    </w:p>
    <w:p w14:paraId="189845C2" w14:textId="06D41091" w:rsidR="000052BF" w:rsidRDefault="000052BF" w:rsidP="008659A7">
      <w:pPr>
        <w:pStyle w:val="Heading1"/>
        <w:spacing w:line="480" w:lineRule="auto"/>
      </w:pPr>
      <w:r>
        <w:t>Introduction</w:t>
      </w:r>
    </w:p>
    <w:p w14:paraId="108C32B1" w14:textId="56F67F5B" w:rsidR="000052BF" w:rsidRDefault="00DE6364" w:rsidP="000C5CFE">
      <w:pPr>
        <w:spacing w:line="480" w:lineRule="auto"/>
        <w:ind w:firstLine="720"/>
      </w:pPr>
      <w:r>
        <w:t>Dry conifer forest</w:t>
      </w:r>
      <w:r w:rsidR="000E737F">
        <w:t>s</w:t>
      </w:r>
      <w:r>
        <w:t xml:space="preserve"> across much of the western United States are facing challenges associated with a disrupted disturbance regime. In this context, a warming climate has combined with structural changes associated with a century of effective fire suppression to disrupt the disturbance regime which historically maintained these forests</w:t>
      </w:r>
      <w:r w:rsidR="0066579A">
        <w:t xml:space="preserve"> </w:t>
      </w:r>
      <w:r w:rsidR="0066579A">
        <w:fldChar w:fldCharType="begin" w:fldLock="1"/>
      </w:r>
      <w:r w:rsidR="00C02089">
        <w:instrText>ADDIN CSL_CITATION {"citationItems":[{"id":"ITEM-1","itemData":{"DOI":"10.1126/science.1128834","ISBN":"0036-8075","ISSN":"00368075","PMID":"16825536","abstract":"Western United States forest wildfire activity is widely thought to have increased in recent decades, yet neither the extent of recent changes nor the degree to which climate may be driving regional changes in wildfire has been systematically documented. Much of the public and scientific discussion of changes in western United States wildfire has focused instead on the effects of 19th- and 20th-century land-use history. We compiled a comprehensive database of large wildfires in western United States forests since 1970 and compared it with hydroclimatic and land-surface data. Here, we show that large wildfire activity increased suddenly and markedly in the mid-1980s, with higher large-wildfire frequency, longer wildfire durations, and longer wildfire seasons. The greatest increases occurred in mid-elevation, Northern Rockies forests, where land-use histories have relatively little effect on fire risks and are strongly associated with increased spring and summer temperatures and an earlier spring snowmelt.","author":[{"dropping-particle":"","family":"Westerling","given":"A. L.","non-dropping-particle":"","parse-names":false,"suffix":""},{"dropping-particle":"","family":"Hidalgo","given":"H. G.","non-dropping-particle":"","parse-names":false,"suffix":""},{"dropping-particle":"","family":"Cayan","given":"D. R.","non-dropping-particle":"","parse-names":false,"suffix":""},{"dropping-particle":"","family":"Swetnam","given":"T. W.","non-dropping-particle":"","parse-names":false,"suffix":""}],"container-title":"Science","id":"ITEM-1","issue":"5789","issued":{"date-parts":[["2006"]]},"page":"940-943","title":"Warming and earlier spring increase Western U.S. forest wildfire activity","type":"article-journal","volume":"313"},"uris":["http://www.mendeley.com/documents/?uuid=5434c336-ba5c-46c5-8a25-3db6552fac5e"]},{"id":"ITEM-2","itemData":{"DOI":"10.1007/s10584-011-0329-9","ISBN":"0165-0009","ISSN":"01650009","abstract":"Large wildfire occurrence and burned area are modeled using hydroclimate and landsurface characteristics under a range of future climate and development scenarios. The range of uncertainty for future wildfire regimes is analyzed over two emissions pathways (the Special Report on Emissions Scenarios [SRES] A2 and B1 scenarios); three global climate models (Centre National de Recherches M{é}t{é}orologiques CM3, Geophysical Fluid Dynamics Laboratory CM2.1 and National Center for Atmospheric Research PCM1); three scenarios for future population growth and development footprint; and two thresholds for defining the wildland-urban interface relative to housing density. Results were assessed for three 30-year time periods centered on 2020, 2050, and 2085, relative to a 30-year reference period centered on 1975. Increases in wildfire burned area are anticipated for most scenarios, although the range of outcomes is large and increases with time. The increase in wildfire burned area associated with the higher emissions pathway (SRES A2) is substantial, with increases statewide ranging from 36% to 74% by 2085, and increases exceeding 100% in much of the forested areas of Northern California in every SRES A2 scenario by 2085.","author":[{"dropping-particle":"","family":"Westerling","given":"A. L.","non-dropping-particle":"","parse-names":false,"suffix":""},{"dropping-particle":"","family":"Bryant","given":"B. P.","non-dropping-particle":"","parse-names":false,"suffix":""},{"dropping-particle":"","family":"Preisler","given":"H. K.","non-dropping-particle":"","parse-names":false,"suffix":""},{"dropping-particle":"","family":"Holmes","given":"T. P.","non-dropping-particle":"","parse-names":false,"suffix":""},{"dropping-particle":"","family":"Hidalgo","given":"H. G.","non-dropping-particle":"","parse-names":false,"suffix":""},{"dropping-particle":"","family":"Das","given":"T.","non-dropping-particle":"","parse-names":false,"suffix":""},{"dropping-particle":"","family":"Shrestha","given":"S. R.","non-dropping-particle":"","parse-names":false,"suffix":""}],"container-title":"Climatic Change","id":"ITEM-2","issue":"SUPPL. 1","issued":{"date-parts":[["2011"]]},"page":"445-463","title":"Climate change and growth scenarios for California wildfire","type":"article-journal","volume":"109"},"uris":["http://www.mendeley.com/documents/?uuid=a0d9e232-1ab7-484f-9dc6-823b69871c84"]},{"id":"ITEM-3","itemData":{"DOI":"10.1073/pnas.2009717118","ISSN":"0027-8424","abstract":"Increases in burned area and large fire occurrence are widely documented over the western United States over the past half century. Here, we focus on the elevational distribution of forest fires in mountainous ecoregions of the western United States and show the largest increase rates in burned area above 2,500 m during 1984 to 2017. Furthermore, we show that high-elevation fires advanced upslope with a median cumulative change of 252 m (−107 to 656 m; 95% CI) in 34 y across studied ecoregions. We also document a strong interannual relationship between high-elevation fires and warm season vapor pressure deficit (VPD). The upslope advance of fires is consistent with observed warming reflected by a median upslope drift of VPD isolines of 295 m (59 to 704 m; 95% CI) during 1984 to 2017. These findings allow us to estimate that recent climate trends reduced the high-elevation flammability barrier and enabled fires in an additional 11% of western forests. Limited influences of fire management practices and longer fire-return intervals in these montane mesic systems suggest these changes are largely a byproduct of climate warming. Further weakening in the high-elevation flammability barrier with continued warming has the potential to transform montane fire regimes with numerous implications for ecosystems and watersheds.","author":[{"dropping-particle":"","family":"Alizadeh","given":"Mohammad Reza","non-dropping-particle":"","parse-names":false,"suffix":""},{"dropping-particle":"","family":"Abatzoglou","given":"John T.","non-dropping-particle":"","parse-names":false,"suffix":""},{"dropping-particle":"","family":"Luce","given":"Charles H.","non-dropping-particle":"","parse-names":false,"suffix":""},{"dropping-particle":"","family":"Adamowski","given":"Jan F.","non-dropping-particle":"","parse-names":false,"suffix":""},{"dropping-particle":"","family":"Farid","given":"Arvin","non-dropping-particle":"","parse-names":false,"suffix":""},{"dropping-particle":"","family":"Sadegh","given":"Mojtaba","non-dropping-particle":"","parse-names":false,"suffix":""}],"container-title":"Proceedings of the National Academy of Sciences","id":"ITEM-3","issue":"22","issued":{"date-parts":[["2021"]]},"page":"e2009717118","title":"Warming enabled upslope advance in western US forest fires","type":"article-journal","volume":"118"},"uris":["http://www.mendeley.com/documents/?uuid=6ff8de42-3af7-439a-b601-cf3daed0d6dd"]},{"id":"ITEM-4","itemData":{"DOI":"10.1111/gcb.13544","ISBN":"0031107044","ISSN":"13652486","PMID":"27801532","abstract":"Climate influences forests directly and indirectly through disturbance. The interaction of climate change and increasing area burned has the potential to alter forest composition and community assembly. However, the overall forest response is likely to be influenced by species-specific responses to environmental change and the scale of change in overstory species cover. In this study, we sought to quantify how projected changes in climate and large wildfire size would alter forest communities and carbon (C) dynamics, irrespective of competition from non-tree species and potential changes in other fire regimes, across the Sierra Nevada, USA. We used a species-specific, spatially explicit forest landscape model (LANDIS-II) to evaluate forest response to climate-wildfire interactions under historical (baseline) climate and climate projections from three climate models (GFDL, CCSM3 and CNRM) forced by a medium-high emission scenario (A2) in combination with corresponding climate-specific large wildfire projections. By late-century, we found modest changes in the spatial distribution of dominant species by biomass relative to baseline, but extensive changes in recruitment distribution. Although forest recruitment declined across much of the Sierra, we found that projected climate and wildfire favored the recruitment of more drought-tolerant species over less drought-tolerant species relative to baseline, and this change was greatest at mid-elevations. We also found that projected climate and wildfire decreased tree species richness across a large proportion of the study area and transitioned more area to a C source, which reduced landscape-level C sequestration potential. Our study, although a conservative estimate, suggests that by late-century forest community distributions may not change as intact units as predicted by biome-based modeling, but are likely to trend toward simplified community composition as communities gradually disaggregate and the least tolerant species are no longer able to establish. The potential exists for substantial community composition change and forest simplification beyond this century. This article is protected by copyright. All rights reserved.","author":[{"dropping-particle":"","family":"Liang","given":"Shuang","non-dropping-particle":"","parse-names":false,"suffix":""},{"dropping-particle":"","family":"Hurteau","given":"Matthew D.","non-dropping-particle":"","parse-names":false,"suffix":""},{"dropping-particle":"","family":"Westerling","given":"Anthony Le Roy","non-dropping-particle":"","parse-names":false,"suffix":""}],"container-title":"Global Change Biology","id":"ITEM-4","issue":"5","issued":{"date-parts":[["2017"]]},"page":"2016-2030","title":"Response of Sierra Nevada forests to projected climate–wildfire interactions","type":"article-journal","volume":"23"},"uris":["http://www.mendeley.com/documents/?uuid=95e80256-d063-44e8-861b-837b7593c46b"]}],"mendeley":{"formattedCitation":"(Alizadeh et al., 2021; Liang et al., 2017; Westerling et al., 2006, 2011)","plainTextFormattedCitation":"(Alizadeh et al., 2021; Liang et al., 2017; Westerling et al., 2006, 2011)","previouslyFormattedCitation":"(Alizadeh et al., 2021; Liang et al., 2017; Westerling et al., 2006, 2011)"},"properties":{"noteIndex":0},"schema":"https://github.com/citation-style-language/schema/raw/master/csl-citation.json"}</w:instrText>
      </w:r>
      <w:r w:rsidR="0066579A">
        <w:fldChar w:fldCharType="separate"/>
      </w:r>
      <w:r w:rsidR="0066579A" w:rsidRPr="0066579A">
        <w:rPr>
          <w:noProof/>
        </w:rPr>
        <w:t xml:space="preserve">(Alizadeh et al., 2021; Liang et al., 2017; Westerling et al., 2006, </w:t>
      </w:r>
      <w:r w:rsidR="0066579A" w:rsidRPr="0066579A">
        <w:rPr>
          <w:noProof/>
        </w:rPr>
        <w:lastRenderedPageBreak/>
        <w:t>2011)</w:t>
      </w:r>
      <w:r w:rsidR="0066579A">
        <w:fldChar w:fldCharType="end"/>
      </w:r>
      <w:r>
        <w:t>. The mixed conifer forests (MCF) which are extensive throughout the Sierra Nevada, Klamath, and Cascades mountain ranges were historically preserved by a regime of high frequency and mixed severity wildfires</w:t>
      </w:r>
      <w:r w:rsidR="0066579A">
        <w:t xml:space="preserve"> </w:t>
      </w:r>
      <w:r w:rsidR="00C02089">
        <w:fldChar w:fldCharType="begin" w:fldLock="1"/>
      </w:r>
      <w:r w:rsidR="00C02089">
        <w:instrText>ADDIN CSL_CITATION {"citationItems":[{"id":"ITEM-1","itemData":{"DOI":"10.1016/j.foreco.2016.01.034","ISSN":"03781127","abstract":"Increasingly, objectives for forests with moderate- or mixed-severity fire regimes are to restore successionally diverse landscapes that are resistant and resilient to current and future stressors. Maintaining native species and characteristic processes requires this successional diversity, but methods to achieve it are poorly explained in the literature. In the Inland Pacific US, large, old, early seral trees were a key historical feature of many young and old forest successional patches, especially where fires frequently occurred. Large, old trees are naturally fire-tolerant, but today are often threatened by dense understory cohorts that create fuel ladders that alter likely post-fire successional pathways. Reducing these understories can contribute to resistance by creating conditions where canopy trees will survive disturbances and climatic stressors; these survivors are important seed sources, soil protectors, and critical habitat elements. Historical timber harvesting has skewed tree size and age class distributions, created hard edges, and altered native patch sizes. Manipulating these altered forests to promote development of larger patches of older, larger, and more widely-spaced trees with diverse understories will increase landscape resistance to severe fires, and enhance wildlife habitat for underrepresented conditions.Closed-canopy, multi-layered patches that develop in hot, dry summer environments are vulnerable to droughts, and they increase landscape vulnerability to insect outbreaks and severe wildfires. These same patches provide habitat for species such as the northern spotted owl, which has benefited from increased habitat area. Regional and local planning will be critical for gauging risks, evaluating trade-offs, and restoring dynamics that can support these and other species. The goal will be to manage for heterogeneous landscapes that include variably-sized patches of (1) young, middle-aged, and old, closed-canopy forests growing in upper montane, northerly aspect, and valley bottom settings, (2) a similar diversity of open-canopy, fire-tolerant patches growing on ridgetops, southerly aspects, and lower montane settings, and (3) significant montane chaparral and grassland areas. Tools to achieve this goal include managed wildfire, prescribed burning, and variable density thinning at small to large scales. Specifics on \"how much and where?\" will vary according to physiographic, topographic and historical templates, and regulatory …","author":[{"dropping-particle":"","family":"Hessburg","given":"Paul F.","non-dropping-particle":"","parse-names":false,"suffix":""},{"dropping-particle":"","family":"Spies","given":"Thomas A.","non-dropping-particle":"","parse-names":false,"suffix":""},{"dropping-particle":"","family":"Perry","given":"David A.","non-dropping-particle":"","parse-names":false,"suffix":""},{"dropping-particle":"","family":"Skinner","given":"Carl N.","non-dropping-particle":"","parse-names":false,"suffix":""},{"dropping-particle":"","family":"Taylor","given":"Alan H.","non-dropping-particle":"","parse-names":false,"suffix":""},{"dropping-particle":"","family":"Brown","given":"Peter M.","non-dropping-particle":"","parse-names":false,"suffix":""},{"dropping-particle":"","family":"Stephens","given":"Scott L.","non-dropping-particle":"","parse-names":false,"suffix":""},{"dropping-particle":"","family":"Larson","given":"Andrew J.","non-dropping-particle":"","parse-names":false,"suffix":""},{"dropping-particle":"","family":"Churchill","given":"Derek J.","non-dropping-particle":"","parse-names":false,"suffix":""},{"dropping-particle":"","family":"Povak","given":"Nicholas A.","non-dropping-particle":"","parse-names":false,"suffix":""},{"dropping-particle":"","family":"Singleton","given":"Peter H.","non-dropping-particle":"","parse-names":false,"suffix":""},{"dropping-particle":"","family":"McComb","given":"Brenda","non-dropping-particle":"","parse-names":false,"suffix":""},{"dropping-particle":"","family":"Zielinski","given":"William J.","non-dropping-particle":"","parse-names":false,"suffix":""},{"dropping-particle":"","family":"Collins","given":"Brandon M.","non-dropping-particle":"","parse-names":false,"suffix":""},{"dropping-particle":"","family":"Salter","given":"R. Brion","non-dropping-particle":"","parse-names":false,"suffix":""},{"dropping-particle":"","family":"Keane","given":"John J.","non-dropping-particle":"","parse-names":false,"suffix":""},{"dropping-particle":"","family":"Franklin","given":"Jerry F.","non-dropping-particle":"","parse-names":false,"suffix":""},{"dropping-particle":"","family":"Riegel","given":"Greg","non-dropping-particle":"","parse-names":false,"suffix":""}],"container-title":"Forest Ecology and Management","id":"ITEM-1","issued":{"date-parts":[["2016"]]},"page":"221-250","publisher":"Elsevier B.V.","title":"Tamm Review: Management of mixed-severity fire regime forests in Oregon, Washington, and Northern California","type":"article-journal","volume":"366"},"uris":["http://www.mendeley.com/documents/?uuid=dcb615f9-320f-4ed4-9c01-338995dd9133"]},{"id":"ITEM-2","itemData":{"author":[{"dropping-particle":"","family":"Safford","given":"Hugh D.","non-dropping-particle":"","parse-names":false,"suffix":""},{"dropping-particle":"","family":"Stevens","given":"Jens T.","non-dropping-particle":"","parse-names":false,"suffix":""}],"container-title":"Gen. Tech. Rep. PSW-GTR-2562","id":"ITEM-2","issue":"October","issued":{"date-parts":[["2017"]]},"page":"1-151","title":"Natural Range of Variation (NRV) for yellow pine and mixed conifer forests in the bioregional assessment area, including the Sierra Nevada, southern Cascades, and Modoc and Inyo National Forests","type":"article-journal"},"uris":["http://www.mendeley.com/documents/?uuid=865d47ce-7aba-4ed2-802c-803bb9610f75"]}],"mendeley":{"formattedCitation":"(Hessburg et al., 2016; Safford &amp; Stevens, 2017)","plainTextFormattedCitation":"(Hessburg et al., 2016; Safford &amp; Stevens, 2017)","previouslyFormattedCitation":"(Hessburg et al., 2016; Safford &amp; Stevens, 2017)"},"properties":{"noteIndex":0},"schema":"https://github.com/citation-style-language/schema/raw/master/csl-citation.json"}</w:instrText>
      </w:r>
      <w:r w:rsidR="00C02089">
        <w:fldChar w:fldCharType="separate"/>
      </w:r>
      <w:r w:rsidR="00C02089" w:rsidRPr="00C02089">
        <w:rPr>
          <w:noProof/>
        </w:rPr>
        <w:t>(Hessburg et al., 2016; Safford &amp; Stevens, 2017)</w:t>
      </w:r>
      <w:r w:rsidR="00C02089">
        <w:fldChar w:fldCharType="end"/>
      </w:r>
      <w:r>
        <w:t>. Today, that regime has been replaced by one of infrequent high severity wildfires as warming conditions and densified structure overwhelm the ability of fire-suppressed forests to resist wildfire</w:t>
      </w:r>
      <w:r w:rsidR="00C02089">
        <w:t xml:space="preserve"> </w:t>
      </w:r>
      <w:r w:rsidR="00C02089">
        <w:fldChar w:fldCharType="begin" w:fldLock="1"/>
      </w:r>
      <w:r w:rsidR="00C13FE5">
        <w:instrText>ADDIN CSL_CITATION {"citationItems":[{"id":"ITEM-1","itemData":{"author":[{"dropping-particle":"","family":"North","given":"Malcolm","non-dropping-particle":"","parse-names":false,"suffix":""},{"dropping-particle":"","family":"Stine","given":"Peter","non-dropping-particle":"","parse-names":false,"suffix":""},{"dropping-particle":"","family":"O'Hara","given":"Kevin","non-dropping-particle":"","parse-names":false,"suffix":""},{"dropping-particle":"","family":"Zielinski","given":"William","non-dropping-particle":"","parse-names":false,"suffix":""},{"dropping-particle":"","family":"Stephens","given":"Scott","non-dropping-particle":"","parse-names":false,"suffix":""},{"dropping-particle":"","family":"Service","given":"Forest","non-dropping-particle":"","parse-names":false,"suffix":""},{"dropping-particle":"","family":"Hara","given":"Kevin O","non-dropping-particle":"","parse-names":false,"suffix":""}],"container-title":"USDA Forest Service, Pacific Southwest Research Station, General Technical Report","id":"ITEM-1","issue":"March","issued":{"date-parts":[["2009"]]},"page":"PSW-GTR-220","title":"An ecosystem management strategy for Sierran mixed- conifer forests","type":"article-journal"},"uris":["http://www.mendeley.com/documents/?uuid=94819ab6-04af-446d-9075-82ab2aa22223"]},{"id":"ITEM-2","itemData":{"DOI":"10.1890/ES14-00224.1","ISSN":"21508925","abstract":"© 2015 Steel et al.Fire is one of the most important natural disturbance processes in the western United States and ecosystems differ markedly with respect to their ecological and evolutionary relationships with fire. Reference fire regimes in forested ecosystems can be categorized along a gradient ranging from \"fuellimited\" to \"climate-limited\" where the former types are often characterized by frequent, lower-severity wildfires and the latter by infrequent, more severe wildfires. Using spatial data on fire severity from 1984- 2011 and metrics related to fire frequency, we tested how divergence from historic (pre-Euroamerican settlement) fire frequencies due to a century of fire suppression influences rates of high-severity fire in five forest types in California. With some variation among bioregions, our results suggest that fires in forest types characterized by fuel-limited fire regimes (e.g., yellow pine and mixed conifer forest) tend to burn with greater proportions of high-severity fire as either time since last fire or the mean modern fire return interval (FRI) increases. Two intermediate fire regime types (mixed evergreen and bigcone Douglas-fir) showed a similar relationship between fire frequency and fire severity. However, red fir and redwood forests, which are characterized by more climate-limited fire regimes, did not show significant positive relationships between FRI and fire severity. This analysis provides strong evidence that for fuel-limited fire regimes, lack of fire leads to increasing rates of high-severity burning. Our study also substantiates the general validity of \"fuel-limited\" vs. \"climate-limited\" explanations of differing patterns of fire effects and response in forest types of the western US.","author":[{"dropping-particle":"","family":"Steel","given":"Zachary L.","non-dropping-particle":"","parse-names":false,"suffix":""},{"dropping-particle":"","family":"Safford","given":"Hugh D.","non-dropping-particle":"","parse-names":false,"suffix":""},{"dropping-particle":"","family":"Viers","given":"Joshua H.","non-dropping-particle":"","parse-names":false,"suffix":""}],"container-title":"Ecosphere","id":"ITEM-2","issue":"1","issued":{"date-parts":[["2015"]]},"title":"The fire frequency-severity relationship and the legacy of fire suppression in California forests http://www.esajournals.org/doi/pdf/10.1890/ES14-00224.1","type":"article-journal","volume":"6"},"uris":["http://www.mendeley.com/documents/?uuid=9d2c7c0c-064a-4863-9f06-884564b74dfa"]},{"id":"ITEM-3","itemData":{"DOI":"10.1016/j.foreco.2017.08.051","ISSN":"03781127","abstract":"Stand-replacing fire has profound ecological impacts in conifer forests, yet there is continued uncertainty over how best to describe the scale of stand-replacing effects within individual fires, and how these effects are changing over time. In forests where regeneration following stand-replacing fire depends on seed dispersal from surviving trees, the size and shape of stand-replacing patches are critical metrics that are difficult to describe and often overlooked. We used a novel, recently-developed metric that describes the amount of stand-replacing area within a given distance of a live-tree patch edge, in order to compare fires that may be otherwise similar in fire size or the percentage of stand-replacing effects. Specifically, we analyzed 477 fires in California pine, fir, and mixed-conifer forests between 1984 and 2015 and asked whether this metric, the stand-replacing decay coefficient (SDC), has changed over time, whether it is affected by fire management, and how it responds to extreme weather conditions at the time of the fire. Mean annual SDC became smaller over time (significantly so in the Sierra Nevada region), indicating that stand-replacing patches became larger and more regularly shaped. The decrease in SDC was particularly pronounced in the years since 2011. While SDC is correlated with percent high-severity, it is able to distinguish fires of comparable percent high-severity but different spatial pattern, with fires managed for suppression having smaller SDC than fires managed for resource benefit. Similarly, fires managed by the US Forest Service had smaller SDC than fires managed by the National Park Service. Fire weather also played an important role, with higher maximum temperatures generally associated with smaller SDC values. SDC is useful for comparing fires because it is associated with more conventional metrics such as percent high-severity, but also incorporates a measure of regeneration potential – distance to surviving trees at stand-replacement patch edges – which is a biological legacy that directly affects the resilience of forests to increasingly frequent and severe fire disturbances. We estimate that from 1984 to 2015, over 80,000 ha of forestland burned with stand-replacing effects greater than 120 m in from patch edges, denoting areas vulnerable to extended conifer forest loss due to dispersal limitation. Managing unplanned ignitions under less extreme weather conditions can achieve beneficial “fine-grained” effec…","author":[{"dropping-particle":"","family":"Stevens","given":"Jens T.","non-dropping-particle":"","parse-names":false,"suffix":""},{"dropping-particle":"","family":"Collins","given":"Brandon M.","non-dropping-particle":"","parse-names":false,"suffix":""},{"dropping-particle":"","family":"Miller","given":"Jay D.","non-dropping-particle":"","parse-names":false,"suffix":""},{"dropping-particle":"","family":"North","given":"Malcolm P.","non-dropping-particle":"","parse-names":false,"suffix":""},{"dropping-particle":"","family":"Stephens","given":"Scott L.","non-dropping-particle":"","parse-names":false,"suffix":""}],"container-title":"Forest Ecology and Management","id":"ITEM-3","issue":"August","issued":{"date-parts":[["2017"]]},"page":"28-36","publisher":"Elsevier","title":"Changing spatial patterns of stand-replacing fire in California conifer forests","type":"article-journal","volume":"406"},"uris":["http://www.mendeley.com/documents/?uuid=908d85b3-bfb1-4876-9ecb-e56affbf1b8a"]},{"id":"ITEM-4","itemData":{"author":[{"dropping-particle":"","family":"Stephens","given":"Scott","non-dropping-particle":"","parse-names":false,"suffix":""},{"dropping-particle":"","family":"Lydersen","given":"Jamie","non-dropping-particle":"","parse-names":false,"suffix":""},{"dropping-particle":"","family":"Collins","given":"Brandon","non-dropping-particle":"","parse-names":false,"suffix":""},{"dropping-particle":"","family":"Fry","given":"Danny","non-dropping-particle":"","parse-names":false,"suffix":""}],"container-title":"Ecosphere","id":"ITEM-4","issue":"May","issued":{"date-parts":[["2015"]]},"note":"Has the actual surveyor's notes in the appendix, would be an interesting thing to poke at with language-processing","page":"1-63","title":"Historical and current landscape-scale ponderosa pine and mixed conifer forest structure in the Southern Sierra Nevada","type":"article-journal","volume":"6"},"uris":["http://www.mendeley.com/documents/?uuid=391ec200-2601-4bef-8a9b-b6d1e45be8c8"]},{"id":"ITEM-5","itemData":{"DOI":"10.1111/avsc.12049","ISBN":"1402-2001","ISSN":"14022001","abstract":"QuestionsWhat were the characteristics of pre-Anglo-American (reference)\\nforests before logging, grazing and fire exclusion, and how have they\\nchanged? What were the structural characteristics of canopy and surface\\nfuels and potential fire behaviour in reference forests, and how do they\\ncompare to contemporary forests? How might information from reference\\nconditions be used to inform current restoration and management\\npractices?\\nLocationLake Tahoe Basin in the Sierra Nevada, California and Nevada,\\nUSA.\\nMethodsTree species composition, size structure, basal area, density,\\nsurface and canopy fuels, and potential fire behaviour were quantified\\nfor reference and contemporary conditions in 32 stands. This was\\naccomplished by integrating field measurements and dendroecological\\ntechniques with vegetation and fire behaviour simulation models.\\nResultsContemporary Jeffrey pine and mixed conifer forests had more\\ntrees, more basal area, smaller trees and a different size structure\\nthan the reference forest. Contemporary red fir and lodgepole pine\\nforests also had more and smaller trees, but basal areas were similar to\\nthe reference. Red fir forests also shifted in composition towards\\nlodgepole pine. Vegetation and fire models indicate that contemporary\\nJeffrey pine and mixed conifer forests have higher flame length, rates\\nof spread, lower crowning and torching indices, and more passive crown\\nfire than the reference forests. In contrast, contemporary red fir and\\nlodgepole pine forests only had lower crowning and torching indices, and\\nflame length and rate of spread were only higher with extreme weather\\nand high surface fuel load.\\nConclusionsContemporary Jeffrey pine and mixed conifer forests deviate\\nthe most from the reference, and restoration objectives for these\\nforests should emphasize density and basal area reduction of smaller\\ndiameter stems. Restoration objectives for red fir should shift species\\ncomposition and reduce basal area by thinning smaller diameter lodgepole\\npine. For lodgepole pine forests, restoration objectives should include\\nreduction of density and basal area of smaller diameter stems. Fire or\\nother surface fuel treatments will be needed in all the forests to\\nmaintain lower fuel loads, albeit at different time intervals.","author":[{"dropping-particle":"","family":"Taylor","given":"Alan H.","non-dropping-particle":"","parse-names":false,"suffix":""},{"dropping-particle":"","family":"Vandervlugt","given":"Anna M.","non-dropping-particle":"","parse-names":false,"suffix":""},{"dropping-particle":"","family":"Maxwell","given":"R. Stockton","non-dropping-particle":"","parse-names":false,"suffix":""},{"dropping-particle":"","family":"Beaty","given":"Robert M.","non-dropping-particle":"","parse-names":false,"suffix":""},{"dropping-particle":"","family":"Airey Lauvaux","given":"Catherine","non-dropping-particle":"","parse-names":false,"suffix":""},{"dropping-particle":"","family":"Skinner","given":"Carl N.","non-dropping-particle":"","parse-names":false,"suffix":""}],"container-title":"Applied Vegetation Science","id":"ITEM-5","issue":"1","issued":{"date-parts":[["2014"]]},"page":"17-31","title":"Changes in forest structure, fuels and potential fire behaviour since 1873 in the Lake Tahoe Basin, USA","type":"article-journal","volume":"17"},"uris":["http://www.mendeley.com/documents/?uuid=42e4b084-ec98-4eac-898c-bd832487478c"]}],"mendeley":{"formattedCitation":"(North et al., 2009; Steel et al., 2015; S. Stephens et al., 2015; Stevens et al., 2017; Taylor et al., 2014)","plainTextFormattedCitation":"(North et al., 2009; Steel et al., 2015; S. Stephens et al., 2015; Stevens et al., 2017; Taylor et al., 2014)","previouslyFormattedCitation":"(North et al., 2009; Steel et al., 2015; S. Stephens et al., 2015; Stevens et al., 2017; Taylor et al., 2014)"},"properties":{"noteIndex":0},"schema":"https://github.com/citation-style-language/schema/raw/master/csl-citation.json"}</w:instrText>
      </w:r>
      <w:r w:rsidR="00C02089">
        <w:fldChar w:fldCharType="separate"/>
      </w:r>
      <w:r w:rsidR="00C13FE5" w:rsidRPr="00C13FE5">
        <w:rPr>
          <w:noProof/>
        </w:rPr>
        <w:t>(North et al., 2009; Steel et al., 2015; S. Stephens et al., 2015; Stevens et al., 2017; Taylor et al., 2014)</w:t>
      </w:r>
      <w:r w:rsidR="00C02089">
        <w:fldChar w:fldCharType="end"/>
      </w:r>
      <w:r>
        <w:t>. These changes threaten the stability of mixed conifer forests to persist throughout much of their former range</w:t>
      </w:r>
      <w:r w:rsidR="00C02089">
        <w:t xml:space="preserve"> </w:t>
      </w:r>
      <w:r w:rsidR="00C02089">
        <w:fldChar w:fldCharType="begin" w:fldLock="1"/>
      </w:r>
      <w:r w:rsidR="003776ED">
        <w:instrText>ADDIN CSL_CITATION {"citationItems":[{"id":"ITEM-1","itemData":{"DOI":"10.1016/j.foreco.2015.12.016","ISBN":"0378-1127","ISSN":"03781127","abstract":"Understanding how alternative vegetation types co-exist in a landscape is important in managing for biodiversity within an ecosystem. In California, mixed conifer forest is often interrupted by stands of shrubs known as montane chaparral. The development of chaparral stands following recent high severity or stand-replacing wildfires in mixed conifer forests has been well documented. Fire has been excluded from mixed conifer forests for over a century, and fuel loads are at historically high levels across much of this landscape. Despite contemporary post-fire research on mixed conifer forest, little is known about montane chaparral fire regimes or forest-chaparral dynamics in an ecosystem with a functioning fire regime. This study quantifies fire regimes in chaparral and adjacent forest and determines how chaparral responded to fire before fire exclusion in Lassen Volcanic National Park, California, a park that was never logged. Chaparral stems regenerated immediately after high severity fires in the 19th and early 20th century, and stem recruitment continued until the present. Fire return intervals in chaparral were longer than in adjacent forest (25 years vs. 11 years), and chaparral fires occurred during drier, potentially more extreme conditions. The apparent maintenance of stands of chaparral by less frequent, more severe fires suggests chaparral represents a self-reinforcing alternative stable state to forest. Following fire exclusion, chaparral stands gradually converted to forest as trees progressively invaded chaparral from the forest edge. Forest developing in chaparral is denser and more fir-enriched than the adjacent forest, similar to the understory that develops beneath a pine overstory following fire exclusion. Replacement of chaparral by forest reduces mixed conifer forest landscape diversity. However, the mixture of shrubs and trees in long unburned former chaparral is likely to burn with high severity effects in a subsequent fire. Since chaparral is also establishing in recent, very large high severity burn patches, chaparral extent may be expanding in the new configuration. If the decades needed for trees to invade from forest at the edge of severe burns exceed the fire return interval, chaparral may emerge as an alternative stable state to forest. Consequently, developing management strategies to increase resilience of mixed conifer forests to altered fire regimes is a pressing management challenge.","author":[{"dropping-particle":"","family":"Airey Lauvaux","given":"Catherine","non-dropping-particle":"","parse-names":false,"suffix":""},{"dropping-particle":"","family":"Skinner","given":"Carl N.","non-dropping-particle":"","parse-names":false,"suffix":""},{"dropping-particle":"","family":"Taylor","given":"Alan H.","non-dropping-particle":"","parse-names":false,"suffix":""}],"container-title":"Forest Ecology and Management","id":"ITEM-1","issued":{"date-parts":[["2016"]]},"page":"74-85","publisher":"Elsevier B.V.","title":"High severity fire and mixed conifer forest-chaparral dynamics in the southern Cascade Range, USA","type":"article-journal","volume":"363"},"uris":["http://www.mendeley.com/documents/?uuid=882a9d10-5cf8-4556-a43b-389d9a4ffec1"]},{"id":"ITEM-2","itemData":{"DOI":"10.1111/1365-2745.13764","ISSN":"13652745","abstract":"Wildfire can both promote and erode resilience to future disturbances in fire-adapted ecosystems. Through a combination of past fire exclusion and climate change, fire patterns and successional trajectories are shifting with potentially negative consequences for forest resilience. In particular, high-severity short-interval reburns can lead to permanent transitions from forested to persistent non-forested ecosystems. To test conditions under which wildfires promote resilience or initiate vegetation transitions we leveraged high-resolution LiDAR data, field data and a natural experiment where two uncharacteristically severe wildfires burned the same area in California's Sierra Nevada mountains. Specifically, we evaluate what factors influence resistance to high-severity reburn and whether early forest recovery is evident following vegetation transition. Our findings indicate that topography and vegetative structure influenced resistance to high-severity effects of a second wildfire and that environmental heterogeneity played an important role. Forests that survived the initial burn were most resistant to subsequent high-severity fire when they were characterized by relatively dense but heterogeneous upper strata and a sparse understorey, located in variable and mesic terrain and burned under milder fire weather conditions. Early seral vegetation was most likely to resist repeat high-severity fire and potentially continue post-fire forest recovery when it was located in variable and mesic terrain and was characterized by relatively sparse understorey vegetation and a heterogeneous subcanopy. Some early seral areas that reburned at lower severity showed signs of conifer forest recovery. Vegetation structure and composition of areas that repeatedly burned at high severity are consistent with a transition to persistent shrubland or hardwood forests. Synthesis. Short-interval reburns close to historical fire intervals but of unusually high burn severity can create challenges for maintaining resilient forests, as sequential fires can expand upon and stabilize non-forest vegetation. However, forest communities that survive such disturbances appear partially restored with increased structural heterogeneity and greater resistance to future high-severity fire. If climate and fire regime trends continue, we are likely to see broadscale shifts towards vegetation types and species able to recover quickly from high-severity fire at the expense of forests and species r…","author":[{"dropping-particle":"","family":"Steel","given":"Zachary L.","non-dropping-particle":"","parse-names":false,"suffix":""},{"dropping-particle":"","family":"Foster","given":"Daniel","non-dropping-particle":"","parse-names":false,"suffix":""},{"dropping-particle":"","family":"Coppoletta","given":"Michelle","non-dropping-particle":"","parse-names":false,"suffix":""},{"dropping-particle":"","family":"Lydersen","given":"Jamie M.","non-dropping-particle":"","parse-names":false,"suffix":""},{"dropping-particle":"","family":"Stephens","given":"Scott L.","non-dropping-particle":"","parse-names":false,"suffix":""},{"dropping-particle":"","family":"Paudel","given":"Asha","non-dropping-particle":"","parse-names":false,"suffix":""},{"dropping-particle":"","family":"Markwith","given":"Scott H.","non-dropping-particle":"","parse-names":false,"suffix":""},{"dropping-particle":"","family":"Merriam","given":"Kyle","non-dropping-particle":"","parse-names":false,"suffix":""},{"dropping-particle":"","family":"Collins","given":"Brandon M.","non-dropping-particle":"","parse-names":false,"suffix":""}],"container-title":"Journal of Ecology","id":"ITEM-2","issue":"9","issued":{"date-parts":[["2021"]]},"page":"3340-3355","title":"Ecological resilience and vegetation transition in the face of two successive large wildfires","type":"article-journal","volume":"109"},"uris":["http://www.mendeley.com/documents/?uuid=96294441-e94e-443d-975a-3cec5894c612"]},{"id":"ITEM-3","itemData":{"DOI":"10.1890/15-0225","ISBN":"9788578110796","ISSN":"10510761","PMID":"25246403","abstract":"In areas where fire regimes and forest structure have been dramatically altered, there is increasing concern that contemporary fires have the potential to set forests on a positive feedback trajectory with successive reburns, one in which extensive stand-replacing fire could promote more stand-replacing fire. Our study utilized an extensive set of field plots established following four fires that occurred between 2000 and 2010 in the northern Sierra Nevada, California, USA that were subsequently reburned in 2012. The information obtained from these field plots allowed for a unique set of analyses investigating the effect of vegetation, fuels, topography, fire weather, and forest management on reburn severity. We also examined the influence of initial fire severity and time since initial fire on influential predictors of reburn severity. Our results suggest that high-to moderate-severity fire in the initial fires led to an increase in standing snags and shrub vegetation, which in combination with severe fire weather promoted high-severity fire effects in the subsequent reburn. Although fire behavior is largely driven by weather, our study demonstrates that post-fire vegetation composition and structure are also important drivers of reburn severity. In the face of changing climatic regimes and increases in extreme fire weather, these results may provide managers with options to create more fire-resilient ecosystems. In areas where frequent high-severity fire is undesirable, management activities such as thinning, prescribed fire, or managed wildland fire can be used to moderate fire behavior not only prior to initial fires, but also before subsequent reburns.","author":[{"dropping-particle":"","family":"Coppoletta","given":"Michelle","non-dropping-particle":"","parse-names":false,"suffix":""},{"dropping-particle":"","family":"Merriam","given":"Kyle E.","non-dropping-particle":"","parse-names":false,"suffix":""},{"dropping-particle":"","family":"Collins","given":"Brandon M.","non-dropping-particle":"","parse-names":false,"suffix":""}],"container-title":"Ecological Applications","id":"ITEM-3","issue":"3","issued":{"date-parts":[["2016"]]},"page":"686-699","title":"Post-fire vegetation and fuel development influences fire severity patterns in reburns","type":"article-journal","volume":"26"},"uris":["http://www.mendeley.com/documents/?uuid=7536f6f5-1802-4141-9f50-6f8acc769fd5"]},{"id":"ITEM-4","itemData":{"DOI":"10.1093/biosci/biaa061","ISSN":"15253244","abstract":"Changing disturbance regimes and climate can overcome forest ecosystem resilience. Following high-severity fire, forest recovery may be compromised by lack of tree seed sources, warmer and drier postfire climate, or short-interval reburning. A potential outcome of the loss of resilience is the conversion of the prefire forest to a different forest type or nonforest vegetation. Conversion implies major, extensive, and enduring changes in dominant species, life forms, or functions, with impacts on ecosystem services. In the present article, we synthesize a growing body of evidence of fire-driven conversion and our understanding of its causes across western North America. We assess our capacity to predict conversion and highlight important uncertainties. Increasing forest vulnerability to changing fire activity and climate compels shifts in management approaches, and we propose key themes for applied research coproduced by scientists and managers to support decision-making in an era when the prefire forest may not return.","author":[{"dropping-particle":"","family":"Coop","given":"Jonathan D.","non-dropping-particle":"","parse-names":false,"suffix":""},{"dropping-particle":"","family":"Parks","given":"Sean A.","non-dropping-particle":"","parse-names":false,"suffix":""},{"dropping-particle":"","family":"Stevens-Rumann","given":"Camille S.","non-dropping-particle":"","parse-names":false,"suffix":""},{"dropping-particle":"","family":"Crausbay","given":"Shelley D.","non-dropping-particle":"","parse-names":false,"suffix":""},{"dropping-particle":"","family":"Higuera","given":"Philip E.","non-dropping-particle":"","parse-names":false,"suffix":""},{"dropping-particle":"","family":"Hurteau","given":"Matthew D.","non-dropping-particle":"","parse-names":false,"suffix":""},{"dropping-particle":"","family":"Tepley","given":"Alan","non-dropping-particle":"","parse-names":false,"suffix":""},{"dropping-particle":"","family":"Whitman","given":"Ellen","non-dropping-particle":"","parse-names":false,"suffix":""},{"dropping-particle":"","family":"Assal","given":"Timothy","non-dropping-particle":"","parse-names":false,"suffix":""},{"dropping-particle":"","family":"Collins","given":"Brandon M.","non-dropping-particle":"","parse-names":false,"suffix":""},{"dropping-particle":"","family":"Davis","given":"Kimberley T.","non-dropping-particle":"","parse-names":false,"suffix":""},{"dropping-particle":"","family":"Dobrowski","given":"Solomon","non-dropping-particle":"","parse-names":false,"suffix":""},{"dropping-particle":"","family":"Falk","given":"Donald A.","non-dropping-particle":"","parse-names":false,"suffix":""},{"dropping-particle":"","family":"Fornwalt","given":"Paula J.","non-dropping-particle":"","parse-names":false,"suffix":""},{"dropping-particle":"","family":"Fulé","given":"Peter Z.","non-dropping-particle":"","parse-names":false,"suffix":""},{"dropping-particle":"","family":"Harvey","given":"Brian J.","non-dropping-particle":"","parse-names":false,"suffix":""},{"dropping-particle":"","family":"Kane","given":"Van R.","non-dropping-particle":"","parse-names":false,"suffix":""},{"dropping-particle":"","family":"Littlefield","given":"Caitlin E.","non-dropping-particle":"","parse-names":false,"suffix":""},{"dropping-particle":"","family":"Margolis","given":"Ellis Q.","non-dropping-particle":"","parse-names":false,"suffix":""},{"dropping-particle":"","family":"North","given":"Malcolm","non-dropping-particle":"","parse-names":false,"suffix":""},{"dropping-particle":"","family":"Parisien","given":"Marc André","non-dropping-particle":"","parse-names":false,"suffix":""},{"dropping-particle":"","family":"Prichard","given":"Susan","non-dropping-particle":"","parse-names":false,"suffix":""},{"dropping-particle":"","family":"Rodman","given":"Kyle C.","non-dropping-particle":"","parse-names":false,"suffix":""}],"container-title":"BioScience","id":"ITEM-4","issue":"8","issued":{"date-parts":[["2020"]]},"page":"659-673","title":"Wildfire-Driven Forest Conversion in Western North American Landscapes","type":"article-journal","volume":"70"},"uris":["http://www.mendeley.com/documents/?uuid=4c19d33d-7ce8-44c4-b892-af9da5f5c49d"]}],"mendeley":{"formattedCitation":"(Airey Lauvaux et al., 2016; Coop et al., 2020; Coppoletta et al., 2016; Steel et al., 2021)","plainTextFormattedCitation":"(Airey Lauvaux et al., 2016; Coop et al., 2020; Coppoletta et al., 2016; Steel et al., 2021)","previouslyFormattedCitation":"(Airey Lauvaux et al., 2016; Coop et al., 2020; Coppoletta et al., 2016; Steel et al., 2021)"},"properties":{"noteIndex":0},"schema":"https://github.com/citation-style-language/schema/raw/master/csl-citation.json"}</w:instrText>
      </w:r>
      <w:r w:rsidR="00C02089">
        <w:fldChar w:fldCharType="separate"/>
      </w:r>
      <w:r w:rsidR="00C02089" w:rsidRPr="00C02089">
        <w:rPr>
          <w:noProof/>
        </w:rPr>
        <w:t>(Airey Lauvaux et al., 2016; Coop et al., 2020; Coppoletta et al., 2016; Steel et al., 2021)</w:t>
      </w:r>
      <w:r w:rsidR="00C02089">
        <w:fldChar w:fldCharType="end"/>
      </w:r>
      <w:r>
        <w:t>.</w:t>
      </w:r>
    </w:p>
    <w:p w14:paraId="15FCCBE4" w14:textId="551FA9BC" w:rsidR="00DE6364" w:rsidRDefault="00DE6364" w:rsidP="008659A7">
      <w:pPr>
        <w:spacing w:line="480" w:lineRule="auto"/>
      </w:pPr>
      <w:r>
        <w:tab/>
        <w:t>Amid these macro-scale concerns, there is evidence for the importance of fine-scale patterns of forest fuels (submeter to tens of meters) in shaping combustion processes that drive fire behavior and effects</w:t>
      </w:r>
      <w:r w:rsidR="003776ED">
        <w:t xml:space="preserve"> </w:t>
      </w:r>
      <w:r w:rsidR="003776ED">
        <w:fldChar w:fldCharType="begin" w:fldLock="1"/>
      </w:r>
      <w:r w:rsidR="003776ED">
        <w:instrText>ADDIN CSL_CITATION {"citationItems":[{"id":"ITEM-1","itemData":{"DOI":"10.1071/WF08084","ISSN":"10498001","abstract":"In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Fire","id":"ITEM-1","issue":"3","issued":{"date-parts":[["2009"]]},"page":"315-325","title":"The wildland fuel cell concept: An approach to characterize fine-scale variation in fuels and fire in frequently burned longleaf pine forests","type":"article-journal","volume":"18"},"uris":["http://www.mendeley.com/documents/?uuid=6f8567da-7181-432d-aa9a-197ac76d4988"]},{"id":"ITEM-2","itemData":{"DOI":"10.1071/WF13160","ISSN":"10498001","abstract":"In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Fire","id":"ITEM-2","issue":"7","issued":{"date-parts":[["2014"]]},"page":"1016-1026","title":"High-resolution observations of combustion in heterogeneous surface fuels","type":"article-journal","volume":"23"},"uris":["http://www.mendeley.com/documents/?uuid=b9181b0d-9ea6-46be-8ca6-50cf15d6433e"]},{"id":"ITEM-3","itemData":{"DOI":"10.1016/j.foreco.2013.07.030","ISSN":"03781127","abstract":"Fine-scale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Management","id":"ITEM-3","issued":{"date-parts":[["2013"]]},"page":"54-63","publisher":"Elsevier B.V.","title":"Fine-scale variation in surface fire environment and legume germination in the longleaf pine ecosystem","type":"article-journal","volume":"310"},"uris":["http://www.mendeley.com/documents/?uuid=4f0ee189-e62d-466a-ad78-ed85943aa84c"]}],"mendeley":{"formattedCitation":"(Hiers et al., 2009; Loudermilk et al., 2014; Wiggers et al., 2013)","plainTextFormattedCitation":"(Hiers et al., 2009; Loudermilk et al., 2014; Wiggers et al., 2013)","previouslyFormattedCitation":"(Hiers et al., 2009; Loudermilk et al., 2014; Wiggers et al., 2013)"},"properties":{"noteIndex":0},"schema":"https://github.com/citation-style-language/schema/raw/master/csl-citation.json"}</w:instrText>
      </w:r>
      <w:r w:rsidR="003776ED">
        <w:fldChar w:fldCharType="separate"/>
      </w:r>
      <w:r w:rsidR="003776ED" w:rsidRPr="003776ED">
        <w:rPr>
          <w:noProof/>
        </w:rPr>
        <w:t>(Hiers et al., 2009; Loudermilk et al., 2014; Wiggers et al., 2013)</w:t>
      </w:r>
      <w:r w:rsidR="003776ED">
        <w:fldChar w:fldCharType="end"/>
      </w:r>
      <w:r>
        <w:t>. Forest fuels are the live and dead biomass which is combusted during fire events</w:t>
      </w:r>
      <w:r w:rsidR="003776ED">
        <w:t xml:space="preserve"> </w:t>
      </w:r>
      <w:r w:rsidR="003776ED">
        <w:fldChar w:fldCharType="begin" w:fldLock="1"/>
      </w:r>
      <w:r w:rsidR="00A25EB7">
        <w:instrText>ADDIN CSL_CITATION {"citationItems":[{"id":"ITEM-1","itemData":{"ISBN":"9788578110796","ISSN":"1098-6596","PMID":"25246403","author":[{"dropping-particle":"","family":"Keane","given":"Robert E.","non-dropping-particle":"","parse-names":false,"suffix":""}],"container-title":"Journal of Chemical Information and Modeling","id":"ITEM-1","issue":"9","issued":{"date-parts":[["2015"]]},"title":"Wildland Fuel Fundamentals and Application","type":"book","volume":"53"},"uris":["http://www.mendeley.com/documents/?uuid=347d69aa-24de-4770-ae9d-dd922bdd4d31"]}],"mendeley":{"formattedCitation":"(Keane, 2015)","plainTextFormattedCitation":"(Keane, 2015)","previouslyFormattedCitation":"(Keane, 2015)"},"properties":{"noteIndex":0},"schema":"https://github.com/citation-style-language/schema/raw/master/csl-citation.json"}</w:instrText>
      </w:r>
      <w:r w:rsidR="003776ED">
        <w:fldChar w:fldCharType="separate"/>
      </w:r>
      <w:r w:rsidR="00C13FE5" w:rsidRPr="00C13FE5">
        <w:rPr>
          <w:noProof/>
        </w:rPr>
        <w:t>(Keane, 2015)</w:t>
      </w:r>
      <w:r w:rsidR="003776ED">
        <w:fldChar w:fldCharType="end"/>
      </w:r>
      <w:r w:rsidR="003333BA">
        <w:t>, and their fine scale pattern affect combustion processes in numerous ways</w:t>
      </w:r>
      <w:r>
        <w:t xml:space="preserve">. </w:t>
      </w:r>
      <w:r w:rsidR="003333BA">
        <w:t>For example, s</w:t>
      </w:r>
      <w:r>
        <w:t>ubmeter scale gaps in fuel can be sufficient to stop forward progress of a flaming front</w:t>
      </w:r>
      <w:r w:rsidR="003776ED">
        <w:t xml:space="preserve"> </w:t>
      </w:r>
      <w:r w:rsidR="003776ED">
        <w:fldChar w:fldCharType="begin" w:fldLock="1"/>
      </w:r>
      <w:r w:rsidR="003776ED">
        <w:instrText>ADDIN CSL_CITATION {"citationItems":[{"id":"ITEM-1","itemData":{"DOI":"10.1071/WF07177","ISSN":"10498001","abstract":"Many fuel beds, especially live vegetation canopies (conifer forests, shrub fields, bunch-grasses) contain gaps between vegetation clumps. Fires burning in these fuel types often display thresholds for spread that are observed to depend on environmental factors like wind, slope, and fuel moisture content. To investigate threshold spread behaviours, we conducted a set of laboratory burn experiments in artificial fuel beds where gap structure, depth, and slope were controlled. Results revealed that fire spread was limited by gap distance and that the threshold distance for spread was increased for deeper fuel beds and steeper slopes. The reasons for this behaviour were found using a high-speed thermal camera. Flame movements recorded by the camera at 120 Hz suggested fuel particles experience intermittent bathing of non-steady flames before ignition and that fuel particles across the gap ignited only after direct flame contact. The images also showed that the flame profile within the fuel bed expands with height, producing greater horizontal flame displacement in deeper beds. Slope, thus, enhances spread by increasing the effective depth in the uphill direction, which produces wider flames, and thereby increases the potential flame contact. This information suggests that fire spread across discontinuous fuel beds is dependent on the vertical flame profile geometry within the fuel bed and the statistical properties of flame characteristics. © 2010 IAWF.","author":[{"dropping-particle":"","family":"Finney","given":"Mark A.","non-dropping-particle":"","parse-names":false,"suffix":""},{"dropping-particle":"","family":"Cohen","given":"Jack D.","non-dropping-particle":"","parse-names":false,"suffix":""},{"dropping-particle":"","family":"Grenfell","given":"Isaac C.","non-dropping-particle":"","parse-names":false,"suffix":""},{"dropping-particle":"","family":"Yedinak","given":"Kara M.","non-dropping-particle":"","parse-names":false,"suffix":""}],"container-title":"International Journal of Wildland Fire","id":"ITEM-1","issue":"2","issued":{"date-parts":[["2010"]]},"page":"163-170","title":"An examination of fire spread thresholds in discontinuous fuel beds A","type":"article-journal","volume":"19"},"uris":["http://www.mendeley.com/documents/?uuid=cb6b9a94-a78c-43c8-bdc6-2b548cee3938"]}],"mendeley":{"formattedCitation":"(Finney et al., 2010)","plainTextFormattedCitation":"(Finney et al., 2010)","previouslyFormattedCitation":"(Finney et al., 2010)"},"properties":{"noteIndex":0},"schema":"https://github.com/citation-style-language/schema/raw/master/csl-citation.json"}</w:instrText>
      </w:r>
      <w:r w:rsidR="003776ED">
        <w:fldChar w:fldCharType="separate"/>
      </w:r>
      <w:r w:rsidR="003776ED" w:rsidRPr="003776ED">
        <w:rPr>
          <w:noProof/>
        </w:rPr>
        <w:t>(Finney et al., 2010)</w:t>
      </w:r>
      <w:r w:rsidR="003776ED">
        <w:fldChar w:fldCharType="end"/>
      </w:r>
      <w:r>
        <w:t>, and meter-scale experimental manipulation of surface fuels can significantly alter prescribed fire behavior and effects</w:t>
      </w:r>
      <w:r w:rsidR="003776ED">
        <w:t xml:space="preserve"> </w:t>
      </w:r>
      <w:r w:rsidR="003776ED">
        <w:fldChar w:fldCharType="begin" w:fldLock="1"/>
      </w:r>
      <w:r w:rsidR="003776ED">
        <w:instrText>ADDIN CSL_CITATION {"citationItems":[{"id":"ITEM-1","itemData":{"DOI":"10.1890/0012-9658(2006)87[1331:SFVAFI]2.0.CO;2","ISSN":"00129658","PMID":"16761611","abstract":"Small-scale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J.","non-dropping-particle":"","parse-names":false,"suffix":""}],"container-title":"Ecology","id":"ITEM-1","issue":"5","issued":{"date-parts":[["2006"]]},"page":"1331-1337","title":"Small-scale fuel variation alters fire intensity and shrub abundance in a pine savanna","type":"article-journal","volume":"87"},"uris":["http://www.mendeley.com/documents/?uuid=77642198-84f9-4355-880f-0fe62fc85062"]}],"mendeley":{"formattedCitation":"(Thaxton &amp; Platt, 2006)","plainTextFormattedCitation":"(Thaxton &amp; Platt, 2006)","previouslyFormattedCitation":"(Thaxton &amp; Platt, 2006)"},"properties":{"noteIndex":0},"schema":"https://github.com/citation-style-language/schema/raw/master/csl-citation.json"}</w:instrText>
      </w:r>
      <w:r w:rsidR="003776ED">
        <w:fldChar w:fldCharType="separate"/>
      </w:r>
      <w:r w:rsidR="003776ED" w:rsidRPr="003776ED">
        <w:rPr>
          <w:noProof/>
        </w:rPr>
        <w:t>(Thaxton &amp; Platt, 2006)</w:t>
      </w:r>
      <w:r w:rsidR="003776ED">
        <w:fldChar w:fldCharType="end"/>
      </w:r>
      <w:r>
        <w:t xml:space="preserve">. </w:t>
      </w:r>
      <w:r w:rsidR="003333BA">
        <w:t xml:space="preserve">Likewise, local (within 10m) density of trees affected the presence of small (1-900m2) patches of unburned refugia within a wildfire in a mixed conifer forest, and the survival of trees in refugia was significantly higher </w:t>
      </w:r>
      <w:r w:rsidR="003333BA">
        <w:fldChar w:fldCharType="begin" w:fldLock="1"/>
      </w:r>
      <w:r w:rsidR="003333BA">
        <w:instrText>ADDIN CSL_CITATION {"citationItems":[{"id":"ITEM-1","itemData":{"DOI":"10.1016/j.foreco.2018.10.038","ISSN":"03781127","author":[{"dropping-particle":"","family":"Blomdahl","given":"Erika M.","non-dropping-particle":"","parse-names":false,"suffix":""},{"dropping-particle":"","family":"Kolden","given":"Crystal A.","non-dropping-particle":"","parse-names":false,"suffix":""},{"dropping-particle":"","family":"Meddens","given":"Arjan J.H.","non-dropping-particle":"","parse-names":false,"suffix":""},{"dropping-particle":"","family":"Lutz","given":"James A.","non-dropping-particle":"","parse-names":false,"suffix":""}],"container-title":"Forest Ecology and Management","id":"ITEM-1","issue":"October 2018","issued":{"date-parts":[["2019"]]},"page":"1041-1052","publisher":"Elsevier","title":"The importance of small fire refugia in the central Sierra Nevada, California, USA","type":"article-journal","volume":"432"},"uris":["http://www.mendeley.com/documents/?uuid=f349fece-eedd-493c-892b-de5d4a558828"]}],"mendeley":{"formattedCitation":"(Blomdahl et al., 2019)","plainTextFormattedCitation":"(Blomdahl et al., 2019)","previouslyFormattedCitation":"(Blomdahl et al., 2019)"},"properties":{"noteIndex":0},"schema":"https://github.com/citation-style-language/schema/raw/master/csl-citation.json"}</w:instrText>
      </w:r>
      <w:r w:rsidR="003333BA">
        <w:fldChar w:fldCharType="separate"/>
      </w:r>
      <w:r w:rsidR="003333BA" w:rsidRPr="008C26D3">
        <w:rPr>
          <w:noProof/>
        </w:rPr>
        <w:t>(Blomdahl et al., 2019)</w:t>
      </w:r>
      <w:r w:rsidR="003333BA">
        <w:fldChar w:fldCharType="end"/>
      </w:r>
      <w:r w:rsidR="003333BA">
        <w:t xml:space="preserve">. </w:t>
      </w:r>
      <w:r>
        <w:t xml:space="preserve">Multiple studies have revealed the importance of fine-scale canopy fuel patterns in shaping fire behavior: The different </w:t>
      </w:r>
      <w:r w:rsidR="008A2AEE">
        <w:t>stem patterns resulting from varying silvicultural prescriptions have been shown to significantly affect modeled wildfire behavior</w:t>
      </w:r>
      <w:r w:rsidR="003776ED">
        <w:t xml:space="preserve"> </w:t>
      </w:r>
      <w:r w:rsidR="003776ED">
        <w:fldChar w:fldCharType="begin" w:fldLock="1"/>
      </w:r>
      <w:r w:rsidR="008C26D3">
        <w:instrText>ADDIN CSL_CITATION {"citationItems":[{"id":"ITEM-1","itemData":{"DOI":"10.1016/j.foreco.2016.12.002","ISSN":"03781127","abstract":"Restoration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Management","id":"ITEM-1","issued":{"date-parts":[["2017"]]},"note":"Fine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forests","type":"article-journal","volume":"386"},"uris":["http://www.mendeley.com/documents/?uuid=9f903940-4b19-4560-adec-0875debcebbb"]}],"mendeley":{"formattedCitation":"(Ziegler et al., 2017)","plainTextFormattedCitation":"(Ziegler et al., 2017)","previouslyFormattedCitation":"(Ziegler et al., 2017)"},"properties":{"noteIndex":0},"schema":"https://github.com/citation-style-language/schema/raw/master/csl-citation.json"}</w:instrText>
      </w:r>
      <w:r w:rsidR="003776ED">
        <w:fldChar w:fldCharType="separate"/>
      </w:r>
      <w:r w:rsidR="003776ED" w:rsidRPr="003776ED">
        <w:rPr>
          <w:noProof/>
        </w:rPr>
        <w:t>(Ziegler et al., 2017)</w:t>
      </w:r>
      <w:r w:rsidR="003776ED">
        <w:fldChar w:fldCharType="end"/>
      </w:r>
      <w:r w:rsidR="008A2AEE">
        <w:t xml:space="preserve">, and the scale and strength of patchiness in canopy fuels significantly affected the spread rate of simulated wildfires </w:t>
      </w:r>
      <w:r w:rsidR="008C26D3">
        <w:fldChar w:fldCharType="begin" w:fldLock="1"/>
      </w:r>
      <w:r w:rsidR="008C26D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et al., 2021)","plainTextFormattedCitation":"(Atchley et al., 2021)","previouslyFormattedCitation":"(Atchley et al., 2021)"},"properties":{"noteIndex":0},"schema":"https://github.com/citation-style-language/schema/raw/master/csl-citation.json"}</w:instrText>
      </w:r>
      <w:r w:rsidR="008C26D3">
        <w:fldChar w:fldCharType="separate"/>
      </w:r>
      <w:r w:rsidR="008C26D3" w:rsidRPr="008C26D3">
        <w:rPr>
          <w:noProof/>
        </w:rPr>
        <w:t>(Atchley et al., 2021)</w:t>
      </w:r>
      <w:r w:rsidR="008C26D3">
        <w:fldChar w:fldCharType="end"/>
      </w:r>
      <w:r w:rsidR="008A2AEE">
        <w:t>.</w:t>
      </w:r>
      <w:r w:rsidR="003333BA">
        <w:t xml:space="preserve"> </w:t>
      </w:r>
    </w:p>
    <w:p w14:paraId="37653A4E" w14:textId="50BB0427" w:rsidR="008A2AEE" w:rsidRDefault="008A2AEE" w:rsidP="008659A7">
      <w:pPr>
        <w:spacing w:line="480" w:lineRule="auto"/>
      </w:pPr>
      <w:r>
        <w:tab/>
        <w:t xml:space="preserve">Fire and other ecological processes likewise shape the fine-scale spatial pattern of fuels, completing a pattern-process feedback loop between fire and fuels. Different disturbance regimes have </w:t>
      </w:r>
      <w:r>
        <w:lastRenderedPageBreak/>
        <w:t>been shown to result in an array of characteristic patterns of individual trees, clumps, and openings</w:t>
      </w:r>
      <w:r w:rsidR="008C26D3">
        <w:t xml:space="preserve"> </w:t>
      </w:r>
      <w:r w:rsidR="008C26D3">
        <w:fldChar w:fldCharType="begin" w:fldLock="1"/>
      </w:r>
      <w:r w:rsidR="008C26D3">
        <w:instrText xml:space="preserve">ADDIN CSL_CITATION {"citationItems":[{"id":"ITEM-1","itemData":{"DOI":"10.1016/j.foreco.2018.12.016","ISSN":"03781127","abstract":"Knowledge of how tree groups and gaps are formed and maintained in frequent-fire forests is key to managing for heterogeneous and resilient forest conditions. This research quantifies changes in tree group and gap spatial structure and abundance of ponderosa pine (Pinus ponderosa) and California black oak (Quercus kelloggii) with stand development after wildfires in 1990 and 1994 in an old-growth forest in the Ishi Wilderness, southern Cascades, California. Forest demography and tree group and gap structure were quantified by measuring, mapping, and aging trees in six 1-ha permanent plots in 2000 and 2016. Tree recruitment, mortality, and growth were estimated using demographic models and spatial characteristics including gap structure were identified using an inter-tree distance algorithm and the empty space function. Potential fire behavior and effects in 2016 were estimated to determine if the current forest would be resilient to a wildfire in the near future. Stand density and basal area in both 2000 and 2016 resembled reference conditions for pre-fire suppression frequent-fire forests in the western United States. Wildfires initially promoted California black oak regeneration via sprouting, but oak regeneration from seed declined relative to ponderosa pine over the post-fire period. In 2000, </w:instrText>
      </w:r>
      <w:r w:rsidR="008C26D3">
        <w:rPr>
          <w:rFonts w:ascii="Cambria Math" w:hAnsi="Cambria Math" w:cs="Cambria Math"/>
        </w:rPr>
        <w:instrText>∼</w:instrText>
      </w:r>
      <w:r w:rsidR="008C26D3">
        <w:instrText>15% of trees were classified as single tree groups and an average tree group had 6 trees (range 2</w:instrText>
      </w:r>
      <w:r w:rsidR="008C26D3">
        <w:rPr>
          <w:rFonts w:ascii="Calibri" w:hAnsi="Calibri" w:cs="Calibri"/>
        </w:rPr>
        <w:instrText>–</w:instrText>
      </w:r>
      <w:r w:rsidR="008C26D3">
        <w:instrText>38) which increased to 9 trees (range 2</w:instrText>
      </w:r>
      <w:r w:rsidR="008C26D3">
        <w:rPr>
          <w:rFonts w:ascii="Calibri" w:hAnsi="Calibri" w:cs="Calibri"/>
        </w:rPr>
        <w:instrText>–</w:instrText>
      </w:r>
      <w:r w:rsidR="008C26D3">
        <w:instrText>240) in 2016. Small groups (2</w:instrText>
      </w:r>
      <w:r w:rsidR="008C26D3">
        <w:rPr>
          <w:rFonts w:ascii="Calibri" w:hAnsi="Calibri" w:cs="Calibri"/>
        </w:rPr>
        <w:instrText>–</w:instrText>
      </w:r>
      <w:r w:rsidR="008C26D3">
        <w:instrText xml:space="preserve">4 trees) had similar-aged trees while larger groups were multi-aged. By 2016, single tree groups decreased by </w:instrText>
      </w:r>
      <w:r w:rsidR="008C26D3">
        <w:rPr>
          <w:rFonts w:ascii="Cambria Math" w:hAnsi="Cambria Math" w:cs="Cambria Math"/>
        </w:rPr>
        <w:instrText>∼</w:instrText>
      </w:r>
      <w:r w:rsidR="008C26D3">
        <w:instrText>30%, and the size, density, and intensity of clustering within tree groups increased, with an average tree group size of 9 (range 2</w:instrText>
      </w:r>
      <w:r w:rsidR="008C26D3">
        <w:rPr>
          <w:rFonts w:ascii="Calibri" w:hAnsi="Calibri" w:cs="Calibri"/>
        </w:rPr>
        <w:instrText>–</w:instrText>
      </w:r>
      <w:r w:rsidR="008C26D3">
        <w:instrText>240) in 2016. Rates of post-fire regeneration, particularly the high rate for ponderosa pine, drove spatial dynamics in tree group and gap structure. Although the size and frequency of canopy gaps were similar in 2000 and 2016, the density of seedlings and saplings in gaps was higher in 2016, and large gaps were being fragmented by gap filling. Potential fire behavior predicted surface fire and low overstory tree mortality, suggesting the current forest would be resilient to a wildfire. However, burning will be necessary in the future to reduce the demographic pressure of ponderosa pine, promote black oak, and to maintain and create future spatial heterogeneity. Cumulatively, this research demonstrates that wildland fires under certain conditions can mainta…","author":[{"dropping-particle":"","family":"Pawlikowski","given":"Natalie C.","non-dropping-particle":"","parse-names":false,"suffix":""},{"dropping-particle":"","family":"Coppoletta","given":"Michelle","non-dropping-particle":"","parse-names":false,"suffix":""},{"dropping-particle":"","family":"Knapp","given":"Eric","non-dropping-particle":"","parse-names":false,"suffix":""},{"dropping-particle":"","family":"Taylor","given":"Alan H.","non-dropping-particle":"","parse-names":false,"suffix":""}],"container-title":"Forest Ecology and Management","id":"ITEM-1","issue":"December 2018","issued":{"date-parts":[["2019"]]},"page":"289-302","publisher":"Elsevier","title":"Spatial dynamics of tree group and gap structure in an old-growth ponderosa pine-California black oak forest burned by repeated wildfires","type":"article-journal","volume":"434"},"uris":["http://www.mendeley.com/documents/?uuid=7f7acc8d-b9c5-4613-bbb6-f9e63a81cf26"]},{"id":"ITEM-2","itemData":{"DOI":"10.1016/j.foreco.2019.01.033","ISSN":"03781127","abstract":"Restoration of fire-dependent forests is often guided by reference conditions from forests with an active fire regime, thought to be resilient to current and future disturbances and stresses. Reference conditions are usually based on historical data or reconstruction, which greatly limits the scale and completeness of data that can be collected. In the Sierra Nevada of California, large areas with reintroduced active fire regimes coupled with extensive lidar data coverage provide the unique opportunity to develop a contemporary regional reference condition dataset across a wide gradient of biophysical conditions. We developed this dataset with a focus on three questions: (1) What is the geographic and environmental distribution of restored active-fire forest areas in the Sierra Nevada mixed-conifer zone? (2) What are the ranges of variation in forest structure and spatial patterns across reference areas? And (3) How do stand density, tree clumping, and canopy opening patterns vary by topography and climate in reference areas? We analyzed fire history and environmental conditions over 10.8 million ha, including 3.9 million ha in the Sierra Nevada mixed-conifer zone, and found 30,377 ha of restored active-fire areas. Although reference areas were distributed throughout the Sierra Nevada they were more abundant on National Park lands (81% of reference areas) than National Forest lands and were associated with higher lightning strike density. Lidar-measured ranges of variation in reference condition structure were broad, with tree densities of 6–320 trees ha −1 (median 107 trees ha −1 ), basal area of 0.01–113 m 2 ha −1 (median 21 m 2 ha −1 ), average size of closely associated clumps of trees from &gt;1 to 207 trees (median 3.1 trees), and average percent of stand area &gt;6 m from the nearest canopy ranging from 0% to 100% (median 5.1%). These ranges correspond well with past studies reporting density and spatial patterns of contemporary and historical active-fire reference stands in the Sierra Nevada, except this study observed greater total variation due to the much greater spatial extent of sampling. Within the montane forest zone, reference areas at middle elevations had lower density (86 vs. 121 trees ha −1 ), basal area, (13.7 vs. 31 m 2 ha −1 ), and mean clump size (2.7 vs. 4.0 trees) compared to lower- and higher-elevation reference areas, while ridgetops had lower density (101 vs. 115 trees ha −1 ), basal area (19.6 vs. 24.1 m 2 ha −1 ), and mean clump…","author":[{"dropping-particle":"","family":"Jeronimo","given":"Sean M.A.","non-dropping-particle":"","parse-names":false,"suffix":""},{"dropping-particle":"","family":"Kane","given":"Van R.","non-dropping-particle":"","parse-names":false,"suffix":""},{"dropping-particle":"","family":"Churchill","given":"Derek J.","non-dropping-particle":"","parse-names":false,"suffix":""},{"dropping-particle":"","family":"Lutz","given":"James A.","non-dropping-particle":"","parse-names":false,"suffix":""},{"dropping-particle":"","family":"North","given":"Malcolm P.","non-dropping-particle":"","parse-names":false,"suffix":""},{"dropping-particle":"","family":"Asner","given":"Gregory P.","non-dropping-particle":"","parse-names":false,"suffix":""},{"dropping-particle":"","family":"Franklin","given":"Jerry F.","non-dropping-particle":"","parse-names":false,"suffix":""}],"container-title":"Forest Ecology and Management","id":"ITEM-2","issue":"January","issued":{"date-parts":[["2019"]]},"page":"70-86","publisher":"Elsevier","title":"Forest structure and pattern vary by climate and landform across active-fire landscapes in the montane Sierra Nevada","type":"article-journal","volume":"437"},"uris":["http://www.mendeley.com/documents/?uuid=0d5f8703-e146-42cb-987e-9e72d576e7f5"]},{"id":"ITEM-3","itemData":{"DOI":"10.1016/j.foreco.2013.05.023","ISBN":"0378-1127","ISSN":"03781127","abstract":"Fire suppression and past logging have dramatically altered forest conditions in many areas, but changes to within-stand tree spatial patterns over time are not as well understood. The few studies available suggest that variability in tree spatial patterns is an important structural feature of forests with intact frequent fire regimes that should be incorporated in restoration prescriptions. We used a rare dataset consisting of mapped locations for all trees ≥10 cm in three 4-ha plots in 1929 before logging and in 2007/2008, 78 and 79 years after logging, to assess changes in three spatial components of forest structure: individual trees, tree clusters and gaps. Comparing 1929 old growth to modern conditions, area in gaps decreased from 20% to zero, the percentage of stems that were single trees from 6% to 2% and in small or medium clumps (2-9 trees) from 28% to 9%, while trees in large clumps (≥10 trees) increased from 66% to 89%. Concurrent with these changes, canopy cover increased from 45% to 62%, and the average number of trees in a clump increased from 11 to 26, resulting in much more homogenous conditions across the stand. These changes also altered tree size and species associations within different structural groups (i.e., single tree, small, medium and large clumps). In an effort to account for the alteration of the fire regime that had already taken place in 1929 (the last fire recorded in tree rings was in 1889) we also analyzed spatial patterns of 1929 conditions removing all trees &lt;25 cm. In this analysis, 35% of the plot area was in gaps and canopy cover averaged 36%. Tree clusters had an average of 5.2 trees per clump, with 13% of trees being singles, 30% in small clumps, 24% in medium clumps and 33% in large clumps. Our results provide metrics that quantify spatial patterns and composition of individual trees, tree clumps, and gaps under the historical fire regime that may be useful to forest managers. Our study demonstrates that the contemporary forest is more homogeneous than it was historically, and variability that likely provided diverse microclimate and habitat conditions and fostered resilience to a variety of stressors and disturbances such as fire, insects and drought has been lost. Future management may benefit from restoring these structural components. © 2013.","author":[{"dropping-particle":"","family":"Lydersen","given":"Jamie M.","non-dropping-particle":"","parse-names":false,"suffix":""},{"dropping-particle":"","family":"North","given":"Malcolm P.","non-dropping-particle":"","parse-names":false,"suffix":""},{"dropping-particle":"","family":"Knapp","given":"Eric E.","non-dropping-particle":"","parse-names":false,"suffix":""},{"dropping-particle":"","family":"Collins","given":"Brandon M.","non-dropping-particle":"","parse-names":false,"suffix":""}],"container-title":"Forest Ecology and Management","id":"ITEM-3","issued":{"date-parts":[["2013"]]},"page":"370-382","publisher":"Elsevier B.V.","title":"Quantifying spatial patterns of tree groups and gaps in mixed-conifer forests: Reference conditions and long-term changes following fire suppression and logging","type":"article-journal","volume":"304"},"uris":["http://www.mendeley.com/documents/?uuid=c1e6454c-f904-4e84-85bd-705ac7e2b5ea"]}],"mendeley":{"formattedCitation":"(Jeronimo et al., 2019; Lydersen et al., 2013; Pawlikowski et al., 2019)","plainTextFormattedCitation":"(Jeronimo et al., 2019; Lydersen et al., 2013; Pawlikowski et al., 2019)","previouslyFormattedCitation":"(Jeronimo et al., 2019; Lydersen et al., 2013; Pawlikowski et al., 2019)"},"properties":{"noteIndex":0},"schema":"https://github.com/citation-style-language/schema/raw/master/csl-citation.json"}</w:instrText>
      </w:r>
      <w:r w:rsidR="008C26D3">
        <w:fldChar w:fldCharType="separate"/>
      </w:r>
      <w:r w:rsidR="008C26D3" w:rsidRPr="008C26D3">
        <w:rPr>
          <w:noProof/>
        </w:rPr>
        <w:t>(Jeronimo et al., 2019; Lydersen et al., 2013; Pawlikowski et al., 2019)</w:t>
      </w:r>
      <w:r w:rsidR="008C26D3">
        <w:fldChar w:fldCharType="end"/>
      </w:r>
      <w:r w:rsidR="008C26D3">
        <w:t xml:space="preserve">. </w:t>
      </w:r>
      <w:r>
        <w:t>The strength and scale of spatial autocorrelation of surface fuel com</w:t>
      </w:r>
      <w:r w:rsidR="008C26D3">
        <w:t>ponent</w:t>
      </w:r>
      <w:r>
        <w:t xml:space="preserve">s (duff, litter, fine woody debris, and coarse woody debris) has been found to vary across ecosystems </w:t>
      </w:r>
      <w:r w:rsidR="008C26D3">
        <w:fldChar w:fldCharType="begin" w:fldLock="1"/>
      </w:r>
      <w:r w:rsidR="00A25EB7">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Gray, Bacciu, et al., 2012)","plainTextFormattedCitation":"(Keane, Gray, Bacciu, et al., 2012)","previouslyFormattedCitation":"(Keane, Gray, Bacciu, et al., 2012)"},"properties":{"noteIndex":0},"schema":"https://github.com/citation-style-language/schema/raw/master/csl-citation.json"}</w:instrText>
      </w:r>
      <w:r w:rsidR="008C26D3">
        <w:fldChar w:fldCharType="separate"/>
      </w:r>
      <w:r w:rsidR="00C13FE5" w:rsidRPr="00C13FE5">
        <w:rPr>
          <w:noProof/>
        </w:rPr>
        <w:t>(Keane, Gray, Bacciu, et al., 2012)</w:t>
      </w:r>
      <w:r w:rsidR="008C26D3">
        <w:fldChar w:fldCharType="end"/>
      </w:r>
      <w:r>
        <w:t xml:space="preserve"> and with disturbance history </w:t>
      </w:r>
      <w:r w:rsidR="008C26D3">
        <w:fldChar w:fldCharType="begin" w:fldLock="1"/>
      </w:r>
      <w:r w:rsidR="008C26D3">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Mountains","type":"article-journal","volume":"25"},"uris":["http://www.mendeley.com/documents/?uuid=cfb10ea1-44b5-4fff-a379-6df1fcad2bc6"]}],"mendeley":{"formattedCitation":"(Vakili et al., 2016)","plainTextFormattedCitation":"(Vakili et al., 2016)","previouslyFormattedCitation":"(Vakili et al., 2016)"},"properties":{"noteIndex":0},"schema":"https://github.com/citation-style-language/schema/raw/master/csl-citation.json"}</w:instrText>
      </w:r>
      <w:r w:rsidR="008C26D3">
        <w:fldChar w:fldCharType="separate"/>
      </w:r>
      <w:r w:rsidR="008C26D3" w:rsidRPr="008C26D3">
        <w:rPr>
          <w:noProof/>
        </w:rPr>
        <w:t>(Vakili et al., 2016)</w:t>
      </w:r>
      <w:r w:rsidR="008C26D3">
        <w:fldChar w:fldCharType="end"/>
      </w:r>
      <w:r>
        <w:t xml:space="preserve">. The surface fuels under individual trees vary according to the characteristics of those trees, including their size, crown condition, and whether they have been killed by bark beetles </w:t>
      </w:r>
      <w:r w:rsidR="008C26D3">
        <w:fldChar w:fldCharType="begin" w:fldLock="1"/>
      </w:r>
      <w:r w:rsidR="0091549D">
        <w:instrText>ADDIN CSL_CITATION {"citationItems":[{"id":"ITEM-1","itemData":{"DOI":"10.1016/j.foreco.2020.118789","ISSN":"03781127","abstract":"Mountain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Management","id":"ITEM-1","issue":"November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ponderosae)","type":"article-journal","volume":"482"},"uris":["http://www.mendeley.com/documents/?uuid=a046a0cf-eec4-4ca2-8be4-32fa9e8a8db1"]},{"id":"ITEM-2","itemData":{"ISSN":"0015749X","abstract":"Fire suppression has produced large forest floor fuel loads in many coniferous forests in western North America. This study describes spatial patterns of duff consumption in a mixed-conifer forest in the north-central Sierra Nevada, California. Overstory crown coverage was correlated to spatial patterns of duff depth after prescribed fire. On one site that was burned under dry conditions, almost all duff was consumed, with some remaining in overstory gaps. On a second site that was burned under moist conditions a few days after the first annual precipitation, strong spatial patterns of duff consumption were recorded with increasing distance from the base of the nearest overstory tree, the probability of duff remaining after prescribed fire increased significantly. There is strong evidence that spatial variation of precipitation throughfall resulted in higher duff moisture in gaps, whereas duff beneath crown cover was drier, and therefore, totally consumed. This study demonstrates that including a spatial component in a process-based duff consumption model would improve the accuracy of fire-effect predictions. Copyright © 2005 by the Society of American Foresters.","author":[{"dropping-particle":"","family":"Hille","given":"Marco G.","non-dropping-particle":"","parse-names":false,"suffix":""},{"dropping-particle":"","family":"Stephens","given":"Scott L.","non-dropping-particle":"","parse-names":false,"suffix":""}],"container-title":"Forest Science","id":"ITEM-2","issue":"5","issued":{"date-parts":[["2005"]]},"page":"417-424","title":"Mixed conifer forest duff consumption during prescribed fires: Tree crown impacts","type":"article-journal","volume":"51"},"uris":["http://www.mendeley.com/documents/?uuid=6c187e1d-88e3-4bb1-81e0-eb711cc92411"]}],"mendeley":{"formattedCitation":"(Gray et al., 2021; Hille &amp; Stephens, 2005)","plainTextFormattedCitation":"(Gray et al., 2021; Hille &amp; Stephens, 2005)","previouslyFormattedCitation":"(Gray et al., 2021; Hille &amp; Stephens, 2005)"},"properties":{"noteIndex":0},"schema":"https://github.com/citation-style-language/schema/raw/master/csl-citation.json"}</w:instrText>
      </w:r>
      <w:r w:rsidR="008C26D3">
        <w:fldChar w:fldCharType="separate"/>
      </w:r>
      <w:r w:rsidR="006F38E1" w:rsidRPr="006F38E1">
        <w:rPr>
          <w:noProof/>
        </w:rPr>
        <w:t>(Gray et al., 2021; Hille &amp; Stephens, 2005)</w:t>
      </w:r>
      <w:r w:rsidR="008C26D3">
        <w:fldChar w:fldCharType="end"/>
      </w:r>
      <w:r w:rsidR="008C26D3">
        <w:t>.</w:t>
      </w:r>
      <w:r>
        <w:t xml:space="preserve"> Germination rates of different species can be altered by fine-scale variation in fuels and fire behavior, shaping the distribution and composition of post-fire vegetatio</w:t>
      </w:r>
      <w:r w:rsidR="00494FF9">
        <w:t xml:space="preserve">n </w:t>
      </w:r>
      <w:r w:rsidR="00494FF9">
        <w:fldChar w:fldCharType="begin" w:fldLock="1"/>
      </w:r>
      <w:r w:rsidR="00BF33BB">
        <w:instrText>ADDIN CSL_CITATION {"citationItems":[{"id":"ITEM-1","itemData":{"DOI":"10.1016/j.foreco.2013.07.030","ISSN":"03781127","abstract":"Fine-scale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Management","id":"ITEM-1","issued":{"date-parts":[["2013"]]},"page":"54-63","publisher":"Elsevier B.V.","title":"Fine-scale variation in surface fire environment and legume germination in the longleaf pine ecosystem","type":"article-journal","volume":"310"},"uris":["http://www.mendeley.com/documents/?uuid=4f0ee189-e62d-466a-ad78-ed85943aa84c"]}],"mendeley":{"formattedCitation":"(Wiggers et al., 2013)","plainTextFormattedCitation":"(Wiggers et al., 2013)","previouslyFormattedCitation":"(Wiggers et al., 2013)"},"properties":{"noteIndex":0},"schema":"https://github.com/citation-style-language/schema/raw/master/csl-citation.json"}</w:instrText>
      </w:r>
      <w:r w:rsidR="00494FF9">
        <w:fldChar w:fldCharType="separate"/>
      </w:r>
      <w:r w:rsidR="00494FF9" w:rsidRPr="00494FF9">
        <w:rPr>
          <w:noProof/>
        </w:rPr>
        <w:t>(Wiggers et al., 2013)</w:t>
      </w:r>
      <w:r w:rsidR="00494FF9">
        <w:fldChar w:fldCharType="end"/>
      </w:r>
      <w:r>
        <w:t>.</w:t>
      </w:r>
    </w:p>
    <w:p w14:paraId="4128CFB0" w14:textId="068AD528" w:rsidR="008A2AEE" w:rsidRDefault="008A2AEE" w:rsidP="008659A7">
      <w:pPr>
        <w:spacing w:line="480" w:lineRule="auto"/>
      </w:pPr>
      <w:r>
        <w:tab/>
      </w:r>
      <w:r w:rsidR="00F65DE2">
        <w:t>Given the importance of fine-scale heterogeneity in pattern-process feedbacks shaping the role of wildfire, an understanding of fine-scale spatial patterns and how they interact with disturbances is essential for management of mixed conifer forests</w:t>
      </w:r>
      <w:r w:rsidR="006822F4">
        <w:t xml:space="preserve"> </w:t>
      </w:r>
      <w:r w:rsidR="006822F4">
        <w:fldChar w:fldCharType="begin" w:fldLock="1"/>
      </w:r>
      <w:r w:rsidR="00B3629A">
        <w:instrText>ADDIN CSL_CITATION {"citationItems":[{"id":"ITEM-1","itemData":{"DOI":"10.1186/s42408-020-0070-8","ISSN":"19339747","abstract":"The realm of wildland fire science encompasses both wild and prescribed fires. Most of the research in the broader field has focused on wildfires, however, despite the prevalence of prescribed fires and demonstrated need for science to guide its application. We argue that prescribed fire science requires a fundamentally different approach to connecting related disciplines of physical, natural, and social sciences. We also posit that research aimed at questions relevant to prescribed fire will improve overall wildland fire science and stimulate the development of useful knowledge about managed wildfires. Because prescribed fires are increasingly promoted and applied for wildfire management and are intentionally ignited to meet policy and land manager objectives, a broader research agenda incorporating the unique features of prescribed fire is needed. We highlight the primary differences between prescribed fire science and wildfire science in the study of fuels, fire behavior, fire weather, fire effects, and fire social science. Wildfires managed for resource benefits (“managed wildfires”) offer a bridge for linking these science frameworks. A recognition of the unique science needs related to prescribed fire will be key to addressing the global challenge of managing wildland fire for long-term sustainability of natural resources.","author":[{"dropping-particle":"","family":"Hiers","given":"J. Kevin","non-dropping-particle":"","parse-names":false,"suffix":""},{"dropping-particle":"","family":"O’Brien","given":"Joseph J.","non-dropping-particle":"","parse-names":false,"suffix":""},{"dropping-particle":"","family":"Varner","given":"J. Morgan","non-dropping-particle":"","parse-names":false,"suffix":""},{"dropping-particle":"","family":"Butler","given":"Bret W.","non-dropping-particle":"","parse-names":false,"suffix":""},{"dropping-particle":"","family":"Dickinson","given":"Matthew","non-dropping-particle":"","parse-names":false,"suffix":""},{"dropping-particle":"","family":"Furman","given":"James","non-dropping-particle":"","parse-names":false,"suffix":""},{"dropping-particle":"","family":"Gallagher","given":"Michael","non-dropping-particle":"","parse-names":false,"suffix":""},{"dropping-particle":"","family":"Godwin","given":"David","non-dropping-particle":"","parse-names":false,"suffix":""},{"dropping-particle":"","family":"Goodrick","given":"Scott L.","non-dropping-particle":"","parse-names":false,"suffix":""},{"dropping-particle":"","family":"Hood","given":"Sharon M.","non-dropping-particle":"","parse-names":false,"suffix":""},{"dropping-particle":"","family":"Hudak","given":"Andrew","non-dropping-particle":"","parse-names":false,"suffix":""},{"dropping-particle":"","family":"Kobziar","given":"Leda N.","non-dropping-particle":"","parse-names":false,"suffix":""},{"dropping-particle":"","family":"Linn","given":"Rodman","non-dropping-particle":"","parse-names":false,"suffix":""},{"dropping-particle":"","family":"Loudermilk","given":"E. Louise","non-dropping-particle":"","parse-names":false,"suffix":""},{"dropping-particle":"","family":"McCaffrey","given":"Sarah","non-dropping-particle":"","parse-names":false,"suffix":""},{"dropping-particle":"","family":"Robertson","given":"Kevin","non-dropping-particle":"","parse-names":false,"suffix":""},{"dropping-particle":"","family":"Rowell","given":"Eric M.","non-dropping-particle":"","parse-names":false,"suffix":""},{"dropping-particle":"","family":"Skowronski","given":"Nicholas","non-dropping-particle":"","parse-names":false,"suffix":""},{"dropping-particle":"","family":"Watts","given":"Adam C.","non-dropping-particle":"","parse-names":false,"suffix":""},{"dropping-particle":"","family":"Yedinak","given":"Kara M.","non-dropping-particle":"","parse-names":false,"suffix":""}],"container-title":"Fire Ecology","id":"ITEM-1","issue":"1","issued":{"date-parts":[["2020"]]},"publisher":"Fire Ecology","title":"Prescribed fire science: the case for a refined research agenda","type":"article-journal","volume":"16"},"uris":["http://www.mendeley.com/documents/?uuid=d53299fd-593b-4b01-bd8e-2f4398e3c89b"]}],"mendeley":{"formattedCitation":"(Hiers et al., 2020)","plainTextFormattedCitation":"(Hiers et al., 2020)","previouslyFormattedCitation":"(Hiers et al., 2020)"},"properties":{"noteIndex":0},"schema":"https://github.com/citation-style-language/schema/raw/master/csl-citation.json"}</w:instrText>
      </w:r>
      <w:r w:rsidR="006822F4">
        <w:fldChar w:fldCharType="separate"/>
      </w:r>
      <w:r w:rsidR="006822F4" w:rsidRPr="006822F4">
        <w:rPr>
          <w:noProof/>
        </w:rPr>
        <w:t>(Hiers et al., 2020)</w:t>
      </w:r>
      <w:r w:rsidR="006822F4">
        <w:fldChar w:fldCharType="end"/>
      </w:r>
      <w:r w:rsidR="00F65DE2">
        <w:t xml:space="preserve">. However, because spatially explicit data describing surface fuels are costly to collect, there are important gaps </w:t>
      </w:r>
      <w:r w:rsidR="001610A6">
        <w:t>i</w:t>
      </w:r>
      <w:r w:rsidR="00F65DE2">
        <w:t>n our knowledge. This study addresses two outstanding questions:</w:t>
      </w:r>
    </w:p>
    <w:p w14:paraId="0B7D972F" w14:textId="4A171F9D" w:rsidR="00F65DE2" w:rsidRDefault="00F65DE2" w:rsidP="008659A7">
      <w:pPr>
        <w:pStyle w:val="ListParagraph"/>
        <w:numPr>
          <w:ilvl w:val="0"/>
          <w:numId w:val="1"/>
        </w:numPr>
        <w:spacing w:line="480" w:lineRule="auto"/>
        <w:ind w:firstLine="0"/>
      </w:pPr>
      <w:r>
        <w:t>What are the characteristics of the fine-scale spatial pattern of surface fuels in the Sierra Nevada mixed conifer forest ecosystem?</w:t>
      </w:r>
    </w:p>
    <w:p w14:paraId="4FA8E9E0" w14:textId="1FB6A832" w:rsidR="00DE6364" w:rsidRDefault="00F65DE2" w:rsidP="008659A7">
      <w:pPr>
        <w:pStyle w:val="ListParagraph"/>
        <w:numPr>
          <w:ilvl w:val="0"/>
          <w:numId w:val="1"/>
        </w:numPr>
        <w:spacing w:line="480" w:lineRule="auto"/>
        <w:ind w:firstLine="0"/>
      </w:pPr>
      <w:r>
        <w:t>What effects does prescribed fire have on the fine-scale spatial pattern of surface fuels?</w:t>
      </w:r>
    </w:p>
    <w:p w14:paraId="17D7DB3A" w14:textId="72CB397C" w:rsidR="000052BF" w:rsidRDefault="000052BF" w:rsidP="008659A7">
      <w:pPr>
        <w:pStyle w:val="Heading1"/>
        <w:spacing w:line="480" w:lineRule="auto"/>
      </w:pPr>
      <w:r>
        <w:t>M</w:t>
      </w:r>
      <w:r w:rsidR="007D2728">
        <w:t>aterials and methods</w:t>
      </w:r>
    </w:p>
    <w:p w14:paraId="4B283AD6" w14:textId="5AF1F290" w:rsidR="000052BF" w:rsidRDefault="00AF277E" w:rsidP="008659A7">
      <w:pPr>
        <w:pStyle w:val="Heading2"/>
        <w:spacing w:line="480" w:lineRule="auto"/>
      </w:pPr>
      <w:r>
        <w:t>Study site</w:t>
      </w:r>
    </w:p>
    <w:p w14:paraId="32F8EA3D" w14:textId="0B4FE0D6" w:rsidR="00AF277E" w:rsidRDefault="00F6127F" w:rsidP="008659A7">
      <w:pPr>
        <w:spacing w:line="480" w:lineRule="auto"/>
      </w:pPr>
      <w:r>
        <w:tab/>
        <w:t>The study site is located at Blodgett Forest Research Station, located near Georgetown, California, USA (</w:t>
      </w:r>
      <w:r w:rsidR="00137700">
        <w:t>38</w:t>
      </w:r>
      <w:r w:rsidR="00137700">
        <w:rPr>
          <w:rFonts w:cstheme="minorHAnsi"/>
        </w:rPr>
        <w:t>°</w:t>
      </w:r>
      <w:r w:rsidR="00137700">
        <w:t>54’45” N; 120</w:t>
      </w:r>
      <w:r w:rsidR="00137700">
        <w:rPr>
          <w:rFonts w:cstheme="minorHAnsi"/>
        </w:rPr>
        <w:t>°</w:t>
      </w:r>
      <w:r w:rsidR="00137700">
        <w:t>39’27” W</w:t>
      </w:r>
      <w:r>
        <w:t xml:space="preserve">) at approximately 1300 m elevation. Soils range in depth from 85 to 115 </w:t>
      </w:r>
      <w:proofErr w:type="gramStart"/>
      <w:r>
        <w:t>cm, and</w:t>
      </w:r>
      <w:proofErr w:type="gramEnd"/>
      <w:r>
        <w:t xml:space="preserve"> are composed of well-developed and drained sandy loam Ultic Haploxeralfs </w:t>
      </w:r>
      <w:r>
        <w:lastRenderedPageBreak/>
        <w:t>(Alfisols), with mean slopes generally &lt;30%. The climate is Mediterranean: A long dry-warm season with temperatures from 10-29</w:t>
      </w:r>
      <w:r w:rsidR="003333BA">
        <w:rPr>
          <w:rFonts w:cstheme="minorHAnsi"/>
        </w:rPr>
        <w:t xml:space="preserve">° </w:t>
      </w:r>
      <w:r>
        <w:t>C is followed by a cool-wet winter with temperatures 0-8</w:t>
      </w:r>
      <w:r w:rsidR="003333BA">
        <w:rPr>
          <w:rFonts w:cstheme="minorHAnsi"/>
        </w:rPr>
        <w:t>°</w:t>
      </w:r>
      <w:r w:rsidR="003333BA">
        <w:t xml:space="preserve"> </w:t>
      </w:r>
      <w:r>
        <w:t>C and approximately 160 cm</w:t>
      </w:r>
      <w:r w:rsidR="003333BA">
        <w:t xml:space="preserve"> per year</w:t>
      </w:r>
      <w:r>
        <w:t xml:space="preserve"> of precipitation falling mostly in the winter and spring </w:t>
      </w:r>
      <w:r w:rsidR="00BF33BB">
        <w:fldChar w:fldCharType="begin" w:fldLock="1"/>
      </w:r>
      <w:r w:rsidR="00BF33BB">
        <w:instrText>ADDIN CSL_CITATION {"citationItems":[{"id":"ITEM-1","itemData":{"DOI":"10.1139/x92-040","ISSN":"00455067","abstract":"Examined Pinus ponderosa needle litter during decomposition over 2 yr in the Sierra Nevada of California. Rates of mass loss were among the lowest reported for temperate and boreal forests, with annual decomposition constants of 0.08-0.18 yr-1 for old- and young-growth forests, respectively. The temporal separation of warm temperatures and moist conditions found in Mediterranean-type climates severely limits decomposition in these coniferous forests. In the old-growth forest comparison of estimates of tree nutrient uptake with net releases of nutrients from fine litter during their first-year of decomposition suggests that recent litter fall potentially acts as a significant source of P, Mg, and K for tree uptake in this forest; in contrast, recently fallen litter acts as a net sink for N, S, and Ca. Despite initially lower indices of litter quality for litter originating from the old-growth relative to the young-growth forest, no significant difference in decomposition rates of these two litter age-classes was found when placed at either site. -from Authors","author":[{"dropping-particle":"","family":"Hart","given":"S. C.","non-dropping-particle":"","parse-names":false,"suffix":""},{"dropping-particle":"","family":"Firestone","given":"M. K.","non-dropping-particle":"","parse-names":false,"suffix":""},{"dropping-particle":"","family":"Paul","given":"E. A.","non-dropping-particle":"","parse-names":false,"suffix":""}],"container-title":"Canadian Journal of Forest Research","id":"ITEM-1","issue":"3","issued":{"date-parts":[["1992"]]},"note":"used data from single species stands to fit regressions predicting litter and","page":"306-314","title":"Decomposition and nutrient dynamics of ponderosa pine needles in a Mediterranean-type climate","type":"article-journal","volume":"22"},"uris":["http://www.mendeley.com/documents/?uuid=201412d4-42d7-4d09-9ec6-2a1e1c8a6360"]},{"id":"ITEM-2","itemData":{"ISBN":"0029-344X","ISSN":"0029-344X","abstract":"Dendrochronology was used to quantify past fire regimes in mixed conifer forests in the north-central Sierra Nevada. Historic management activities, particularly railroad logging, severely limited the number of fire scar samples available. Fires were recorded between 1649 and 1921 and median point fire intervals, composite fire intervals at the 3-5 ha spatial scale, and composite fire intervals at the 9-15 ha spatial scale were 9-15, 6-14, and 5-10 yr. The seasonality of past fires in the north-central Sierra Nevada differs from that reported elsewhere, with the majority of fires occurring in latewood. There is a general trend of increasing latewood and growing season fires from the southern Cascades south to the southern Sierra Nevada. Superposed epoch analysis determined that widespread fires were significantly correlated to droughts the year of the fire, and in some cases, to a significantly wet year before the fire year. Fire return intervals are similar to those found in mixed conifer forests in the southern Cascades and southern Sierra Nevada but difference in the size of sampled areas complicates fire interval comparisons. In this study, we present fire statistics at several spatial scales and encourage others to do so. If all fire history research reported fire statistics at similar spatial scales it would allow for robust comparisons between diverse locations.","author":[{"dropping-particle":"","family":"Stephens","given":"S L","non-dropping-particle":"","parse-names":false,"suffix":""},{"dropping-particle":"","family":"Collins","given":"B M","non-dropping-particle":"","parse-names":false,"suffix":""}],"container-title":"Northwest Science","id":"ITEM-2","issue":"1","issued":{"date-parts":[["2004"]]},"page":"12-23","title":"Fire regimes of mixed conifer forests in the north-central Sierra Nevada at multiple spatial scales","type":"article-journal","volume":"78"},"uris":["http://www.mendeley.com/documents/?uuid=88fdb189-316a-4026-9a8d-c1df4f7a63a7"]},{"id":"ITEM-3","itemData":{"DOI":"10.1890/07-1755.1","ISBN":"1051-0761","ISSN":"1051-0761","PMID":"19323192","abstract":"Forest structure and species composition in many western U. S. coniferous forests have been altered through. re exclusion, past and ongoing harvesting practices, and livestock grazing over the 20th century. The effects of these activities have been most pronounced in seasonally dry, low and mid-elevation coniferous forests that once experienced frequent, low to moderate intensity,. re regimes. In this paper, we report the effects of Fire and Fire Surrogate (FFS) forest stand treatments on fuel load profiles, potential fire behavior, and fire severity under three weather scenarios from six western U. S. FFS sites. This replicated, multisite experiment provides a framework for drawing broad generalizations about the effectiveness of prescribed. re and mechanical treatments on surface fuel loads, forest structure, and potential. re severity. Mechanical treatments without. re resulted in combined 1-, 10-, and 100-hour surface fuel loads that were significantly greater than controls at three of five FFS sites. Canopy cover was significantly lower than controls at three of five FFS sites with mechanical-only treatments and at all five FFS sites with the mechanical plus burning treatment;. re-only treatments reduced canopy cover at only one site. For the combined treatment of mechanical plus. re, all five FFS sites with this treatment had a substantially lower likelihood of passive crown. re as indicated by the very high torching indices. FFS sites that experienced significant increases in 1-, 10-, and 100-hour combined surface fuel loads utilized harvest systems that left all activity fuels within experimental units. When mechanical treatments were followed by prescribed burning or pile burning, they were the most effective treatment for reducing crown fire potential and predicted tree mortality because of low surface fuel loads and increased vertical and horizontal canopy separation. Results indicate that mechanical plus fire, fire-only, and mechanical-only treatments using whole-tree harvest systems were all effective at reducing potential. re severity under severe. re weather conditions. Retaining the largest trees within stands also increased. re resistance.","author":[{"dropping-particle":"","family":"Stephens","given":"Scott L.","non-dropping-particle":"","parse-names":false,"suffix":""},{"dropping-particle":"","family":"Moghaddas","given":"Jason J.","non-dropping-particle":"","parse-names":false,"suffix":""},{"dropping-particle":"","family":"Edminster","given":"Carl","non-dropping-particle":"","parse-names":false,"suffix":""},{"dropping-particle":"","family":"Fiedler","given":"Carl E.","non-dropping-particle":"","parse-names":false,"suffix":""},{"dropping-particle":"","family":"Haase","given":"Sally","non-dropping-particle":"","parse-names":false,"suffix":""},{"dropping-particle":"","family":"Harrington","given":"Michael","non-dropping-particle":"","parse-names":false,"suffix":""},{"dropping-particle":"","family":"Keeley","given":"Jon E.","non-dropping-particle":"","parse-names":false,"suffix":""},{"dropping-particle":"","family":"Knapp","given":"Eric E.","non-dropping-particle":"","parse-names":false,"suffix":""},{"dropping-particle":"","family":"McIver","given":"James D.","non-dropping-particle":"","parse-names":false,"suffix":""},{"dropping-particle":"","family":"Metlen","given":"Kerry","non-dropping-particle":"","parse-names":false,"suffix":""},{"dropping-particle":"","family":"Skinner","given":"Carl N.","non-dropping-particle":"","parse-names":false,"suffix":""},{"dropping-particle":"","family":"Youngblood","given":"Andrew","non-dropping-particle":"","parse-names":false,"suffix":""}],"container-title":"Ecological Applications","id":"ITEM-3","issue":"2","issued":{"date-parts":[["2009"]]},"page":"305-320","title":"Fire Treatment Effects on Vegetation Structure , Fuels , and Potential Fire Severity in Western U . S . Forests","type":"article-journal","volume":"19"},"uris":["http://www.mendeley.com/documents/?uuid=3429606a-819b-4422-8620-ba8303282bca"]}],"mendeley":{"formattedCitation":"(Hart et al., 1992; S L Stephens &amp; Collins, 2004; Scott L. Stephens et al., 2009)","plainTextFormattedCitation":"(Hart et al., 1992; S L Stephens &amp; Collins, 2004; Scott L. Stephens et al., 2009)","previouslyFormattedCitation":"(Hart et al., 1992; S L Stephens &amp; Collins, 2004; Scott L. Stephens et al., 2009)"},"properties":{"noteIndex":0},"schema":"https://github.com/citation-style-language/schema/raw/master/csl-citation.json"}</w:instrText>
      </w:r>
      <w:r w:rsidR="00BF33BB">
        <w:fldChar w:fldCharType="separate"/>
      </w:r>
      <w:r w:rsidR="00BF33BB" w:rsidRPr="00BF33BB">
        <w:rPr>
          <w:noProof/>
        </w:rPr>
        <w:t>(Hart et al., 1992; S L Stephens &amp; Collins, 2004; Scott L. Stephens et al., 2009)</w:t>
      </w:r>
      <w:r w:rsidR="00BF33BB">
        <w:fldChar w:fldCharType="end"/>
      </w:r>
      <w:r>
        <w:t>.</w:t>
      </w:r>
      <w:r w:rsidR="00BF33BB">
        <w:t xml:space="preserve"> The site is a mixed conifer forest with Abies concolor, Calocedrus decurrens, Pinus lambertiana, Pinus ponderosa, Pseudotsuga menziesii, and Quercus Kellogii as the dominant tree species. Like many MCF, the area historically experienced a regime of frequent low- to moderate-severity fires, with fire re</w:t>
      </w:r>
      <w:r w:rsidR="006822F4">
        <w:t>t</w:t>
      </w:r>
      <w:r w:rsidR="00BF33BB">
        <w:t xml:space="preserve">urn intervals ranging from 8 to 15 years at most </w:t>
      </w:r>
      <w:r w:rsidR="00BF33BB">
        <w:fldChar w:fldCharType="begin" w:fldLock="1"/>
      </w:r>
      <w:r w:rsidR="006967BF">
        <w:instrText>ADDIN CSL_CITATION {"citationItems":[{"id":"ITEM-1","itemData":{"ISBN":"0029-344X","ISSN":"0029-344X","abstract":"Dendrochronology was used to quantify past fire regimes in mixed conifer forests in the north-central Sierra Nevada. Historic management activities, particularly railroad logging, severely limited the number of fire scar samples available. Fires were recorded between 1649 and 1921 and median point fire intervals, composite fire intervals at the 3-5 ha spatial scale, and composite fire intervals at the 9-15 ha spatial scale were 9-15, 6-14, and 5-10 yr. The seasonality of past fires in the north-central Sierra Nevada differs from that reported elsewhere, with the majority of fires occurring in latewood. There is a general trend of increasing latewood and growing season fires from the southern Cascades south to the southern Sierra Nevada. Superposed epoch analysis determined that widespread fires were significantly correlated to droughts the year of the fire, and in some cases, to a significantly wet year before the fire year. Fire return intervals are similar to those found in mixed conifer forests in the southern Cascades and southern Sierra Nevada but difference in the size of sampled areas complicates fire interval comparisons. In this study, we present fire statistics at several spatial scales and encourage others to do so. If all fire history research reported fire statistics at similar spatial scales it would allow for robust comparisons between diverse locations.","author":[{"dropping-particle":"","family":"Stephens","given":"S L","non-dropping-particle":"","parse-names":false,"suffix":""},{"dropping-particle":"","family":"Collins","given":"B M","non-dropping-particle":"","parse-names":false,"suffix":""}],"container-title":"Northwest Science","id":"ITEM-1","issue":"1","issued":{"date-parts":[["2004"]]},"page":"12-23","title":"Fire regimes of mixed conifer forests in the north-central Sierra Nevada at multiple spatial scales","type":"article-journal","volume":"78"},"uris":["http://www.mendeley.com/documents/?uuid=88fdb189-316a-4026-9a8d-c1df4f7a63a7"]}],"mendeley":{"formattedCitation":"(S L Stephens &amp; Collins, 2004)","plainTextFormattedCitation":"(S L Stephens &amp; Collins, 2004)","previouslyFormattedCitation":"(S L Stephens &amp; Collins, 2004)"},"properties":{"noteIndex":0},"schema":"https://github.com/citation-style-language/schema/raw/master/csl-citation.json"}</w:instrText>
      </w:r>
      <w:r w:rsidR="00BF33BB">
        <w:fldChar w:fldCharType="separate"/>
      </w:r>
      <w:r w:rsidR="00BF33BB" w:rsidRPr="00BF33BB">
        <w:rPr>
          <w:noProof/>
        </w:rPr>
        <w:t>(S L Stephens &amp; Collins, 2004)</w:t>
      </w:r>
      <w:r w:rsidR="00BF33BB">
        <w:fldChar w:fldCharType="end"/>
      </w:r>
      <w:r w:rsidR="00BF33BB">
        <w:t>. Forest structure has been altered from historical norms by intensive logging in the early 20</w:t>
      </w:r>
      <w:r w:rsidR="00BF33BB" w:rsidRPr="00BF33BB">
        <w:rPr>
          <w:vertAlign w:val="superscript"/>
        </w:rPr>
        <w:t>th</w:t>
      </w:r>
      <w:r w:rsidR="00BF33BB">
        <w:t xml:space="preserve"> century and effective fire suppression in the decades since. </w:t>
      </w:r>
      <w:r w:rsidR="00D12C35">
        <w:t xml:space="preserve">The stands included in this study have experienced selection harvests using conventional methods on approximately a </w:t>
      </w:r>
      <w:proofErr w:type="gramStart"/>
      <w:r w:rsidR="00D12C35">
        <w:t>10 year</w:t>
      </w:r>
      <w:proofErr w:type="gramEnd"/>
      <w:r w:rsidR="00D12C35">
        <w:t xml:space="preserve"> interval, though in recent harvests measures have been taken to avoid generating significant activity fuels (</w:t>
      </w:r>
      <w:r w:rsidR="00EB1561">
        <w:t>R.</w:t>
      </w:r>
      <w:r w:rsidR="00D12C35">
        <w:t xml:space="preserve"> York </w:t>
      </w:r>
      <w:r w:rsidR="00D12C35" w:rsidRPr="00D12C35">
        <w:rPr>
          <w:i/>
          <w:iCs/>
        </w:rPr>
        <w:t xml:space="preserve">pers. </w:t>
      </w:r>
      <w:r w:rsidR="00D12C35">
        <w:rPr>
          <w:i/>
          <w:iCs/>
        </w:rPr>
        <w:t>c</w:t>
      </w:r>
      <w:r w:rsidR="00D12C35" w:rsidRPr="00D12C35">
        <w:rPr>
          <w:i/>
          <w:iCs/>
        </w:rPr>
        <w:t>omm.</w:t>
      </w:r>
      <w:r w:rsidR="00D12C35">
        <w:t xml:space="preserve">). </w:t>
      </w:r>
      <w:r w:rsidR="006967BF">
        <w:t xml:space="preserve">This disturbance history has created stands typical of second-growth MCF with dense trees, high surface fuel loads, and high wildfire hazard </w:t>
      </w:r>
      <w:r w:rsidR="006967BF">
        <w:fldChar w:fldCharType="begin" w:fldLock="1"/>
      </w:r>
      <w:r w:rsidR="003C05A7">
        <w:instrText>ADDIN CSL_CITATION {"citationItems":[{"id":"ITEM-1","itemData":{"DOI":"10.1890/07-1755.1","ISBN":"1051-0761","ISSN":"1051-0761","PMID":"19323192","abstract":"Forest structure and species composition in many western U. S. coniferous forests have been altered through. re exclusion, past and ongoing harvesting practices, and livestock grazing over the 20th century. The effects of these activities have been most pronounced in seasonally dry, low and mid-elevation coniferous forests that once experienced frequent, low to moderate intensity,. re regimes. In this paper, we report the effects of Fire and Fire Surrogate (FFS) forest stand treatments on fuel load profiles, potential fire behavior, and fire severity under three weather scenarios from six western U. S. FFS sites. This replicated, multisite experiment provides a framework for drawing broad generalizations about the effectiveness of prescribed. re and mechanical treatments on surface fuel loads, forest structure, and potential. re severity. Mechanical treatments without. re resulted in combined 1-, 10-, and 100-hour surface fuel loads that were significantly greater than controls at three of five FFS sites. Canopy cover was significantly lower than controls at three of five FFS sites with mechanical-only treatments and at all five FFS sites with the mechanical plus burning treatment;. re-only treatments reduced canopy cover at only one site. For the combined treatment of mechanical plus. re, all five FFS sites with this treatment had a substantially lower likelihood of passive crown. re as indicated by the very high torching indices. FFS sites that experienced significant increases in 1-, 10-, and 100-hour combined surface fuel loads utilized harvest systems that left all activity fuels within experimental units. When mechanical treatments were followed by prescribed burning or pile burning, they were the most effective treatment for reducing crown fire potential and predicted tree mortality because of low surface fuel loads and increased vertical and horizontal canopy separation. Results indicate that mechanical plus fire, fire-only, and mechanical-only treatments using whole-tree harvest systems were all effective at reducing potential. re severity under severe. re weather conditions. Retaining the largest trees within stands also increased. re resistance.","author":[{"dropping-particle":"","family":"Stephens","given":"Scott L.","non-dropping-particle":"","parse-names":false,"suffix":""},{"dropping-particle":"","family":"Moghaddas","given":"Jason J.","non-dropping-particle":"","parse-names":false,"suffix":""},{"dropping-particle":"","family":"Edminster","given":"Carl","non-dropping-particle":"","parse-names":false,"suffix":""},{"dropping-particle":"","family":"Fiedler","given":"Carl E.","non-dropping-particle":"","parse-names":false,"suffix":""},{"dropping-particle":"","family":"Haase","given":"Sally","non-dropping-particle":"","parse-names":false,"suffix":""},{"dropping-particle":"","family":"Harrington","given":"Michael","non-dropping-particle":"","parse-names":false,"suffix":""},{"dropping-particle":"","family":"Keeley","given":"Jon E.","non-dropping-particle":"","parse-names":false,"suffix":""},{"dropping-particle":"","family":"Knapp","given":"Eric E.","non-dropping-particle":"","parse-names":false,"suffix":""},{"dropping-particle":"","family":"McIver","given":"James D.","non-dropping-particle":"","parse-names":false,"suffix":""},{"dropping-particle":"","family":"Metlen","given":"Kerry","non-dropping-particle":"","parse-names":false,"suffix":""},{"dropping-particle":"","family":"Skinner","given":"Carl N.","non-dropping-particle":"","parse-names":false,"suffix":""},{"dropping-particle":"","family":"Youngblood","given":"Andrew","non-dropping-particle":"","parse-names":false,"suffix":""}],"container-title":"Ecological Applications","id":"ITEM-1","issue":"2","issued":{"date-parts":[["2009"]]},"page":"305-320","title":"Fire Treatment Effects on Vegetation Structure , Fuels , and Potential Fire Severity in Western U . S . Forests","type":"article-journal","volume":"19"},"uris":["http://www.mendeley.com/documents/?uuid=3429606a-819b-4422-8620-ba8303282bca"]},{"id":"ITEM-2","itemData":{"DOI":"10.1093/forestry/cpr058","ISBN":"0015-752X","ISSN":"0015752X","abstract":"Multi-aged stands in a mixed conifer forest of California were treated to mitigate harvest-related increases in surface fuels and to prepare sites for natural regeneration of Pinus species. The study was designed to (1) assess effectiveness of small gap fuel treatments (piling and burning in 0.04 ha gaps) on surface fuel and modelled fire behaviour; (2) test the effect of substrate quality on germination of Pinus species; (3) measure the influence of gap creation on light availability and stand-level light heterogeneity. While the fuel treatment only covered 10 per cent of stand area, it was effective in avoiding increases in stand-level surface fuel following harvests. Fire behaviour was predicted to be moderate following the treatments. The harvest coupled with the gap surface fuel treatments did not change predicted fire behaviour compared with the pretreatment stands. There was a significant but variable increase in germination of Pinus ponderosa seed when sowed on ash substrates compared with bare soil. No substrate effect was detected for Pinus lambertiana. The 0.04-ha gaps created distinct pockets of light and greatly increased stand-level light heterogeneity. This gap-based approach to regenerating multi-aged stands coupled with small-scale fuel treatments is promising for reducing fire hazard and regenerating shade-intolerant species.","author":[{"dropping-particle":"","family":"York","given":"Robert A.","non-dropping-particle":"","parse-names":false,"suffix":""},{"dropping-particle":"","family":"Battles","given":"John J.","non-dropping-particle":"","parse-names":false,"suffix":""},{"dropping-particle":"","family":"Wenk","given":"Rebecca C.","non-dropping-particle":"","parse-names":false,"suffix":""},{"dropping-particle":"","family":"Saah","given":"David","non-dropping-particle":"","parse-names":false,"suffix":""}],"container-title":"Forestry","id":"ITEM-2","issue":"2","issued":{"date-parts":[["2012"]]},"page":"203-213","title":"A gap-based approach for regenerating pine species and reducing surface fuels in multi-aged mixed conifer stands in the Sierra Nevada, California","type":"article-journal","volume":"85"},"uris":["http://www.mendeley.com/documents/?uuid=3b6aecd3-0825-4c84-b4ec-d17056626afa"]}],"mendeley":{"formattedCitation":"(Scott L. Stephens et al., 2009; York et al., 2012)","plainTextFormattedCitation":"(Scott L. Stephens et al., 2009; York et al., 2012)","previouslyFormattedCitation":"(Scott L. Stephens et al., 2009; York et al., 2012)"},"properties":{"noteIndex":0},"schema":"https://github.com/citation-style-language/schema/raw/master/csl-citation.json"}</w:instrText>
      </w:r>
      <w:r w:rsidR="006967BF">
        <w:fldChar w:fldCharType="separate"/>
      </w:r>
      <w:r w:rsidR="006967BF" w:rsidRPr="006967BF">
        <w:rPr>
          <w:noProof/>
        </w:rPr>
        <w:t>(Scott L. Stephens et al., 2009; York et al., 2012)</w:t>
      </w:r>
      <w:r w:rsidR="006967BF">
        <w:fldChar w:fldCharType="end"/>
      </w:r>
      <w:r w:rsidR="006967BF">
        <w:t>.</w:t>
      </w:r>
    </w:p>
    <w:p w14:paraId="1BAE7BEB" w14:textId="1DB85C7A" w:rsidR="006967BF" w:rsidRDefault="006967BF" w:rsidP="008659A7">
      <w:pPr>
        <w:pStyle w:val="Heading2"/>
        <w:spacing w:line="480" w:lineRule="auto"/>
      </w:pPr>
      <w:r>
        <w:t>Prescribed fire</w:t>
      </w:r>
    </w:p>
    <w:p w14:paraId="44C077FB" w14:textId="64088588" w:rsidR="006967BF" w:rsidRDefault="006967BF" w:rsidP="008659A7">
      <w:pPr>
        <w:spacing w:line="480" w:lineRule="auto"/>
      </w:pPr>
      <w:r>
        <w:tab/>
        <w:t>In the spring of 2021, a series of prescribed fires were implemented on the three experimental units included in this study.</w:t>
      </w:r>
      <w:r w:rsidR="003C05A7">
        <w:t xml:space="preserve"> </w:t>
      </w:r>
      <w:r w:rsidR="006C1272">
        <w:t>The objective of each burn was to reduce surface fuel loads by 50%</w:t>
      </w:r>
      <w:r w:rsidR="00582B1A">
        <w:t xml:space="preserve"> (</w:t>
      </w:r>
      <w:r w:rsidR="006C1272">
        <w:t>primarily through the consumption of litter and fine woody debris</w:t>
      </w:r>
      <w:r w:rsidR="00582B1A">
        <w:t>) while limiting crown scorch of canopy trees to less than 50% on average and limiting post-burn mortality of trees greater than 50.8 cm DBH to less than 10%</w:t>
      </w:r>
      <w:r w:rsidR="006C1272">
        <w:t xml:space="preserve">. </w:t>
      </w:r>
      <w:r w:rsidR="00565108">
        <w:t xml:space="preserve">The three units are contiguous but were separated by </w:t>
      </w:r>
      <w:r w:rsidR="006C1272">
        <w:t>containment lines</w:t>
      </w:r>
      <w:r w:rsidR="00565108">
        <w:t xml:space="preserve"> and burned on separate days. Unit A (</w:t>
      </w:r>
      <w:r w:rsidR="006C1272">
        <w:t>9.8 ha</w:t>
      </w:r>
      <w:r w:rsidR="00565108">
        <w:t xml:space="preserve">) was burned on </w:t>
      </w:r>
      <w:r w:rsidR="006C1272">
        <w:t>April 20 and 21 of 2021</w:t>
      </w:r>
      <w:r w:rsidR="00565108">
        <w:t xml:space="preserve">, </w:t>
      </w:r>
      <w:r w:rsidR="00582B1A">
        <w:t>U</w:t>
      </w:r>
      <w:r w:rsidR="00565108">
        <w:t>nit B (</w:t>
      </w:r>
      <w:r w:rsidR="00582B1A">
        <w:t>7.5 ha)</w:t>
      </w:r>
      <w:r w:rsidR="00565108">
        <w:t xml:space="preserve"> was burned on </w:t>
      </w:r>
      <w:r w:rsidR="00582B1A">
        <w:t>April 22, 2021</w:t>
      </w:r>
      <w:r w:rsidR="00565108">
        <w:t>, and Unit C (</w:t>
      </w:r>
      <w:r w:rsidR="00582B1A">
        <w:t>6.6 ha</w:t>
      </w:r>
      <w:r w:rsidR="00565108">
        <w:t xml:space="preserve">) was burned on </w:t>
      </w:r>
      <w:r w:rsidR="00582B1A">
        <w:t>April 23, 2021</w:t>
      </w:r>
      <w:r w:rsidR="00565108">
        <w:t>.</w:t>
      </w:r>
      <w:r>
        <w:t xml:space="preserve"> </w:t>
      </w:r>
      <w:r w:rsidR="00582B1A">
        <w:t xml:space="preserve">Unit A was burned over the course of two days because </w:t>
      </w:r>
      <w:r w:rsidR="00CD1FB3">
        <w:t xml:space="preserve">poor weather conditions (high winds and low relative humidity) created control difficulties on the first day. Active ignitions occurred between 10:30 and 16:00 each day using </w:t>
      </w:r>
      <w:r w:rsidR="00CD1FB3">
        <w:lastRenderedPageBreak/>
        <w:t xml:space="preserve">strip head fires. </w:t>
      </w:r>
      <w:r w:rsidR="00FB6ABC">
        <w:t xml:space="preserve">Dry bulb temperatures during active ignitions ranged from approximately 14-18 </w:t>
      </w:r>
      <w:r w:rsidR="00FB6ABC">
        <w:rPr>
          <w:rFonts w:cstheme="minorHAnsi"/>
        </w:rPr>
        <w:t>°</w:t>
      </w:r>
      <w:r w:rsidR="00FB6ABC">
        <w:t>C, relative humidities ranged from approximately 3</w:t>
      </w:r>
      <w:r w:rsidR="00A2743B">
        <w:t>3</w:t>
      </w:r>
      <w:r w:rsidR="00FB6ABC">
        <w:t>-</w:t>
      </w:r>
      <w:r w:rsidR="00A2743B">
        <w:t>53%</w:t>
      </w:r>
      <w:r w:rsidR="00FB6ABC">
        <w:t xml:space="preserve">, </w:t>
      </w:r>
      <w:r w:rsidR="00137700">
        <w:t xml:space="preserve">average </w:t>
      </w:r>
      <w:r w:rsidR="00A2743B">
        <w:t xml:space="preserve">midflame windspeeds ranged from 1.0-2.0 kph, </w:t>
      </w:r>
      <w:r w:rsidR="00FB6ABC">
        <w:t xml:space="preserve">and 10-hour fuel moistures at 10:00 hours ranged from </w:t>
      </w:r>
      <w:r w:rsidR="00A2743B">
        <w:t>11-15%</w:t>
      </w:r>
      <w:r w:rsidR="00137700">
        <w:t xml:space="preserve"> (K. Gr</w:t>
      </w:r>
      <w:r w:rsidR="00B81B43">
        <w:t>e</w:t>
      </w:r>
      <w:r w:rsidR="00137700">
        <w:t>v</w:t>
      </w:r>
      <w:r w:rsidR="00B81B43">
        <w:t>a</w:t>
      </w:r>
      <w:r w:rsidR="00137700">
        <w:t xml:space="preserve">tt </w:t>
      </w:r>
      <w:r w:rsidR="00137700" w:rsidRPr="00137700">
        <w:rPr>
          <w:i/>
          <w:iCs/>
        </w:rPr>
        <w:t>pers. comm.</w:t>
      </w:r>
      <w:r w:rsidR="00137700" w:rsidRPr="00137700">
        <w:t>)</w:t>
      </w:r>
      <w:r w:rsidR="00FB6ABC" w:rsidRPr="00137700">
        <w:t xml:space="preserve">. </w:t>
      </w:r>
      <w:r w:rsidR="00E72503">
        <w:t>Fuels were sampled as described below both before (July 2020) and after (July 2021) the prescribed burns.</w:t>
      </w:r>
    </w:p>
    <w:p w14:paraId="2B130D0E" w14:textId="51347636" w:rsidR="003C05A7" w:rsidRDefault="003C05A7" w:rsidP="008659A7">
      <w:pPr>
        <w:pStyle w:val="Heading2"/>
        <w:spacing w:line="480" w:lineRule="auto"/>
      </w:pPr>
      <w:r>
        <w:t>Data collection and processing</w:t>
      </w:r>
    </w:p>
    <w:p w14:paraId="64A7D0BA" w14:textId="304BFAC6" w:rsidR="003C05A7" w:rsidRDefault="003C05A7" w:rsidP="008659A7">
      <w:pPr>
        <w:spacing w:line="480" w:lineRule="auto"/>
      </w:pPr>
      <w:r>
        <w:tab/>
        <w:t xml:space="preserve">Data describing the overstory, shrub cover, surface fuels, and duff were collected at 19 pre-existing permanent inventory plots. This paper focuses on the litter, duff, and fine woody debris observations, and descriptions of the sampling protocol for trees, shrubs, and course woody debris are omitted. Surface and ground fuels were inventoried using Brown’s transects </w:t>
      </w:r>
      <w:r>
        <w:fldChar w:fldCharType="begin" w:fldLock="1"/>
      </w:r>
      <w:r w:rsidR="00DA640C">
        <w:instrText>ADDIN CSL_CITATION {"citationItems":[{"id":"ITEM-1","itemData":{"DOI":"10.1017/CBO9781107415324.004","ISBN":"INT-16","ISSN":"1098-6596","PMID":"155","abstract":"To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Report","id":"ITEM-1","issued":{"date-parts":[["1974"]]},"page":"24","title":"Handbook for Inventorying Downed Woody Material","type":"article-journal"},"uris":["http://www.mendeley.com/documents/?uuid=52170fa7-df0d-478a-89c3-aefa6ed894a3"]}],"mendeley":{"formattedCitation":"(Brown, 1974)","plainTextFormattedCitation":"(Brown, 1974)","previouslyFormattedCitation":"(Brown, 1974)"},"properties":{"noteIndex":0},"schema":"https://github.com/citation-style-language/schema/raw/master/csl-citation.json"}</w:instrText>
      </w:r>
      <w:r>
        <w:fldChar w:fldCharType="separate"/>
      </w:r>
      <w:r w:rsidRPr="003C05A7">
        <w:rPr>
          <w:noProof/>
        </w:rPr>
        <w:t>(Brown, 1974)</w:t>
      </w:r>
      <w:r>
        <w:fldChar w:fldCharType="end"/>
      </w:r>
      <w:r>
        <w:t xml:space="preserve">, with four transects per plot established at cardinal directions from plot center. </w:t>
      </w:r>
      <w:r w:rsidR="00565108">
        <w:t xml:space="preserve">Litter and duff depths were sampled to the nearest </w:t>
      </w:r>
      <w:r w:rsidR="003F4D3E">
        <w:t xml:space="preserve">0.5 </w:t>
      </w:r>
      <w:r w:rsidR="00565108">
        <w:t xml:space="preserve">cm at points 2.0, 2.1, 2.2, 2.3, 2.4, 2.5, 3.0, 3.5, 4.0, 4.5, 5.5, 7.0, 7.5, 9.5, 19.5, and 29.5 m along each transect. </w:t>
      </w:r>
      <w:r w:rsidR="00C56A5B">
        <w:t xml:space="preserve">Fine woody debris (woody particles &lt; 7.62 cm diameter) was tallied by timelag class (1-hour: 0-0.64 cm; 10-hour: 0.64-2.54 cm; 100-hour: 2.54-7.62 cm) along a series of 1 m subtransects located from 2-3 m, 3-4 m, 4-5 m, 5-6 m, 7-8 m, 9-10 m, 19-20 m, and 29-30 m along each transect. </w:t>
      </w:r>
      <w:r w:rsidR="00565108">
        <w:t>This arrangement of subsamples was selected to p</w:t>
      </w:r>
      <w:r w:rsidR="00DA640C">
        <w:t>rovide a range of between-subsample distances on each plot from 1-60 m for FWD and from 0.1-60 m for litter and duff</w:t>
      </w:r>
      <w:r w:rsidR="00C56A5B">
        <w:t xml:space="preserve"> </w:t>
      </w:r>
      <w:r w:rsidR="00DA640C">
        <w:t xml:space="preserve">with a large number of pairwise distances around the range of spatial autocorrelation identified for surface fuels in other ecosystems </w:t>
      </w:r>
      <w:r w:rsidR="00DA640C">
        <w:fldChar w:fldCharType="begin" w:fldLock="1"/>
      </w:r>
      <w:r w:rsidR="00A25EB7">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Gray, Bacciu, et al., 2012)","plainTextFormattedCitation":"(Keane, Gray, Bacciu, et al., 2012)","previouslyFormattedCitation":"(Keane, Gray, Bacciu, et al., 2012)"},"properties":{"noteIndex":0},"schema":"https://github.com/citation-style-language/schema/raw/master/csl-citation.json"}</w:instrText>
      </w:r>
      <w:r w:rsidR="00DA640C">
        <w:fldChar w:fldCharType="separate"/>
      </w:r>
      <w:r w:rsidR="00C13FE5" w:rsidRPr="00C13FE5">
        <w:rPr>
          <w:noProof/>
        </w:rPr>
        <w:t>(Keane, Gray, Bacciu, et al., 2012)</w:t>
      </w:r>
      <w:r w:rsidR="00DA640C">
        <w:fldChar w:fldCharType="end"/>
      </w:r>
      <w:r w:rsidR="00C56A5B">
        <w:t xml:space="preserve"> to maximize our ability to detect changes in the spatial pattern</w:t>
      </w:r>
      <w:r w:rsidR="00DA640C">
        <w:t>.</w:t>
      </w:r>
    </w:p>
    <w:p w14:paraId="05DD7E5C" w14:textId="498AE5A2" w:rsidR="00DA640C" w:rsidRDefault="00DA640C" w:rsidP="008659A7">
      <w:pPr>
        <w:pStyle w:val="Heading2"/>
        <w:spacing w:line="480" w:lineRule="auto"/>
      </w:pPr>
      <w:r>
        <w:t>Statistical analysis</w:t>
      </w:r>
    </w:p>
    <w:p w14:paraId="70986492" w14:textId="4545B463" w:rsidR="00DA640C" w:rsidRDefault="00C56A5B" w:rsidP="008659A7">
      <w:pPr>
        <w:spacing w:line="480" w:lineRule="auto"/>
      </w:pPr>
      <w:r>
        <w:tab/>
      </w:r>
      <w:r w:rsidR="00E52B7C">
        <w:t>The model for depth of litter and duff is:</w:t>
      </w:r>
    </w:p>
    <w:p w14:paraId="508AE866" w14:textId="425D5A99" w:rsidR="00E52B7C" w:rsidRDefault="00E52B7C" w:rsidP="008659A7">
      <w:pPr>
        <w:pStyle w:val="Caption"/>
        <w:keepNext/>
      </w:pPr>
      <w:r>
        <w:t xml:space="preserve">Equation </w:t>
      </w:r>
      <w:fldSimple w:instr=" SEQ Equation \* ARABIC ">
        <w:r>
          <w:rPr>
            <w:noProof/>
          </w:rPr>
          <w:t>1</w:t>
        </w:r>
      </w:fldSimple>
    </w:p>
    <w:p w14:paraId="2AE5F2F0" w14:textId="5FBEA01D" w:rsidR="00E52B7C" w:rsidRPr="00E52B7C" w:rsidRDefault="00000000" w:rsidP="008659A7">
      <w:pPr>
        <w:spacing w:line="480" w:lineRule="auto"/>
        <w:rPr>
          <w:rFonts w:eastAsiaTheme="minorEastAsia"/>
        </w:rPr>
      </w:pPr>
      <m:oMathPara>
        <m:oMath>
          <m:sSub>
            <m:sSubPr>
              <m:ctrlPr>
                <w:rPr>
                  <w:rFonts w:ascii="Cambria Math" w:hAnsi="Cambria Math"/>
                  <w:i/>
                </w:rPr>
              </m:ctrlPr>
            </m:sSubPr>
            <m:e>
              <m:r>
                <m:rPr>
                  <m:sty m:val="bi"/>
                </m:rP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NegBinomial</m:t>
          </m:r>
          <m:r>
            <w:rPr>
              <w:rFonts w:ascii="Cambria Math" w:hAnsi="Cambria Math"/>
            </w:rPr>
            <m:t>(</m:t>
          </m:r>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r>
            <w:rPr>
              <w:rFonts w:ascii="Cambria Math" w:hAnsi="Cambria Math"/>
            </w:rPr>
            <m:t>,κ)</m:t>
          </m:r>
        </m:oMath>
      </m:oMathPara>
    </w:p>
    <w:p w14:paraId="74E80472" w14:textId="5A7B05DE" w:rsidR="00E52B7C" w:rsidRDefault="00E52B7C" w:rsidP="008659A7">
      <w:pPr>
        <w:spacing w:line="480" w:lineRule="auto"/>
        <w:rPr>
          <w:rFonts w:eastAsiaTheme="minorEastAsia"/>
        </w:rPr>
      </w:pPr>
      <w:r>
        <w:rPr>
          <w:rFonts w:eastAsiaTheme="minorEastAsia"/>
        </w:rPr>
        <w:lastRenderedPageBreak/>
        <w:t xml:space="preserve">where </w:t>
      </w:r>
      <m:oMath>
        <m:sSub>
          <m:sSubPr>
            <m:ctrlPr>
              <w:rPr>
                <w:rFonts w:ascii="Cambria Math" w:hAnsi="Cambria Math"/>
                <w:i/>
              </w:rPr>
            </m:ctrlPr>
          </m:sSubPr>
          <m:e>
            <m:r>
              <m:rPr>
                <m:sty m:val="bi"/>
              </m:rPr>
              <w:rPr>
                <w:rFonts w:ascii="Cambria Math" w:hAnsi="Cambria Math"/>
              </w:rPr>
              <m:t>Y</m:t>
            </m:r>
          </m:e>
          <m:sub>
            <m:r>
              <w:rPr>
                <w:rFonts w:ascii="Cambria Math" w:hAnsi="Cambria Math"/>
              </w:rPr>
              <m:t>i</m:t>
            </m:r>
          </m:sub>
        </m:sSub>
      </m:oMath>
      <w:r>
        <w:rPr>
          <w:rFonts w:eastAsiaTheme="minorEastAsia"/>
        </w:rPr>
        <w:t xml:space="preserve"> is the observed depth of litter and duff (combined), rounded to the nearest centimeter</w:t>
      </w:r>
      <w:r w:rsidR="0003072E">
        <w:rPr>
          <w:rFonts w:eastAsiaTheme="minorEastAsia"/>
        </w:rPr>
        <w:t xml:space="preserve"> at observation </w:t>
      </w:r>
      <m:oMath>
        <m:r>
          <w:rPr>
            <w:rFonts w:ascii="Cambria Math" w:eastAsiaTheme="minorEastAsia" w:hAnsi="Cambria Math"/>
          </w:rPr>
          <m:t>i</m:t>
        </m:r>
      </m:oMath>
      <w:r w:rsidR="0003072E">
        <w:rPr>
          <w:rFonts w:eastAsiaTheme="minorEastAsia"/>
        </w:rPr>
        <w:t xml:space="preserve">, </w:t>
      </w:r>
      <m:oMath>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oMath>
      <w:r w:rsidR="0003072E">
        <w:rPr>
          <w:rFonts w:eastAsiaTheme="minorEastAsia"/>
        </w:rPr>
        <w:t xml:space="preserve"> is the unobserved mean depth at observation </w:t>
      </w:r>
      <m:oMath>
        <m:r>
          <w:rPr>
            <w:rFonts w:ascii="Cambria Math" w:eastAsiaTheme="minorEastAsia" w:hAnsi="Cambria Math"/>
          </w:rPr>
          <m:t>i</m:t>
        </m:r>
      </m:oMath>
      <w:r w:rsidR="0003072E">
        <w:rPr>
          <w:rFonts w:eastAsiaTheme="minorEastAsia"/>
        </w:rPr>
        <w:t xml:space="preserve">, and </w:t>
      </w:r>
      <m:oMath>
        <m:r>
          <w:rPr>
            <w:rFonts w:ascii="Cambria Math" w:hAnsi="Cambria Math"/>
          </w:rPr>
          <m:t>κ</m:t>
        </m:r>
      </m:oMath>
      <w:r w:rsidR="0003072E">
        <w:rPr>
          <w:rFonts w:eastAsiaTheme="minorEastAsia"/>
        </w:rPr>
        <w:t xml:space="preserve"> is the dispersion parameter controlling the overdispersion in the negative binomial distribution</w:t>
      </w:r>
      <w:r w:rsidR="006C7F22">
        <w:rPr>
          <w:rFonts w:eastAsiaTheme="minorEastAsia"/>
        </w:rPr>
        <w:t>, which is here assumed constant across all observations</w:t>
      </w:r>
      <w:r>
        <w:rPr>
          <w:rFonts w:eastAsiaTheme="minorEastAsia"/>
        </w:rPr>
        <w:t xml:space="preserve">. We chose to analyze the combined depth of litter and duff, rather than analyze each separately, </w:t>
      </w:r>
      <w:r w:rsidR="00135827">
        <w:rPr>
          <w:rFonts w:eastAsiaTheme="minorEastAsia"/>
        </w:rPr>
        <w:t xml:space="preserve">for two reasons. First, the distinction between litter and duff in dry mixed conifer forests can be difficult and somewhat subjective. Second, when analyzed </w:t>
      </w:r>
      <w:r w:rsidR="00E81C47">
        <w:rPr>
          <w:rFonts w:eastAsiaTheme="minorEastAsia"/>
        </w:rPr>
        <w:t>separat</w:t>
      </w:r>
      <w:r w:rsidR="00135827">
        <w:rPr>
          <w:rFonts w:eastAsiaTheme="minorEastAsia"/>
        </w:rPr>
        <w:t xml:space="preserve">ely, models for litter and duff </w:t>
      </w:r>
      <w:r>
        <w:rPr>
          <w:rFonts w:eastAsiaTheme="minorEastAsia"/>
        </w:rPr>
        <w:t xml:space="preserve">performed </w:t>
      </w:r>
      <w:r w:rsidR="00FB497C">
        <w:rPr>
          <w:rFonts w:eastAsiaTheme="minorEastAsia"/>
        </w:rPr>
        <w:t xml:space="preserve">relatively </w:t>
      </w:r>
      <w:r>
        <w:rPr>
          <w:rFonts w:eastAsiaTheme="minorEastAsia"/>
        </w:rPr>
        <w:t>poorly in the validation tests described below.</w:t>
      </w:r>
    </w:p>
    <w:p w14:paraId="153DCB70" w14:textId="5D5E7E48" w:rsidR="006C7F22" w:rsidRDefault="006C7F22" w:rsidP="008659A7">
      <w:pPr>
        <w:spacing w:line="480" w:lineRule="auto"/>
        <w:rPr>
          <w:rFonts w:eastAsiaTheme="minorEastAsia"/>
        </w:rPr>
      </w:pPr>
      <w:r>
        <w:rPr>
          <w:rFonts w:eastAsiaTheme="minorEastAsia"/>
        </w:rPr>
        <w:tab/>
        <w:t xml:space="preserve">The mean depth of litter and duff is predicted (with a log link) by </w:t>
      </w:r>
      <w:r w:rsidR="00E81C47">
        <w:rPr>
          <w:rFonts w:eastAsiaTheme="minorEastAsia"/>
        </w:rPr>
        <w:t>a hierarchical (generalized) linear model:</w:t>
      </w:r>
    </w:p>
    <w:p w14:paraId="0D1F7157" w14:textId="32C062E0" w:rsidR="00E81C47" w:rsidRPr="007601C7" w:rsidRDefault="00000000" w:rsidP="008659A7">
      <w:pPr>
        <w:spacing w:line="480" w:lineRule="auto"/>
        <w:rPr>
          <w:rFonts w:eastAsiaTheme="minorEastAsia"/>
        </w:rPr>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r>
                <w:rPr>
                  <w:rFonts w:ascii="Cambria Math" w:hAnsi="Cambria Math"/>
                </w:rPr>
                <m:t xml:space="preserve"> </m:t>
              </m:r>
            </m:e>
          </m:func>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β</m:t>
          </m:r>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GPPRE</m:t>
                  </m:r>
                </m:e>
                <m:sub>
                  <m:r>
                    <w:rPr>
                      <w:rFonts w:ascii="Cambria Math" w:hAnsi="Cambria Math"/>
                    </w:rPr>
                    <m:t>l[i],p[i]</m:t>
                  </m:r>
                </m:sub>
              </m:sSub>
              <m:r>
                <w:rPr>
                  <w:rFonts w:ascii="Cambria Math" w:hAnsi="Cambria Math"/>
                </w:rPr>
                <m:t>×</m:t>
              </m:r>
              <m:sSub>
                <m:sSubPr>
                  <m:ctrlPr>
                    <w:rPr>
                      <w:rFonts w:ascii="Cambria Math" w:hAnsi="Cambria Math"/>
                      <w:i/>
                    </w:rPr>
                  </m:ctrlPr>
                </m:sSubPr>
                <m:e>
                  <m:r>
                    <m:rPr>
                      <m:sty m:val="bi"/>
                    </m:rPr>
                    <w:rPr>
                      <w:rFonts w:ascii="Cambria Math" w:hAnsi="Cambria Math"/>
                    </w:rPr>
                    <m:t>PRE</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GPPOST</m:t>
                  </m:r>
                </m:e>
                <m:sub>
                  <m:r>
                    <w:rPr>
                      <w:rFonts w:ascii="Cambria Math" w:hAnsi="Cambria Math"/>
                    </w:rPr>
                    <m:t>l[i],p[i]</m:t>
                  </m:r>
                </m:sub>
              </m:sSub>
              <m:r>
                <w:rPr>
                  <w:rFonts w:ascii="Cambria Math" w:hAnsi="Cambria Math"/>
                </w:rPr>
                <m:t>×</m:t>
              </m:r>
              <m:sSub>
                <m:sSubPr>
                  <m:ctrlPr>
                    <w:rPr>
                      <w:rFonts w:ascii="Cambria Math" w:hAnsi="Cambria Math"/>
                      <w:i/>
                    </w:rPr>
                  </m:ctrlPr>
                </m:sSubPr>
                <m:e>
                  <m:r>
                    <m:rPr>
                      <m:sty m:val="bi"/>
                    </m:rPr>
                    <w:rPr>
                      <w:rFonts w:ascii="Cambria Math" w:hAnsi="Cambria Math"/>
                    </w:rPr>
                    <m:t>POST</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bi"/>
                </m:rPr>
                <w:rPr>
                  <w:rFonts w:ascii="Cambria Math" w:hAnsi="Cambria Math"/>
                </w:rPr>
                <m:t>PLOT</m:t>
              </m:r>
            </m:e>
            <m:sub>
              <m:r>
                <w:rPr>
                  <w:rFonts w:ascii="Cambria Math" w:hAnsi="Cambria Math"/>
                </w:rPr>
                <m:t>p[i]</m:t>
              </m:r>
            </m:sub>
          </m:sSub>
        </m:oMath>
      </m:oMathPara>
    </w:p>
    <w:p w14:paraId="3CC60146" w14:textId="749353B5" w:rsidR="00764CBE" w:rsidRDefault="007601C7" w:rsidP="008659A7">
      <w:pPr>
        <w:spacing w:line="480" w:lineRule="auto"/>
        <w:rPr>
          <w:rFonts w:eastAsiaTheme="minorEastAsia"/>
        </w:rPr>
      </w:pPr>
      <w:r>
        <w:rPr>
          <w:rFonts w:eastAsiaTheme="minorEastAsia"/>
        </w:rPr>
        <w:t xml:space="preserve">where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Pr>
          <w:rFonts w:eastAsiaTheme="minorEastAsia"/>
        </w:rPr>
        <w:t xml:space="preserve"> is the </w:t>
      </w:r>
      <m:oMath>
        <m:r>
          <w:rPr>
            <w:rFonts w:ascii="Cambria Math" w:eastAsiaTheme="minorEastAsia" w:hAnsi="Cambria Math"/>
          </w:rPr>
          <m:t>1×6</m:t>
        </m:r>
      </m:oMath>
      <w:r>
        <w:rPr>
          <w:rFonts w:eastAsiaTheme="minorEastAsia"/>
        </w:rPr>
        <w:t xml:space="preserve"> row-vector of fixed effect covariates for observation </w:t>
      </w:r>
      <m:oMath>
        <m:r>
          <w:rPr>
            <w:rFonts w:ascii="Cambria Math" w:eastAsiaTheme="minorEastAsia" w:hAnsi="Cambria Math"/>
          </w:rPr>
          <m:t>i</m:t>
        </m:r>
      </m:oMath>
      <w:r>
        <w:rPr>
          <w:rFonts w:eastAsiaTheme="minorEastAsia"/>
        </w:rPr>
        <w:t xml:space="preserve">, </w:t>
      </w:r>
      <m:oMath>
        <m:r>
          <m:rPr>
            <m:sty m:val="bi"/>
          </m:rPr>
          <w:rPr>
            <w:rFonts w:ascii="Cambria Math" w:hAnsi="Cambria Math"/>
          </w:rPr>
          <m:t>β</m:t>
        </m:r>
      </m:oMath>
      <w:r>
        <w:rPr>
          <w:rFonts w:eastAsiaTheme="minorEastAsia"/>
        </w:rPr>
        <w:t xml:space="preserve"> is the </w:t>
      </w:r>
      <m:oMath>
        <m:r>
          <w:rPr>
            <w:rFonts w:ascii="Cambria Math" w:eastAsiaTheme="minorEastAsia" w:hAnsi="Cambria Math"/>
          </w:rPr>
          <m:t>6×1</m:t>
        </m:r>
      </m:oMath>
      <w:r>
        <w:rPr>
          <w:rFonts w:eastAsiaTheme="minorEastAsia"/>
        </w:rPr>
        <w:t xml:space="preserve"> column vector of fixed effect coefficients, </w:t>
      </w:r>
      <m:oMath>
        <m:r>
          <m:rPr>
            <m:sty m:val="bi"/>
          </m:rPr>
          <w:rPr>
            <w:rFonts w:ascii="Cambria Math" w:eastAsiaTheme="minorEastAsia" w:hAnsi="Cambria Math"/>
          </w:rPr>
          <m:t>GPPRE</m:t>
        </m:r>
      </m:oMath>
      <w:r>
        <w:rPr>
          <w:rFonts w:eastAsiaTheme="minorEastAsia"/>
          <w:b/>
          <w:bCs/>
        </w:rPr>
        <w:t xml:space="preserve"> </w:t>
      </w:r>
      <w:r>
        <w:rPr>
          <w:rFonts w:eastAsiaTheme="minorEastAsia"/>
        </w:rPr>
        <w:t xml:space="preserve">is an </w:t>
      </w:r>
      <m:oMath>
        <m:r>
          <w:rPr>
            <w:rFonts w:ascii="Cambria Math" w:eastAsiaTheme="minorEastAsia" w:hAnsi="Cambria Math"/>
          </w:rPr>
          <m:t>L×P</m:t>
        </m:r>
      </m:oMath>
      <w:r>
        <w:rPr>
          <w:rFonts w:eastAsiaTheme="minorEastAsia"/>
        </w:rPr>
        <w:t xml:space="preserve"> matrix of realized gaussian process random effects</w:t>
      </w:r>
      <w:r w:rsidR="00764CBE">
        <w:rPr>
          <w:rFonts w:eastAsiaTheme="minorEastAsia"/>
        </w:rPr>
        <w:t xml:space="preserve"> for pre-burn observations</w:t>
      </w:r>
      <w:r w:rsidR="00320183">
        <w:rPr>
          <w:rFonts w:eastAsiaTheme="minorEastAsia"/>
        </w:rPr>
        <w:t xml:space="preserve"> with a row for each </w:t>
      </w:r>
      <w:r w:rsidR="002312B3">
        <w:rPr>
          <w:rFonts w:eastAsiaTheme="minorEastAsia"/>
        </w:rPr>
        <w:t xml:space="preserve">of the </w:t>
      </w:r>
      <m:oMath>
        <m:r>
          <w:rPr>
            <w:rFonts w:ascii="Cambria Math" w:eastAsiaTheme="minorEastAsia" w:hAnsi="Cambria Math"/>
          </w:rPr>
          <m:t>L</m:t>
        </m:r>
      </m:oMath>
      <w:r w:rsidR="002312B3">
        <w:rPr>
          <w:rFonts w:eastAsiaTheme="minorEastAsia"/>
        </w:rPr>
        <w:t xml:space="preserve"> </w:t>
      </w:r>
      <w:r w:rsidR="00320183">
        <w:rPr>
          <w:rFonts w:eastAsiaTheme="minorEastAsia"/>
        </w:rPr>
        <w:t>within-plot spatial location</w:t>
      </w:r>
      <w:r w:rsidR="002312B3">
        <w:rPr>
          <w:rFonts w:eastAsiaTheme="minorEastAsia"/>
        </w:rPr>
        <w:t>s</w:t>
      </w:r>
      <w:r w:rsidR="00320183">
        <w:rPr>
          <w:rFonts w:eastAsiaTheme="minorEastAsia"/>
        </w:rPr>
        <w:t xml:space="preserve"> and a column for each </w:t>
      </w:r>
      <w:r w:rsidR="002312B3">
        <w:rPr>
          <w:rFonts w:eastAsiaTheme="minorEastAsia"/>
        </w:rPr>
        <w:t xml:space="preserve">of the </w:t>
      </w:r>
      <m:oMath>
        <m:r>
          <w:rPr>
            <w:rFonts w:ascii="Cambria Math" w:eastAsiaTheme="minorEastAsia" w:hAnsi="Cambria Math"/>
          </w:rPr>
          <m:t>P</m:t>
        </m:r>
      </m:oMath>
      <w:r w:rsidR="002312B3">
        <w:rPr>
          <w:rFonts w:eastAsiaTheme="minorEastAsia"/>
        </w:rPr>
        <w:t xml:space="preserve"> </w:t>
      </w:r>
      <w:r w:rsidR="00320183">
        <w:rPr>
          <w:rFonts w:eastAsiaTheme="minorEastAsia"/>
        </w:rPr>
        <w:t>plot</w:t>
      </w:r>
      <w:r w:rsidR="002312B3">
        <w:rPr>
          <w:rFonts w:eastAsiaTheme="minorEastAsia"/>
        </w:rPr>
        <w:t>s</w:t>
      </w:r>
      <w:r w:rsidR="00764CBE">
        <w:rPr>
          <w:rFonts w:eastAsiaTheme="minorEastAsia"/>
        </w:rPr>
        <w:t xml:space="preserve">, </w:t>
      </w:r>
      <m:oMath>
        <m:sSub>
          <m:sSubPr>
            <m:ctrlPr>
              <w:rPr>
                <w:rFonts w:ascii="Cambria Math" w:hAnsi="Cambria Math"/>
                <w:i/>
              </w:rPr>
            </m:ctrlPr>
          </m:sSubPr>
          <m:e>
            <m:r>
              <m:rPr>
                <m:sty m:val="bi"/>
              </m:rPr>
              <w:rPr>
                <w:rFonts w:ascii="Cambria Math" w:hAnsi="Cambria Math"/>
              </w:rPr>
              <m:t>PRE</m:t>
            </m:r>
          </m:e>
          <m:sub>
            <m:r>
              <w:rPr>
                <w:rFonts w:ascii="Cambria Math" w:hAnsi="Cambria Math"/>
              </w:rPr>
              <m:t>i</m:t>
            </m:r>
          </m:sub>
        </m:sSub>
      </m:oMath>
      <w:r w:rsidR="00764CBE">
        <w:rPr>
          <w:rFonts w:eastAsiaTheme="minorEastAsia"/>
        </w:rPr>
        <w:t xml:space="preserve"> is a dummy variable whose value is 1 if observation </w:t>
      </w:r>
      <m:oMath>
        <m:r>
          <w:rPr>
            <w:rFonts w:ascii="Cambria Math" w:eastAsiaTheme="minorEastAsia" w:hAnsi="Cambria Math"/>
          </w:rPr>
          <m:t>i</m:t>
        </m:r>
      </m:oMath>
      <w:r w:rsidR="00764CBE">
        <w:rPr>
          <w:rFonts w:eastAsiaTheme="minorEastAsia"/>
        </w:rPr>
        <w:t xml:space="preserve"> is a pre-burn sample and 0 otherwise, </w:t>
      </w:r>
      <m:oMath>
        <m:r>
          <m:rPr>
            <m:sty m:val="bi"/>
          </m:rPr>
          <w:rPr>
            <w:rFonts w:ascii="Cambria Math" w:eastAsiaTheme="minorEastAsia" w:hAnsi="Cambria Math"/>
          </w:rPr>
          <m:t xml:space="preserve">GPPOST </m:t>
        </m:r>
      </m:oMath>
      <w:r w:rsidR="00764CBE">
        <w:rPr>
          <w:rFonts w:eastAsiaTheme="minorEastAsia"/>
        </w:rPr>
        <w:t xml:space="preserve">is an </w:t>
      </w:r>
      <m:oMath>
        <m:r>
          <w:rPr>
            <w:rFonts w:ascii="Cambria Math" w:eastAsiaTheme="minorEastAsia" w:hAnsi="Cambria Math"/>
          </w:rPr>
          <m:t>L×P</m:t>
        </m:r>
      </m:oMath>
      <w:r w:rsidR="00764CBE">
        <w:rPr>
          <w:rFonts w:eastAsiaTheme="minorEastAsia"/>
        </w:rPr>
        <w:t xml:space="preserve"> matrix of realized gaussian process random effects for post-burn observations, </w:t>
      </w:r>
      <m:oMath>
        <m:sSub>
          <m:sSubPr>
            <m:ctrlPr>
              <w:rPr>
                <w:rFonts w:ascii="Cambria Math" w:hAnsi="Cambria Math"/>
                <w:i/>
              </w:rPr>
            </m:ctrlPr>
          </m:sSubPr>
          <m:e>
            <m:r>
              <m:rPr>
                <m:sty m:val="bi"/>
              </m:rPr>
              <w:rPr>
                <w:rFonts w:ascii="Cambria Math" w:hAnsi="Cambria Math"/>
              </w:rPr>
              <m:t>POST</m:t>
            </m:r>
          </m:e>
          <m:sub>
            <m:r>
              <w:rPr>
                <w:rFonts w:ascii="Cambria Math" w:hAnsi="Cambria Math"/>
              </w:rPr>
              <m:t>i</m:t>
            </m:r>
          </m:sub>
        </m:sSub>
      </m:oMath>
      <w:r w:rsidR="00764CBE">
        <w:rPr>
          <w:rFonts w:eastAsiaTheme="minorEastAsia"/>
        </w:rPr>
        <w:t xml:space="preserve"> is a dummy variable whose value is 1 if observation </w:t>
      </w:r>
      <m:oMath>
        <m:r>
          <w:rPr>
            <w:rFonts w:ascii="Cambria Math" w:eastAsiaTheme="minorEastAsia" w:hAnsi="Cambria Math"/>
          </w:rPr>
          <m:t>i</m:t>
        </m:r>
      </m:oMath>
      <w:r w:rsidR="00764CBE">
        <w:rPr>
          <w:rFonts w:eastAsiaTheme="minorEastAsia"/>
        </w:rPr>
        <w:t xml:space="preserve"> is a post-burn sample and 0 otherwise, and </w:t>
      </w:r>
      <m:oMath>
        <m:r>
          <m:rPr>
            <m:sty m:val="bi"/>
          </m:rPr>
          <w:rPr>
            <w:rFonts w:ascii="Cambria Math" w:eastAsiaTheme="minorEastAsia" w:hAnsi="Cambria Math"/>
          </w:rPr>
          <m:t>PLOT</m:t>
        </m:r>
      </m:oMath>
      <w:r w:rsidR="00CC098A">
        <w:rPr>
          <w:rFonts w:eastAsiaTheme="minorEastAsia"/>
        </w:rPr>
        <w:t xml:space="preserve"> </w:t>
      </w:r>
      <w:r w:rsidR="005A7255">
        <w:rPr>
          <w:rFonts w:eastAsiaTheme="minorEastAsia"/>
        </w:rPr>
        <w:t xml:space="preserve">is a </w:t>
      </w:r>
      <m:oMath>
        <m:r>
          <w:rPr>
            <w:rFonts w:ascii="Cambria Math" w:eastAsiaTheme="minorEastAsia" w:hAnsi="Cambria Math"/>
          </w:rPr>
          <m:t>1×P</m:t>
        </m:r>
      </m:oMath>
      <w:r w:rsidR="005A7255">
        <w:rPr>
          <w:rFonts w:eastAsiaTheme="minorEastAsia"/>
        </w:rPr>
        <w:t xml:space="preserve"> vector of normally distributed random plot intercepts, </w:t>
      </w:r>
      <m:oMath>
        <m:r>
          <m:rPr>
            <m:sty m:val="bi"/>
          </m:rPr>
          <w:rPr>
            <w:rFonts w:ascii="Cambria Math" w:eastAsiaTheme="minorEastAsia" w:hAnsi="Cambria Math"/>
          </w:rPr>
          <m:t>PLOT</m:t>
        </m:r>
        <m:r>
          <w:rPr>
            <w:rFonts w:ascii="Cambria Math" w:eastAsiaTheme="minorEastAsia" w:hAnsi="Cambria Math"/>
          </w:rPr>
          <m:t>~</m:t>
        </m:r>
        <m:r>
          <m:rPr>
            <m:nor/>
          </m:rPr>
          <w:rPr>
            <w:rFonts w:ascii="Cambria Math" w:eastAsiaTheme="minorEastAsia" w:hAnsi="Cambria Math"/>
          </w:rPr>
          <m:t>Normal</m:t>
        </m:r>
        <m:r>
          <w:rPr>
            <w:rFonts w:ascii="Cambria Math" w:eastAsiaTheme="minorEastAsia" w:hAnsi="Cambria Math"/>
          </w:rPr>
          <m:t>(0,σ)</m:t>
        </m:r>
      </m:oMath>
      <w:r w:rsidR="00CC098A">
        <w:rPr>
          <w:rFonts w:eastAsiaTheme="minorEastAsia"/>
        </w:rPr>
        <w:t xml:space="preserve">. </w:t>
      </w:r>
      <m:oMath>
        <m:r>
          <w:rPr>
            <w:rFonts w:ascii="Cambria Math" w:eastAsiaTheme="minorEastAsia" w:hAnsi="Cambria Math"/>
          </w:rPr>
          <m:t>l[i]</m:t>
        </m:r>
      </m:oMath>
      <w:r w:rsidR="0053004B">
        <w:rPr>
          <w:rFonts w:eastAsiaTheme="minorEastAsia"/>
        </w:rPr>
        <w:t xml:space="preserve"> is the index of the within-plot spatial location for observation </w:t>
      </w:r>
      <m:oMath>
        <m:r>
          <w:rPr>
            <w:rFonts w:ascii="Cambria Math" w:eastAsiaTheme="minorEastAsia" w:hAnsi="Cambria Math"/>
          </w:rPr>
          <m:t>i</m:t>
        </m:r>
      </m:oMath>
      <w:r w:rsidR="0053004B">
        <w:rPr>
          <w:rFonts w:eastAsiaTheme="minorEastAsia"/>
        </w:rPr>
        <w:t xml:space="preserve">, and </w:t>
      </w:r>
      <m:oMath>
        <m:r>
          <w:rPr>
            <w:rFonts w:ascii="Cambria Math" w:eastAsiaTheme="minorEastAsia" w:hAnsi="Cambria Math"/>
          </w:rPr>
          <m:t>p[i]</m:t>
        </m:r>
      </m:oMath>
      <w:r w:rsidR="0053004B">
        <w:rPr>
          <w:rFonts w:eastAsiaTheme="minorEastAsia"/>
        </w:rPr>
        <w:t xml:space="preserve"> is the index for the plot containing observation </w:t>
      </w:r>
      <m:oMath>
        <m:r>
          <w:rPr>
            <w:rFonts w:ascii="Cambria Math" w:eastAsiaTheme="minorEastAsia" w:hAnsi="Cambria Math"/>
          </w:rPr>
          <m:t>i</m:t>
        </m:r>
      </m:oMath>
      <w:r w:rsidR="0053004B">
        <w:rPr>
          <w:rFonts w:eastAsiaTheme="minorEastAsia"/>
        </w:rPr>
        <w:t xml:space="preserve">. Thus, the mean depth for observation </w:t>
      </w:r>
      <m:oMath>
        <m:r>
          <w:rPr>
            <w:rFonts w:ascii="Cambria Math" w:eastAsiaTheme="minorEastAsia" w:hAnsi="Cambria Math"/>
          </w:rPr>
          <m:t>i</m:t>
        </m:r>
      </m:oMath>
      <w:r w:rsidR="0053004B">
        <w:rPr>
          <w:rFonts w:eastAsiaTheme="minorEastAsia"/>
        </w:rPr>
        <w:t xml:space="preserve"> is the sum of the fixed effects, the spatial random effect for either the pre-burn or post-burn timestep, and the random intercept for the plot containing the observation. </w:t>
      </w:r>
      <w:r w:rsidR="001610A6">
        <w:rPr>
          <w:rFonts w:eastAsiaTheme="minorEastAsia"/>
        </w:rPr>
        <w:t xml:space="preserve">The fixed effects for this study are the experimental unit (Unit A, Unit B, or Unit C) crossed with the timestep (pre-burn or post-burn). </w:t>
      </w:r>
    </w:p>
    <w:p w14:paraId="7BB41D87" w14:textId="4C7409F4" w:rsidR="0053004B" w:rsidRDefault="0053004B" w:rsidP="008659A7">
      <w:pPr>
        <w:spacing w:line="480" w:lineRule="auto"/>
        <w:rPr>
          <w:rFonts w:eastAsiaTheme="minorEastAsia"/>
        </w:rPr>
      </w:pPr>
      <w:r>
        <w:rPr>
          <w:rFonts w:eastAsiaTheme="minorEastAsia"/>
        </w:rPr>
        <w:lastRenderedPageBreak/>
        <w:tab/>
      </w:r>
      <w:r w:rsidR="002312B3">
        <w:rPr>
          <w:rFonts w:eastAsiaTheme="minorEastAsia"/>
        </w:rPr>
        <w:t>The realized gaussian process random effects within each plot for the preburn timestep are drawn from a multivariate normal distribution:</w:t>
      </w:r>
    </w:p>
    <w:p w14:paraId="4DA4B913" w14:textId="30B62441" w:rsidR="002312B3" w:rsidRPr="002312B3" w:rsidRDefault="00000000" w:rsidP="008659A7">
      <w:pPr>
        <w:spacing w:line="480" w:lineRule="auto"/>
        <w:rPr>
          <w:rFonts w:eastAsiaTheme="minorEastAsia"/>
        </w:rPr>
      </w:pPr>
      <m:oMathPara>
        <m:oMath>
          <m:sSub>
            <m:sSubPr>
              <m:ctrlPr>
                <w:rPr>
                  <w:rFonts w:ascii="Cambria Math" w:eastAsiaTheme="minorEastAsia" w:hAnsi="Cambria Math"/>
                  <w:i/>
                </w:rPr>
              </m:ctrlPr>
            </m:sSubPr>
            <m:e>
              <m:r>
                <m:rPr>
                  <m:sty m:val="bi"/>
                </m:rPr>
                <w:rPr>
                  <w:rFonts w:ascii="Cambria Math" w:eastAsiaTheme="minorEastAsia" w:hAnsi="Cambria Math"/>
                </w:rPr>
                <m:t>GPPRE</m:t>
              </m:r>
            </m:e>
            <m:sub>
              <m:r>
                <w:rPr>
                  <w:rFonts w:ascii="Cambria Math" w:eastAsiaTheme="minorEastAsia" w:hAnsi="Cambria Math"/>
                </w:rPr>
                <m:t>1:L,p[i]</m:t>
              </m:r>
            </m:sub>
          </m:sSub>
          <m:r>
            <w:rPr>
              <w:rFonts w:ascii="Cambria Math" w:eastAsiaTheme="minorEastAsia" w:hAnsi="Cambria Math"/>
            </w:rPr>
            <m:t>~</m:t>
          </m:r>
          <m:r>
            <m:rPr>
              <m:nor/>
            </m:rPr>
            <w:rPr>
              <w:rFonts w:ascii="Cambria Math" w:eastAsiaTheme="minorEastAsia" w:hAnsi="Cambria Math"/>
            </w:rPr>
            <m:t>MVN(0,</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pre</m:t>
              </m:r>
            </m:sub>
          </m:sSub>
          <m:r>
            <w:rPr>
              <w:rFonts w:ascii="Cambria Math" w:eastAsiaTheme="minorEastAsia" w:hAnsi="Cambria Math"/>
            </w:rPr>
            <m:t>)</m:t>
          </m:r>
        </m:oMath>
      </m:oMathPara>
    </w:p>
    <w:p w14:paraId="6C4169D0" w14:textId="33F2A598" w:rsidR="002312B3" w:rsidRDefault="002312B3" w:rsidP="008659A7">
      <w:pPr>
        <w:spacing w:line="480" w:lineRule="auto"/>
        <w:rPr>
          <w:rFonts w:eastAsiaTheme="minorEastAsia"/>
        </w:rPr>
      </w:pPr>
      <w:r>
        <w:rPr>
          <w:rFonts w:eastAsiaTheme="minorEastAsia"/>
        </w:rPr>
        <w:t xml:space="preserve">where </w:t>
      </w:r>
      <m:oMath>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pre</m:t>
            </m:r>
          </m:sub>
        </m:sSub>
      </m:oMath>
      <w:r>
        <w:rPr>
          <w:rFonts w:eastAsiaTheme="minorEastAsia"/>
        </w:rPr>
        <w:t xml:space="preserve"> is an </w:t>
      </w:r>
      <m:oMath>
        <m:r>
          <w:rPr>
            <w:rFonts w:ascii="Cambria Math" w:eastAsiaTheme="minorEastAsia" w:hAnsi="Cambria Math"/>
          </w:rPr>
          <m:t>L×L</m:t>
        </m:r>
      </m:oMath>
      <w:r>
        <w:rPr>
          <w:rFonts w:eastAsiaTheme="minorEastAsia"/>
        </w:rPr>
        <w:t xml:space="preserve"> covariance matrix for the </w:t>
      </w:r>
      <m:oMath>
        <m:r>
          <w:rPr>
            <w:rFonts w:ascii="Cambria Math" w:eastAsiaTheme="minorEastAsia" w:hAnsi="Cambria Math"/>
          </w:rPr>
          <m:t>L</m:t>
        </m:r>
      </m:oMath>
      <w:r w:rsidR="00435521">
        <w:rPr>
          <w:rFonts w:eastAsiaTheme="minorEastAsia"/>
        </w:rPr>
        <w:t xml:space="preserve"> spatial locations within a plot. The gaussian process parameters, and thus the covariance matrix, are constant across plots. However, each plot gets a separate draw from the multivariate normal distribution. Thus, the observations from within the same plot are spatially autocorrelated, but observations from separate plots do not share any spatial autocorrelation. This assumption is </w:t>
      </w:r>
      <w:r w:rsidR="000168F2">
        <w:rPr>
          <w:rFonts w:eastAsiaTheme="minorEastAsia"/>
        </w:rPr>
        <w:t>sound</w:t>
      </w:r>
      <w:r w:rsidR="00435521">
        <w:rPr>
          <w:rFonts w:eastAsiaTheme="minorEastAsia"/>
        </w:rPr>
        <w:t xml:space="preserve"> given the distances between plots, which are substantially greater than the plausible range of spatial autocorrelation between samples </w:t>
      </w:r>
      <w:r w:rsidR="00435521">
        <w:rPr>
          <w:rFonts w:eastAsiaTheme="minorEastAsia"/>
        </w:rPr>
        <w:fldChar w:fldCharType="begin" w:fldLock="1"/>
      </w:r>
      <w:r w:rsidR="00C73C2E">
        <w:rPr>
          <w:rFonts w:eastAsiaTheme="minorEastAsia"/>
        </w:rPr>
        <w:instrText>ADDIN CSL_CITATION {"citationItems":[{"id":"ITEM-1","itemData":{"ISBN":"Res.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-1","issued":{"date-parts":[["2012"]]},"number-of-pages":"56","title":"Spatial Variability of Wildland Fuel Characteristics in Northern Rocky Mountain Ecosystems","type":"report"},"uris":["http://www.mendeley.com/documents/?uuid=251ab07e-5a63-4320-b1b3-291d66a82592"]},{"id":"ITEM-2","itemData":{"DOI":"10.1007/s10980-012-9773-9","ISBN":"0921-2973","ISSN":"09212973","abstract":"Wildland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Ecology","id":"ITEM-2","issue":"8","issued":{"date-parts":[["2012"]]},"page":"1213-1234","title":"Spatial scaling of wildland fuels for six forest and rangeland ecosystems of the northern Rocky Mountains, USA","type":"article-journal","volume":"27"},"uris":["http://www.mendeley.com/documents/?uuid=3609ff6d-b86c-4513-88c0-2b3d18842ba8"]}],"mendeley":{"formattedCitation":"(Keane, Gray, &amp; Bacciu, 2012; Keane, Gray, Bacciu, et al., 2012)","plainTextFormattedCitation":"(Keane, Gray, &amp; Bacciu, 2012; Keane, Gray, Bacciu, et al., 2012)","previouslyFormattedCitation":"(Keane, Gray, &amp; Bacciu, 2012; Keane, Gray, Bacciu, et al., 2012)"},"properties":{"noteIndex":0},"schema":"https://github.com/citation-style-language/schema/raw/master/csl-citation.json"}</w:instrText>
      </w:r>
      <w:r w:rsidR="00435521">
        <w:rPr>
          <w:rFonts w:eastAsiaTheme="minorEastAsia"/>
        </w:rPr>
        <w:fldChar w:fldCharType="separate"/>
      </w:r>
      <w:r w:rsidR="00B3629A" w:rsidRPr="00B3629A">
        <w:rPr>
          <w:rFonts w:eastAsiaTheme="minorEastAsia"/>
          <w:noProof/>
        </w:rPr>
        <w:t>(Keane, Gray, &amp; Bacciu, 2012; Keane, Gray, Bacciu, et al., 2012)</w:t>
      </w:r>
      <w:r w:rsidR="00435521">
        <w:rPr>
          <w:rFonts w:eastAsiaTheme="minorEastAsia"/>
        </w:rPr>
        <w:fldChar w:fldCharType="end"/>
      </w:r>
      <w:r w:rsidR="00435521">
        <w:rPr>
          <w:rFonts w:eastAsiaTheme="minorEastAsia"/>
        </w:rPr>
        <w:t xml:space="preserve">. </w:t>
      </w:r>
    </w:p>
    <w:p w14:paraId="1081F412" w14:textId="60517085" w:rsidR="000168F2" w:rsidRDefault="000168F2" w:rsidP="008659A7">
      <w:pPr>
        <w:spacing w:line="480" w:lineRule="auto"/>
        <w:rPr>
          <w:rFonts w:eastAsiaTheme="minorEastAsia"/>
        </w:rPr>
      </w:pPr>
      <w:r>
        <w:rPr>
          <w:rFonts w:eastAsiaTheme="minorEastAsia"/>
        </w:rPr>
        <w:tab/>
        <w:t>Finally, the primary parameters of interest for this study are those controlling the structure of the fine-scale spatial correlation:</w:t>
      </w:r>
    </w:p>
    <w:p w14:paraId="23BB4DDA" w14:textId="7B0740D2" w:rsidR="000168F2" w:rsidRPr="009D513C" w:rsidRDefault="00000000" w:rsidP="008659A7">
      <w:pPr>
        <w:spacing w:line="480" w:lineRule="auto"/>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pre</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pre</m:t>
              </m:r>
            </m:sub>
            <m:sup>
              <m:r>
                <w:rPr>
                  <w:rFonts w:ascii="Cambria Math" w:eastAsiaTheme="minorEastAsia" w:hAnsi="Cambria Math"/>
                </w:rPr>
                <m:t>2</m:t>
              </m:r>
            </m:sup>
          </m:sSubSup>
          <m:r>
            <w:rPr>
              <w:rFonts w:ascii="Cambria Math" w:eastAsiaTheme="minorEastAsia" w:hAnsi="Cambria Math"/>
            </w:rPr>
            <m:t>×</m:t>
          </m:r>
          <m:r>
            <m:rPr>
              <m:nor/>
            </m:rPr>
            <w:rPr>
              <w:rFonts w:ascii="Cambria Math" w:eastAsiaTheme="minorEastAsia" w:hAnsi="Cambria Math"/>
            </w:rPr>
            <m:t>exp(</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pre</m:t>
                  </m:r>
                </m:sub>
                <m:sup>
                  <m:r>
                    <w:rPr>
                      <w:rFonts w:ascii="Cambria Math" w:eastAsiaTheme="minorEastAsia" w:hAnsi="Cambria Math"/>
                    </w:rPr>
                    <m:t>2</m:t>
                  </m:r>
                </m:sup>
              </m:sSubSup>
            </m:den>
          </m:f>
          <m:r>
            <m:rPr>
              <m:nor/>
            </m:rPr>
            <w:rPr>
              <w:rFonts w:ascii="Cambria Math" w:eastAsiaTheme="minorEastAsia" w:hAnsi="Cambria Math"/>
            </w:rPr>
            <m:t>)</m:t>
          </m:r>
        </m:oMath>
      </m:oMathPara>
    </w:p>
    <w:p w14:paraId="604EA768" w14:textId="4280F7E2" w:rsidR="009D513C" w:rsidRDefault="009D513C" w:rsidP="008659A7">
      <w:pPr>
        <w:spacing w:line="480" w:lineRule="auto"/>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pre</m:t>
            </m:r>
          </m:sub>
        </m:sSub>
      </m:oMath>
      <w:r>
        <w:rPr>
          <w:rFonts w:eastAsiaTheme="minorEastAsia"/>
        </w:rPr>
        <w:t xml:space="preserve"> is the </w:t>
      </w:r>
      <w:r w:rsidR="00610712">
        <w:rPr>
          <w:rFonts w:eastAsiaTheme="minorEastAsia"/>
        </w:rPr>
        <w:t>magnitude</w:t>
      </w:r>
      <w:r>
        <w:rPr>
          <w:rFonts w:eastAsiaTheme="minorEastAsia"/>
        </w:rPr>
        <w:t xml:space="preserve"> of the gaussian process random effect for the pre-burn timestep</w:t>
      </w:r>
      <w:r w:rsidR="005C5E5A">
        <w:rPr>
          <w:rFonts w:eastAsiaTheme="minorEastAsia"/>
        </w:rPr>
        <w:t xml:space="preserve"> (commonly known as the sill in geostatistics)</w:t>
      </w:r>
      <w:r>
        <w:rPr>
          <w:rFonts w:eastAsiaTheme="minorEastAsia"/>
        </w:rPr>
        <w:t xml:space="preserve">, </w:t>
      </w:r>
      <m:oMath>
        <m:r>
          <m:rPr>
            <m:sty m:val="bi"/>
          </m:rPr>
          <w:rPr>
            <w:rFonts w:ascii="Cambria Math" w:eastAsiaTheme="minorEastAsia" w:hAnsi="Cambria Math"/>
          </w:rPr>
          <m:t>D</m:t>
        </m:r>
      </m:oMath>
      <w:r>
        <w:rPr>
          <w:rFonts w:eastAsiaTheme="minorEastAsia"/>
        </w:rPr>
        <w:t xml:space="preserve"> is the </w:t>
      </w:r>
      <m:oMath>
        <m:r>
          <w:rPr>
            <w:rFonts w:ascii="Cambria Math" w:eastAsiaTheme="minorEastAsia" w:hAnsi="Cambria Math"/>
          </w:rPr>
          <m:t>L×L</m:t>
        </m:r>
      </m:oMath>
      <w:r>
        <w:rPr>
          <w:rFonts w:eastAsiaTheme="minorEastAsia"/>
        </w:rPr>
        <w:t xml:space="preserve"> matrix of pairwise distances between samples within a plot, and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pre</m:t>
            </m:r>
          </m:sub>
        </m:sSub>
      </m:oMath>
      <w:r w:rsidR="00F26C4A">
        <w:rPr>
          <w:rFonts w:eastAsiaTheme="minorEastAsia"/>
        </w:rPr>
        <w:t xml:space="preserve"> is the length-scale parameter for the gaussian process random effect for the pre-burn timestep</w:t>
      </w:r>
      <w:r w:rsidR="005C5E5A">
        <w:rPr>
          <w:rFonts w:eastAsiaTheme="minorEastAsia"/>
        </w:rPr>
        <w:t xml:space="preserve"> (the range)</w:t>
      </w:r>
      <w:r w:rsidR="00F26C4A">
        <w:rPr>
          <w:rFonts w:eastAsiaTheme="minorEastAsia"/>
        </w:rPr>
        <w:t xml:space="preserve">, controlling the rate at which the autocorrelation between samples decays as the distance between them increases. </w:t>
      </w:r>
      <w:r w:rsidR="005A7255">
        <w:rPr>
          <w:rFonts w:eastAsiaTheme="minorEastAsia"/>
        </w:rPr>
        <w:t xml:space="preserve">Likewise, </w:t>
      </w:r>
      <m:oMath>
        <m:sSub>
          <m:sSubPr>
            <m:ctrlPr>
              <w:rPr>
                <w:rFonts w:ascii="Cambria Math" w:eastAsiaTheme="minorEastAsia" w:hAnsi="Cambria Math"/>
                <w:i/>
              </w:rPr>
            </m:ctrlPr>
          </m:sSubPr>
          <m:e>
            <m:r>
              <m:rPr>
                <m:sty m:val="bi"/>
              </m:rPr>
              <w:rPr>
                <w:rFonts w:ascii="Cambria Math" w:eastAsiaTheme="minorEastAsia" w:hAnsi="Cambria Math"/>
              </w:rPr>
              <m:t>GPPOST</m:t>
            </m:r>
          </m:e>
          <m:sub>
            <m:r>
              <w:rPr>
                <w:rFonts w:ascii="Cambria Math" w:eastAsiaTheme="minorEastAsia" w:hAnsi="Cambria Math"/>
              </w:rPr>
              <m:t>1:L,p[i]</m:t>
            </m:r>
          </m:sub>
        </m:sSub>
        <m:r>
          <w:rPr>
            <w:rFonts w:ascii="Cambria Math" w:eastAsiaTheme="minorEastAsia" w:hAnsi="Cambria Math"/>
          </w:rPr>
          <m:t>~</m:t>
        </m:r>
        <w:proofErr w:type="gramStart"/>
        <m:r>
          <m:rPr>
            <m:nor/>
          </m:rPr>
          <w:rPr>
            <w:rFonts w:ascii="Cambria Math" w:eastAsiaTheme="minorEastAsia" w:hAnsi="Cambria Math"/>
          </w:rPr>
          <m:t>MVN(</m:t>
        </m:r>
        <w:proofErr w:type="gramEnd"/>
        <m:r>
          <m:rPr>
            <m:nor/>
          </m:rPr>
          <w:rPr>
            <w:rFonts w:ascii="Cambria Math" w:eastAsiaTheme="minorEastAsia" w:hAnsi="Cambria Math"/>
          </w:rPr>
          <m:t>0,</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post</m:t>
            </m:r>
          </m:sub>
        </m:sSub>
        <m:r>
          <m:rPr>
            <m:nor/>
          </m:rPr>
          <w:rPr>
            <w:rFonts w:ascii="Cambria Math" w:eastAsiaTheme="minorEastAsia" w:hAnsi="Cambria Math"/>
          </w:rPr>
          <m:t>)</m:t>
        </m:r>
      </m:oMath>
      <w:r w:rsidR="001610A6">
        <w:rPr>
          <w:rFonts w:eastAsiaTheme="minorEastAsia"/>
        </w:rPr>
        <w:t xml:space="preserve"> with </w:t>
      </w:r>
      <m:oMath>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post</m:t>
            </m:r>
          </m:sub>
        </m:sSub>
      </m:oMath>
      <w:r w:rsidR="00610712">
        <w:rPr>
          <w:rFonts w:eastAsiaTheme="minorEastAsia"/>
        </w:rPr>
        <w:t xml:space="preserve"> constructed</w:t>
      </w:r>
      <w:r w:rsidR="00273302">
        <w:rPr>
          <w:rFonts w:eastAsiaTheme="minorEastAsia"/>
        </w:rPr>
        <w:t xml:space="preserve"> in the same way but with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post</m:t>
            </m:r>
          </m:sub>
        </m:sSub>
      </m:oMath>
      <w:r w:rsidR="0027330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post</m:t>
            </m:r>
          </m:sub>
        </m:sSub>
      </m:oMath>
      <w:r w:rsidR="00273302">
        <w:rPr>
          <w:rFonts w:eastAsiaTheme="minorEastAsia"/>
        </w:rPr>
        <w:t xml:space="preserve">. </w:t>
      </w:r>
    </w:p>
    <w:p w14:paraId="367F0FC0" w14:textId="2F20302A" w:rsidR="00273302" w:rsidRDefault="00273302" w:rsidP="008659A7">
      <w:pPr>
        <w:spacing w:line="480" w:lineRule="auto"/>
        <w:rPr>
          <w:rFonts w:eastAsiaTheme="minorEastAsia"/>
        </w:rPr>
      </w:pPr>
      <w:r>
        <w:rPr>
          <w:rFonts w:eastAsiaTheme="minorEastAsia"/>
        </w:rPr>
        <w:tab/>
        <w:t xml:space="preserve">Each fine woody debris component (tally of 1-hour, 10-hour, and 100-hour fuels) is modeled separately: though the models share the same structure, the data and parameters are separate for each </w:t>
      </w:r>
      <w:r>
        <w:rPr>
          <w:rFonts w:eastAsiaTheme="minorEastAsia"/>
        </w:rPr>
        <w:lastRenderedPageBreak/>
        <w:t xml:space="preserve">component. The structure of the fine woody debris models is identical to that used for litter and duff, with </w:t>
      </w:r>
      <w:r w:rsidR="00EE58A8">
        <w:rPr>
          <w:rFonts w:eastAsiaTheme="minorEastAsia"/>
        </w:rPr>
        <w:t xml:space="preserve">one exception. The covariance </w:t>
      </w:r>
      <w:r w:rsidR="00D4383B">
        <w:rPr>
          <w:rFonts w:eastAsiaTheme="minorEastAsia"/>
        </w:rPr>
        <w:t>matrix</w:t>
      </w:r>
      <w:r w:rsidR="00EE58A8">
        <w:rPr>
          <w:rFonts w:eastAsiaTheme="minorEastAsia"/>
        </w:rPr>
        <w:t xml:space="preserve"> for the fine woody debris models is</w:t>
      </w:r>
      <w:r w:rsidR="00D4383B">
        <w:rPr>
          <w:rFonts w:eastAsiaTheme="minorEastAsia"/>
        </w:rPr>
        <w:t xml:space="preserve"> composed via</w:t>
      </w:r>
      <w:r w:rsidR="00EE58A8">
        <w:rPr>
          <w:rFonts w:eastAsiaTheme="minorEastAsia"/>
        </w:rPr>
        <w:t>:</w:t>
      </w:r>
    </w:p>
    <w:p w14:paraId="1F72AC98" w14:textId="2BF9062E" w:rsidR="00EE58A8" w:rsidRPr="00EE58A8" w:rsidRDefault="00000000" w:rsidP="008659A7">
      <w:pPr>
        <w:spacing w:line="480" w:lineRule="auto"/>
        <w:rPr>
          <w:rFonts w:eastAsiaTheme="minorEastAsia"/>
          <w:b/>
          <w:bCs/>
        </w:rPr>
      </w:pPr>
      <m:oMathPara>
        <m:oMath>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pre</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pre</m:t>
              </m:r>
            </m:sub>
            <m:sup>
              <m:r>
                <w:rPr>
                  <w:rFonts w:ascii="Cambria Math" w:eastAsiaTheme="minorEastAsia" w:hAnsi="Cambria Math"/>
                </w:rPr>
                <m:t>2</m:t>
              </m:r>
            </m:sup>
          </m:sSubSup>
          <m:r>
            <w:rPr>
              <w:rFonts w:ascii="Cambria Math" w:eastAsiaTheme="minorEastAsia" w:hAnsi="Cambria Math"/>
            </w:rPr>
            <m:t>×</m:t>
          </m:r>
          <m:r>
            <m:rPr>
              <m:nor/>
            </m:rPr>
            <w:rPr>
              <w:rFonts w:ascii="Cambria Math" w:eastAsiaTheme="minorEastAsia" w:hAnsi="Cambria Math"/>
            </w:rPr>
            <m:t>exp(</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pre</m:t>
                  </m:r>
                </m:sub>
                <m:sup>
                  <m:r>
                    <w:rPr>
                      <w:rFonts w:ascii="Cambria Math" w:eastAsiaTheme="minorEastAsia" w:hAnsi="Cambria Math"/>
                    </w:rPr>
                    <m:t>2</m:t>
                  </m:r>
                </m:sup>
              </m:sSubSup>
            </m:den>
          </m:f>
          <m:r>
            <m:rPr>
              <m:nor/>
            </m:rPr>
            <w:rPr>
              <w:rFonts w:ascii="Cambria Math" w:eastAsiaTheme="minorEastAsia" w:hAnsi="Cambria Math"/>
            </w:rPr>
            <m:t>)+(</m:t>
          </m:r>
          <m:r>
            <m:rPr>
              <m:sty m:val="bi"/>
            </m:rPr>
            <w:rPr>
              <w:rFonts w:ascii="Cambria Math" w:eastAsiaTheme="minorEastAsia" w:hAnsi="Cambria Math"/>
            </w:rPr>
            <m:t>I</m:t>
          </m:r>
          <m:sSub>
            <m:sSubPr>
              <m:ctrlPr>
                <w:rPr>
                  <w:rFonts w:ascii="Cambria Math" w:eastAsiaTheme="minorEastAsia" w:hAnsi="Cambria Math"/>
                  <w:b/>
                  <w:bCs/>
                  <w:i/>
                </w:rPr>
              </m:ctrlPr>
            </m:sSubPr>
            <m:e>
              <m:r>
                <w:rPr>
                  <w:rFonts w:ascii="Cambria Math" w:eastAsiaTheme="minorEastAsia" w:hAnsi="Cambria Math"/>
                </w:rPr>
                <m:t>×τ</m:t>
              </m:r>
            </m:e>
            <m:sub>
              <m:r>
                <w:rPr>
                  <w:rFonts w:ascii="Cambria Math" w:eastAsiaTheme="minorEastAsia" w:hAnsi="Cambria Math"/>
                </w:rPr>
                <m:t>pre</m:t>
              </m:r>
            </m:sub>
          </m:sSub>
          <m:r>
            <m:rPr>
              <m:sty m:val="bi"/>
            </m:rPr>
            <w:rPr>
              <w:rFonts w:ascii="Cambria Math" w:eastAsiaTheme="minorEastAsia" w:hAnsi="Cambria Math"/>
            </w:rPr>
            <m:t>)</m:t>
          </m:r>
        </m:oMath>
      </m:oMathPara>
    </w:p>
    <w:p w14:paraId="66F9BB73" w14:textId="0BD22A05" w:rsidR="00EE58A8" w:rsidRDefault="00EE58A8" w:rsidP="008659A7">
      <w:pPr>
        <w:spacing w:line="480" w:lineRule="auto"/>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pre</m:t>
            </m:r>
          </m:sub>
        </m:sSub>
      </m:oMath>
      <w:r>
        <w:rPr>
          <w:rFonts w:eastAsiaTheme="minorEastAsia"/>
        </w:rPr>
        <w:t xml:space="preserve">, </w:t>
      </w:r>
      <m:oMath>
        <m:r>
          <m:rPr>
            <m:sty m:val="bi"/>
          </m:rPr>
          <w:rPr>
            <w:rFonts w:ascii="Cambria Math" w:eastAsiaTheme="minorEastAsia" w:hAnsi="Cambria Math"/>
          </w:rPr>
          <m:t>D</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pre</m:t>
            </m:r>
          </m:sub>
        </m:sSub>
      </m:oMath>
      <w:r>
        <w:rPr>
          <w:rFonts w:eastAsiaTheme="minorEastAsia"/>
        </w:rPr>
        <w:t xml:space="preserve"> are as above, and </w:t>
      </w:r>
      <m:oMath>
        <m:r>
          <m:rPr>
            <m:sty m:val="bi"/>
          </m:rPr>
          <w:rPr>
            <w:rFonts w:ascii="Cambria Math" w:eastAsiaTheme="minorEastAsia" w:hAnsi="Cambria Math"/>
          </w:rPr>
          <m:t>I</m:t>
        </m:r>
      </m:oMath>
      <w:r>
        <w:rPr>
          <w:rFonts w:eastAsiaTheme="minorEastAsia"/>
          <w:b/>
          <w:bCs/>
        </w:rPr>
        <w:t xml:space="preserve"> </w:t>
      </w:r>
      <w:r>
        <w:rPr>
          <w:rFonts w:eastAsiaTheme="minorEastAsia"/>
        </w:rPr>
        <w:t xml:space="preserve">is an </w:t>
      </w:r>
      <m:oMath>
        <m:r>
          <w:rPr>
            <w:rFonts w:ascii="Cambria Math" w:eastAsiaTheme="minorEastAsia" w:hAnsi="Cambria Math"/>
          </w:rPr>
          <m:t>L×L</m:t>
        </m:r>
      </m:oMath>
      <w:r>
        <w:rPr>
          <w:rFonts w:eastAsiaTheme="minorEastAsia"/>
        </w:rPr>
        <w:t xml:space="preserve"> </w:t>
      </w:r>
      <w:r w:rsidR="00D44287">
        <w:rPr>
          <w:rFonts w:eastAsiaTheme="minorEastAsia"/>
        </w:rPr>
        <w:t xml:space="preserve">identity </w:t>
      </w:r>
      <w:r>
        <w:rPr>
          <w:rFonts w:eastAsiaTheme="minorEastAsia"/>
        </w:rPr>
        <w:t>matrix with</w:t>
      </w:r>
      <w:r w:rsidR="00D44287">
        <w:rPr>
          <w:rFonts w:eastAsiaTheme="minorEastAsia"/>
        </w:rPr>
        <w:t xml:space="preserve"> 1s on the diagonal and 0s otherwise,</w:t>
      </w:r>
      <w:r>
        <w:rPr>
          <w:rFonts w:eastAsiaTheme="minorEastAsia"/>
        </w:rPr>
        <w:t xml:space="preserve"> </w:t>
      </w:r>
      <w:r w:rsidR="00D44287">
        <w:rPr>
          <w:rFonts w:eastAsiaTheme="minorEastAsia"/>
        </w:rPr>
        <w:t>and</w:t>
      </w:r>
      <w:r>
        <w:rPr>
          <w:rFonts w:eastAsiaTheme="minorEastAsia"/>
        </w:rPr>
        <w:t xml:space="preserve"> </w:t>
      </w:r>
      <m:oMath>
        <m:sSub>
          <m:sSubPr>
            <m:ctrlPr>
              <w:rPr>
                <w:rFonts w:ascii="Cambria Math" w:eastAsiaTheme="minorEastAsia" w:hAnsi="Cambria Math"/>
                <w:b/>
                <w:bCs/>
                <w:i/>
              </w:rPr>
            </m:ctrlPr>
          </m:sSubPr>
          <m:e>
            <m:r>
              <w:rPr>
                <w:rFonts w:ascii="Cambria Math" w:eastAsiaTheme="minorEastAsia" w:hAnsi="Cambria Math"/>
              </w:rPr>
              <m:t>τ</m:t>
            </m:r>
          </m:e>
          <m:sub>
            <m:r>
              <w:rPr>
                <w:rFonts w:ascii="Cambria Math" w:eastAsiaTheme="minorEastAsia" w:hAnsi="Cambria Math"/>
              </w:rPr>
              <m:t>pre</m:t>
            </m:r>
          </m:sub>
        </m:sSub>
      </m:oMath>
      <w:r>
        <w:rPr>
          <w:rFonts w:eastAsiaTheme="minorEastAsia"/>
        </w:rPr>
        <w:t xml:space="preserve"> </w:t>
      </w:r>
      <w:r w:rsidR="00D44287">
        <w:rPr>
          <w:rFonts w:eastAsiaTheme="minorEastAsia"/>
        </w:rPr>
        <w:t>is the noise parameter for the gaussian process random effect</w:t>
      </w:r>
      <w:r w:rsidR="005C5E5A">
        <w:rPr>
          <w:rFonts w:eastAsiaTheme="minorEastAsia"/>
        </w:rPr>
        <w:t xml:space="preserve"> (the nugget)</w:t>
      </w:r>
      <w:r w:rsidR="00D44287">
        <w:rPr>
          <w:rFonts w:eastAsiaTheme="minorEastAsia"/>
        </w:rPr>
        <w:t>, controlling the covariance between samples which share a common location</w:t>
      </w:r>
      <w:r>
        <w:rPr>
          <w:rFonts w:eastAsiaTheme="minorEastAsia"/>
        </w:rPr>
        <w:t>.</w:t>
      </w:r>
      <w:r w:rsidR="00D44287">
        <w:rPr>
          <w:rFonts w:eastAsiaTheme="minorEastAsia"/>
        </w:rPr>
        <w:t xml:space="preserve"> There is likewise a parameter </w:t>
      </w:r>
      <m:oMath>
        <m:sSub>
          <m:sSubPr>
            <m:ctrlPr>
              <w:rPr>
                <w:rFonts w:ascii="Cambria Math" w:eastAsiaTheme="minorEastAsia" w:hAnsi="Cambria Math"/>
                <w:b/>
                <w:bCs/>
                <w:i/>
              </w:rPr>
            </m:ctrlPr>
          </m:sSubPr>
          <m:e>
            <m:r>
              <w:rPr>
                <w:rFonts w:ascii="Cambria Math" w:eastAsiaTheme="minorEastAsia" w:hAnsi="Cambria Math"/>
              </w:rPr>
              <m:t>τ</m:t>
            </m:r>
          </m:e>
          <m:sub>
            <m:r>
              <w:rPr>
                <w:rFonts w:ascii="Cambria Math" w:eastAsiaTheme="minorEastAsia" w:hAnsi="Cambria Math"/>
              </w:rPr>
              <m:t>post</m:t>
            </m:r>
          </m:sub>
        </m:sSub>
      </m:oMath>
      <w:r w:rsidR="00D44287">
        <w:rPr>
          <w:rFonts w:eastAsiaTheme="minorEastAsia"/>
        </w:rPr>
        <w:t xml:space="preserve"> for the post-burn observations.</w:t>
      </w:r>
      <w:r w:rsidR="00300C99">
        <w:rPr>
          <w:rFonts w:eastAsiaTheme="minorEastAsia"/>
        </w:rPr>
        <w:t xml:space="preserve"> We include the parameters </w:t>
      </w:r>
      <m:oMath>
        <m:sSub>
          <m:sSubPr>
            <m:ctrlPr>
              <w:rPr>
                <w:rFonts w:ascii="Cambria Math" w:eastAsiaTheme="minorEastAsia" w:hAnsi="Cambria Math"/>
                <w:b/>
                <w:bCs/>
                <w:i/>
              </w:rPr>
            </m:ctrlPr>
          </m:sSubPr>
          <m:e>
            <m:r>
              <w:rPr>
                <w:rFonts w:ascii="Cambria Math" w:eastAsiaTheme="minorEastAsia" w:hAnsi="Cambria Math"/>
              </w:rPr>
              <m:t>τ</m:t>
            </m:r>
          </m:e>
          <m:sub>
            <m:r>
              <w:rPr>
                <w:rFonts w:ascii="Cambria Math" w:eastAsiaTheme="minorEastAsia" w:hAnsi="Cambria Math"/>
              </w:rPr>
              <m:t>pre</m:t>
            </m:r>
          </m:sub>
        </m:sSub>
      </m:oMath>
      <w:r w:rsidR="00300C99">
        <w:rPr>
          <w:rFonts w:eastAsiaTheme="minorEastAsia"/>
          <w:b/>
          <w:bCs/>
        </w:rPr>
        <w:t xml:space="preserve"> </w:t>
      </w:r>
      <w:r w:rsidR="00300C99">
        <w:rPr>
          <w:rFonts w:eastAsiaTheme="minorEastAsia"/>
        </w:rPr>
        <w:t xml:space="preserve">and </w:t>
      </w:r>
      <m:oMath>
        <m:sSub>
          <m:sSubPr>
            <m:ctrlPr>
              <w:rPr>
                <w:rFonts w:ascii="Cambria Math" w:eastAsiaTheme="minorEastAsia" w:hAnsi="Cambria Math"/>
                <w:b/>
                <w:bCs/>
                <w:i/>
              </w:rPr>
            </m:ctrlPr>
          </m:sSubPr>
          <m:e>
            <m:r>
              <w:rPr>
                <w:rFonts w:ascii="Cambria Math" w:eastAsiaTheme="minorEastAsia" w:hAnsi="Cambria Math"/>
              </w:rPr>
              <m:t>τ</m:t>
            </m:r>
          </m:e>
          <m:sub>
            <m:r>
              <w:rPr>
                <w:rFonts w:ascii="Cambria Math" w:eastAsiaTheme="minorEastAsia" w:hAnsi="Cambria Math"/>
              </w:rPr>
              <m:t>post</m:t>
            </m:r>
          </m:sub>
        </m:sSub>
      </m:oMath>
      <w:r w:rsidR="00300C99">
        <w:rPr>
          <w:rFonts w:eastAsiaTheme="minorEastAsia"/>
        </w:rPr>
        <w:t xml:space="preserve"> for the fine woody debris models because there were replicate observations (two orthogonal 1 m subtransects) for each spatial location (the center point of each subtransect).</w:t>
      </w:r>
    </w:p>
    <w:p w14:paraId="411DEAFB" w14:textId="1C71CD49" w:rsidR="001310A0" w:rsidRDefault="001310A0" w:rsidP="008659A7">
      <w:pPr>
        <w:spacing w:line="480" w:lineRule="auto"/>
        <w:rPr>
          <w:rFonts w:eastAsiaTheme="minorEastAsia"/>
        </w:rPr>
      </w:pPr>
      <w:r>
        <w:rPr>
          <w:rFonts w:eastAsiaTheme="minorEastAsia"/>
        </w:rPr>
        <w:tab/>
      </w:r>
      <w:r w:rsidR="00732895">
        <w:rPr>
          <w:rFonts w:eastAsiaTheme="minorEastAsia"/>
        </w:rPr>
        <w:t xml:space="preserve">Models for </w:t>
      </w:r>
      <w:r w:rsidR="009D2B60">
        <w:rPr>
          <w:rFonts w:eastAsiaTheme="minorEastAsia"/>
        </w:rPr>
        <w:t>litter and duff</w:t>
      </w:r>
      <w:r w:rsidR="00732895">
        <w:rPr>
          <w:rFonts w:eastAsiaTheme="minorEastAsia"/>
        </w:rPr>
        <w:t xml:space="preserve"> depths and tallies of 1-hour, 10-hour, and 100-hour fine woody debris were fit separately using Bayesian parameter estimation (specifically, Hamiltonian Monte Carlo) as implemented in Stan version 2.29.1 via the cmdstanr package in R version </w:t>
      </w:r>
      <w:r w:rsidR="00A93A28">
        <w:rPr>
          <w:rFonts w:eastAsiaTheme="minorEastAsia"/>
        </w:rPr>
        <w:t>4.4.1</w:t>
      </w:r>
      <w:r w:rsidR="00732895">
        <w:rPr>
          <w:rFonts w:eastAsiaTheme="minorEastAsia"/>
        </w:rPr>
        <w:t xml:space="preserve"> </w:t>
      </w:r>
      <w:r w:rsidR="00732895">
        <w:rPr>
          <w:rFonts w:eastAsiaTheme="minorEastAsia"/>
        </w:rPr>
        <w:fldChar w:fldCharType="begin" w:fldLock="1"/>
      </w:r>
      <w:r w:rsidR="00AF1F55">
        <w:rPr>
          <w:rFonts w:eastAsiaTheme="minorEastAsia"/>
        </w:rPr>
        <w:instrText>ADDIN CSL_CITATION {"citationItems":[{"id":"ITEM-1","itemData":{"author":[{"dropping-particle":"","family":"Stan Development Team","given":"","non-dropping-particle":"","parse-names":false,"suffix":""}],"id":"ITEM-1","issued":{"date-parts":[["2022"]]},"number":"2.28.2","title":"Stan Modeling Language Users Guide and Reference Manual","type":"article"},"uris":["http://www.mendeley.com/documents/?uuid=6b82f36d-3354-4d85-af1e-c2a23a771ace"]},{"id":"ITEM-2","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-2","issued":{"date-parts":[["2022"]]},"number":"0.4.0","title":"cmdstanr","type":"article"},"uris":["http://www.mendeley.com/documents/?uuid=429d9090-484f-42be-bcba-823841444b3c"]},{"id":"ITEM-3","itemData":{"author":[{"dropping-particle":"","family":"R Core Team","given":"","non-dropping-particle":"","parse-names":false,"suffix":""}],"id":"ITEM-3","issued":{"date-parts":[["2021"]]},"publisher":"R Foundation for Statistical Computing","publisher-place":"Vienna, Austria","title":"R: A language and environment for statistical computing.","type":"article"},"uris":["http://www.mendeley.com/documents/?uuid=9eaa1c3f-861e-4077-95c1-8af9a92db374"]}],"mendeley":{"formattedCitation":"(Gabry et al., 2022; R Core Team, 2021; Stan Development Team, 2022)","plainTextFormattedCitation":"(Gabry et al., 2022; R Core Team, 2021; Stan Development Team, 2022)","previouslyFormattedCitation":"(Gabry et al., 2022; R Core Team, 2021; Stan Development Team, 2022)"},"properties":{"noteIndex":0},"schema":"https://github.com/citation-style-language/schema/raw/master/csl-citation.json"}</w:instrText>
      </w:r>
      <w:r w:rsidR="00732895">
        <w:rPr>
          <w:rFonts w:eastAsiaTheme="minorEastAsia"/>
        </w:rPr>
        <w:fldChar w:fldCharType="separate"/>
      </w:r>
      <w:r w:rsidR="00A93A28" w:rsidRPr="00A93A28">
        <w:rPr>
          <w:rFonts w:eastAsiaTheme="minorEastAsia"/>
          <w:noProof/>
        </w:rPr>
        <w:t>(Gabry et al., 2022; R Core Team, 2021; Stan Development Team, 2022)</w:t>
      </w:r>
      <w:r w:rsidR="00732895">
        <w:rPr>
          <w:rFonts w:eastAsiaTheme="minorEastAsia"/>
        </w:rPr>
        <w:fldChar w:fldCharType="end"/>
      </w:r>
      <w:r w:rsidR="00A93A28">
        <w:rPr>
          <w:rFonts w:eastAsiaTheme="minorEastAsia"/>
        </w:rPr>
        <w:t xml:space="preserve">. </w:t>
      </w:r>
      <w:r w:rsidR="006123F5">
        <w:rPr>
          <w:rFonts w:eastAsiaTheme="minorEastAsia"/>
        </w:rPr>
        <w:t xml:space="preserve">Parameters were estimated using four chains of 2,000 samples each, with the first 1,000 samples of each chain </w:t>
      </w:r>
      <w:r w:rsidR="00F563E8">
        <w:rPr>
          <w:rFonts w:eastAsiaTheme="minorEastAsia"/>
        </w:rPr>
        <w:t>discarded</w:t>
      </w:r>
      <w:r w:rsidR="006123F5">
        <w:rPr>
          <w:rFonts w:eastAsiaTheme="minorEastAsia"/>
        </w:rPr>
        <w:t xml:space="preserve"> </w:t>
      </w:r>
      <w:r w:rsidR="00F563E8">
        <w:rPr>
          <w:rFonts w:eastAsiaTheme="minorEastAsia"/>
        </w:rPr>
        <w:t>as</w:t>
      </w:r>
      <w:r w:rsidR="006123F5">
        <w:rPr>
          <w:rFonts w:eastAsiaTheme="minorEastAsia"/>
        </w:rPr>
        <w:t xml:space="preserve"> warmup. </w:t>
      </w:r>
      <w:r w:rsidR="00F563E8">
        <w:rPr>
          <w:rFonts w:eastAsiaTheme="minorEastAsia"/>
        </w:rPr>
        <w:t xml:space="preserve">For all models, </w:t>
      </w:r>
      <m:oMath>
        <m:r>
          <m:rPr>
            <m:nor/>
          </m:rPr>
          <w:rPr>
            <w:rFonts w:ascii="Cambria Math" w:eastAsiaTheme="minorEastAsia" w:hAnsi="Cambria Math"/>
          </w:rPr>
          <m:t>Normal</m:t>
        </m:r>
        <m:r>
          <w:rPr>
            <w:rFonts w:ascii="Cambria Math" w:eastAsiaTheme="minorEastAsia" w:hAnsi="Cambria Math"/>
          </w:rPr>
          <m:t>(0,5)</m:t>
        </m:r>
      </m:oMath>
      <w:r w:rsidR="00F563E8">
        <w:rPr>
          <w:rFonts w:eastAsiaTheme="minorEastAsia"/>
        </w:rPr>
        <w:t xml:space="preserve"> priors were used for </w:t>
      </w:r>
      <m:oMath>
        <m:r>
          <w:rPr>
            <w:rFonts w:ascii="Cambria Math" w:eastAsiaTheme="minorEastAsia" w:hAnsi="Cambria Math"/>
          </w:rPr>
          <m:t>β</m:t>
        </m:r>
      </m:oMath>
      <w:r w:rsidR="00F563E8">
        <w:rPr>
          <w:rFonts w:eastAsiaTheme="minorEastAsia"/>
        </w:rPr>
        <w:t xml:space="preserve">, </w:t>
      </w:r>
      <m:oMath>
        <m:r>
          <w:rPr>
            <w:rFonts w:ascii="Cambria Math" w:eastAsiaTheme="minorEastAsia" w:hAnsi="Cambria Math"/>
          </w:rPr>
          <m:t>σ</m:t>
        </m:r>
      </m:oMath>
      <w:r w:rsidR="00F563E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pre</m:t>
            </m:r>
          </m:sub>
        </m:sSub>
      </m:oMath>
      <w:r w:rsidR="00F563E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post</m:t>
            </m:r>
          </m:sub>
        </m:sSub>
      </m:oMath>
      <w:r w:rsidR="00E05397">
        <w:rPr>
          <w:rFonts w:eastAsiaTheme="minorEastAsia"/>
        </w:rPr>
        <w:t>,</w:t>
      </w:r>
      <w:r w:rsidR="00F563E8">
        <w:rPr>
          <w:rFonts w:eastAsiaTheme="minorEastAsia"/>
        </w:rPr>
        <w:t xml:space="preserve"> </w:t>
      </w:r>
      <w:proofErr w:type="gramStart"/>
      <m:oMath>
        <m:r>
          <m:rPr>
            <m:nor/>
          </m:rPr>
          <w:rPr>
            <w:rFonts w:ascii="Cambria Math" w:eastAsiaTheme="minorEastAsia" w:hAnsi="Cambria Math"/>
          </w:rPr>
          <m:t>InvGamma(</m:t>
        </m:r>
        <w:proofErr w:type="gramEnd"/>
        <m:r>
          <m:rPr>
            <m:nor/>
          </m:rPr>
          <w:rPr>
            <w:rFonts w:ascii="Cambria Math" w:eastAsiaTheme="minorEastAsia" w:hAnsi="Cambria Math"/>
          </w:rPr>
          <m:t>5,40)</m:t>
        </m:r>
      </m:oMath>
      <w:r w:rsidR="00F563E8">
        <w:rPr>
          <w:rFonts w:eastAsiaTheme="minorEastAsia"/>
        </w:rPr>
        <w:t xml:space="preserve"> priors were used for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pre</m:t>
            </m:r>
          </m:sub>
        </m:sSub>
      </m:oMath>
      <w:r w:rsidR="00F563E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post</m:t>
            </m:r>
          </m:sub>
        </m:sSub>
      </m:oMath>
      <w:r w:rsidR="00F563E8">
        <w:rPr>
          <w:rFonts w:eastAsiaTheme="minorEastAsia"/>
        </w:rPr>
        <w:t>, and</w:t>
      </w:r>
      <w:r w:rsidR="00E05397">
        <w:rPr>
          <w:rFonts w:eastAsiaTheme="minorEastAsia"/>
        </w:rPr>
        <w:t xml:space="preserve"> a</w:t>
      </w:r>
      <w:r w:rsidR="00F563E8">
        <w:rPr>
          <w:rFonts w:eastAsiaTheme="minorEastAsia"/>
        </w:rPr>
        <w:t xml:space="preserve"> </w:t>
      </w:r>
      <m:oMath>
        <m:r>
          <m:rPr>
            <m:nor/>
          </m:rPr>
          <w:rPr>
            <w:rFonts w:ascii="Cambria Math" w:eastAsiaTheme="minorEastAsia" w:hAnsi="Cambria Math"/>
          </w:rPr>
          <m:t>Half-Cauchy(0,5)</m:t>
        </m:r>
      </m:oMath>
      <w:r w:rsidR="00E05397">
        <w:rPr>
          <w:rFonts w:eastAsiaTheme="minorEastAsia"/>
        </w:rPr>
        <w:t xml:space="preserve"> prior was used for </w:t>
      </w:r>
      <m:oMath>
        <m:r>
          <w:rPr>
            <w:rFonts w:ascii="Cambria Math" w:eastAsiaTheme="minorEastAsia" w:hAnsi="Cambria Math"/>
          </w:rPr>
          <m:t>κ</m:t>
        </m:r>
      </m:oMath>
      <w:r w:rsidR="00E05397">
        <w:rPr>
          <w:rFonts w:eastAsiaTheme="minorEastAsia"/>
        </w:rPr>
        <w:t>.</w:t>
      </w:r>
      <w:r w:rsidR="00F563E8">
        <w:rPr>
          <w:rFonts w:eastAsiaTheme="minorEastAsia"/>
        </w:rPr>
        <w:t xml:space="preserve"> </w:t>
      </w:r>
    </w:p>
    <w:p w14:paraId="058396FF" w14:textId="6F04B616" w:rsidR="00E05397" w:rsidRDefault="00E05397" w:rsidP="008659A7">
      <w:pPr>
        <w:pStyle w:val="Heading2"/>
        <w:spacing w:line="480" w:lineRule="auto"/>
        <w:rPr>
          <w:rFonts w:eastAsiaTheme="minorEastAsia"/>
        </w:rPr>
      </w:pPr>
      <w:r>
        <w:rPr>
          <w:rFonts w:eastAsiaTheme="minorEastAsia"/>
        </w:rPr>
        <w:t>Model Validation</w:t>
      </w:r>
    </w:p>
    <w:p w14:paraId="473ACED5" w14:textId="58D51A90" w:rsidR="00EE58A8" w:rsidRPr="003A670E" w:rsidRDefault="00E05397" w:rsidP="008659A7">
      <w:pPr>
        <w:spacing w:line="480" w:lineRule="auto"/>
      </w:pPr>
      <w:r>
        <w:tab/>
        <w:t xml:space="preserve">The basic diagnostics provided by cmdstanr (R-hat values, trace plots, per-chain posterior density plots, posterior pair plots, and assessment of divergences) were inspected for evidence of convergence and between-chain consistency or signs of difficulty estimating parameters. </w:t>
      </w:r>
      <w:r w:rsidR="00FA1102">
        <w:t xml:space="preserve">Posterior distributions for all parameters were visually compared with prior distributions to assess the degree to which the data informed posterior parameter estimates. </w:t>
      </w:r>
      <w:r w:rsidR="003A670E">
        <w:t xml:space="preserve">10% of observations were randomly held out of </w:t>
      </w:r>
      <w:r w:rsidR="003A670E">
        <w:lastRenderedPageBreak/>
        <w:t xml:space="preserve">the training dataset used to estimate parameters and were only used to assess the out-of-sample predictive performance of the models. For both the training and validation datasets, posterior prediction data were generated using the posterior parameter values. </w:t>
      </w:r>
      <w:proofErr w:type="gramStart"/>
      <w:r w:rsidR="003A670E">
        <w:t>In order to</w:t>
      </w:r>
      <w:proofErr w:type="gramEnd"/>
      <w:r w:rsidR="003A670E">
        <w:t xml:space="preserve"> assess model performance, numerous data visualizations were used to explore the relationship between the observed data and the posterior predictions</w:t>
      </w:r>
      <w:r w:rsidR="00D4383B">
        <w:t xml:space="preserve"> (</w:t>
      </w:r>
      <w:r w:rsidR="00D4383B">
        <w:fldChar w:fldCharType="begin"/>
      </w:r>
      <w:r w:rsidR="00D4383B">
        <w:instrText xml:space="preserve"> REF _Ref108783039 \h </w:instrText>
      </w:r>
      <w:r w:rsidR="00D4383B">
        <w:fldChar w:fldCharType="separate"/>
      </w:r>
      <w:r w:rsidR="00D4383B">
        <w:t>Supplementary Materials</w:t>
      </w:r>
      <w:r w:rsidR="00D4383B">
        <w:fldChar w:fldCharType="end"/>
      </w:r>
      <w:r w:rsidR="00D4383B">
        <w:t>)</w:t>
      </w:r>
      <w:r w:rsidR="003A670E">
        <w:t>.</w:t>
      </w:r>
    </w:p>
    <w:p w14:paraId="10124F86" w14:textId="533DE2D0" w:rsidR="000052BF" w:rsidRDefault="000052BF" w:rsidP="008659A7">
      <w:pPr>
        <w:pStyle w:val="Heading1"/>
        <w:spacing w:line="480" w:lineRule="auto"/>
      </w:pPr>
      <w:r>
        <w:t>Results</w:t>
      </w:r>
    </w:p>
    <w:p w14:paraId="3EB9F938" w14:textId="0FC4B3C3" w:rsidR="003A670E" w:rsidRDefault="003A670E" w:rsidP="008659A7">
      <w:pPr>
        <w:spacing w:line="480" w:lineRule="auto"/>
        <w:rPr>
          <w:rFonts w:eastAsiaTheme="minorEastAsia"/>
        </w:rPr>
      </w:pPr>
      <w:r>
        <w:tab/>
      </w:r>
      <w:r w:rsidR="006E3169">
        <w:t>Basic model diagnostics indicated that the Hamiltonian Monte Carlo algorithm performed satisfactorily for all models. Posterior distributions were clearly different from prior distributions for most parameters</w:t>
      </w:r>
      <w:r w:rsidR="00C41877">
        <w:t xml:space="preserve"> (</w:t>
      </w:r>
      <w:r w:rsidR="00C41877">
        <w:fldChar w:fldCharType="begin"/>
      </w:r>
      <w:r w:rsidR="00C41877">
        <w:instrText xml:space="preserve"> REF _Ref108783039 \h </w:instrText>
      </w:r>
      <w:r w:rsidR="00EB1561">
        <w:instrText xml:space="preserve"> \* MERGEFORMAT </w:instrText>
      </w:r>
      <w:r w:rsidR="00C41877">
        <w:fldChar w:fldCharType="separate"/>
      </w:r>
      <w:r w:rsidR="00C41877">
        <w:t>Supplementary Materials</w:t>
      </w:r>
      <w:r w:rsidR="00C41877">
        <w:fldChar w:fldCharType="end"/>
      </w:r>
      <w:r w:rsidR="00C41877">
        <w:t>)</w:t>
      </w:r>
      <w:r w:rsidR="006E3169">
        <w:t xml:space="preserve">, indicating that posterior estimates were almost always strongly informed by the data rather than the prior assumptions. The sole exception was the posterior estimate for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post</m:t>
            </m:r>
          </m:sub>
        </m:sSub>
      </m:oMath>
      <w:r w:rsidR="00E776FF">
        <w:rPr>
          <w:rFonts w:eastAsiaTheme="minorEastAsia"/>
        </w:rPr>
        <w:t xml:space="preserve"> for the 100-hour fine woody debris model</w:t>
      </w:r>
      <w:r w:rsidR="006E3169">
        <w:rPr>
          <w:rFonts w:eastAsiaTheme="minorEastAsia"/>
        </w:rPr>
        <w:t>, which substantially overlapped with the prior distribution for that parameter</w:t>
      </w:r>
      <w:r w:rsidR="00E776FF">
        <w:rPr>
          <w:rFonts w:eastAsiaTheme="minorEastAsia"/>
        </w:rPr>
        <w:t xml:space="preserve">. This indicates that the posterior estimates for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post</m:t>
            </m:r>
          </m:sub>
        </m:sSub>
      </m:oMath>
      <w:r w:rsidR="00E776FF">
        <w:rPr>
          <w:rFonts w:eastAsiaTheme="minorEastAsia"/>
        </w:rPr>
        <w:t xml:space="preserve"> for the 100-hour fine woody debris model were only weakly informed by the data and should not be considered meaningful. </w:t>
      </w:r>
    </w:p>
    <w:p w14:paraId="17CE515A" w14:textId="5B29F05C" w:rsidR="00C41877" w:rsidRDefault="00C41877" w:rsidP="008659A7">
      <w:pPr>
        <w:spacing w:line="480" w:lineRule="auto"/>
        <w:rPr>
          <w:rFonts w:eastAsiaTheme="minorEastAsia"/>
        </w:rPr>
      </w:pPr>
      <w:r>
        <w:rPr>
          <w:rFonts w:eastAsiaTheme="minorEastAsia"/>
        </w:rPr>
        <w:tab/>
        <w:t>Posterior predictive checks using both training and validation datasets showed generally good agreement between model predictions and observed data</w:t>
      </w:r>
      <w:r w:rsidR="005941B1">
        <w:rPr>
          <w:rFonts w:eastAsiaTheme="minorEastAsia"/>
        </w:rPr>
        <w:t xml:space="preserve"> (</w:t>
      </w:r>
      <w:r w:rsidR="005941B1">
        <w:rPr>
          <w:rFonts w:eastAsiaTheme="minorEastAsia"/>
        </w:rPr>
        <w:fldChar w:fldCharType="begin"/>
      </w:r>
      <w:r w:rsidR="005941B1">
        <w:rPr>
          <w:rFonts w:eastAsiaTheme="minorEastAsia"/>
        </w:rPr>
        <w:instrText xml:space="preserve"> REF _Ref108783039 \h </w:instrText>
      </w:r>
      <w:r w:rsidR="00EB1561">
        <w:rPr>
          <w:rFonts w:eastAsiaTheme="minorEastAsia"/>
        </w:rPr>
        <w:instrText xml:space="preserve"> \* MERGEFORMAT </w:instrText>
      </w:r>
      <w:r w:rsidR="005941B1">
        <w:rPr>
          <w:rFonts w:eastAsiaTheme="minorEastAsia"/>
        </w:rPr>
      </w:r>
      <w:r w:rsidR="005941B1">
        <w:rPr>
          <w:rFonts w:eastAsiaTheme="minorEastAsia"/>
        </w:rPr>
        <w:fldChar w:fldCharType="separate"/>
      </w:r>
      <w:r w:rsidR="005941B1">
        <w:t>Supplementary Materials</w:t>
      </w:r>
      <w:r w:rsidR="005941B1">
        <w:rPr>
          <w:rFonts w:eastAsiaTheme="minorEastAsia"/>
        </w:rPr>
        <w:fldChar w:fldCharType="end"/>
      </w:r>
      <w:r w:rsidR="005941B1">
        <w:rPr>
          <w:rFonts w:eastAsiaTheme="minorEastAsia"/>
        </w:rPr>
        <w:t>)</w:t>
      </w:r>
      <w:r>
        <w:rPr>
          <w:rFonts w:eastAsiaTheme="minorEastAsia"/>
        </w:rPr>
        <w:t xml:space="preserve">. </w:t>
      </w:r>
      <w:r w:rsidR="005941B1">
        <w:rPr>
          <w:rFonts w:eastAsiaTheme="minorEastAsia"/>
        </w:rPr>
        <w:t xml:space="preserve">The </w:t>
      </w:r>
      <w:r w:rsidR="009D2B60">
        <w:rPr>
          <w:rFonts w:eastAsiaTheme="minorEastAsia"/>
        </w:rPr>
        <w:t>litter and duff</w:t>
      </w:r>
      <w:r w:rsidR="005941B1">
        <w:rPr>
          <w:rFonts w:eastAsiaTheme="minorEastAsia"/>
        </w:rPr>
        <w:t xml:space="preserve"> observations exhibited an unmodeled tendency towards even values, likely the result of observer bias. The </w:t>
      </w:r>
      <w:r w:rsidR="009D2B60">
        <w:rPr>
          <w:rFonts w:eastAsiaTheme="minorEastAsia"/>
        </w:rPr>
        <w:t>litter and duff</w:t>
      </w:r>
      <w:r w:rsidR="005941B1">
        <w:rPr>
          <w:rFonts w:eastAsiaTheme="minorEastAsia"/>
        </w:rPr>
        <w:t xml:space="preserve"> model also did not reproduce a bimodal distribution of observed depths for Unit C in the post-burn timestep. The 1-hour and 10-hour fine woody debris models tended to slightly overpredict the value of large tallies, and the 100-hour fine woody debris model tended to slightly underpredict the value of large tallies. Model performance was satisfactory for the purposes of </w:t>
      </w:r>
      <w:r w:rsidR="003E7489">
        <w:rPr>
          <w:rFonts w:eastAsiaTheme="minorEastAsia"/>
        </w:rPr>
        <w:t>describing the characteristics of the fine-scale spatial pattern of</w:t>
      </w:r>
      <w:r w:rsidR="00DC6439">
        <w:rPr>
          <w:rFonts w:eastAsiaTheme="minorEastAsia"/>
        </w:rPr>
        <w:t xml:space="preserve"> each fuel component</w:t>
      </w:r>
      <w:r w:rsidR="003E7489">
        <w:rPr>
          <w:rFonts w:eastAsiaTheme="minorEastAsia"/>
        </w:rPr>
        <w:t xml:space="preserve"> pre-burn and post-burn</w:t>
      </w:r>
      <w:r w:rsidR="00DC6439">
        <w:rPr>
          <w:rFonts w:eastAsiaTheme="minorEastAsia"/>
        </w:rPr>
        <w:t xml:space="preserve">. </w:t>
      </w:r>
    </w:p>
    <w:p w14:paraId="01F2773F" w14:textId="4B044742" w:rsidR="004E34EF" w:rsidRPr="00EB1561" w:rsidRDefault="00DC6439" w:rsidP="008659A7">
      <w:pPr>
        <w:spacing w:line="480" w:lineRule="auto"/>
        <w:rPr>
          <w:rFonts w:eastAsiaTheme="minorEastAsia"/>
        </w:rPr>
      </w:pPr>
      <w:r>
        <w:rPr>
          <w:rFonts w:eastAsiaTheme="minorEastAsia"/>
        </w:rPr>
        <w:lastRenderedPageBreak/>
        <w:tab/>
        <w:t>Fixed effects for all components were consistent with the prescribed fires reducing the overall amount of fuel consistently across all experimental units: 95% credible intervals for the main effects of experimental unit included 0</w:t>
      </w:r>
      <w:r w:rsidR="00E64F12">
        <w:rPr>
          <w:rFonts w:eastAsiaTheme="minorEastAsia"/>
        </w:rPr>
        <w:t xml:space="preserve"> (the units had similar fuel loadings pre-burn)</w:t>
      </w:r>
      <w:r>
        <w:rPr>
          <w:rFonts w:eastAsiaTheme="minorEastAsia"/>
        </w:rPr>
        <w:t>, credible intervals for the main effects of post-burn timestep were negative and excluded 0</w:t>
      </w:r>
      <w:r w:rsidR="00E64F12">
        <w:rPr>
          <w:rFonts w:eastAsiaTheme="minorEastAsia"/>
        </w:rPr>
        <w:t xml:space="preserve"> (post-burn loads were lower than pre-burn loads in Unit A)</w:t>
      </w:r>
      <w:r>
        <w:rPr>
          <w:rFonts w:eastAsiaTheme="minorEastAsia"/>
        </w:rPr>
        <w:t>, and credible intervals for an interaction between experimental unit and timestep included 0 (</w:t>
      </w:r>
      <w:r w:rsidR="00E64F12">
        <w:rPr>
          <w:rFonts w:eastAsiaTheme="minorEastAsia"/>
        </w:rPr>
        <w:t xml:space="preserve">the fire’s effect on fuel loading in Unit B and Unit C was equivalent to its effect in Unit A; </w:t>
      </w:r>
      <w:r>
        <w:rPr>
          <w:rFonts w:eastAsiaTheme="minorEastAsia"/>
        </w:rPr>
        <w:fldChar w:fldCharType="begin"/>
      </w:r>
      <w:r>
        <w:rPr>
          <w:rFonts w:eastAsiaTheme="minorEastAsia"/>
        </w:rPr>
        <w:instrText xml:space="preserve"> REF _Ref108783664 \h </w:instrText>
      </w:r>
      <w:r w:rsidR="00EB1561">
        <w:rPr>
          <w:rFonts w:eastAsiaTheme="minorEastAsia"/>
        </w:rPr>
        <w:instrText xml:space="preserve"> \* MERGEFORMAT </w:instrText>
      </w:r>
      <w:r>
        <w:rPr>
          <w:rFonts w:eastAsiaTheme="minorEastAsia"/>
        </w:rPr>
      </w:r>
      <w:r>
        <w:rPr>
          <w:rFonts w:eastAsiaTheme="minorEastAsia"/>
        </w:rPr>
        <w:fldChar w:fldCharType="separate"/>
      </w:r>
      <w:r>
        <w:t xml:space="preserve">Table </w:t>
      </w:r>
      <w:r>
        <w:rPr>
          <w:noProof/>
        </w:rPr>
        <w:t>1</w:t>
      </w:r>
      <w:r>
        <w:rPr>
          <w:rFonts w:eastAsiaTheme="minorEastAsia"/>
        </w:rPr>
        <w:fldChar w:fldCharType="end"/>
      </w:r>
      <w:r>
        <w:rPr>
          <w:rFonts w:eastAsiaTheme="minorEastAsia"/>
        </w:rPr>
        <w:t>).</w:t>
      </w:r>
      <w:r w:rsidR="00867998">
        <w:rPr>
          <w:rFonts w:eastAsiaTheme="minorEastAsia"/>
        </w:rPr>
        <w:t xml:space="preserve"> For depth</w:t>
      </w:r>
      <w:r w:rsidR="003E7489">
        <w:rPr>
          <w:rFonts w:eastAsiaTheme="minorEastAsia"/>
        </w:rPr>
        <w:t xml:space="preserve"> of litter and duff</w:t>
      </w:r>
      <w:r w:rsidR="00867998">
        <w:rPr>
          <w:rFonts w:eastAsiaTheme="minorEastAsia"/>
        </w:rPr>
        <w:t xml:space="preserve"> and tally of 1-hour and 10-hour fuels, the magnitude of the gaussian process effect </w:t>
      </w:r>
      <w:r w:rsidR="005C5E5A">
        <w:rPr>
          <w:rFonts w:eastAsiaTheme="minorEastAsia"/>
        </w:rPr>
        <w:t xml:space="preserve">(the sill) </w:t>
      </w:r>
      <w:r w:rsidR="00867998">
        <w:rPr>
          <w:rFonts w:eastAsiaTheme="minorEastAsia"/>
        </w:rPr>
        <w:t>was higher in the post-burn timestep than the pre-burn timestep (</w:t>
      </w:r>
      <w:r w:rsidR="00867998">
        <w:rPr>
          <w:rFonts w:eastAsiaTheme="minorEastAsia"/>
        </w:rPr>
        <w:fldChar w:fldCharType="begin"/>
      </w:r>
      <w:r w:rsidR="00867998">
        <w:rPr>
          <w:rFonts w:eastAsiaTheme="minorEastAsia"/>
        </w:rPr>
        <w:instrText xml:space="preserve"> REF _Ref108783866 \h </w:instrText>
      </w:r>
      <w:r w:rsidR="00EB1561">
        <w:rPr>
          <w:rFonts w:eastAsiaTheme="minorEastAsia"/>
        </w:rPr>
        <w:instrText xml:space="preserve"> \* MERGEFORMAT </w:instrText>
      </w:r>
      <w:r w:rsidR="00867998">
        <w:rPr>
          <w:rFonts w:eastAsiaTheme="minorEastAsia"/>
        </w:rPr>
      </w:r>
      <w:r w:rsidR="00867998">
        <w:rPr>
          <w:rFonts w:eastAsiaTheme="minorEastAsia"/>
        </w:rPr>
        <w:fldChar w:fldCharType="separate"/>
      </w:r>
      <w:r w:rsidR="00867998">
        <w:t xml:space="preserve">Figure </w:t>
      </w:r>
      <w:r w:rsidR="00867998">
        <w:rPr>
          <w:noProof/>
        </w:rPr>
        <w:t>1</w:t>
      </w:r>
      <w:r w:rsidR="00867998">
        <w:rPr>
          <w:rFonts w:eastAsiaTheme="minorEastAsia"/>
        </w:rPr>
        <w:fldChar w:fldCharType="end"/>
      </w:r>
      <w:r w:rsidR="00867998">
        <w:rPr>
          <w:rFonts w:eastAsiaTheme="minorEastAsia"/>
        </w:rPr>
        <w:t xml:space="preserve">). For 100-hour fuels, the magnitude of the gaussian process effect was similar between the pre-burn and post-burn timesteps. The length-scale parameter for the gaussian process random effect </w:t>
      </w:r>
      <w:r w:rsidR="005C5E5A">
        <w:rPr>
          <w:rFonts w:eastAsiaTheme="minorEastAsia"/>
        </w:rPr>
        <w:t xml:space="preserve">(the range) </w:t>
      </w:r>
      <w:r w:rsidR="000A3F85">
        <w:rPr>
          <w:rFonts w:eastAsiaTheme="minorEastAsia"/>
        </w:rPr>
        <w:t xml:space="preserve">was smaller in the post-burn timestep than the pre-burn timestep for the </w:t>
      </w:r>
      <w:r w:rsidR="009D2B60">
        <w:rPr>
          <w:rFonts w:eastAsiaTheme="minorEastAsia"/>
        </w:rPr>
        <w:t>litter and duff</w:t>
      </w:r>
      <w:r w:rsidR="000A3F85">
        <w:rPr>
          <w:rFonts w:eastAsiaTheme="minorEastAsia"/>
        </w:rPr>
        <w:t xml:space="preserve"> model, whereas in the 1-hour fine woody debris model the length-scale parameter </w:t>
      </w:r>
      <w:r w:rsidR="005C5E5A">
        <w:rPr>
          <w:rFonts w:eastAsiaTheme="minorEastAsia"/>
        </w:rPr>
        <w:t xml:space="preserve">was higher for post-burn observations </w:t>
      </w:r>
      <w:r w:rsidR="000A3F85">
        <w:rPr>
          <w:rFonts w:eastAsiaTheme="minorEastAsia"/>
        </w:rPr>
        <w:t>(</w:t>
      </w:r>
      <w:r w:rsidR="000A3F85">
        <w:rPr>
          <w:rFonts w:eastAsiaTheme="minorEastAsia"/>
        </w:rPr>
        <w:fldChar w:fldCharType="begin"/>
      </w:r>
      <w:r w:rsidR="000A3F85">
        <w:rPr>
          <w:rFonts w:eastAsiaTheme="minorEastAsia"/>
        </w:rPr>
        <w:instrText xml:space="preserve"> REF _Ref108784284 \h </w:instrText>
      </w:r>
      <w:r w:rsidR="00EB1561">
        <w:rPr>
          <w:rFonts w:eastAsiaTheme="minorEastAsia"/>
        </w:rPr>
        <w:instrText xml:space="preserve"> \* MERGEFORMAT </w:instrText>
      </w:r>
      <w:r w:rsidR="000A3F85">
        <w:rPr>
          <w:rFonts w:eastAsiaTheme="minorEastAsia"/>
        </w:rPr>
      </w:r>
      <w:r w:rsidR="000A3F85">
        <w:rPr>
          <w:rFonts w:eastAsiaTheme="minorEastAsia"/>
        </w:rPr>
        <w:fldChar w:fldCharType="separate"/>
      </w:r>
      <w:r w:rsidR="000A3F85">
        <w:t xml:space="preserve">Figure </w:t>
      </w:r>
      <w:r w:rsidR="000A3F85">
        <w:rPr>
          <w:noProof/>
        </w:rPr>
        <w:t>2</w:t>
      </w:r>
      <w:r w:rsidR="000A3F85">
        <w:rPr>
          <w:rFonts w:eastAsiaTheme="minorEastAsia"/>
        </w:rPr>
        <w:fldChar w:fldCharType="end"/>
      </w:r>
      <w:r w:rsidR="000A3F85">
        <w:rPr>
          <w:rFonts w:eastAsiaTheme="minorEastAsia"/>
        </w:rPr>
        <w:t xml:space="preserve">). </w:t>
      </w:r>
      <w:r w:rsidR="005C5E5A">
        <w:rPr>
          <w:rFonts w:eastAsiaTheme="minorEastAsia"/>
        </w:rPr>
        <w:t>The length-scale parameter did not change for the 10-hour fine woody debris, and data were not informative as to the effect of prescribed fire on the length-scale of the 100-hour fine woody debris autocorrelation. The gaussian process noise parameter (the nugget) was higher in the post-burn timestep for the 1-hour fine woody debris model</w:t>
      </w:r>
      <w:r w:rsidR="00EB1561">
        <w:rPr>
          <w:rFonts w:eastAsiaTheme="minorEastAsia"/>
        </w:rPr>
        <w:t xml:space="preserve"> (</w:t>
      </w:r>
      <w:r w:rsidR="00EB1561">
        <w:rPr>
          <w:rFonts w:eastAsiaTheme="minorEastAsia"/>
        </w:rPr>
        <w:fldChar w:fldCharType="begin"/>
      </w:r>
      <w:r w:rsidR="00EB1561">
        <w:rPr>
          <w:rFonts w:eastAsiaTheme="minorEastAsia"/>
        </w:rPr>
        <w:instrText xml:space="preserve"> REF _Ref108784720 \h  \* MERGEFORMAT </w:instrText>
      </w:r>
      <w:r w:rsidR="00EB1561">
        <w:rPr>
          <w:rFonts w:eastAsiaTheme="minorEastAsia"/>
        </w:rPr>
      </w:r>
      <w:r w:rsidR="00EB1561">
        <w:rPr>
          <w:rFonts w:eastAsiaTheme="minorEastAsia"/>
        </w:rPr>
        <w:fldChar w:fldCharType="separate"/>
      </w:r>
      <w:r w:rsidR="00EB1561">
        <w:t xml:space="preserve">Figure </w:t>
      </w:r>
      <w:r w:rsidR="00EB1561">
        <w:rPr>
          <w:noProof/>
        </w:rPr>
        <w:t>3</w:t>
      </w:r>
      <w:r w:rsidR="00EB1561">
        <w:rPr>
          <w:rFonts w:eastAsiaTheme="minorEastAsia"/>
        </w:rPr>
        <w:fldChar w:fldCharType="end"/>
      </w:r>
      <w:r w:rsidR="00EB1561">
        <w:rPr>
          <w:rFonts w:eastAsiaTheme="minorEastAsia"/>
        </w:rPr>
        <w:t>)</w:t>
      </w:r>
      <w:r w:rsidR="005C5E5A">
        <w:rPr>
          <w:rFonts w:eastAsiaTheme="minorEastAsia"/>
        </w:rPr>
        <w:t xml:space="preserve">. The noise parameter </w:t>
      </w:r>
      <w:r w:rsidR="00EB1561">
        <w:rPr>
          <w:rFonts w:eastAsiaTheme="minorEastAsia"/>
        </w:rPr>
        <w:t xml:space="preserve">was equivalent in the pre-burn and post-burn timesteps for the 10-hour fine woody debris. The noise parameter may have been higher in the post-burn timestep for the 100-hour fine woody debris, though the posteriors of the pre-burn and post-burn nugget parameters substantially overlap for that model. </w:t>
      </w:r>
      <w:r w:rsidR="006E691A">
        <w:rPr>
          <w:rFonts w:eastAsiaTheme="minorEastAsia"/>
        </w:rPr>
        <w:t>For all fuel components, the magnitude of the gaussian process random effect was larger than the standard deviation of the plot-level random effect, indicating that spatial variation within a plot exceeded the variation between plot means (</w:t>
      </w:r>
      <w:r w:rsidR="006E691A">
        <w:rPr>
          <w:rFonts w:eastAsiaTheme="minorEastAsia"/>
        </w:rPr>
        <w:fldChar w:fldCharType="begin"/>
      </w:r>
      <w:r w:rsidR="006E691A">
        <w:rPr>
          <w:rFonts w:eastAsiaTheme="minorEastAsia"/>
        </w:rPr>
        <w:instrText xml:space="preserve"> REF _Ref108783664 \h </w:instrText>
      </w:r>
      <w:r w:rsidR="006E691A">
        <w:rPr>
          <w:rFonts w:eastAsiaTheme="minorEastAsia"/>
        </w:rPr>
      </w:r>
      <w:r w:rsidR="006E691A">
        <w:rPr>
          <w:rFonts w:eastAsiaTheme="minorEastAsia"/>
        </w:rPr>
        <w:fldChar w:fldCharType="separate"/>
      </w:r>
      <w:r w:rsidR="006E691A">
        <w:t xml:space="preserve">Table </w:t>
      </w:r>
      <w:r w:rsidR="006E691A">
        <w:rPr>
          <w:noProof/>
        </w:rPr>
        <w:t>1</w:t>
      </w:r>
      <w:r w:rsidR="006E691A">
        <w:rPr>
          <w:rFonts w:eastAsiaTheme="minorEastAsia"/>
        </w:rPr>
        <w:fldChar w:fldCharType="end"/>
      </w:r>
      <w:r w:rsidR="006E691A">
        <w:rPr>
          <w:rFonts w:eastAsiaTheme="minorEastAsia"/>
        </w:rPr>
        <w:t>).</w:t>
      </w:r>
    </w:p>
    <w:p w14:paraId="6630ACC8" w14:textId="79694EF7" w:rsidR="000052BF" w:rsidRDefault="000052BF" w:rsidP="008659A7">
      <w:pPr>
        <w:pStyle w:val="Heading1"/>
        <w:spacing w:line="480" w:lineRule="auto"/>
      </w:pPr>
      <w:r>
        <w:lastRenderedPageBreak/>
        <w:t>Discussion</w:t>
      </w:r>
    </w:p>
    <w:p w14:paraId="69275FBC" w14:textId="04875C67" w:rsidR="008659A7" w:rsidRDefault="00EB1561" w:rsidP="00B27117">
      <w:pPr>
        <w:spacing w:line="480" w:lineRule="auto"/>
      </w:pPr>
      <w:r>
        <w:tab/>
      </w:r>
      <w:r w:rsidR="00F26E51">
        <w:t xml:space="preserve">To our knowledge, this is the first study to examine the effects of prescribed fire on the fine-scale spatial distribution of surface fuels and the first to describe the patterns of spatial autocorrelation for surface fuels in </w:t>
      </w:r>
      <w:r w:rsidR="00B27117">
        <w:t>long-unburned</w:t>
      </w:r>
      <w:r w:rsidR="00F26E51">
        <w:t xml:space="preserve"> </w:t>
      </w:r>
      <w:r w:rsidR="00B27117">
        <w:t xml:space="preserve">(but actively managed) </w:t>
      </w:r>
      <w:r w:rsidR="00F26E51">
        <w:t>Sierra Nevada mixed conifer forest</w:t>
      </w:r>
      <w:r w:rsidR="00B27117">
        <w:t xml:space="preserve"> and the same forest after the introduction of prescribed fire</w:t>
      </w:r>
      <w:r w:rsidR="00F26E51">
        <w:t>. This paper found that prescribed fire</w:t>
      </w:r>
      <w:r w:rsidR="004E34EF">
        <w:t xml:space="preserve"> increased the strength of the spatial autocorrelation</w:t>
      </w:r>
      <w:r w:rsidR="00F26E51">
        <w:t xml:space="preserve"> </w:t>
      </w:r>
      <w:r w:rsidR="004E34EF">
        <w:t>(the magnitude of the gaussian process random effect) for litter</w:t>
      </w:r>
      <w:r w:rsidR="009D2B60">
        <w:t xml:space="preserve"> and </w:t>
      </w:r>
      <w:r w:rsidR="004E34EF">
        <w:t xml:space="preserve">duff, 1-hour fine woody debris, and 10-hour fine woody debris samples. </w:t>
      </w:r>
      <w:r w:rsidR="006E691A">
        <w:t>Th</w:t>
      </w:r>
      <w:r w:rsidR="0091053A">
        <w:t>us, the</w:t>
      </w:r>
      <w:r w:rsidR="006E691A">
        <w:t xml:space="preserve"> processes of fuel consumption and post-fire deposition had the effect of magnifying the difference between jackpots (spatial regions with relatively high fuel loading) and gaps (regions with low fuel loading) within each fuel component. </w:t>
      </w:r>
      <w:r w:rsidR="003108AF">
        <w:t>These results align with those of another study which examined the effect of thinning and thinning+burning treatments on the spatial pattern of surface fuels</w:t>
      </w:r>
      <w:r w:rsidR="00CE532C">
        <w:t xml:space="preserve"> and </w:t>
      </w:r>
      <w:r w:rsidR="003108AF">
        <w:t>found that disturbances affected</w:t>
      </w:r>
      <w:r w:rsidR="00CE532C">
        <w:t xml:space="preserve"> semivariogram sills </w:t>
      </w:r>
      <w:r w:rsidR="00CE532C">
        <w:fldChar w:fldCharType="begin" w:fldLock="1"/>
      </w:r>
      <w:r w:rsidR="00B40577">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Mountains","type":"article-journal","volume":"25"},"uris":["http://www.mendeley.com/documents/?uuid=cfb10ea1-44b5-4fff-a379-6df1fcad2bc6"]}],"mendeley":{"formattedCitation":"(Vakili et al., 2016)","plainTextFormattedCitation":"(Vakili et al., 2016)","previouslyFormattedCitation":"(Vakili et al., 2016)"},"properties":{"noteIndex":0},"schema":"https://github.com/citation-style-language/schema/raw/master/csl-citation.json"}</w:instrText>
      </w:r>
      <w:r w:rsidR="00CE532C">
        <w:fldChar w:fldCharType="separate"/>
      </w:r>
      <w:r w:rsidR="00CE532C" w:rsidRPr="00CE532C">
        <w:rPr>
          <w:noProof/>
        </w:rPr>
        <w:t>(Vakili et al., 2016)</w:t>
      </w:r>
      <w:r w:rsidR="00CE532C">
        <w:fldChar w:fldCharType="end"/>
      </w:r>
      <w:r w:rsidR="003108AF">
        <w:t xml:space="preserve">. </w:t>
      </w:r>
      <w:r w:rsidR="0091053A">
        <w:t>Spatial variation in the effects of consumption and deposition could have contributed to this magnification</w:t>
      </w:r>
      <w:r w:rsidR="00CF2558">
        <w:t xml:space="preserve"> in the intensity of spatial pattern</w:t>
      </w:r>
      <w:r w:rsidR="00DB2F3F">
        <w:t xml:space="preserve"> </w:t>
      </w:r>
      <w:r w:rsidR="00A25EB7">
        <w:fldChar w:fldCharType="begin" w:fldLock="1"/>
      </w:r>
      <w:r w:rsidR="00993343">
        <w:instrText>ADDIN CSL_CITATION {"citationItems":[{"id":"ITEM-1","itemData":{"DOI":"10.1071/WF08084","ISSN":"10498001","abstract":"In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Fire","id":"ITEM-1","issue":"3","issued":{"date-parts":[["2009"]]},"page":"315-325","title":"The wildland fuel cell concept: An approach to characterize fine-scale variation in fuels and fire in frequently burned longleaf pine forests","type":"article-journal","volume":"18"},"uris":["http://www.mendeley.com/documents/?uuid=6f8567da-7181-432d-aa9a-197ac76d4988"]},{"id":"ITEM-2","itemData":{"DOI":"10.1071/WF13160","ISSN":"10498001","abstract":"In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Fire","id":"ITEM-2","issue":"7","issued":{"date-parts":[["2014"]]},"page":"1016-1026","title":"High-resolution observations of combustion in heterogeneous surface fuels","type":"article-journal","volume":"23"},"uris":["http://www.mendeley.com/documents/?uuid=b9181b0d-9ea6-46be-8ca6-50cf15d6433e"]}],"mendeley":{"formattedCitation":"(Hiers et al., 2009; Loudermilk et al., 2014)","plainTextFormattedCitation":"(Hiers et al., 2009; Loudermilk et al., 2014)","previouslyFormattedCitation":"(Hiers et al., 2009; Loudermilk et al., 2014)"},"properties":{"noteIndex":0},"schema":"https://github.com/citation-style-language/schema/raw/master/csl-citation.json"}</w:instrText>
      </w:r>
      <w:r w:rsidR="00A25EB7">
        <w:fldChar w:fldCharType="separate"/>
      </w:r>
      <w:r w:rsidR="00A25EB7" w:rsidRPr="00A25EB7">
        <w:rPr>
          <w:noProof/>
        </w:rPr>
        <w:t>(Hiers et al., 2009; Loudermilk et al., 2014)</w:t>
      </w:r>
      <w:r w:rsidR="00A25EB7">
        <w:fldChar w:fldCharType="end"/>
      </w:r>
      <w:r w:rsidR="0091053A">
        <w:t>, though more research is needed to better understand the mechanisms by which prescribed fire alters spatial pattern. T</w:t>
      </w:r>
      <w:r w:rsidR="006E691A">
        <w:t>he analysis presented here precludes making inferences about the correlation (spatial or otherwise) among the different fuel components</w:t>
      </w:r>
      <w:r w:rsidR="0091053A">
        <w:t>, though this is also an important avenue for future research.</w:t>
      </w:r>
      <w:r w:rsidR="006E691A">
        <w:t xml:space="preserve"> </w:t>
      </w:r>
    </w:p>
    <w:p w14:paraId="09827719" w14:textId="77777777" w:rsidR="00BE47C4" w:rsidRDefault="00CE532C" w:rsidP="00BE47C4">
      <w:pPr>
        <w:spacing w:line="480" w:lineRule="auto"/>
        <w:ind w:firstLine="720"/>
      </w:pPr>
      <w:r>
        <w:t>Vakili et al. (2016) also studied the effects of disturbances on the range of spatial autocorrelation</w:t>
      </w:r>
      <w:r w:rsidR="00B27117">
        <w:t>,</w:t>
      </w:r>
      <w:r w:rsidR="00CF2558">
        <w:t xml:space="preserve"> with results broadly </w:t>
      </w:r>
      <w:proofErr w:type="gramStart"/>
      <w:r w:rsidR="00CF2558">
        <w:t>similar to</w:t>
      </w:r>
      <w:proofErr w:type="gramEnd"/>
      <w:r w:rsidR="00CF2558">
        <w:t xml:space="preserve"> those of this study: </w:t>
      </w:r>
      <w:r>
        <w:t>the effect of disturbances on the range of autocorrelation varied across fuel components</w:t>
      </w:r>
      <w:r w:rsidR="007545A0">
        <w:t xml:space="preserve">. </w:t>
      </w:r>
      <w:r>
        <w:t>This study found that prescribed fire alone decreased the range of autocorrelation</w:t>
      </w:r>
      <w:r w:rsidR="00BE47C4">
        <w:t xml:space="preserve"> (the spatial size of jackpots and gaps)</w:t>
      </w:r>
      <w:r>
        <w:t xml:space="preserve"> for </w:t>
      </w:r>
      <w:r w:rsidR="009D2B60">
        <w:t>litter and duff</w:t>
      </w:r>
      <w:r>
        <w:t xml:space="preserve">, increased it for 1-hour fuels, </w:t>
      </w:r>
      <w:r w:rsidR="00722B44">
        <w:t>and did not affect it for 10-hour fuels (</w:t>
      </w:r>
      <w:r w:rsidR="00722B44">
        <w:fldChar w:fldCharType="begin"/>
      </w:r>
      <w:r w:rsidR="00722B44">
        <w:instrText xml:space="preserve"> REF _Ref108783664 \h </w:instrText>
      </w:r>
      <w:r w:rsidR="00722B44">
        <w:fldChar w:fldCharType="separate"/>
      </w:r>
      <w:r w:rsidR="00722B44">
        <w:t xml:space="preserve">Table </w:t>
      </w:r>
      <w:r w:rsidR="00722B44">
        <w:rPr>
          <w:noProof/>
        </w:rPr>
        <w:t>1</w:t>
      </w:r>
      <w:r w:rsidR="00722B44">
        <w:fldChar w:fldCharType="end"/>
      </w:r>
      <w:r w:rsidR="00722B44">
        <w:t xml:space="preserve">, </w:t>
      </w:r>
      <w:r w:rsidR="00722B44">
        <w:fldChar w:fldCharType="begin"/>
      </w:r>
      <w:r w:rsidR="00722B44">
        <w:instrText xml:space="preserve"> REF _Ref108784284 \h </w:instrText>
      </w:r>
      <w:r w:rsidR="00722B44">
        <w:fldChar w:fldCharType="separate"/>
      </w:r>
      <w:r w:rsidR="00722B44">
        <w:t xml:space="preserve">Figure </w:t>
      </w:r>
      <w:r w:rsidR="00722B44">
        <w:rPr>
          <w:noProof/>
        </w:rPr>
        <w:t>2</w:t>
      </w:r>
      <w:r w:rsidR="00722B44">
        <w:fldChar w:fldCharType="end"/>
      </w:r>
      <w:r w:rsidR="00722B44">
        <w:t>).</w:t>
      </w:r>
      <w:r w:rsidR="00CF2558">
        <w:t xml:space="preserve"> </w:t>
      </w:r>
      <w:r w:rsidR="007545A0">
        <w:t xml:space="preserve">Vakili et al. (2016) found that thin+burn treatments reduced the range of autocorrelation for 1-hour fine woody debris, </w:t>
      </w:r>
      <w:r w:rsidR="007545A0">
        <w:lastRenderedPageBreak/>
        <w:t xml:space="preserve">increased it for 100-hour fine woody debris, and did not affect the range of autocorrelation for duff, litter, or 10-hour fuels. </w:t>
      </w:r>
      <w:r w:rsidR="00722B44">
        <w:t xml:space="preserve">Whether these differences are due to the different disturbances, the different ecosystems, or some other factor will need to be explored by gathering more data describing the spatial pattern of surface fuels in different contexts. </w:t>
      </w:r>
    </w:p>
    <w:p w14:paraId="5DDEE619" w14:textId="4A3FB7FE" w:rsidR="00A21CBE" w:rsidRDefault="007545A0" w:rsidP="00BE47C4">
      <w:pPr>
        <w:spacing w:line="480" w:lineRule="auto"/>
        <w:ind w:firstLine="720"/>
      </w:pPr>
      <w:r>
        <w:t xml:space="preserve">This study also included analysis of changes in </w:t>
      </w:r>
      <w:r w:rsidR="00580BD7">
        <w:t>the gaussian process noise</w:t>
      </w:r>
      <w:r>
        <w:t xml:space="preserve"> parameter (residual variation which is either at a scale finer than our 1 m minimum distance or entirely </w:t>
      </w:r>
      <w:proofErr w:type="gramStart"/>
      <w:r>
        <w:t>aspatial</w:t>
      </w:r>
      <w:r w:rsidR="00580BD7">
        <w:t>;</w:t>
      </w:r>
      <w:proofErr w:type="gramEnd"/>
      <w:r w:rsidR="00580BD7">
        <w:t xml:space="preserve"> also known as the nugget</w:t>
      </w:r>
      <w:r>
        <w:t xml:space="preserve">) for 1-hour, 10-hour, and 100-hour fuels. We found that prescribed fire increased the value of the </w:t>
      </w:r>
      <w:r w:rsidR="00580BD7">
        <w:t>noise parameter</w:t>
      </w:r>
      <w:r>
        <w:t xml:space="preserve"> for 1-hour fuels, did not affect it for 10-hour fuels</w:t>
      </w:r>
      <w:r w:rsidR="00580BD7">
        <w:t xml:space="preserve">, and may have increased it for 100-hour fuels (the 95% credible intervals for pre-burn and post-burn values overlap, though the bulk of the 95% CI post-burn is higher than the bulk of the 95% CI pre-burn; </w:t>
      </w:r>
      <w:r w:rsidR="00580BD7">
        <w:fldChar w:fldCharType="begin"/>
      </w:r>
      <w:r w:rsidR="00580BD7">
        <w:instrText xml:space="preserve"> REF _Ref108783664 \h </w:instrText>
      </w:r>
      <w:r w:rsidR="00580BD7">
        <w:fldChar w:fldCharType="separate"/>
      </w:r>
      <w:r w:rsidR="00580BD7">
        <w:t xml:space="preserve">Table </w:t>
      </w:r>
      <w:r w:rsidR="00580BD7">
        <w:rPr>
          <w:noProof/>
        </w:rPr>
        <w:t>1</w:t>
      </w:r>
      <w:r w:rsidR="00580BD7">
        <w:fldChar w:fldCharType="end"/>
      </w:r>
      <w:r w:rsidR="00580BD7">
        <w:t xml:space="preserve">, </w:t>
      </w:r>
      <w:r w:rsidR="00580BD7">
        <w:fldChar w:fldCharType="begin"/>
      </w:r>
      <w:r w:rsidR="00580BD7">
        <w:instrText xml:space="preserve"> REF _Ref108784720 \h </w:instrText>
      </w:r>
      <w:r w:rsidR="00580BD7">
        <w:fldChar w:fldCharType="separate"/>
      </w:r>
      <w:r w:rsidR="00580BD7">
        <w:t xml:space="preserve">Figure </w:t>
      </w:r>
      <w:r w:rsidR="00580BD7">
        <w:rPr>
          <w:noProof/>
        </w:rPr>
        <w:t>3</w:t>
      </w:r>
      <w:r w:rsidR="00580BD7">
        <w:fldChar w:fldCharType="end"/>
      </w:r>
      <w:r w:rsidR="00580BD7">
        <w:t xml:space="preserve">). </w:t>
      </w:r>
    </w:p>
    <w:p w14:paraId="7BEFC2AA" w14:textId="493A3E35" w:rsidR="00A21CBE" w:rsidRDefault="0098714F" w:rsidP="008659A7">
      <w:pPr>
        <w:spacing w:line="480" w:lineRule="auto"/>
        <w:ind w:firstLine="720"/>
      </w:pPr>
      <w:r>
        <w:t>Both Vakili et al. (2016) and this paper found that the effect of disturbances on the parameters of spatial autocorrelation varied by fuel component. One explanation for this finding is that, like thinning and thinning+burning treatments, prescribed fire affects different fuel components differently. Fine fuels such as litter and 1-hour fuels tend to be more completely consumed and thus more strongly affected by prescribed fire than 10-hour or 100-hour fuels</w:t>
      </w:r>
      <w:r w:rsidR="00C73C2E">
        <w:t xml:space="preserve"> </w:t>
      </w:r>
      <w:r w:rsidR="00C73C2E">
        <w:fldChar w:fldCharType="begin" w:fldLock="1"/>
      </w:r>
      <w:r w:rsidR="00C73C2E">
        <w:instrText>ADDIN CSL_CITATION {"citationItems":[{"id":"ITEM-1","itemData":{"DOI":"10.1016/j.foreco.2005.03.070","ISBN":"0378-1127","ISSN":"03781127","abstract":"Fuel treatments have been suggested as a means to limit the size and intensity of wildfires but few experiments are available to analyze the effectiveness of different treatments. This paper presents information from a replicated, stand level experiment from mixed conifer forests in the north-central Sierra Nevada that investigated how control, mechanical (crown thinning, thinning from below followed, rotary mastication), prescribed fire, and mechanical followed by prescribed fire treatments affected fuels, forest structure, potential fire behavior, and modeled tree mortality at 80th, 90th, and 97.5th percentile fire weather conditions. Fuels Management Analyst was used to model fire behavior and tree mortality. Thinning and mastication each reduced crown bulk density by approximately 19% in mechanical only and mechanical plus fire treatments. Prescribed burning significantly reduced the total combined fuel load of litter, duff, 1, 10, 100, and 1000 h fuels by as much as 90%. This reduction significantly altered modeled fire behavior in both mechanical plus fire and fire only treatments in terms of fireline intensity and predicted mortality. The prescribed fire only and mechanical followed by prescribed fire treatments resulted in the lowest average fireline intensities, rate of spread, and predicted mortality. The control treatment resulted in the most severe modeled fire behavior and tree mortality. Mechanical only treatments were an improvement over controls but still resulted in tree mortality at severe fire weather when compared with the treatments that included prescribed fire. Restoration of mixed conifer ecosystems must include an examination of how proposed treatments affect fire behavior and effects. Variation in existing stand structures will require solutions that are site specific but the principals outlined in this work should help managers make better decisions. ?? 2005 Elsevier B.V. All rights reserved.","author":[{"dropping-particle":"","family":"Stephens","given":"Scott L.","non-dropping-particle":"","parse-names":false,"suffix":""},{"dropping-particle":"","family":"Moghaddas","given":"Jason J.","non-dropping-particle":"","parse-names":false,"suffix":""}],"container-title":"Forest Ecology and Management","id":"ITEM-1","issue":"1-3","issued":{"date-parts":[["2005"]]},"page":"21-36","title":"Experimental fuel treatment impacts on forest structure, potential fire behavior, and predicted tree mortality in a California mixed conifer forest","type":"article-journal","volume":"215"},"uris":["http://www.mendeley.com/documents/?uuid=220a22bb-3b31-484c-9a62-065eed2a07c1"]}],"mendeley":{"formattedCitation":"(Scott L. Stephens &amp; Moghaddas, 2005)","plainTextFormattedCitation":"(Scott L. Stephens &amp; Moghaddas, 2005)","previouslyFormattedCitation":"(Scott L. Stephens &amp; Moghaddas, 2005)"},"properties":{"noteIndex":0},"schema":"https://github.com/citation-style-language/schema/raw/master/csl-citation.json"}</w:instrText>
      </w:r>
      <w:r w:rsidR="00C73C2E">
        <w:fldChar w:fldCharType="separate"/>
      </w:r>
      <w:r w:rsidR="00C73C2E" w:rsidRPr="00C73C2E">
        <w:rPr>
          <w:noProof/>
        </w:rPr>
        <w:t>(Scott L. Stephens &amp; Moghaddas, 2005)</w:t>
      </w:r>
      <w:r w:rsidR="00C73C2E">
        <w:fldChar w:fldCharType="end"/>
      </w:r>
      <w:r>
        <w:t>. This</w:t>
      </w:r>
      <w:r w:rsidR="00730B34">
        <w:t xml:space="preserve"> expectation</w:t>
      </w:r>
      <w:r>
        <w:t xml:space="preserve"> is consistent with the results of this study, which found </w:t>
      </w:r>
      <w:r w:rsidR="00E83729">
        <w:t xml:space="preserve">that prescribed fire changed both the strength and range of spatial autocorrelation for </w:t>
      </w:r>
      <w:r w:rsidR="009D2B60">
        <w:t>litter and duff</w:t>
      </w:r>
      <w:r w:rsidR="00E83729">
        <w:t xml:space="preserve"> and 1-hour fine woody debris, changed only the strength of spatial autocorrelation of 10-hour fine woody debris, and did not change the strength of spatial autocorrelation (with inconclusive results for the range) of 100-hour fine woody debris. Unlike Vakili et al. (2016)</w:t>
      </w:r>
      <w:r w:rsidR="00B066D1">
        <w:t xml:space="preserve"> and Keane et al. (2012)</w:t>
      </w:r>
      <w:r w:rsidR="00E83729">
        <w:t xml:space="preserve"> this study did not find that the range of spatial autocorrelation consistently increased with increased particle size: While </w:t>
      </w:r>
      <w:r w:rsidR="009D2B60">
        <w:t>litter and duff</w:t>
      </w:r>
      <w:r w:rsidR="00E83729">
        <w:t xml:space="preserve"> had the shortest autocorrelation range</w:t>
      </w:r>
      <w:r w:rsidR="00B066D1">
        <w:t xml:space="preserve"> in this study, the ranges for 1-hour, 10-hour, and 100-hour fuels were similar (</w:t>
      </w:r>
      <w:r w:rsidR="00B066D1">
        <w:fldChar w:fldCharType="begin"/>
      </w:r>
      <w:r w:rsidR="00B066D1">
        <w:instrText xml:space="preserve"> REF _Ref108784284 \h </w:instrText>
      </w:r>
      <w:r w:rsidR="00B066D1">
        <w:fldChar w:fldCharType="separate"/>
      </w:r>
      <w:r w:rsidR="00B066D1">
        <w:t xml:space="preserve">Figure </w:t>
      </w:r>
      <w:r w:rsidR="00B066D1">
        <w:rPr>
          <w:noProof/>
        </w:rPr>
        <w:t>2</w:t>
      </w:r>
      <w:r w:rsidR="00B066D1">
        <w:fldChar w:fldCharType="end"/>
      </w:r>
      <w:r w:rsidR="00B066D1">
        <w:t xml:space="preserve">). However, </w:t>
      </w:r>
      <w:r w:rsidR="00B40577">
        <w:t xml:space="preserve">this study concurs with existing research showing that surface fuels vary at fine spatial scales </w:t>
      </w:r>
      <w:r w:rsidR="00B40577">
        <w:fldChar w:fldCharType="begin" w:fldLock="1"/>
      </w:r>
      <w:r w:rsidR="00A25EB7">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Fire","id":"ITEM-2","issue":"11","issued":{"date-parts":[["2016"]]},"page":"1156-1168","title":"Spatial variability of surface fuels in treated and untreated ponderosa pine forests of the southern Rocky Mountains","type":"article-journal","volume":"25"},"uris":["http://www.mendeley.com/documents/?uuid=cfb10ea1-44b5-4fff-a379-6df1fcad2bc6"]}],"mendeley":{"formattedCitation":"(Keane, Gray, Bacciu, et al., 2012; Vakili et al., 2016)","plainTextFormattedCitation":"(Keane, Gray, Bacciu, et al., 2012; Vakili et al., 2016)","previouslyFormattedCitation":"(Keane, Gray, Bacciu, et al., 2012; Vakili et al., 2016)"},"properties":{"noteIndex":0},"schema":"https://github.com/citation-style-language/schema/raw/master/csl-citation.json"}</w:instrText>
      </w:r>
      <w:r w:rsidR="00B40577">
        <w:fldChar w:fldCharType="separate"/>
      </w:r>
      <w:r w:rsidR="00C13FE5" w:rsidRPr="00C13FE5">
        <w:rPr>
          <w:noProof/>
        </w:rPr>
        <w:t>(Keane, Gray, Bacciu, et al., 2012; Vakili et al., 2016)</w:t>
      </w:r>
      <w:r w:rsidR="00B40577">
        <w:fldChar w:fldCharType="end"/>
      </w:r>
      <w:r w:rsidR="00B40577">
        <w:t xml:space="preserve">. </w:t>
      </w:r>
    </w:p>
    <w:p w14:paraId="7BCCB6CC" w14:textId="625B8CBD" w:rsidR="00D23B12" w:rsidRDefault="008659A7" w:rsidP="00B22B6F">
      <w:pPr>
        <w:spacing w:line="480" w:lineRule="auto"/>
        <w:ind w:firstLine="720"/>
      </w:pPr>
      <w:r>
        <w:lastRenderedPageBreak/>
        <w:t xml:space="preserve">The prescribed fires studied here had clear effects on both the overall loading and the fine-scale spatial pattern of litter and duff and fine woody debris. The reduction in fuel loading is </w:t>
      </w:r>
      <w:r w:rsidR="00452DA6">
        <w:t xml:space="preserve">a </w:t>
      </w:r>
      <w:r w:rsidR="00BA39FB">
        <w:t>well-understood</w:t>
      </w:r>
      <w:r w:rsidR="00452DA6">
        <w:t xml:space="preserve"> effect of prescribed fires </w:t>
      </w:r>
      <w:r w:rsidR="00BA39FB">
        <w:t>and is likely to reduce the severity of any subsequent fires</w:t>
      </w:r>
      <w:r w:rsidR="009D2B60">
        <w:t xml:space="preserve"> </w:t>
      </w:r>
      <w:r w:rsidR="009D2B60">
        <w:fldChar w:fldCharType="begin" w:fldLock="1"/>
      </w:r>
      <w:r w:rsidR="00F441FE">
        <w:instrText>ADDIN CSL_CITATION {"citationItems":[{"id":"ITEM-1","itemData":{"ISSN":"0015749X","abstract":"Fire suppression has produced large forest floor fuel loads in many coniferous forests in western North America. This study describes spatial patterns of duff consumption in a mixed-conifer forest in the north-central Sierra Nevada, California. Overstory crown coverage was correlated to spatial patterns of duff depth after prescribed fire. On one site that was burned under dry conditions, almost all duff was consumed, with some remaining in overstory gaps. On a second site that was burned under moist conditions a few days after the first annual precipitation, strong spatial patterns of duff consumption were recorded with increasing distance from the base of the nearest overstory tree, the probability of duff remaining after prescribed fire increased significantly. There is strong evidence that spatial variation of precipitation throughfall resulted in higher duff moisture in gaps, whereas duff beneath crown cover was drier, and therefore, totally consumed. This study demonstrates that including a spatial component in a process-based duff consumption model would improve the accuracy of fire-effect predictions. Copyright © 2005 by the Society of American Foresters.","author":[{"dropping-particle":"","family":"Hille","given":"Marco G.","non-dropping-particle":"","parse-names":false,"suffix":""},{"dropping-particle":"","family":"Stephens","given":"Scott L.","non-dropping-particle":"","parse-names":false,"suffix":""}],"container-title":"Forest Science","id":"ITEM-1","issue":"5","issued":{"date-parts":[["2005"]]},"page":"417-424","title":"Mixed conifer forest duff consumption during prescribed fires: Tree crown impacts","type":"article-journal","volume":"51"},"uris":["http://www.mendeley.com/documents/?uuid=6c187e1d-88e3-4bb1-81e0-eb711cc92411"]},{"id":"ITEM-2","itemData":{"DOI":"10.1890/07-1755.1","ISBN":"1051-0761","ISSN":"1051-0761","PMID":"19323192","abstract":"Forest structure and species composition in many western U. S. coniferous forests have been altered through. re exclusion, past and ongoing harvesting practices, and livestock grazing over the 20th century. The effects of these activities have been most pronounced in seasonally dry, low and mid-elevation coniferous forests that once experienced frequent, low to moderate intensity,. re regimes. In this paper, we report the effects of Fire and Fire Surrogate (FFS) forest stand treatments on fuel load profiles, potential fire behavior, and fire severity under three weather scenarios from six western U. S. FFS sites. This replicated, multisite experiment provides a framework for drawing broad generalizations about the effectiveness of prescribed. re and mechanical treatments on surface fuel loads, forest structure, and potential. re severity. Mechanical treatments without. re resulted in combined 1-, 10-, and 100-hour surface fuel loads that were significantly greater than controls at three of five FFS sites. Canopy cover was significantly lower than controls at three of five FFS sites with mechanical-only treatments and at all five FFS sites with the mechanical plus burning treatment;. re-only treatments reduced canopy cover at only one site. For the combined treatment of mechanical plus. re, all five FFS sites with this treatment had a substantially lower likelihood of passive crown. re as indicated by the very high torching indices. FFS sites that experienced significant increases in 1-, 10-, and 100-hour combined surface fuel loads utilized harvest systems that left all activity fuels within experimental units. When mechanical treatments were followed by prescribed burning or pile burning, they were the most effective treatment for reducing crown fire potential and predicted tree mortality because of low surface fuel loads and increased vertical and horizontal canopy separation. Results indicate that mechanical plus fire, fire-only, and mechanical-only treatments using whole-tree harvest systems were all effective at reducing potential. re severity under severe. re weather conditions. Retaining the largest trees within stands also increased. re resistance.","author":[{"dropping-particle":"","family":"Stephens","given":"Scott L.","non-dropping-particle":"","parse-names":false,"suffix":""},{"dropping-particle":"","family":"Moghaddas","given":"Jason J.","non-dropping-particle":"","parse-names":false,"suffix":""},{"dropping-particle":"","family":"Edminster","given":"Carl","non-dropping-particle":"","parse-names":false,"suffix":""},{"dropping-particle":"","family":"Fiedler","given":"Carl E.","non-dropping-particle":"","parse-names":false,"suffix":""},{"dropping-particle":"","family":"Haase","given":"Sally","non-dropping-particle":"","parse-names":false,"suffix":""},{"dropping-particle":"","family":"Harrington","given":"Michael","non-dropping-particle":"","parse-names":false,"suffix":""},{"dropping-particle":"","family":"Keeley","given":"Jon E.","non-dropping-particle":"","parse-names":false,"suffix":""},{"dropping-particle":"","family":"Knapp","given":"Eric E.","non-dropping-particle":"","parse-names":false,"suffix":""},{"dropping-particle":"","family":"McIver","given":"James D.","non-dropping-particle":"","parse-names":false,"suffix":""},{"dropping-particle":"","family":"Metlen","given":"Kerry","non-dropping-particle":"","parse-names":false,"suffix":""},{"dropping-particle":"","family":"Skinner","given":"Carl N.","non-dropping-particle":"","parse-names":false,"suffix":""},{"dropping-particle":"","family":"Youngblood","given":"Andrew","non-dropping-particle":"","parse-names":false,"suffix":""}],"container-title":"Ecological Applications","id":"ITEM-2","issue":"2","issued":{"date-parts":[["2009"]]},"page":"305-320","title":"Fire Treatment Effects on Vegetation Structure , Fuels , and Potential Fire Severity in Western U . S . Forests","type":"article-journal","volume":"19"},"uris":["http://www.mendeley.com/documents/?uuid=3429606a-819b-4422-8620-ba8303282bca"]},{"id":"ITEM-3","itemData":{"DOI":"10.1525/bio.2012.62.6.6","ISBN":"0006-3568","ISSN":"00063568","abstract":"The current conditions of many seasonally dry forests in the western and southern United States, especially those that once experienced low- to moderate-intensity fire regimes, leave them uncharacteristically susceptible to high-severity wildfire. Both prescribed fire and its mechanical surrogates are generally successful in meeting short-term fuel-reduction objectives such that treated stands are more resilient to high-intensity wildfire. Most available evidence suggests that these objectives are typically accomplished with few unintended consequences, since most ecosystem components (vegetation, soils, wildlife, bark beetles, carbon sequestration) exhibit very subtle effects or so measurable effects at all. Although mechanical treatments do not serve as complete surrogates for fire, their application can help mitigate costs and liability in some areas. Desired treatment effects on fire hazards are transient, which indicates that after fuel-reduction management start:;, managers need to be persistent with repeated treatment, especially in the faster-growing forests in the southern United States.","author":[{"dropping-particle":"","family":"Stephens","given":"S L","non-dropping-particle":"","parse-names":false,"suffix":""},{"dropping-particle":"","family":"McIver","given":"J D","non-dropping-particle":"","parse-names":false,"suffix":""},{"dropping-particle":"","family":"Boerner","given":"R E J","non-dropping-particle":"","parse-names":false,"suffix":""},{"dropping-particle":"","family":"Fettig","given":"C J","non-dropping-particle":"","parse-names":false,"suffix":""},{"dropping-particle":"","family":"Fontaine","given":"J B","non-dropping-particle":"","parse-names":false,"suffix":""},{"dropping-particle":"","family":"Hartsough","given":"B R","non-dropping-particle":"","parse-names":false,"suffix":""},{"dropping-particle":"","family":"Kennedy","given":"P L","non-dropping-particle":"","parse-names":false,"suffix":""},{"dropping-particle":"","family":"Schwilk","given":"D W","non-dropping-particle":"","parse-names":false,"suffix":""}],"container-title":"Bioscience","id":"ITEM-3","issue":"6","issued":{"date-parts":[["2012"]]},"page":"549-560","title":"The Effects of Forest Fuel-Reduction Treatments in the United States","type":"article-journal","volume":"62"},"uris":["http://www.mendeley.com/documents/?uuid=2f8fa7bf-1153-4940-8ecb-1cf2434e9955"]},{"id":"ITEM-4","itemData":{"DOI":"10.1016/j.foreco.2010.12.013","ISBN":"0378-1127","ISSN":"03781127","abstract":"The capacity of prescribed fire to restore forest conditions is often judged by changes in forest structure within a few years following burning. However, prescribed fire might have longer-term effects on forest structure, potentially changing treatment assessments. We examined annual changes in forest structure in five 1. ha old-growth plots immediately before prescribed fire and up to eight years after fire at Sequoia National Park, California. Fire-induced declines in stem density (67% average decrease at eight years post-fire) were nonlinear, taking up to eight years to reach a presumed asymptote. Declines in live stem biomass were also nonlinear, but smaller in magnitude (32% average decrease at eight years post-fire) as most large trees survived the fires. The preferential survival of large trees following fire resulted in significant shifts in stem diameter distributions. Mortality rates remained significantly above background rates up to six years after the fires. Prescribed fire did not have a large influence on the representation of dominant species. Fire-caused mortality appeared to be spatially random, and therefore did not generally alter heterogeneous tree spatial patterns. Our results suggest that prescribed fire can bring about substantial changes to forest structure in old-growth mixed conifer forests in the Sierra Nevada, but that long-term observations are needed to fully describe some measures of fire effects. ?? 2010.","author":[{"dropping-particle":"","family":"Mantgem","given":"Phillip J.","non-dropping-particle":"van","parse-names":false,"suffix":""},{"dropping-particle":"","family":"Stephenson","given":"Nathan L.","non-dropping-particle":"","parse-names":false,"suffix":""},{"dropping-particle":"","family":"Knapp","given":"Eric","non-dropping-particle":"","parse-names":false,"suffix":""},{"dropping-particle":"","family":"Battles","given":"John","non-dropping-particle":"","parse-names":false,"suffix":""},{"dropping-particle":"","family":"Keeley","given":"Jon E.","non-dropping-particle":"","parse-names":false,"suffix":""}],"container-title":"Forest Ecology and Management","id":"ITEM-4","issue":"6","issued":{"date-parts":[["2011"]]},"page":"989-994","publisher":"Elsevier B.V.","title":"Long-term effects of prescribed fire on mixed conifer forest structure in the Sierra Nevada, California","type":"article-journal","volume":"261"},"uris":["http://www.mendeley.com/documents/?uuid=03f4dd2e-8bc0-4812-b5d6-08d3ff7271a4"]},{"id":"ITEM-5","itemData":{"DOI":"10.1002/eap.2682","ISBN":"0000000205","author":[{"dropping-particle":"","family":"Ritter","given":"Scott M.","non-dropping-particle":"","parse-names":false,"suffix":""},{"dropping-particle":"","family":"Hoffman","given":"Chad M.","non-dropping-particle":"","parse-names":false,"suffix":""},{"dropping-particle":"","family":"Battaglia","given":"Mike A.","non-dropping-particle":"","parse-names":false,"suffix":""},{"dropping-particle":"","family":"Jain","given":"Theresa B.","non-dropping-particle":"","parse-names":false,"suffix":""}],"id":"ITEM-5","issued":{"date-parts":[["2022"]]},"page":"4","title":"Restoration and fuel hazard reduction result in equivalent reductions in crown fire behavior in dry conifer forests","type":"article-journal"},"uris":["http://www.mendeley.com/documents/?uuid=bb66f4b5-8760-4e95-bd5c-cd4943703176"]},{"id":"ITEM-6","itemData":{"DOI":"10.1016/j.foreco.2005.01.034","ISBN":"0378-1127","ISSN":"03781127","abstract":"Successful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Management","id":"ITEM-6","issue":"1-2","issued":{"date-parts":[["2005"]]},"page":"83-96","title":"Basic principles of forest fuel reduction treatments","type":"article-journal","volume":"211"},"uris":["http://www.mendeley.com/documents/?uuid=3d7946ee-7eb2-4c92-a873-39836314b49e"]}],"mendeley":{"formattedCitation":"(Agee &amp; Skinner, 2005; Hille &amp; Stephens, 2005; Ritter et al., 2022; S L Stephens et al., 2012; Scott L. Stephens et al., 2009; van Mantgem et al., 2011)","plainTextFormattedCitation":"(Agee &amp; Skinner, 2005; Hille &amp; Stephens, 2005; Ritter et al., 2022; S L Stephens et al., 2012; Scott L. Stephens et al., 2009; van Mantgem et al., 2011)","previouslyFormattedCitation":"(Agee &amp; Skinner, 2005; Hille &amp; Stephens, 2005; Ritter et al., 2022; S L Stephens et al., 2012; Scott L. Stephens et al., 2009; van Mantgem et al., 2011)"},"properties":{"noteIndex":0},"schema":"https://github.com/citation-style-language/schema/raw/master/csl-citation.json"}</w:instrText>
      </w:r>
      <w:r w:rsidR="009D2B60">
        <w:fldChar w:fldCharType="separate"/>
      </w:r>
      <w:r w:rsidR="00003235" w:rsidRPr="00003235">
        <w:rPr>
          <w:noProof/>
        </w:rPr>
        <w:t>(Agee &amp; Skinner, 2005; Hille &amp; Stephens, 2005; Ritter et al., 2022; S L Stephens et al., 2012; Scott L. Stephens et al., 2009; van Mantgem et al., 2011)</w:t>
      </w:r>
      <w:r w:rsidR="009D2B60">
        <w:fldChar w:fldCharType="end"/>
      </w:r>
      <w:r w:rsidR="009D2B60">
        <w:t xml:space="preserve">. </w:t>
      </w:r>
      <w:r w:rsidR="0091549D">
        <w:t xml:space="preserve">The pre-fire pattern of surface fuels in this long unburned forest was likely the result of spatially heterogeneous deposition and decomposition </w:t>
      </w:r>
      <w:r w:rsidR="00CA21E2">
        <w:fldChar w:fldCharType="begin" w:fldLock="1"/>
      </w:r>
      <w:r w:rsidR="00A25EB7">
        <w:instrText>ADDIN CSL_CITATION {"citationItems":[{"id":"ITEM-1","itemData":{"ISSN":"0015749X","abstract":"Fire suppression has produced large forest floor fuel loads in many coniferous forests in western North America. This study describes spatial patterns of duff consumption in a mixed-conifer forest in the north-central Sierra Nevada, California. Overstory crown coverage was correlated to spatial patterns of duff depth after prescribed fire. On one site that was burned under dry conditions, almost all duff was consumed, with some remaining in overstory gaps. On a second site that was burned under moist conditions a few days after the first annual precipitation, strong spatial patterns of duff consumption were recorded with increasing distance from the base of the nearest overstory tree, the probability of duff remaining after prescribed fire increased significantly. There is strong evidence that spatial variation of precipitation throughfall resulted in higher duff moisture in gaps, whereas duff beneath crown cover was drier, and therefore, totally consumed. This study demonstrates that including a spatial component in a process-based duff consumption model would improve the accuracy of fire-effect predictions. Copyright © 2005 by the Society of American Foresters.","author":[{"dropping-particle":"","family":"Hille","given":"Marco G.","non-dropping-particle":"","parse-names":false,"suffix":""},{"dropping-particle":"","family":"Stephens","given":"Scott L.","non-dropping-particle":"","parse-names":false,"suffix":""}],"container-title":"Forest Science","id":"ITEM-1","issue":"5","issued":{"date-parts":[["2005"]]},"page":"417-424","title":"Mixed conifer forest duff consumption during prescribed fires: Tree crown impacts","type":"article-journal","volume":"51"},"uris":["http://www.mendeley.com/documents/?uuid=6c187e1d-88e3-4bb1-81e0-eb711cc92411"]},{"id":"ITEM-2","itemData":{"DOI":"10.3390/f7070129","ISSN":"1999-4907","abstract":"Fire regimes are ultimately controlled by wildland fuel dynamics over space and time; spatial distributions of fuel influence the size, spread, and intensity of individual fires, while the temporal distribution of fuel deposition influences fire’s frequency and controls fire size. These “shifting fuel mosaics” are both a cause and a consequence of fire regimes. This paper synthesizes results from two major fuel dynamics studies that described the spatial and temporal variability of canopy and surface wildland fuel characteristics found in US northern Rocky Mountain forests. Eight major surface fuel components—four downed dead woody fuel size classes (1, 10, 100, 1000 h), duff, litter, shrub, and herb—and three canopy fuel characteristics—loading, bulk density and cover—were studied. Properties of these fuel types were sampled on nested plots located within sampling grids to describe their variability across spatiotemporal scales. Important findings were that fuel component loadings were highly variable (two to three times the mean), and this variability increased with the size of fuel particles. The spatial variability of loadings also varied by spatial scale with fine fuels (duff, litter, 1 h, 10 h) varying at scales of 1 to 5 m; coarse fuels at 10 to 150 m, and canopy fuels at 100 to 600 m. Fine fuels are more uniformly distributed over both time and space and decayed quickly, while large fuels are rare on the landscape but have a high residence time.","author":[{"dropping-particle":"","family":"Keane","given":"Robert E.","non-dropping-particle":"","parse-names":false,"suffix":""}],"container-title":"Forests","id":"ITEM-2","issue":"7","issued":{"date-parts":[["2016"]]},"page":"129","title":"Spatiotemporal Variability of Wildland Fuels in US Northern Rocky Mountain Forests","type":"article-journal","volume":"7"},"uris":["http://www.mendeley.com/documents/?uuid=811b3f42-4cc7-4232-a7d8-1de1e7e43d25"]},{"id":"ITEM-3","itemData":{"DOI":"10.1139/X08-003","ISBN":"0045-5067","ISSN":"0045-5067","PMID":"535","abstract":"Litterfall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Research","id":"ITEM-3","issue":"6","issued":{"date-parts":[["2008"]]},"note":"HIGHLY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USA","type":"article-journal","volume":"38"},"uris":["http://www.mendeley.com/documents/?uuid=9a788435-767a-462a-84f3-2de6c54af466"]}],"mendeley":{"formattedCitation":"(Hille &amp; Stephens, 2005; Keane, 2008, 2016)","plainTextFormattedCitation":"(Hille &amp; Stephens, 2005; Keane, 2008, 2016)","previouslyFormattedCitation":"(Hille &amp; Stephens, 2005; Keane, 2008, 2016)"},"properties":{"noteIndex":0},"schema":"https://github.com/citation-style-language/schema/raw/master/csl-citation.json"}</w:instrText>
      </w:r>
      <w:r w:rsidR="00CA21E2">
        <w:fldChar w:fldCharType="separate"/>
      </w:r>
      <w:r w:rsidR="00C13FE5" w:rsidRPr="00C13FE5">
        <w:rPr>
          <w:noProof/>
        </w:rPr>
        <w:t>(Hille &amp; Stephens, 2005; Keane, 2008, 2016)</w:t>
      </w:r>
      <w:r w:rsidR="00CA21E2">
        <w:fldChar w:fldCharType="end"/>
      </w:r>
      <w:r w:rsidR="00CA21E2">
        <w:t xml:space="preserve"> as well as the site’s history of timber harvests. </w:t>
      </w:r>
      <w:r w:rsidR="009407AA">
        <w:t>The altered spatial pattern of surface fuels implies that the pattern of fuel consumption in the prescribed burns was itself spatially heterogeneous</w:t>
      </w:r>
      <w:r w:rsidR="00B22B6F">
        <w:t xml:space="preserve"> </w:t>
      </w:r>
      <w:r w:rsidR="00B22B6F">
        <w:fldChar w:fldCharType="begin" w:fldLock="1"/>
      </w:r>
      <w:r w:rsidR="00D23B12">
        <w:instrText>ADDIN CSL_CITATION {"citationItems":[{"id":"ITEM-1","itemData":{"DOI":"10.1002/ecs2.3177","ISSN":"21508925","abstract":"In frequent-fire forests, wildland fire acts as a self-regulating process creating forest structures that consist of a fine-grained mosaic of isolated trees, tree groups of various sizes, and non-treed openings. Though the self-regulation of forest structure through repeated fires is acknowledged, few studies have investigated the role that fine-scale pattern-process linkages play in determining fire behavior and effects. To better understand the physical mechanisms driving these pattern-process linkages, we used a three-dimensional, physics-based fire behavior model to investigate how the local arrangement of canopy fuels influences heat transfer from a surface fire to tree crowns and subsequent crown ignition and consumption. In particular, we were interested in the impacts of tree group size and crown separation distance on heat transfer. We found increased convective cooling for isolated individual trees and 3-tree groups as compared to larger 7- and 19-tree groups which resulted in a reduction of the net energy transferred from the surface fire to the tree crowns. Because isolated individuals and 3-tree groups are exposed to less thermal energy, they require a greater surface fireline intensity to initiate torching and have less crown consumption than trees within larger groups. Similarly, we found that increased crown separation distance also reduced heat transfer and crown ignition. However, differences in crown ignition and consumption among various sized groups and separation distances depended upon the surface fireline intensity, suggesting that any change in crown consumption or tree mortality due to pattern-process linkages may be best viewed as a conditional in nature. These findings identify the potential physical mechanisms responsible for supporting the complex forest structures typical of high-frequency fire regimes, and the results may be useful for managers designing fuel hazard reduction and ecological restoration treatments.","author":[{"dropping-particle":"","family":"Ritter","given":"Scott M.","non-dropping-particle":"","parse-names":false,"suffix":""},{"dropping-particle":"","family":"Hoffman","given":"Chad M.","non-dropping-particle":"","parse-names":false,"suffix":""},{"dropping-particle":"","family":"Battaglia","given":"Mike A.","non-dropping-particle":"","parse-names":false,"suffix":""},{"dropping-particle":"","family":"Stevens-Rumann","given":"Camille S.","non-dropping-particle":"","parse-names":false,"suffix":""},{"dropping-particle":"","family":"Mell","given":"William E.","non-dropping-particle":"","parse-names":false,"suffix":""}],"container-title":"Ecosphere","id":"ITEM-1","issue":"7","issued":{"date-parts":[["2020"]]},"title":"Fine-scale fire patterns mediate forest structure in frequent-fire ecosystems","type":"article-journal","volume":"11"},"uris":["http://www.mendeley.com/documents/?uuid=091de840-29b7-4c76-8c82-3020062a51a6"]},{"id":"ITEM-2","itemData":{"DOI":"10.1071/WF08084","ISSN":"10498001","abstract":"In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Fire","id":"ITEM-2","issue":"3","issued":{"date-parts":[["2009"]]},"page":"315-325","title":"The wildland fuel cell concept: An approach to characterize fine-scale variation in fuels and fire in frequently burned longleaf pine forests","type":"article-journal","volume":"18"},"uris":["http://www.mendeley.com/documents/?uuid=6f8567da-7181-432d-aa9a-197ac76d4988"]},{"id":"ITEM-3","itemData":{"DOI":"10.1071/WF13160","ISSN":"10498001","abstract":"In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Fire","id":"ITEM-3","issue":"7","issued":{"date-parts":[["2014"]]},"page":"1016-1026","title":"High-resolution observations of combustion in heterogeneous surface fuels","type":"article-journal","volume":"23"},"uris":["http://www.mendeley.com/documents/?uuid=b9181b0d-9ea6-46be-8ca6-50cf15d6433e"]}],"mendeley":{"formattedCitation":"(Hiers et al., 2009; Loudermilk et al., 2014; Ritter et al., 2020)","plainTextFormattedCitation":"(Hiers et al., 2009; Loudermilk et al., 2014; Ritter et al., 2020)","previouslyFormattedCitation":"(Hiers et al., 2009; Loudermilk et al., 2014; Ritter et al., 2020)"},"properties":{"noteIndex":0},"schema":"https://github.com/citation-style-language/schema/raw/master/csl-citation.json"}</w:instrText>
      </w:r>
      <w:r w:rsidR="00B22B6F">
        <w:fldChar w:fldCharType="separate"/>
      </w:r>
      <w:r w:rsidR="00C73C2E" w:rsidRPr="00C73C2E">
        <w:rPr>
          <w:noProof/>
        </w:rPr>
        <w:t>(Hiers et al., 2009; Loudermilk et al., 2014; Ritter et al., 2020)</w:t>
      </w:r>
      <w:r w:rsidR="00B22B6F">
        <w:fldChar w:fldCharType="end"/>
      </w:r>
      <w:r w:rsidR="009407AA">
        <w:t xml:space="preserve">. Spatial variation in fire behavior and effects was likely driven by variation in </w:t>
      </w:r>
      <w:r w:rsidR="000A667D">
        <w:t>microclimate</w:t>
      </w:r>
      <w:r w:rsidR="009407AA">
        <w:t xml:space="preserve"> </w:t>
      </w:r>
      <w:r w:rsidR="0091549D">
        <w:fldChar w:fldCharType="begin" w:fldLock="1"/>
      </w:r>
      <w:r w:rsidR="00C82F34">
        <w:instrText>ADDIN CSL_CITATION {"citationItems":[{"id":"ITEM-1","itemData":{"ISSN":"0015749X","abstract":"Fire suppression has produced large forest floor fuel loads in many coniferous forests in western North America. This study describes spatial patterns of duff consumption in a mixed-conifer forest in the north-central Sierra Nevada, California. Overstory crown coverage was correlated to spatial patterns of duff depth after prescribed fire. On one site that was burned under dry conditions, almost all duff was consumed, with some remaining in overstory gaps. On a second site that was burned under moist conditions a few days after the first annual precipitation, strong spatial patterns of duff consumption were recorded with increasing distance from the base of the nearest overstory tree, the probability of duff remaining after prescribed fire increased significantly. There is strong evidence that spatial variation of precipitation throughfall resulted in higher duff moisture in gaps, whereas duff beneath crown cover was drier, and therefore, totally consumed. This study demonstrates that including a spatial component in a process-based duff consumption model would improve the accuracy of fire-effect predictions. Copyright © 2005 by the Society of American Foresters.","author":[{"dropping-particle":"","family":"Hille","given":"Marco G.","non-dropping-particle":"","parse-names":false,"suffix":""},{"dropping-particle":"","family":"Stephens","given":"Scott L.","non-dropping-particle":"","parse-names":false,"suffix":""}],"container-title":"Forest Science","id":"ITEM-1","issue":"5","issued":{"date-parts":[["2005"]]},"page":"417-424","title":"Mixed conifer forest duff consumption during prescribed fires: Tree crown impacts","type":"article-journal","volume":"51"},"uris":["http://www.mendeley.com/documents/?uuid=6c187e1d-88e3-4bb1-81e0-eb711cc92411"]},{"id":"ITEM-2","itemData":{"DOI":"10.1139/x02-051","ISSN":"00455067","abstract":"Postfire tree recruitment in the boreal forest is restricted to patches from which the duff (organic layer) has been removed by fire. Duff consumption occurs by smoldering combustion, propagation of which is determined by bulk density, moisture content, and depth. This study investigated interactions among these factors, their spatial distribution, and spatial patterns of duff consumption in two wildfires. A hypothesized positive relationship between moisture content and depth was supported by a laboratory study. Duff characteristic data were collected from two burns and comparable unburned areas of mixedwood forest in western Canada to describe and explain patterns of duff consumption within and between top-slope Pinus banksiana Lamb. - Picea mariana (Mill.) BSP stands and lower slope pure stands of Picea mariana on glaciofluvial hillslopes. In unburned stands, bulk density did not differ significantly between stands, while depths were significantly greater in Picea stands. With moist duff, consumption was significantly greater in Picea than in Pinus-Picea stands as depth limited smoldering in the thin duff of Pinus-Picea stands. With dry duff, smoldering was propagated regardless of depth resulting in no differences between stand types. The spatial correlation between burned patches and fire-killed trees was explained by within-stand spatial variation in duff moisture due to precipitation interception by tree crowns.","author":[{"dropping-particle":"","family":"Miyanishi","given":"K.","non-dropping-particle":"","parse-names":false,"suffix":""},{"dropping-particle":"","family":"Johnson","given":"E. A.","non-dropping-particle":"","parse-names":false,"suffix":""}],"container-title":"Canadian Journal of Forest Research","id":"ITEM-2","issue":"7","issued":{"date-parts":[["2002"]]},"page":"1285-1295","title":"Process and patterns of duff consumption in the mixedwood boreal forest","type":"article-journal","volume":"32"},"uris":["http://www.mendeley.com/documents/?uuid=18a4c08c-3d41-4d29-821d-731b9d86429c"]},{"id":"ITEM-3","itemData":{"DOI":"10.1186/s42408-020-0067-3","ISSN":"19339747","abstract":"Background: Litter is the predominant fuel that drives surface fire behavior in most fire-prone forest and woodland ecosystems. The flammability of litter is driven by fuel characteristics, environmental factors, and the interactive effects of the two. Solar radiation can influence litter flammability through its effect on fuel moisture and temperature. The direct influence of radiative heating on flammability, however, is poorly understood and the interactive effects of forest structure, composition, fuels, and micrometeorology may have fine-scale ecological consequences in fire-dependent ecosystems. Results: In this study, we measured laboratory flammability of two dominant southeastern USA litter fuels—Pinus palustris Mill. and Quercus stellata Wangenh.—and evaluated the interactive effects of fuel moisture and infrared radiation. Heating of litter fuels increased their flammability primarily through enhanced litter drying. Heated litter quickly became more flammable than unheated litter when fuels were undergoing drying after saturation, a result of more rapid moisture loss. Litter mass did not change the effect of heating on drying rates, but heavier fuels burned with greater flammability. Conclusions: Interactions among surface fuels, overstory structure, and solar heating may be important in understanding fine-scale heterogeneity in both fire behavior and effects, with strong implications toward increasing the effectiveness of prescribed burning.","author":[{"dropping-particle":"","family":"Kreye","given":"Jesse K.","non-dropping-particle":"","parse-names":false,"suffix":""},{"dropping-particle":"","family":"Kane","given":"Jeffrey M.","non-dropping-particle":"","parse-names":false,"suffix":""},{"dropping-particle":"","family":"Varner","given":"J. Morgan","non-dropping-particle":"","parse-names":false,"suffix":""},{"dropping-particle":"","family":"Hiers","given":"J. Kevin","non-dropping-particle":"","parse-names":false,"suffix":""}],"container-title":"Fire Ecology","id":"ITEM-3","issue":"1","issued":{"date-parts":[["2020"]]},"publisher":"Fire Ecology","title":"Radiant heating rapidly increases litter flammability through impacts on fuel moisture","type":"article-journal","volume":"16"},"uris":["http://www.mendeley.com/documents/?uuid=68404e65-52df-47a2-9bac-a6ef0b1cf9d3"]}],"mendeley":{"formattedCitation":"(Hille &amp; Stephens, 2005; Kreye et al., 2020; Miyanishi &amp; Johnson, 2002)","plainTextFormattedCitation":"(Hille &amp; Stephens, 2005; Kreye et al., 2020; Miyanishi &amp; Johnson, 2002)","previouslyFormattedCitation":"(Hille &amp; Stephens, 2005; Kreye et al., 2020; Miyanishi &amp; Johnson, 2002)"},"properties":{"noteIndex":0},"schema":"https://github.com/citation-style-language/schema/raw/master/csl-citation.json"}</w:instrText>
      </w:r>
      <w:r w:rsidR="0091549D">
        <w:fldChar w:fldCharType="separate"/>
      </w:r>
      <w:r w:rsidR="00C82F34" w:rsidRPr="00C82F34">
        <w:rPr>
          <w:noProof/>
        </w:rPr>
        <w:t>(Hille &amp; Stephens, 2005; Kreye et al., 2020; Miyanishi &amp; Johnson, 2002)</w:t>
      </w:r>
      <w:r w:rsidR="0091549D">
        <w:fldChar w:fldCharType="end"/>
      </w:r>
      <w:r w:rsidR="009407AA">
        <w:t xml:space="preserve">, airflow </w:t>
      </w:r>
      <w:r w:rsidR="000A667D">
        <w:fldChar w:fldCharType="begin" w:fldLock="1"/>
      </w:r>
      <w:r w:rsidR="00003235">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behavior","type":"article-journal","volume":"30"},"uris":["http://www.mendeley.com/documents/?uuid=44ce2cda-693d-4bb3-8c96-92a1489c9fd1"]},{"id":"ITEM-2","itemData":{"DOI":"10.1002/ecs2.3177","ISSN":"21508925","abstract":"In frequent-fire forests, wildland fire acts as a self-regulating process creating forest structures that consist of a fine-grained mosaic of isolated trees, tree groups of various sizes, and non-treed openings. Though the self-regulation of forest structure through repeated fires is acknowledged, few studies have investigated the role that fine-scale pattern-process linkages play in determining fire behavior and effects. To better understand the physical mechanisms driving these pattern-process linkages, we used a three-dimensional, physics-based fire behavior model to investigate how the local arrangement of canopy fuels influences heat transfer from a surface fire to tree crowns and subsequent crown ignition and consumption. In particular, we were interested in the impacts of tree group size and crown separation distance on heat transfer. We found increased convective cooling for isolated individual trees and 3-tree groups as compared to larger 7- and 19-tree groups which resulted in a reduction of the net energy transferred from the surface fire to the tree crowns. Because isolated individuals and 3-tree groups are exposed to less thermal energy, they require a greater surface fireline intensity to initiate torching and have less crown consumption than trees within larger groups. Similarly, we found that increased crown separation distance also reduced heat transfer and crown ignition. However, differences in crown ignition and consumption among various sized groups and separation distances depended upon the surface fireline intensity, suggesting that any change in crown consumption or tree mortality due to pattern-process linkages may be best viewed as a conditional in nature. These findings identify the potential physical mechanisms responsible for supporting the complex forest structures typical of high-frequency fire regimes, and the results may be useful for managers designing fuel hazard reduction and ecological restoration treatments.","author":[{"dropping-particle":"","family":"Ritter","given":"Scott M.","non-dropping-particle":"","parse-names":false,"suffix":""},{"dropping-particle":"","family":"Hoffman","given":"Chad M.","non-dropping-particle":"","parse-names":false,"suffix":""},{"dropping-particle":"","family":"Battaglia","given":"Mike A.","non-dropping-particle":"","parse-names":false,"suffix":""},{"dropping-particle":"","family":"Stevens-Rumann","given":"Camille S.","non-dropping-particle":"","parse-names":false,"suffix":""},{"dropping-particle":"","family":"Mell","given":"William E.","non-dropping-particle":"","parse-names":false,"suffix":""}],"container-title":"Ecosphere","id":"ITEM-2","issue":"7","issued":{"date-parts":[["2020"]]},"title":"Fine-scale fire patterns mediate forest structure in frequent-fire ecosystems","type":"article-journal","volume":"11"},"uris":["http://www.mendeley.com/documents/?uuid=091de840-29b7-4c76-8c82-3020062a51a6"]},{"id":"ITEM-3","itemData":{"DOI":"10.3390/F11090918","ISSN":"19994907","abstract":"Key message: We have explored the impacts of forest thinning on wildland fire behavior using a process based model. Simulating different degrees of thinning, we found out that forest thinning should be conducted cautiously as there could be a wide range of outcomes depending upon the post-thinning states of fuel availability, fuel connectivity, fuel moisture and micrometeorological features such as wind speed. Context: There are conflicting reports in the literature regarding the effectiveness of forest thinning. Some studies have found that thinning reduces fire severity, while some studies have found that thinning might lead to enhanced fire severity. Aims: Our goal was to evaluate if both of these outcomes are possible post thinning operations and what are the limiting conditions for post thinning fire behavior. Methods: We used a process based model to simulate different degrees of thinning systematically, under two different conditions, where the canopy fuel moisture was unchanged and when the canopy fuel moisture was also depleted post thinning. Both of these scenarios are reported in the literature. Results: We found out that a low degree of thinning can indeed increase fire intensity, especially if the canopy fuel moisture is low. A high degree of thinning was effective in reducing fire intensity. However, thinning also increased rate of spread under some conditions. Interestingly, both intensity and rate of spread were dependent on the competing effects of increased wind speed, fuel loading and canopy fuel moisture. Conclusion: We were able to find the limits of fire behavior post thinning and actual fire behavior is likely to be somewhere in the middle of the theoretical extremes explored in this work. The actual fire behavior post thinning should depend on the site specific conditions which would determine the outcome of the interplay among the aforementioned conditions. The work also highlights that policymakers should be careful about fine scale canopy architectural attributes and micrometeorological aspects when planning fuel treatment operations.","author":[{"dropping-particle":"","family":"Banerjee","given":"Tirtha","non-dropping-particle":"","parse-names":false,"suffix":""}],"container-title":"Forests","id":"ITEM-3","issue":"9","issued":{"date-parts":[["2020"]]},"title":"Impacts of forest thinning on wildland fire behavior","type":"article-journal","volume":"11"},"uris":["http://www.mendeley.com/documents/?uuid=d21588d5-ee34-4a67-88e3-dd80e536ce0d"]}],"mendeley":{"formattedCitation":"(Atchley et al., 2021; Banerjee, 2020; Ritter et al., 2020)","plainTextFormattedCitation":"(Atchley et al., 2021; Banerjee, 2020; Ritter et al., 2020)","previouslyFormattedCitation":"(Atchley et al., 2021; Banerjee, 2020; Ritter et al., 2020)"},"properties":{"noteIndex":0},"schema":"https://github.com/citation-style-language/schema/raw/master/csl-citation.json"}</w:instrText>
      </w:r>
      <w:r w:rsidR="000A667D">
        <w:fldChar w:fldCharType="separate"/>
      </w:r>
      <w:r w:rsidR="00003235" w:rsidRPr="00003235">
        <w:rPr>
          <w:noProof/>
        </w:rPr>
        <w:t>(Atchley et al., 2021; Banerjee, 2020; Ritter et al., 2020)</w:t>
      </w:r>
      <w:r w:rsidR="000A667D">
        <w:fldChar w:fldCharType="end"/>
      </w:r>
      <w:r w:rsidR="009407AA">
        <w:t xml:space="preserve">, and pre-fire fuel characteristics </w:t>
      </w:r>
      <w:r w:rsidR="00993343">
        <w:fldChar w:fldCharType="begin" w:fldLock="1"/>
      </w:r>
      <w:r w:rsidR="00003235">
        <w:instrText>ADDIN CSL_CITATION {"citationItems":[{"id":"ITEM-1","itemData":{"DOI":"10.1080/07038992.2016.1199271","ISSN":"17127971","abstract":"Wildland fire radiant energy emission is one of the only measurements of combustion that can be made at high temporal and spatial resolutions. Furthermore, spatially and temporally explicit measurements are critical for making inferences about ecological fire effects. Although the correlation between fire frequency and plant biological diversity in frequently burned coniferous forests is well documented, the ecological mechanisms explaining this relationship remains elusive. Uncovering these mechanisms will require highly resolved, spatially explicit fire data (Loudermilk et al. 2012). Here, we describe our efforts at connecting spatial variability in fuels to fire energy release and fire effects using fine scale (1 cm2) longwave infrared (LWIR) thermal imagery. We expected that the observed variability in fire radiative energy release driven by canopy-derived fuels could be the causal mechanism driving plant mortality, an important component of community dynamics. Analysis of fire radiant energy released in several experimental burns documented a close connection among patterns of fire intensity and plant mortality. Our results also confirmed the significance of cones in driving fine-scale spatial variability of fire intensity. Spatially and temporally resolved data from these techniques show promise to effectively link the combustion environment with postfire processes, remote sensing at larger scales, and wildland fire modeling efforts.","author":[{"dropping-particle":"","family":"O’Brien","given":"Joseph J.","non-dropping-particle":"","parse-names":false,"suffix":""},{"dropping-particle":"","family":"Loudermilk","given":"E. Louise","non-dropping-particle":"","parse-names":false,"suffix":""},{"dropping-particle":"","family":"Hiers","given":"J. Kevin","non-dropping-particle":"","parse-names":false,"suffix":""},{"dropping-particle":"","family":"Pokswinski","given":"Scott M.","non-dropping-particle":"","parse-names":false,"suffix":""},{"dropping-particle":"","family":"Hornsby","given":"Benjamin","non-dropping-particle":"","parse-names":false,"suffix":""},{"dropping-particle":"","family":"Hudak","given":"Andrew T.","non-dropping-particle":"","parse-names":false,"suffix":""},{"dropping-particle":"","family":"Strother","given":"Dexter","non-dropping-particle":"","parse-names":false,"suffix":""},{"dropping-particle":"","family":"Rowell","given":"Eric","non-dropping-particle":"","parse-names":false,"suffix":""},{"dropping-particle":"","family":"Bright","given":"Benjamin C.","non-dropping-particle":"","parse-names":false,"suffix":""}],"container-title":"Canadian Journal of Remote Sensing","id":"ITEM-1","issue":"5","issued":{"date-parts":[["2016"]]},"page":"489-500","title":"Canopy-Derived Fuels Drive Patterns of In-Fire Energy Release and Understory Plant Mortality in a Longleaf Pine (Pinus palustris) Sandhill in Northwest Florida, USA","type":"article-journal","volume":"42"},"uris":["http://www.mendeley.com/documents/?uuid=ab8f0c8e-4875-40a0-be55-04791536e494"]},{"id":"ITEM-2","itemData":{"DOI":"10.1093/jof/107.8.391","ISSN":"00221201","abstract":"Fire is a dominant disturbance within many forested ecosystems worldwide. Understanding the complex feedbacks among vegetation as a fuel for fire, the effects of fuels on fire behavior, and the impact of fire behavior on future vegetation are critical for sustaining biodiversity in fire-dependent forests. Nonetheless, understanding in fire ecology has been limited in part by the difficulties in establishing the connections between fire behavior and vegetation response. To address this issue, we present the concept of the ecology of fuels, which emphasizes the critical role that fuels play in conceptually linking feedbacks between fire and vegetation. This article explores the ecology of the fuels concept for longleaf pine woodlands and illustrates its utility by evaluating the principles of ecological forestry (incorporating legacies of disturbances, understanding intermediate stand development processes, and allowing for recovery periods) in this chronically disturbed ecosystem. We review the research behind our understanding of these feedbacks in longleaf pine ecosystems of the southeastern United States and review the applications of these principles through the Stoddard-Neel method of ecological forestry. Understanding these feedbacks is critical for integrating fire ecology and ecological forestry in the Southeast and in other fire-dependent forest types. © 2009 by the Society of American Foresters.","author":[{"dropping-particle":"","family":"Mitchell","given":"Robert J.","non-dropping-particle":"","parse-names":false,"suffix":""},{"dropping-particle":"","family":"Hiers","given":"J. Kevin","non-dropping-particle":"","parse-names":false,"suffix":""},{"dropping-particle":"","family":"O'Brien","given":"Joseph","non-dropping-particle":"","parse-names":false,"suffix":""},{"dropping-particle":"","family":"Starr","given":"Gregory","non-dropping-particle":"","parse-names":false,"suffix":""}],"container-title":"Journal of Forestry","id":"ITEM-2","issue":"8","issued":{"date-parts":[["2009"]]},"page":"391-397","title":"Ecological forestry in the southeast: Understanding the ecology of fuels","type":"article-journal","volume":"107"},"uris":["http://www.mendeley.com/documents/?uuid=f58a0549-a54d-4305-bb2a-d7938ca71af9"]}],"mendeley":{"formattedCitation":"(Mitchell et al., 2009; O’Brien et al., 2016)","plainTextFormattedCitation":"(Mitchell et al., 2009; O’Brien et al., 2016)","previouslyFormattedCitation":"(Mitchell et al., 2009; O’Brien et al., 2016)"},"properties":{"noteIndex":0},"schema":"https://github.com/citation-style-language/schema/raw/master/csl-citation.json"}</w:instrText>
      </w:r>
      <w:r w:rsidR="00993343">
        <w:fldChar w:fldCharType="separate"/>
      </w:r>
      <w:r w:rsidR="00C82F34" w:rsidRPr="00C82F34">
        <w:rPr>
          <w:noProof/>
        </w:rPr>
        <w:t>(Mitchell et al., 2009; O’Brien et al., 2016)</w:t>
      </w:r>
      <w:r w:rsidR="00993343">
        <w:fldChar w:fldCharType="end"/>
      </w:r>
      <w:r w:rsidR="009407AA">
        <w:t>.</w:t>
      </w:r>
      <w:r w:rsidR="00B22B6F">
        <w:t xml:space="preserve"> </w:t>
      </w:r>
    </w:p>
    <w:p w14:paraId="0203590C" w14:textId="47B3FDBA" w:rsidR="00783CD0" w:rsidRDefault="003869C4" w:rsidP="00B22B6F">
      <w:pPr>
        <w:spacing w:line="480" w:lineRule="auto"/>
        <w:ind w:firstLine="720"/>
      </w:pPr>
      <w:r>
        <w:t xml:space="preserve">Changes </w:t>
      </w:r>
      <w:r w:rsidR="00BA39FB">
        <w:t>to the fine-scale spatial pattern</w:t>
      </w:r>
      <w:r w:rsidR="00D23B12">
        <w:t>s</w:t>
      </w:r>
      <w:r w:rsidR="00BA39FB">
        <w:t xml:space="preserve"> of fuel</w:t>
      </w:r>
      <w:r w:rsidR="00D23B12">
        <w:t>s</w:t>
      </w:r>
      <w:r w:rsidR="00BA39FB">
        <w:t xml:space="preserve"> also have important ecological implications</w:t>
      </w:r>
      <w:r w:rsidR="0011611A">
        <w:t xml:space="preserve"> </w:t>
      </w:r>
      <w:r w:rsidR="0011611A">
        <w:fldChar w:fldCharType="begin" w:fldLock="1"/>
      </w:r>
      <w:r w:rsidR="00636281">
        <w:instrText>ADDIN CSL_CITATION {"citationItems":[{"id":"ITEM-1","itemData":{"DOI":"10.1186/s42408-022-00132-9","ISSN":"1933-9747","author":[{"dropping-particle":"","family":"Loudermilk","given":"E. Louise","non-dropping-particle":"","parse-names":false,"suffix":""},{"dropping-particle":"","family":"O’Brien","given":"Joseph J.","non-dropping-particle":"","parse-names":false,"suffix":""},{"dropping-particle":"","family":"Goodrick","given":"Scott L.","non-dropping-particle":"","parse-names":false,"suffix":""},{"dropping-particle":"","family":"Linn","given":"Rodman R.","non-dropping-particle":"","parse-names":false,"suffix":""},{"dropping-particle":"","family":"Skowronski","given":"Nicholas S.","non-dropping-particle":"","parse-names":false,"suffix":""},{"dropping-particle":"","family":"Hiers","given":"J. Kevin","non-dropping-particle":"","parse-names":false,"suffix":""}],"container-title":"Fire Ecology","id":"ITEM-1","issue":"1","issued":{"date-parts":[["2022"]]},"publisher":"Springer International Publishing","title":"Vegetation’s influence on fire behavior goes beyond just being fuel","type":"article-journal","volume":"18"},"uris":["http://www.mendeley.com/documents/?uuid=bb8d9c0a-d445-42d6-af4e-e536d1b8762b"]}],"mendeley":{"formattedCitation":"(Loudermilk et al., 2022)","plainTextFormattedCitation":"(Loudermilk et al., 2022)","previouslyFormattedCitation":"(Loudermilk et al., 2022)"},"properties":{"noteIndex":0},"schema":"https://github.com/citation-style-language/schema/raw/master/csl-citation.json"}</w:instrText>
      </w:r>
      <w:r w:rsidR="0011611A">
        <w:fldChar w:fldCharType="separate"/>
      </w:r>
      <w:r w:rsidR="0011611A" w:rsidRPr="0011611A">
        <w:rPr>
          <w:noProof/>
        </w:rPr>
        <w:t>(Loudermilk et al., 2022)</w:t>
      </w:r>
      <w:r w:rsidR="0011611A">
        <w:fldChar w:fldCharType="end"/>
      </w:r>
      <w:r w:rsidR="00BA39FB">
        <w:t xml:space="preserve">. </w:t>
      </w:r>
      <w:r w:rsidR="00307444">
        <w:t xml:space="preserve">The altered spatial pattern of the fine fuels which drive fire behavior is likely to change fire behavior and effects at multiple scales </w:t>
      </w:r>
      <w:r w:rsidR="001E31C9">
        <w:fldChar w:fldCharType="begin" w:fldLock="1"/>
      </w:r>
      <w:r w:rsidR="00993343">
        <w:instrText>ADDIN CSL_CITATION {"citationItems":[{"id":"ITEM-1","itemData":{"DOI":"10.1890/0012-9658(2006)87[1331:SFVAFI]2.0.CO;2","ISSN":"00129658","PMID":"16761611","abstract":"Small-scale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J.","non-dropping-particle":"","parse-names":false,"suffix":""}],"container-title":"Ecology","id":"ITEM-1","issue":"5","issued":{"date-parts":[["2006"]]},"page":"1331-1337","title":"Small-scale fuel variation alters fire intensity and shrub abundance in a pine savanna","type":"article-journal","volume":"87"},"uris":["http://www.mendeley.com/documents/?uuid=77642198-84f9-4355-880f-0fe62fc85062"]},{"id":"ITEM-2","itemData":{"DOI":"10.1016/j.foreco.2016.12.002","ISSN":"03781127","abstract":"Restoration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Management","id":"ITEM-2","issued":{"date-parts":[["2017"]]},"note":"Fine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forests","type":"article-journal","volume":"386"},"uris":["http://www.mendeley.com/documents/?uuid=9f903940-4b19-4560-adec-0875debcebbb"]},{"id":"ITEM-3","itemData":{"DOI":"10.1071/WF20096","author":[{"dropping-particle":"","family":"Atchley","given":"Adam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Fire","id":"ITEM-3","issue":"3","issued":{"date-parts":[["2021"]]},"note":"-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behavior","type":"article-journal","volume":"30"},"uris":["http://www.mendeley.com/documents/?uuid=44ce2cda-693d-4bb3-8c96-92a1489c9fd1"]},{"id":"ITEM-4","itemData":{"DOI":"10.1080/07038992.2016.1199271","ISSN":"17127971","abstract":"Wildland fire radiant energy emission is one of the only measurements of combustion that can be made at high temporal and spatial resolutions. Furthermore, spatially and temporally explicit measurements are critical for making inferences about ecological fire effects. Although the correlation between fire frequency and plant biological diversity in frequently burned coniferous forests is well documented, the ecological mechanisms explaining this relationship remains elusive. Uncovering these mechanisms will require highly resolved, spatially explicit fire data (Loudermilk et al. 2012). Here, we describe our efforts at connecting spatial variability in fuels to fire energy release and fire effects using fine scale (1 cm2) longwave infrared (LWIR) thermal imagery. We expected that the observed variability in fire radiative energy release driven by canopy-derived fuels could be the causal mechanism driving plant mortality, an important component of community dynamics. Analysis of fire radiant energy released in several experimental burns documented a close connection among patterns of fire intensity and plant mortality. Our results also confirmed the significance of cones in driving fine-scale spatial variability of fire intensity. Spatially and temporally resolved data from these techniques show promise to effectively link the combustion environment with postfire processes, remote sensing at larger scales, and wildland fire modeling efforts.","author":[{"dropping-particle":"","family":"O’Brien","given":"Joseph J.","non-dropping-particle":"","parse-names":false,"suffix":""},{"dropping-particle":"","family":"Loudermilk","given":"E. Louise","non-dropping-particle":"","parse-names":false,"suffix":""},{"dropping-particle":"","family":"Hiers","given":"J. Kevin","non-dropping-particle":"","parse-names":false,"suffix":""},{"dropping-particle":"","family":"Pokswinski","given":"Scott M.","non-dropping-particle":"","parse-names":false,"suffix":""},{"dropping-particle":"","family":"Hornsby","given":"Benjamin","non-dropping-particle":"","parse-names":false,"suffix":""},{"dropping-particle":"","family":"Hudak","given":"Andrew T.","non-dropping-particle":"","parse-names":false,"suffix":""},{"dropping-particle":"","family":"Strother","given":"Dexter","non-dropping-particle":"","parse-names":false,"suffix":""},{"dropping-particle":"","family":"Rowell","given":"Eric","non-dropping-particle":"","parse-names":false,"suffix":""},{"dropping-particle":"","family":"Bright","given":"Benjamin C.","non-dropping-particle":"","parse-names":false,"suffix":""}],"container-title":"Canadian Journal of Remote Sensing","id":"ITEM-4","issue":"5","issued":{"date-parts":[["2016"]]},"page":"489-500","title":"Canopy-Derived Fuels Drive Patterns of In-Fire Energy Release and Understory Plant Mortality in a Longleaf Pine (Pinus palustris) Sandhill in Northwest Florida, USA","type":"article-journal","volume":"42"},"uris":["http://www.mendeley.com/documents/?uuid=ab8f0c8e-4875-40a0-be55-04791536e494"]}],"mendeley":{"formattedCitation":"(Atchley et al., 2021; O’Brien et al., 2016; Thaxton &amp; Platt, 2006; Ziegler et al., 2017)","plainTextFormattedCitation":"(Atchley et al., 2021; O’Brien et al., 2016; Thaxton &amp; Platt, 2006; Ziegler et al., 2017)","previouslyFormattedCitation":"(Atchley et al., 2021; O’Brien et al., 2016; Thaxton &amp; Platt, 2006; Ziegler et al., 2017)"},"properties":{"noteIndex":0},"schema":"https://github.com/citation-style-language/schema/raw/master/csl-citation.json"}</w:instrText>
      </w:r>
      <w:r w:rsidR="001E31C9">
        <w:fldChar w:fldCharType="separate"/>
      </w:r>
      <w:r w:rsidR="00993343" w:rsidRPr="00993343">
        <w:rPr>
          <w:noProof/>
        </w:rPr>
        <w:t>(Atchley et al., 2021; O’Brien et al., 2016; Thaxton &amp; Platt, 2006; Ziegler et al., 2017)</w:t>
      </w:r>
      <w:r w:rsidR="001E31C9">
        <w:fldChar w:fldCharType="end"/>
      </w:r>
      <w:r w:rsidR="000E4DC7">
        <w:t>. For example, tree mortality is elevated by high litter and duff depths which contribute to long-duration smoldering combustion which damages fine roots and c</w:t>
      </w:r>
      <w:r w:rsidR="00DB2F3F">
        <w:t xml:space="preserve">ambium, </w:t>
      </w:r>
      <w:r w:rsidR="00456593">
        <w:t xml:space="preserve">so </w:t>
      </w:r>
      <w:r w:rsidR="00DB2F3F">
        <w:t xml:space="preserve">changes to the spatial pattern of litter and duff are likely to affect the spatial pattern of tree survival in the event of a wildfire </w:t>
      </w:r>
      <w:r w:rsidR="00456593">
        <w:fldChar w:fldCharType="begin" w:fldLock="1"/>
      </w:r>
      <w:r w:rsidR="001E31C9">
        <w:instrText>ADDIN CSL_CITATION {"citationItems":[{"id":"ITEM-1","itemData":{"DOI":"10.1016/S0378-1127(01)00521-7","ISBN":"1510642730","ISSN":"03781127","abstract":"Logistic regression equations of prescribed fire mortality were developed for white fir (Abies concolor [Gord. and Glend.] Lindl.), sugar pine (Pinus lambertiana Dougl.), ponderosa pine (Pinus ponderosa Laws.), incense-cedar (Calocedrus decurrens [Torr.] Floren.), and giant sequoia (Sequoiadendron giganteum [Lindley] Buchholz) in the southern Sierra Nevada, California. A total of 1025 trees were analyzed in this study. Variables included in the mortality equations are diameter at breast height, percent crown volume scorched, crown scorch height, and local forest floor consumption. The likelihood ratio χ2 was highly significant (P &lt; 0.0001) for all models developed and the receiver operating curve statistic ranged from 0.736 to 0.997 indicating good overall model performance. None of the logistic regression models developed for California black oak (Quercus kelloggii Newb.) produced a maximum likelihood estimate indicating that the variables measured were not significant predictors of mortality. Probability of death is lower for giant sequoia, incense-cedar, and ponderosa pine at high levels of percent crown volume scorched when compared to sugar pine and white fir. Forest floor consumption was a significant factor in the majority of the models developed indicating that mortality is not solely a function of crown damage. These models may be useful to forest managers planning prescribed fires and to ecologists interested in modeling the effects of fire on mixed conifer forests. © 2002 Elsevier Science B.V. All rights reserved.","author":[{"dropping-particle":"","family":"Stephens","given":"Scott L.","non-dropping-particle":"","parse-names":false,"suffix":""},{"dropping-particle":"","family":"Finney","given":"Mark A.","non-dropping-particle":"","parse-names":false,"suffix":""}],"container-title":"Forest Ecology and Management","id":"ITEM-1","issue":"2-3","issued":{"date-parts":[["2002"]]},"page":"261-271","title":"Prescribed fire mortality of Sierra Nevada mixed conifer tree species: Effects of crown damage and forest floor combustion","type":"article-journal","volume":"162"},"uris":["http://www.mendeley.com/documents/?uuid=46813ae1-e085-4030-bcb8-59fbfdccd60b"]}],"mendeley":{"formattedCitation":"(Scott L. Stephens &amp; Finney, 2002)","plainTextFormattedCitation":"(Scott L. Stephens &amp; Finney, 2002)","previouslyFormattedCitation":"(Scott L. Stephens &amp; Finney, 2002)"},"properties":{"noteIndex":0},"schema":"https://github.com/citation-style-language/schema/raw/master/csl-citation.json"}</w:instrText>
      </w:r>
      <w:r w:rsidR="00456593">
        <w:fldChar w:fldCharType="separate"/>
      </w:r>
      <w:r w:rsidR="00456593" w:rsidRPr="00456593">
        <w:rPr>
          <w:noProof/>
        </w:rPr>
        <w:t>(Scott L. Stephens &amp; Finney, 2002)</w:t>
      </w:r>
      <w:r w:rsidR="00456593">
        <w:fldChar w:fldCharType="end"/>
      </w:r>
      <w:r w:rsidR="00FD6B2C">
        <w:t xml:space="preserve"> and</w:t>
      </w:r>
      <w:r w:rsidR="00787758">
        <w:t xml:space="preserve"> jackpots of fine woody debris release greater amounts of heat and are likely to result in local areas of increased crown damage and canopy mortality </w:t>
      </w:r>
      <w:r w:rsidR="00993343">
        <w:fldChar w:fldCharType="begin" w:fldLock="1"/>
      </w:r>
      <w:r w:rsidR="00993343">
        <w:instrText>ADDIN CSL_CITATION {"citationItems":[{"id":"ITEM-1","itemData":{"author":[{"dropping-particle":"","family":"Reinhardt","given":"E D","non-dropping-particle":"","parse-names":false,"suffix":""},{"dropping-particle":"","family":"Ryan","given":"K C","non-dropping-particle":"","parse-names":false,"suffix":""}],"container-title":"Canadian Journal of Forest Research","id":"ITEM-1","issued":{"date-parts":[["1988"]]},"page":"1291-11297","title":"Predicting postfire mortality of seven western conifers","type":"article-journal","volume":"18"},"uris":["http://www.mendeley.com/documents/?uuid=a850423e-1695-4311-991d-736fed22af23"]}],"mendeley":{"formattedCitation":"(Reinhardt &amp; Ryan, 1988)","plainTextFormattedCitation":"(Reinhardt &amp; Ryan, 1988)","previouslyFormattedCitation":"(Reinhardt &amp; Ryan, 1988)"},"properties":{"noteIndex":0},"schema":"https://github.com/citation-style-language/schema/raw/master/csl-citation.json"}</w:instrText>
      </w:r>
      <w:r w:rsidR="00993343">
        <w:fldChar w:fldCharType="separate"/>
      </w:r>
      <w:r w:rsidR="00993343" w:rsidRPr="00993343">
        <w:rPr>
          <w:noProof/>
        </w:rPr>
        <w:t>(Reinhardt &amp; Ryan, 1988)</w:t>
      </w:r>
      <w:r w:rsidR="00993343">
        <w:fldChar w:fldCharType="end"/>
      </w:r>
      <w:r w:rsidR="00787758">
        <w:t>.</w:t>
      </w:r>
      <w:r w:rsidR="00307444">
        <w:t xml:space="preserve"> </w:t>
      </w:r>
      <w:r w:rsidR="00FD6B2C">
        <w:t>Likewise, the</w:t>
      </w:r>
      <w:r w:rsidR="00307444">
        <w:t xml:space="preserve"> altered spatial distribution of bare mineral soils (regions where litter and duff depth is zero) will likely affect the spatial distribution of tree regeneration and understory vegetation </w:t>
      </w:r>
      <w:r w:rsidR="000A667D">
        <w:fldChar w:fldCharType="begin" w:fldLock="1"/>
      </w:r>
      <w:r w:rsidR="00F56385">
        <w:instrText>ADDIN CSL_CITATION {"citationItems":[{"id":"ITEM-1","itemData":{"DOI":"10.1093/forestry/cpr058","ISBN":"0015-752X","ISSN":"0015752X","abstract":"Multi-aged stands in a mixed conifer forest of California were treated to mitigate harvest-related increases in surface fuels and to prepare sites for natural regeneration of Pinus species. The study was designed to (1) assess effectiveness of small gap fuel treatments (piling and burning in 0.04 ha gaps) on surface fuel and modelled fire behaviour; (2) test the effect of substrate quality on germination of Pinus species; (3) measure the influence of gap creation on light availability and stand-level light heterogeneity. While the fuel treatment only covered 10 per cent of stand area, it was effective in avoiding increases in stand-level surface fuel following harvests. Fire behaviour was predicted to be moderate following the treatments. The harvest coupled with the gap surface fuel treatments did not change predicted fire behaviour compared with the pretreatment stands. There was a significant but variable increase in germination of Pinus ponderosa seed when sowed on ash substrates compared with bare soil. No substrate effect was detected for Pinus lambertiana. The 0.04-ha gaps created distinct pockets of light and greatly increased stand-level light heterogeneity. This gap-based approach to regenerating multi-aged stands coupled with small-scale fuel treatments is promising for reducing fire hazard and regenerating shade-intolerant species.","author":[{"dropping-particle":"","family":"York","given":"Robert A.","non-dropping-particle":"","parse-names":false,"suffix":""},{"dropping-particle":"","family":"Battles","given":"John J.","non-dropping-particle":"","parse-names":false,"suffix":""},{"dropping-particle":"","family":"Wenk","given":"Rebecca C.","non-dropping-particle":"","parse-names":false,"suffix":""},{"dropping-particle":"","family":"Saah","given":"David","non-dropping-particle":"","parse-names":false,"suffix":""}],"container-title":"Forestry","id":"ITEM-1","issue":"2","issued":{"date-parts":[["2012"]]},"page":"203-213","title":"A gap-based approach for regenerating pine species and reducing surface fuels in multi-aged mixed conifer stands in the Sierra Nevada, California","type":"article-journal","volume":"85"},"uris":["http://www.mendeley.com/documents/?uuid=3b6aecd3-0825-4c84-b4ec-d17056626afa"]},{"id":"ITEM-2","itemData":{"DOI":"10.2307/3235739","ISSN":"11009233","abstract":"At fine spatial scales (0.1 - 10 m), chaparral communities have been shown to be strongly influenced by canopy-gap patterns, leading to periodicities in vegetation at 4 - 5 m spatial scales. Fine-scale variations in fire behavior and post-fire erosion can lead to changes in the patterning of viable seeds and nutrients and may alter the spatial patterning of post-fire chaparral communities. This study deals with the relationship among fire behavior, post-fire nutrient availabilities and vegetation patterns in a 1-yr old, post-fire Adenostoma fasciculatum chaparral community in the Sierra Nevada Mountains, California, USA. Variations in mineral soil exchangeable cations (Ca, Mg) and extractable phosphorus (PO4-P) were correlated with ash distribution. Cations and measures of ammonium and nitrate were also correlated with fire intensity, measured by the diameter of the smallest remaining A. fasciculatum twigs following fire. Fire intensity was correlated with the pattern of post-fire vegetation establishment based on first axis DCA scores. However, ash PO4-P was more highly correlated with sample DCA scores, local species richness and total cover (p &lt; 0.01), suggesting that small-scale variations in PO4-P which correlate with ash distributions may be important in structuring this community. Two- and three-term local variance analysis revealed a maximum of pattern intensity in DCA first axis scores at 4 - 5 m intervals that likely corresponds to pre-fire canopy-gap patterns. However, total cover showed pattern at spatial scales of 8 - 10 m, and was correlated at this scale with patterns of ash distribution and fire intensity. Microtopographic patterns also occur at similar spatial scales. Microtopographic patterns appear important in determining post-fire plant nutrient and water distributions and, thereby, patterns of plant establishment. Thus, the scale and intensity of post-fire vegetation pattern may differ considerably from pre-fire conditions.","author":[{"dropping-particle":"","family":"Rice","given":"S. K.","non-dropping-particle":"","parse-names":false,"suffix":""}],"container-title":"Journal of Vegetation Science","id":"ITEM-2","issue":"1","issued":{"date-parts":[["1993"]]},"page":"115-124","title":" Vegetation establishment in post-fire Adenostoma chaparral in relation to fine-scale pattern in fire intensity and soil nutrients ","type":"article-journal","volume":"4"},"uris":["http://www.mendeley.com/documents/?uuid=0acecb0b-7bf7-4f6d-801e-d7aab01b8695"]},{"id":"ITEM-3","itemData":{"DOI":"10.1890/06-1015","ISSN":"10510761","PMID":"17494398","abstract":"Longleaf pine (Pinus palustris) woodlands and savannas are among the most frequently burned ecosystems in the world with fire return intervals of 1-10 years. This fire regime has maintained high levels of biodiversity in terms of both species richness and endemism. Land use changes have reduced the area of this ecosystem by &gt;95%, and inadequate fire frequencies threaten many of the remnants today. In the absence of frequent fire, rapid colonization of hardwoods and shrubs occurs, and a broad-leaved midstory develops. This midstory encroachment has been the focus of much research and management concern, largely based on the assumption that the midstory reduces understory plant diversity through direction competition via light interception. The general application of this mechanism of degradation is questionable, however, because midstory density, leaf area, and hardwood species composition vary substantially along a soil moisture gradient from mesic to extremely xeric sites. Reanalysis of recently reported data from xeric longleaf pine communities suggests that the development of the forest floor, a less conspicuous change in forest structure, might cause a decline in plant biodiversity when forests remain unburned. We report here a test of the interactions among fire, litter accumulation, forest floor development, and midstory canopy density on understory plant diversity. Structural equation modeling showed that within xeric sites, forest floor development was the primary factor explaining decreased biodiversity. The only effects of midstory development on biodiversity were those mediated through forest floor development. Boundary line analysis of functional guilds of understory plants showed sensitivity to even minor development of the forest floor in the absence of fire. These results challenge the prevailing management paradigm and suggest that within xeric longleaf pine communities, the primary focus of managed fire regime should be directed toward the restoration of forest floor characteristics rather than the introduction of high-intensity fires used to regulate midstory structure. © 2007 by the Ecological Society of America.","author":[{"dropping-particle":"","family":"Hiers","given":"J. Kevin","non-dropping-particle":"","parse-names":false,"suffix":""},{"dropping-particle":"","family":"O'Brien","given":"Joseph J.","non-dropping-particle":"","parse-names":false,"suffix":""},{"dropping-particle":"","family":"Will","given":"Rodney E.","non-dropping-particle":"","parse-names":false,"suffix":""},{"dropping-particle":"","family":"Mitchell","given":"Robert J.","non-dropping-particle":"","parse-names":false,"suffix":""}],"container-title":"Ecological Applications","id":"ITEM-3","issue":"3","issued":{"date-parts":[["2007"]]},"page":"806-814","title":"Forest floor depth mediates understory vigor in xeric Pinus palustris ecosystems","type":"article-journal","volume":"17"},"uris":["http://www.mendeley.com/documents/?uuid=d3803c39-bbee-40b0-a410-293f93b14725"]}],"mendeley":{"formattedCitation":"(Hiers et al., 2007; Rice, 1993; York et al., 2012)","plainTextFormattedCitation":"(Hiers et al., 2007; Rice, 1993; York et al., 2012)","previouslyFormattedCitation":"(Hiers et al., 2007; Rice, 1993; York et al., 2012)"},"properties":{"noteIndex":0},"schema":"https://github.com/citation-style-language/schema/raw/master/csl-citation.json"}</w:instrText>
      </w:r>
      <w:r w:rsidR="000A667D">
        <w:fldChar w:fldCharType="separate"/>
      </w:r>
      <w:r w:rsidR="00636281" w:rsidRPr="00636281">
        <w:rPr>
          <w:noProof/>
        </w:rPr>
        <w:t>(Hiers et al., 2007; Rice, 1993; York et al., 2012)</w:t>
      </w:r>
      <w:r w:rsidR="000A667D">
        <w:fldChar w:fldCharType="end"/>
      </w:r>
      <w:r w:rsidR="00307444">
        <w:t>, shaping the future spatial pattern of the forest.</w:t>
      </w:r>
      <w:r w:rsidR="00783CD0">
        <w:t xml:space="preserve"> </w:t>
      </w:r>
      <w:r w:rsidR="00BA4D34">
        <w:t>However, more study is needed to conclusive</w:t>
      </w:r>
      <w:r w:rsidR="00FA219B">
        <w:t>ly</w:t>
      </w:r>
      <w:r w:rsidR="00BA4D34">
        <w:t xml:space="preserve"> demonstrate a causal connection </w:t>
      </w:r>
      <w:r w:rsidR="00BA4D34">
        <w:lastRenderedPageBreak/>
        <w:t xml:space="preserve">whereby different </w:t>
      </w:r>
      <w:r w:rsidR="005B7139">
        <w:t xml:space="preserve">fine-scale </w:t>
      </w:r>
      <w:r w:rsidR="00BA4D34">
        <w:t xml:space="preserve">spatial patterns of surface fuel </w:t>
      </w:r>
      <w:r w:rsidR="005B7139">
        <w:t xml:space="preserve">produce different patterns of </w:t>
      </w:r>
      <w:proofErr w:type="gramStart"/>
      <w:r w:rsidR="005B7139">
        <w:t>coarse</w:t>
      </w:r>
      <w:proofErr w:type="gramEnd"/>
      <w:r w:rsidR="005B7139">
        <w:t xml:space="preserve">-scale fire behavior and effects. </w:t>
      </w:r>
      <w:r w:rsidR="00BA4D34">
        <w:t xml:space="preserve"> </w:t>
      </w:r>
    </w:p>
    <w:p w14:paraId="56551F46" w14:textId="732EF076" w:rsidR="007D2728" w:rsidRDefault="007D2728" w:rsidP="008659A7">
      <w:pPr>
        <w:pStyle w:val="Heading1"/>
        <w:spacing w:line="480" w:lineRule="auto"/>
      </w:pPr>
      <w:r>
        <w:t>Conclusions</w:t>
      </w:r>
    </w:p>
    <w:p w14:paraId="0FAB4A67" w14:textId="1315FFE7" w:rsidR="00783CD0" w:rsidRDefault="00DB4649" w:rsidP="00643FA0">
      <w:pPr>
        <w:spacing w:line="480" w:lineRule="auto"/>
        <w:ind w:firstLine="720"/>
      </w:pPr>
      <w:r>
        <w:t xml:space="preserve">This study describes the fine-scale spatial pattern of litter and duff and 1-hour, 10-hour, and 100-hour fine woody fuels both before and after prescribed fires, finding that prescribed fire not only reduces the amount of fuel but also alters the fine-scale spatial distribution. </w:t>
      </w:r>
      <w:r w:rsidR="00FA219B">
        <w:t xml:space="preserve">These results </w:t>
      </w:r>
      <w:r w:rsidR="00D23B12">
        <w:t xml:space="preserve">suggest that pattern-process feedbacks shaping the interplay between fine-scale forest structure and fire </w:t>
      </w:r>
      <w:r w:rsidR="00D23B12">
        <w:fldChar w:fldCharType="begin" w:fldLock="1"/>
      </w:r>
      <w:r w:rsidR="00D23B12">
        <w:instrText>ADDIN CSL_CITATION {"citationItems":[{"id":"ITEM-1","itemData":{"DOI":"10.1186/s42408-022-00132-9","ISSN":"1933-9747","author":[{"dropping-particle":"","family":"Loudermilk","given":"E. Louise","non-dropping-particle":"","parse-names":false,"suffix":""},{"dropping-particle":"","family":"O’Brien","given":"Joseph J.","non-dropping-particle":"","parse-names":false,"suffix":""},{"dropping-particle":"","family":"Goodrick","given":"Scott L.","non-dropping-particle":"","parse-names":false,"suffix":""},{"dropping-particle":"","family":"Linn","given":"Rodman R.","non-dropping-particle":"","parse-names":false,"suffix":""},{"dropping-particle":"","family":"Skowronski","given":"Nicholas S.","non-dropping-particle":"","parse-names":false,"suffix":""},{"dropping-particle":"","family":"Hiers","given":"J. Kevin","non-dropping-particle":"","parse-names":false,"suffix":""}],"container-title":"Fire Ecology","id":"ITEM-1","issue":"1","issued":{"date-parts":[["2022"]]},"publisher":"Springer International Publishing","title":"Vegetation’s influence on fire behavior goes beyond just being fuel","type":"article-journal","volume":"18"},"uris":["http://www.mendeley.com/documents/?uuid=bb8d9c0a-d445-42d6-af4e-e536d1b8762b"]},{"id":"ITEM-2","itemData":{"DOI":"10.1002/ecs2.3177","ISSN":"21508925","abstract":"In frequent-fire forests, wildland fire acts as a self-regulating process creating forest structures that consist of a fine-grained mosaic of isolated trees, tree groups of various sizes, and non-treed openings. Though the self-regulation of forest structure through repeated fires is acknowledged, few studies have investigated the role that fine-scale pattern-process linkages play in determining fire behavior and effects. To better understand the physical mechanisms driving these pattern-process linkages, we used a three-dimensional, physics-based fire behavior model to investigate how the local arrangement of canopy fuels influences heat transfer from a surface fire to tree crowns and subsequent crown ignition and consumption. In particular, we were interested in the impacts of tree group size and crown separation distance on heat transfer. We found increased convective cooling for isolated individual trees and 3-tree groups as compared to larger 7- and 19-tree groups which resulted in a reduction of the net energy transferred from the surface fire to the tree crowns. Because isolated individuals and 3-tree groups are exposed to less thermal energy, they require a greater surface fireline intensity to initiate torching and have less crown consumption than trees within larger groups. Similarly, we found that increased crown separation distance also reduced heat transfer and crown ignition. However, differences in crown ignition and consumption among various sized groups and separation distances depended upon the surface fireline intensity, suggesting that any change in crown consumption or tree mortality due to pattern-process linkages may be best viewed as a conditional in nature. These findings identify the potential physical mechanisms responsible for supporting the complex forest structures typical of high-frequency fire regimes, and the results may be useful for managers designing fuel hazard reduction and ecological restoration treatments.","author":[{"dropping-particle":"","family":"Ritter","given":"Scott M.","non-dropping-particle":"","parse-names":false,"suffix":""},{"dropping-particle":"","family":"Hoffman","given":"Chad M.","non-dropping-particle":"","parse-names":false,"suffix":""},{"dropping-particle":"","family":"Battaglia","given":"Mike A.","non-dropping-particle":"","parse-names":false,"suffix":""},{"dropping-particle":"","family":"Stevens-Rumann","given":"Camille S.","non-dropping-particle":"","parse-names":false,"suffix":""},{"dropping-particle":"","family":"Mell","given":"William E.","non-dropping-particle":"","parse-names":false,"suffix":""}],"container-title":"Ecosphere","id":"ITEM-2","issue":"7","issued":{"date-parts":[["2020"]]},"title":"Fine-scale fire patterns mediate forest structure in frequent-fire ecosystems","type":"article-journal","volume":"11"},"uris":["http://www.mendeley.com/documents/?uuid=091de840-29b7-4c76-8c82-3020062a51a6"]},{"id":"ITEM-3","itemData":{"DOI":"10.1093/jof/107.8.391","ISSN":"00221201","abstract":"Fire is a dominant disturbance within many forested ecosystems worldwide. Understanding the complex feedbacks among vegetation as a fuel for fire, the effects of fuels on fire behavior, and the impact of fire behavior on future vegetation are critical for sustaining biodiversity in fire-dependent forests. Nonetheless, understanding in fire ecology has been limited in part by the difficulties in establishing the connections between fire behavior and vegetation response. To address this issue, we present the concept of the ecology of fuels, which emphasizes the critical role that fuels play in conceptually linking feedbacks between fire and vegetation. This article explores the ecology of the fuels concept for longleaf pine woodlands and illustrates its utility by evaluating the principles of ecological forestry (incorporating legacies of disturbances, understanding intermediate stand development processes, and allowing for recovery periods) in this chronically disturbed ecosystem. We review the research behind our understanding of these feedbacks in longleaf pine ecosystems of the southeastern United States and review the applications of these principles through the Stoddard-Neel method of ecological forestry. Understanding these feedbacks is critical for integrating fire ecology and ecological forestry in the Southeast and in other fire-dependent forest types. © 2009 by the Society of American Foresters.","author":[{"dropping-particle":"","family":"Mitchell","given":"Robert J.","non-dropping-particle":"","parse-names":false,"suffix":""},{"dropping-particle":"","family":"Hiers","given":"J. Kevin","non-dropping-particle":"","parse-names":false,"suffix":""},{"dropping-particle":"","family":"O'Brien","given":"Joseph","non-dropping-particle":"","parse-names":false,"suffix":""},{"dropping-particle":"","family":"Starr","given":"Gregory","non-dropping-particle":"","parse-names":false,"suffix":""}],"container-title":"Journal of Forestry","id":"ITEM-3","issue":"8","issued":{"date-parts":[["2009"]]},"page":"391-397","title":"Ecological forestry in the southeast: Understanding the ecology of fuels","type":"article-journal","volume":"107"},"uris":["http://www.mendeley.com/documents/?uuid=f58a0549-a54d-4305-bb2a-d7938ca71af9"]}],"mendeley":{"formattedCitation":"(Loudermilk et al., 2022; Mitchell et al., 2009; Ritter et al., 2020)","plainTextFormattedCitation":"(Loudermilk et al., 2022; Mitchell et al., 2009; Ritter et al., 2020)"},"properties":{"noteIndex":0},"schema":"https://github.com/citation-style-language/schema/raw/master/csl-citation.json"}</w:instrText>
      </w:r>
      <w:r w:rsidR="00D23B12">
        <w:fldChar w:fldCharType="separate"/>
      </w:r>
      <w:r w:rsidR="00D23B12" w:rsidRPr="00D23B12">
        <w:rPr>
          <w:noProof/>
        </w:rPr>
        <w:t>(Loudermilk et al., 2022; Mitchell et al., 2009; Ritter et al., 2020)</w:t>
      </w:r>
      <w:r w:rsidR="00D23B12">
        <w:fldChar w:fldCharType="end"/>
      </w:r>
      <w:r w:rsidR="00D23B12">
        <w:t xml:space="preserve"> are not limited to the realm of canopy fuels: Rather, fire has clear effects on the spatial distribution of surface fuels as well, likely with important </w:t>
      </w:r>
      <w:r w:rsidR="00BE47C4">
        <w:t>implications for the behavior and effects of future fires</w:t>
      </w:r>
      <w:r w:rsidR="00D23B12">
        <w:t xml:space="preserve">. </w:t>
      </w:r>
      <w:r w:rsidR="00643FA0">
        <w:t xml:space="preserve">This study also provides important insight into the structure of fine-scale spatial variation in surface fuels in a managed mixed conifer forest, both before and after prescribed fire, which will be crucial for studying how fine-scale spatial pattern influences coarse-scale fire behavior and effects. </w:t>
      </w:r>
      <w:r w:rsidR="00BE47C4">
        <w:t>Ultimately, more research is needed to arm managers with a better understanding of how disturbance processes shape, and are shaped by, fine scale spatial patterns of forest fuels.</w:t>
      </w:r>
    </w:p>
    <w:p w14:paraId="6ACBD22E" w14:textId="39520A70" w:rsidR="007D2728" w:rsidRDefault="007D2728" w:rsidP="008659A7">
      <w:pPr>
        <w:spacing w:line="480" w:lineRule="auto"/>
      </w:pPr>
    </w:p>
    <w:p w14:paraId="64B8B6C2" w14:textId="1D480DD7" w:rsidR="007D2728" w:rsidRDefault="007D2728" w:rsidP="008659A7">
      <w:pPr>
        <w:spacing w:line="480" w:lineRule="auto"/>
      </w:pPr>
      <w:r>
        <w:br w:type="page"/>
      </w:r>
    </w:p>
    <w:p w14:paraId="7047B104" w14:textId="6107A3A5" w:rsidR="007D2728" w:rsidRDefault="007D2728" w:rsidP="008659A7">
      <w:pPr>
        <w:pStyle w:val="Heading1"/>
      </w:pPr>
      <w:r>
        <w:lastRenderedPageBreak/>
        <w:t>References</w:t>
      </w:r>
    </w:p>
    <w:p w14:paraId="7D1DED2B" w14:textId="002090F9" w:rsidR="007D2728" w:rsidRDefault="007D2728" w:rsidP="008659A7"/>
    <w:p w14:paraId="5BF8F168" w14:textId="4A314CDF" w:rsidR="00D23B12" w:rsidRPr="00D23B12" w:rsidRDefault="00AF1F55" w:rsidP="00D23B12">
      <w:pPr>
        <w:widowControl w:val="0"/>
        <w:autoSpaceDE w:val="0"/>
        <w:autoSpaceDN w:val="0"/>
        <w:adjustRightInd w:val="0"/>
        <w:spacing w:line="240" w:lineRule="auto"/>
        <w:ind w:left="480" w:hanging="480"/>
        <w:rPr>
          <w:rFonts w:ascii="Calibri" w:hAnsi="Calibri" w:cs="Calibri"/>
          <w:noProof/>
          <w:szCs w:val="24"/>
        </w:rPr>
      </w:pPr>
      <w:r>
        <w:fldChar w:fldCharType="begin" w:fldLock="1"/>
      </w:r>
      <w:r>
        <w:instrText xml:space="preserve">ADDIN Mendeley Bibliography CSL_BIBLIOGRAPHY </w:instrText>
      </w:r>
      <w:r>
        <w:fldChar w:fldCharType="separate"/>
      </w:r>
      <w:r w:rsidR="00D23B12" w:rsidRPr="00D23B12">
        <w:rPr>
          <w:rFonts w:ascii="Calibri" w:hAnsi="Calibri" w:cs="Calibri"/>
          <w:noProof/>
          <w:szCs w:val="24"/>
        </w:rPr>
        <w:t xml:space="preserve">Agee, J. K., &amp; Skinner, C. N. (2005). Basic principles of forest fuel reduction treatments. </w:t>
      </w:r>
      <w:r w:rsidR="00D23B12" w:rsidRPr="00D23B12">
        <w:rPr>
          <w:rFonts w:ascii="Calibri" w:hAnsi="Calibri" w:cs="Calibri"/>
          <w:i/>
          <w:iCs/>
          <w:noProof/>
          <w:szCs w:val="24"/>
        </w:rPr>
        <w:t>Forest Ecology and Management</w:t>
      </w:r>
      <w:r w:rsidR="00D23B12" w:rsidRPr="00D23B12">
        <w:rPr>
          <w:rFonts w:ascii="Calibri" w:hAnsi="Calibri" w:cs="Calibri"/>
          <w:noProof/>
          <w:szCs w:val="24"/>
        </w:rPr>
        <w:t xml:space="preserve">, </w:t>
      </w:r>
      <w:r w:rsidR="00D23B12" w:rsidRPr="00D23B12">
        <w:rPr>
          <w:rFonts w:ascii="Calibri" w:hAnsi="Calibri" w:cs="Calibri"/>
          <w:i/>
          <w:iCs/>
          <w:noProof/>
          <w:szCs w:val="24"/>
        </w:rPr>
        <w:t>211</w:t>
      </w:r>
      <w:r w:rsidR="00D23B12" w:rsidRPr="00D23B12">
        <w:rPr>
          <w:rFonts w:ascii="Calibri" w:hAnsi="Calibri" w:cs="Calibri"/>
          <w:noProof/>
          <w:szCs w:val="24"/>
        </w:rPr>
        <w:t>(1–2), 83–96. https://doi.org/10.1016/j.foreco.2005.01.034</w:t>
      </w:r>
    </w:p>
    <w:p w14:paraId="78520A67"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Airey Lauvaux, C., Skinner, C. N., &amp; Taylor, A. H. (2016). High severity fire and mixed conifer forest-chaparral dynamics in the southern Cascade Range, USA.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363</w:t>
      </w:r>
      <w:r w:rsidRPr="00D23B12">
        <w:rPr>
          <w:rFonts w:ascii="Calibri" w:hAnsi="Calibri" w:cs="Calibri"/>
          <w:noProof/>
          <w:szCs w:val="24"/>
        </w:rPr>
        <w:t>, 74–85. https://doi.org/10.1016/j.foreco.2015.12.016</w:t>
      </w:r>
    </w:p>
    <w:p w14:paraId="7E6619A2"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Alizadeh, M. R., Abatzoglou, J. T., Luce, C. H., Adamowski, J. F., Farid, A., &amp; Sadegh, M. (2021). Warming enabled upslope advance in western US forest fires. </w:t>
      </w:r>
      <w:r w:rsidRPr="00D23B12">
        <w:rPr>
          <w:rFonts w:ascii="Calibri" w:hAnsi="Calibri" w:cs="Calibri"/>
          <w:i/>
          <w:iCs/>
          <w:noProof/>
          <w:szCs w:val="24"/>
        </w:rPr>
        <w:t>Proceedings of the National Academy of Sciences</w:t>
      </w:r>
      <w:r w:rsidRPr="00D23B12">
        <w:rPr>
          <w:rFonts w:ascii="Calibri" w:hAnsi="Calibri" w:cs="Calibri"/>
          <w:noProof/>
          <w:szCs w:val="24"/>
        </w:rPr>
        <w:t xml:space="preserve">, </w:t>
      </w:r>
      <w:r w:rsidRPr="00D23B12">
        <w:rPr>
          <w:rFonts w:ascii="Calibri" w:hAnsi="Calibri" w:cs="Calibri"/>
          <w:i/>
          <w:iCs/>
          <w:noProof/>
          <w:szCs w:val="24"/>
        </w:rPr>
        <w:t>118</w:t>
      </w:r>
      <w:r w:rsidRPr="00D23B12">
        <w:rPr>
          <w:rFonts w:ascii="Calibri" w:hAnsi="Calibri" w:cs="Calibri"/>
          <w:noProof/>
          <w:szCs w:val="24"/>
        </w:rPr>
        <w:t>(22), e2009717118. https://doi.org/10.1073/pnas.2009717118</w:t>
      </w:r>
    </w:p>
    <w:p w14:paraId="2DF264BF"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Atchley, A. L., Linn, R. R., Jonko, A., Hoffman, C. M., Hyman, J. D., Pimont, F., Sieg, C., &amp; Middleton, R. (2021). Effects of fuel spatial distribution on wildland fire behavior. </w:t>
      </w:r>
      <w:r w:rsidRPr="00D23B12">
        <w:rPr>
          <w:rFonts w:ascii="Calibri" w:hAnsi="Calibri" w:cs="Calibri"/>
          <w:i/>
          <w:iCs/>
          <w:noProof/>
          <w:szCs w:val="24"/>
        </w:rPr>
        <w:t>International Journal of Wildland Fire</w:t>
      </w:r>
      <w:r w:rsidRPr="00D23B12">
        <w:rPr>
          <w:rFonts w:ascii="Calibri" w:hAnsi="Calibri" w:cs="Calibri"/>
          <w:noProof/>
          <w:szCs w:val="24"/>
        </w:rPr>
        <w:t xml:space="preserve">, </w:t>
      </w:r>
      <w:r w:rsidRPr="00D23B12">
        <w:rPr>
          <w:rFonts w:ascii="Calibri" w:hAnsi="Calibri" w:cs="Calibri"/>
          <w:i/>
          <w:iCs/>
          <w:noProof/>
          <w:szCs w:val="24"/>
        </w:rPr>
        <w:t>30</w:t>
      </w:r>
      <w:r w:rsidRPr="00D23B12">
        <w:rPr>
          <w:rFonts w:ascii="Calibri" w:hAnsi="Calibri" w:cs="Calibri"/>
          <w:noProof/>
          <w:szCs w:val="24"/>
        </w:rPr>
        <w:t>(3), 179-189; https://doi.org/10.1071/WF20096</w:t>
      </w:r>
    </w:p>
    <w:p w14:paraId="470FC7D5"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Banerjee, T. (2020). Impacts of forest thinning on wildland fire behavior. </w:t>
      </w:r>
      <w:r w:rsidRPr="00D23B12">
        <w:rPr>
          <w:rFonts w:ascii="Calibri" w:hAnsi="Calibri" w:cs="Calibri"/>
          <w:i/>
          <w:iCs/>
          <w:noProof/>
          <w:szCs w:val="24"/>
        </w:rPr>
        <w:t>Forests</w:t>
      </w:r>
      <w:r w:rsidRPr="00D23B12">
        <w:rPr>
          <w:rFonts w:ascii="Calibri" w:hAnsi="Calibri" w:cs="Calibri"/>
          <w:noProof/>
          <w:szCs w:val="24"/>
        </w:rPr>
        <w:t xml:space="preserve">, </w:t>
      </w:r>
      <w:r w:rsidRPr="00D23B12">
        <w:rPr>
          <w:rFonts w:ascii="Calibri" w:hAnsi="Calibri" w:cs="Calibri"/>
          <w:i/>
          <w:iCs/>
          <w:noProof/>
          <w:szCs w:val="24"/>
        </w:rPr>
        <w:t>11</w:t>
      </w:r>
      <w:r w:rsidRPr="00D23B12">
        <w:rPr>
          <w:rFonts w:ascii="Calibri" w:hAnsi="Calibri" w:cs="Calibri"/>
          <w:noProof/>
          <w:szCs w:val="24"/>
        </w:rPr>
        <w:t>(9). https://doi.org/10.3390/F11090918</w:t>
      </w:r>
    </w:p>
    <w:p w14:paraId="4372050E"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Blomdahl, E. M., Kolden, C. A., Meddens, A. J. H., &amp; Lutz, J. A. (2019). The importance of small fire refugia in the central Sierra Nevada, California, USA.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432</w:t>
      </w:r>
      <w:r w:rsidRPr="00D23B12">
        <w:rPr>
          <w:rFonts w:ascii="Calibri" w:hAnsi="Calibri" w:cs="Calibri"/>
          <w:noProof/>
          <w:szCs w:val="24"/>
        </w:rPr>
        <w:t>(October 2018), 1041–1052. https://doi.org/10.1016/j.foreco.2018.10.038</w:t>
      </w:r>
    </w:p>
    <w:p w14:paraId="0838B94A"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Brown, J. K. (1974). Handbook for Inventorying Downed Woody Material. </w:t>
      </w:r>
      <w:r w:rsidRPr="00D23B12">
        <w:rPr>
          <w:rFonts w:ascii="Calibri" w:hAnsi="Calibri" w:cs="Calibri"/>
          <w:i/>
          <w:iCs/>
          <w:noProof/>
          <w:szCs w:val="24"/>
        </w:rPr>
        <w:t>USDA Forest Service General Technical Report</w:t>
      </w:r>
      <w:r w:rsidRPr="00D23B12">
        <w:rPr>
          <w:rFonts w:ascii="Calibri" w:hAnsi="Calibri" w:cs="Calibri"/>
          <w:noProof/>
          <w:szCs w:val="24"/>
        </w:rPr>
        <w:t>, 24. https://doi.org/10.1017/CBO9781107415324.004</w:t>
      </w:r>
    </w:p>
    <w:p w14:paraId="0328FF23"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Coop, J. D., Parks, S. A., Stevens-Rumann, C. S., Crausbay, S. D., Higuera, P. E., Hurteau, M. D., Tepley, A., Whitman, E., Assal, T., Collins, B. M., Davis, K. T., Dobrowski, S., Falk, D. A., Fornwalt, P. J., Fulé, P. Z., Harvey, B. J., Kane, V. R., Littlefield, C. E., Margolis, E. Q., … Rodman, K. C. (2020). Wildfire-Driven Forest Conversion in Western North American Landscapes. </w:t>
      </w:r>
      <w:r w:rsidRPr="00D23B12">
        <w:rPr>
          <w:rFonts w:ascii="Calibri" w:hAnsi="Calibri" w:cs="Calibri"/>
          <w:i/>
          <w:iCs/>
          <w:noProof/>
          <w:szCs w:val="24"/>
        </w:rPr>
        <w:t>BioScience</w:t>
      </w:r>
      <w:r w:rsidRPr="00D23B12">
        <w:rPr>
          <w:rFonts w:ascii="Calibri" w:hAnsi="Calibri" w:cs="Calibri"/>
          <w:noProof/>
          <w:szCs w:val="24"/>
        </w:rPr>
        <w:t xml:space="preserve">, </w:t>
      </w:r>
      <w:r w:rsidRPr="00D23B12">
        <w:rPr>
          <w:rFonts w:ascii="Calibri" w:hAnsi="Calibri" w:cs="Calibri"/>
          <w:i/>
          <w:iCs/>
          <w:noProof/>
          <w:szCs w:val="24"/>
        </w:rPr>
        <w:t>70</w:t>
      </w:r>
      <w:r w:rsidRPr="00D23B12">
        <w:rPr>
          <w:rFonts w:ascii="Calibri" w:hAnsi="Calibri" w:cs="Calibri"/>
          <w:noProof/>
          <w:szCs w:val="24"/>
        </w:rPr>
        <w:t>(8), 659–673. https://doi.org/10.1093/biosci/biaa061</w:t>
      </w:r>
    </w:p>
    <w:p w14:paraId="56D09E7B"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Coppoletta, M., Merriam, K. E., &amp; Collins, B. M. (2016). Post-fire vegetation and fuel development influences fire severity patterns in reburns. </w:t>
      </w:r>
      <w:r w:rsidRPr="00D23B12">
        <w:rPr>
          <w:rFonts w:ascii="Calibri" w:hAnsi="Calibri" w:cs="Calibri"/>
          <w:i/>
          <w:iCs/>
          <w:noProof/>
          <w:szCs w:val="24"/>
        </w:rPr>
        <w:t>Ecological Applications</w:t>
      </w:r>
      <w:r w:rsidRPr="00D23B12">
        <w:rPr>
          <w:rFonts w:ascii="Calibri" w:hAnsi="Calibri" w:cs="Calibri"/>
          <w:noProof/>
          <w:szCs w:val="24"/>
        </w:rPr>
        <w:t xml:space="preserve">, </w:t>
      </w:r>
      <w:r w:rsidRPr="00D23B12">
        <w:rPr>
          <w:rFonts w:ascii="Calibri" w:hAnsi="Calibri" w:cs="Calibri"/>
          <w:i/>
          <w:iCs/>
          <w:noProof/>
          <w:szCs w:val="24"/>
        </w:rPr>
        <w:t>26</w:t>
      </w:r>
      <w:r w:rsidRPr="00D23B12">
        <w:rPr>
          <w:rFonts w:ascii="Calibri" w:hAnsi="Calibri" w:cs="Calibri"/>
          <w:noProof/>
          <w:szCs w:val="24"/>
        </w:rPr>
        <w:t>(3), 686–699. https://doi.org/10.1890/15-0225</w:t>
      </w:r>
    </w:p>
    <w:p w14:paraId="1C5CBA71"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Finney, M. A., Cohen, J. D., Grenfell, I. C., &amp; Yedinak, K. M. (2010). An examination of fire spread thresholds in discontinuous fuel beds A. </w:t>
      </w:r>
      <w:r w:rsidRPr="00D23B12">
        <w:rPr>
          <w:rFonts w:ascii="Calibri" w:hAnsi="Calibri" w:cs="Calibri"/>
          <w:i/>
          <w:iCs/>
          <w:noProof/>
          <w:szCs w:val="24"/>
        </w:rPr>
        <w:t>International Journal of Wildland Fire</w:t>
      </w:r>
      <w:r w:rsidRPr="00D23B12">
        <w:rPr>
          <w:rFonts w:ascii="Calibri" w:hAnsi="Calibri" w:cs="Calibri"/>
          <w:noProof/>
          <w:szCs w:val="24"/>
        </w:rPr>
        <w:t xml:space="preserve">, </w:t>
      </w:r>
      <w:r w:rsidRPr="00D23B12">
        <w:rPr>
          <w:rFonts w:ascii="Calibri" w:hAnsi="Calibri" w:cs="Calibri"/>
          <w:i/>
          <w:iCs/>
          <w:noProof/>
          <w:szCs w:val="24"/>
        </w:rPr>
        <w:t>19</w:t>
      </w:r>
      <w:r w:rsidRPr="00D23B12">
        <w:rPr>
          <w:rFonts w:ascii="Calibri" w:hAnsi="Calibri" w:cs="Calibri"/>
          <w:noProof/>
          <w:szCs w:val="24"/>
        </w:rPr>
        <w:t>(2), 163–170. https://doi.org/10.1071/WF07177</w:t>
      </w:r>
    </w:p>
    <w:p w14:paraId="2C693ECB"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Gabry, J., Češnovar, R., Bales, B., Morris, M., Popov, M., Lawrence, M., Michael Landau, W., &amp; Socolar, J. (2022). </w:t>
      </w:r>
      <w:r w:rsidRPr="00D23B12">
        <w:rPr>
          <w:rFonts w:ascii="Calibri" w:hAnsi="Calibri" w:cs="Calibri"/>
          <w:i/>
          <w:iCs/>
          <w:noProof/>
          <w:szCs w:val="24"/>
        </w:rPr>
        <w:t>cmdstanr</w:t>
      </w:r>
      <w:r w:rsidRPr="00D23B12">
        <w:rPr>
          <w:rFonts w:ascii="Calibri" w:hAnsi="Calibri" w:cs="Calibri"/>
          <w:noProof/>
          <w:szCs w:val="24"/>
        </w:rPr>
        <w:t xml:space="preserve"> (0.4.0). https://github.com/stan-dev/cmdstanr/</w:t>
      </w:r>
    </w:p>
    <w:p w14:paraId="5C9ABEFF"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Gray, C. A., Toone, C., Jenkins, M. J., Null, S. E., &amp; Yocom, L. L. (2021). Spatial and temporal fuels changes in whitebark pine (Pinus albicaulis) from mountain pine beetle (Dendroctonus ponderosae).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482</w:t>
      </w:r>
      <w:r w:rsidRPr="00D23B12">
        <w:rPr>
          <w:rFonts w:ascii="Calibri" w:hAnsi="Calibri" w:cs="Calibri"/>
          <w:noProof/>
          <w:szCs w:val="24"/>
        </w:rPr>
        <w:t>(November 2020), 118789. https://doi.org/10.1016/j.foreco.2020.118789</w:t>
      </w:r>
    </w:p>
    <w:p w14:paraId="379E20E4"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Hart, S. C., Firestone, M. K., &amp; Paul, E. A. (1992). Decomposition and nutrient dynamics of ponderosa pine needles in a Mediterranean-type climate. </w:t>
      </w:r>
      <w:r w:rsidRPr="00D23B12">
        <w:rPr>
          <w:rFonts w:ascii="Calibri" w:hAnsi="Calibri" w:cs="Calibri"/>
          <w:i/>
          <w:iCs/>
          <w:noProof/>
          <w:szCs w:val="24"/>
        </w:rPr>
        <w:t>Canadian Journal of Forest Research</w:t>
      </w:r>
      <w:r w:rsidRPr="00D23B12">
        <w:rPr>
          <w:rFonts w:ascii="Calibri" w:hAnsi="Calibri" w:cs="Calibri"/>
          <w:noProof/>
          <w:szCs w:val="24"/>
        </w:rPr>
        <w:t xml:space="preserve">, </w:t>
      </w:r>
      <w:r w:rsidRPr="00D23B12">
        <w:rPr>
          <w:rFonts w:ascii="Calibri" w:hAnsi="Calibri" w:cs="Calibri"/>
          <w:i/>
          <w:iCs/>
          <w:noProof/>
          <w:szCs w:val="24"/>
        </w:rPr>
        <w:t>22</w:t>
      </w:r>
      <w:r w:rsidRPr="00D23B12">
        <w:rPr>
          <w:rFonts w:ascii="Calibri" w:hAnsi="Calibri" w:cs="Calibri"/>
          <w:noProof/>
          <w:szCs w:val="24"/>
        </w:rPr>
        <w:t>(3), 306–</w:t>
      </w:r>
      <w:r w:rsidRPr="00D23B12">
        <w:rPr>
          <w:rFonts w:ascii="Calibri" w:hAnsi="Calibri" w:cs="Calibri"/>
          <w:noProof/>
          <w:szCs w:val="24"/>
        </w:rPr>
        <w:lastRenderedPageBreak/>
        <w:t>314. https://doi.org/10.1139/x92-040</w:t>
      </w:r>
    </w:p>
    <w:p w14:paraId="4860A604"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Hessburg, P. F., Spies, T. A., Perry, D. A., Skinner, C. N., Taylor, A. H., Brown, P. M., Stephens, S. L., Larson, A. J., Churchill, D. J., Povak, N. A., Singleton, P. H., McComb, B., Zielinski, W. J., Collins, B. M., Salter, R. B., Keane, J. J., Franklin, J. F., &amp; Riegel, G. (2016). Tamm Review: Management of mixed-severity fire regime forests in Oregon, Washington, and Northern California.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366</w:t>
      </w:r>
      <w:r w:rsidRPr="00D23B12">
        <w:rPr>
          <w:rFonts w:ascii="Calibri" w:hAnsi="Calibri" w:cs="Calibri"/>
          <w:noProof/>
          <w:szCs w:val="24"/>
        </w:rPr>
        <w:t>, 221–250. https://doi.org/10.1016/j.foreco.2016.01.034</w:t>
      </w:r>
    </w:p>
    <w:p w14:paraId="3ECDC377"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Hiers, J. K., O’Brien, J. J., Mitchell, R. J., Grego, J. M., &amp; Loudermilk, E. L. (2009). The wildland fuel cell concept: An approach to characterize fine-scale variation in fuels and fire in frequently burned longleaf pine forests. </w:t>
      </w:r>
      <w:r w:rsidRPr="00D23B12">
        <w:rPr>
          <w:rFonts w:ascii="Calibri" w:hAnsi="Calibri" w:cs="Calibri"/>
          <w:i/>
          <w:iCs/>
          <w:noProof/>
          <w:szCs w:val="24"/>
        </w:rPr>
        <w:t>International Journal of Wildland Fire</w:t>
      </w:r>
      <w:r w:rsidRPr="00D23B12">
        <w:rPr>
          <w:rFonts w:ascii="Calibri" w:hAnsi="Calibri" w:cs="Calibri"/>
          <w:noProof/>
          <w:szCs w:val="24"/>
        </w:rPr>
        <w:t xml:space="preserve">, </w:t>
      </w:r>
      <w:r w:rsidRPr="00D23B12">
        <w:rPr>
          <w:rFonts w:ascii="Calibri" w:hAnsi="Calibri" w:cs="Calibri"/>
          <w:i/>
          <w:iCs/>
          <w:noProof/>
          <w:szCs w:val="24"/>
        </w:rPr>
        <w:t>18</w:t>
      </w:r>
      <w:r w:rsidRPr="00D23B12">
        <w:rPr>
          <w:rFonts w:ascii="Calibri" w:hAnsi="Calibri" w:cs="Calibri"/>
          <w:noProof/>
          <w:szCs w:val="24"/>
        </w:rPr>
        <w:t>(3), 315–325. https://doi.org/10.1071/WF08084</w:t>
      </w:r>
    </w:p>
    <w:p w14:paraId="76D0882A"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Hiers, J. K., O’Brien, J. J., Varner, J. M., Butler, B. W., Dickinson, M., Furman, J., Gallagher, M., Godwin, D., Goodrick, S. L., Hood, S. M., Hudak, A., Kobziar, L. N., Linn, R., Loudermilk, E. L., McCaffrey, S., Robertson, K., Rowell, E. M., Skowronski, N., Watts, A. C., &amp; Yedinak, K. M. (2020). Prescribed fire science: the case for a refined research agenda. </w:t>
      </w:r>
      <w:r w:rsidRPr="00D23B12">
        <w:rPr>
          <w:rFonts w:ascii="Calibri" w:hAnsi="Calibri" w:cs="Calibri"/>
          <w:i/>
          <w:iCs/>
          <w:noProof/>
          <w:szCs w:val="24"/>
        </w:rPr>
        <w:t>Fire Ecology</w:t>
      </w:r>
      <w:r w:rsidRPr="00D23B12">
        <w:rPr>
          <w:rFonts w:ascii="Calibri" w:hAnsi="Calibri" w:cs="Calibri"/>
          <w:noProof/>
          <w:szCs w:val="24"/>
        </w:rPr>
        <w:t xml:space="preserve">, </w:t>
      </w:r>
      <w:r w:rsidRPr="00D23B12">
        <w:rPr>
          <w:rFonts w:ascii="Calibri" w:hAnsi="Calibri" w:cs="Calibri"/>
          <w:i/>
          <w:iCs/>
          <w:noProof/>
          <w:szCs w:val="24"/>
        </w:rPr>
        <w:t>16</w:t>
      </w:r>
      <w:r w:rsidRPr="00D23B12">
        <w:rPr>
          <w:rFonts w:ascii="Calibri" w:hAnsi="Calibri" w:cs="Calibri"/>
          <w:noProof/>
          <w:szCs w:val="24"/>
        </w:rPr>
        <w:t>(1). https://doi.org/10.1186/s42408-020-0070-8</w:t>
      </w:r>
    </w:p>
    <w:p w14:paraId="3904AE97"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Hiers, J. K., O’Brien, J. J., Will, R. E., &amp; Mitchell, R. J. (2007). Forest floor depth mediates understory vigor in xeric Pinus palustris ecosystems. </w:t>
      </w:r>
      <w:r w:rsidRPr="00D23B12">
        <w:rPr>
          <w:rFonts w:ascii="Calibri" w:hAnsi="Calibri" w:cs="Calibri"/>
          <w:i/>
          <w:iCs/>
          <w:noProof/>
          <w:szCs w:val="24"/>
        </w:rPr>
        <w:t>Ecological Applications</w:t>
      </w:r>
      <w:r w:rsidRPr="00D23B12">
        <w:rPr>
          <w:rFonts w:ascii="Calibri" w:hAnsi="Calibri" w:cs="Calibri"/>
          <w:noProof/>
          <w:szCs w:val="24"/>
        </w:rPr>
        <w:t xml:space="preserve">, </w:t>
      </w:r>
      <w:r w:rsidRPr="00D23B12">
        <w:rPr>
          <w:rFonts w:ascii="Calibri" w:hAnsi="Calibri" w:cs="Calibri"/>
          <w:i/>
          <w:iCs/>
          <w:noProof/>
          <w:szCs w:val="24"/>
        </w:rPr>
        <w:t>17</w:t>
      </w:r>
      <w:r w:rsidRPr="00D23B12">
        <w:rPr>
          <w:rFonts w:ascii="Calibri" w:hAnsi="Calibri" w:cs="Calibri"/>
          <w:noProof/>
          <w:szCs w:val="24"/>
        </w:rPr>
        <w:t>(3), 806–814. https://doi.org/10.1890/06-1015</w:t>
      </w:r>
    </w:p>
    <w:p w14:paraId="03AAB019"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Hille, M. G., &amp; Stephens, S. L. (2005). Mixed conifer forest duff consumption during prescribed fires: Tree crown impacts. </w:t>
      </w:r>
      <w:r w:rsidRPr="00D23B12">
        <w:rPr>
          <w:rFonts w:ascii="Calibri" w:hAnsi="Calibri" w:cs="Calibri"/>
          <w:i/>
          <w:iCs/>
          <w:noProof/>
          <w:szCs w:val="24"/>
        </w:rPr>
        <w:t>Forest Science</w:t>
      </w:r>
      <w:r w:rsidRPr="00D23B12">
        <w:rPr>
          <w:rFonts w:ascii="Calibri" w:hAnsi="Calibri" w:cs="Calibri"/>
          <w:noProof/>
          <w:szCs w:val="24"/>
        </w:rPr>
        <w:t xml:space="preserve">, </w:t>
      </w:r>
      <w:r w:rsidRPr="00D23B12">
        <w:rPr>
          <w:rFonts w:ascii="Calibri" w:hAnsi="Calibri" w:cs="Calibri"/>
          <w:i/>
          <w:iCs/>
          <w:noProof/>
          <w:szCs w:val="24"/>
        </w:rPr>
        <w:t>51</w:t>
      </w:r>
      <w:r w:rsidRPr="00D23B12">
        <w:rPr>
          <w:rFonts w:ascii="Calibri" w:hAnsi="Calibri" w:cs="Calibri"/>
          <w:noProof/>
          <w:szCs w:val="24"/>
        </w:rPr>
        <w:t>(5), 417–424.</w:t>
      </w:r>
    </w:p>
    <w:p w14:paraId="46326F5F"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Jeronimo, S. M. A., Kane, V. R., Churchill, D. J., Lutz, J. A., North, M. P., Asner, G. P., &amp; Franklin, J. F. (2019). Forest structure and pattern vary by climate and landform across active-fire landscapes in the montane Sierra Nevada.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437</w:t>
      </w:r>
      <w:r w:rsidRPr="00D23B12">
        <w:rPr>
          <w:rFonts w:ascii="Calibri" w:hAnsi="Calibri" w:cs="Calibri"/>
          <w:noProof/>
          <w:szCs w:val="24"/>
        </w:rPr>
        <w:t>(January), 70–86. https://doi.org/10.1016/j.foreco.2019.01.033</w:t>
      </w:r>
    </w:p>
    <w:p w14:paraId="17E76382"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Keane, R. E. (2008). Biophysical controls on surface fuel litterfall and decomposition in the northern Rocky Mountains, USA. </w:t>
      </w:r>
      <w:r w:rsidRPr="00D23B12">
        <w:rPr>
          <w:rFonts w:ascii="Calibri" w:hAnsi="Calibri" w:cs="Calibri"/>
          <w:i/>
          <w:iCs/>
          <w:noProof/>
          <w:szCs w:val="24"/>
        </w:rPr>
        <w:t>Canadian Journal of Forest Research</w:t>
      </w:r>
      <w:r w:rsidRPr="00D23B12">
        <w:rPr>
          <w:rFonts w:ascii="Calibri" w:hAnsi="Calibri" w:cs="Calibri"/>
          <w:noProof/>
          <w:szCs w:val="24"/>
        </w:rPr>
        <w:t xml:space="preserve">, </w:t>
      </w:r>
      <w:r w:rsidRPr="00D23B12">
        <w:rPr>
          <w:rFonts w:ascii="Calibri" w:hAnsi="Calibri" w:cs="Calibri"/>
          <w:i/>
          <w:iCs/>
          <w:noProof/>
          <w:szCs w:val="24"/>
        </w:rPr>
        <w:t>38</w:t>
      </w:r>
      <w:r w:rsidRPr="00D23B12">
        <w:rPr>
          <w:rFonts w:ascii="Calibri" w:hAnsi="Calibri" w:cs="Calibri"/>
          <w:noProof/>
          <w:szCs w:val="24"/>
        </w:rPr>
        <w:t>(6), 1431–1445. https://doi.org/10.1139/X08-003</w:t>
      </w:r>
    </w:p>
    <w:p w14:paraId="22E13D75"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Keane, R. E. (2015). Wildland Fuel Fundamentals and Application. In </w:t>
      </w:r>
      <w:r w:rsidRPr="00D23B12">
        <w:rPr>
          <w:rFonts w:ascii="Calibri" w:hAnsi="Calibri" w:cs="Calibri"/>
          <w:i/>
          <w:iCs/>
          <w:noProof/>
          <w:szCs w:val="24"/>
        </w:rPr>
        <w:t>Journal of Chemical Information and Modeling</w:t>
      </w:r>
      <w:r w:rsidRPr="00D23B12">
        <w:rPr>
          <w:rFonts w:ascii="Calibri" w:hAnsi="Calibri" w:cs="Calibri"/>
          <w:noProof/>
          <w:szCs w:val="24"/>
        </w:rPr>
        <w:t xml:space="preserve"> (Vol. 53, Issue 9).</w:t>
      </w:r>
    </w:p>
    <w:p w14:paraId="35FF7311"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Keane, R. E. (2016). Spatiotemporal Variability of Wildland Fuels in US Northern Rocky Mountain Forests. </w:t>
      </w:r>
      <w:r w:rsidRPr="00D23B12">
        <w:rPr>
          <w:rFonts w:ascii="Calibri" w:hAnsi="Calibri" w:cs="Calibri"/>
          <w:i/>
          <w:iCs/>
          <w:noProof/>
          <w:szCs w:val="24"/>
        </w:rPr>
        <w:t>Forests</w:t>
      </w:r>
      <w:r w:rsidRPr="00D23B12">
        <w:rPr>
          <w:rFonts w:ascii="Calibri" w:hAnsi="Calibri" w:cs="Calibri"/>
          <w:noProof/>
          <w:szCs w:val="24"/>
        </w:rPr>
        <w:t xml:space="preserve">, </w:t>
      </w:r>
      <w:r w:rsidRPr="00D23B12">
        <w:rPr>
          <w:rFonts w:ascii="Calibri" w:hAnsi="Calibri" w:cs="Calibri"/>
          <w:i/>
          <w:iCs/>
          <w:noProof/>
          <w:szCs w:val="24"/>
        </w:rPr>
        <w:t>7</w:t>
      </w:r>
      <w:r w:rsidRPr="00D23B12">
        <w:rPr>
          <w:rFonts w:ascii="Calibri" w:hAnsi="Calibri" w:cs="Calibri"/>
          <w:noProof/>
          <w:szCs w:val="24"/>
        </w:rPr>
        <w:t>(7), 129. https://doi.org/10.3390/f7070129</w:t>
      </w:r>
    </w:p>
    <w:p w14:paraId="23EE2A8B"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Keane, R. E., Gray, K., &amp; Bacciu, V. (2012). </w:t>
      </w:r>
      <w:r w:rsidRPr="00D23B12">
        <w:rPr>
          <w:rFonts w:ascii="Calibri" w:hAnsi="Calibri" w:cs="Calibri"/>
          <w:i/>
          <w:iCs/>
          <w:noProof/>
          <w:szCs w:val="24"/>
        </w:rPr>
        <w:t>Spatial Variability of Wildland Fuel Characteristics in Northern Rocky Mountain Ecosystems</w:t>
      </w:r>
      <w:r w:rsidRPr="00D23B12">
        <w:rPr>
          <w:rFonts w:ascii="Calibri" w:hAnsi="Calibri" w:cs="Calibri"/>
          <w:noProof/>
          <w:szCs w:val="24"/>
        </w:rPr>
        <w:t>.</w:t>
      </w:r>
    </w:p>
    <w:p w14:paraId="02E2E866"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Keane, R. E., Gray, K., Bacciu, V., &amp; Leirfallom, S. (2012). Spatial scaling of wildland fuels for six forest and rangeland ecosystems of the northern Rocky Mountains, USA. </w:t>
      </w:r>
      <w:r w:rsidRPr="00D23B12">
        <w:rPr>
          <w:rFonts w:ascii="Calibri" w:hAnsi="Calibri" w:cs="Calibri"/>
          <w:i/>
          <w:iCs/>
          <w:noProof/>
          <w:szCs w:val="24"/>
        </w:rPr>
        <w:t>Landscape Ecology</w:t>
      </w:r>
      <w:r w:rsidRPr="00D23B12">
        <w:rPr>
          <w:rFonts w:ascii="Calibri" w:hAnsi="Calibri" w:cs="Calibri"/>
          <w:noProof/>
          <w:szCs w:val="24"/>
        </w:rPr>
        <w:t xml:space="preserve">, </w:t>
      </w:r>
      <w:r w:rsidRPr="00D23B12">
        <w:rPr>
          <w:rFonts w:ascii="Calibri" w:hAnsi="Calibri" w:cs="Calibri"/>
          <w:i/>
          <w:iCs/>
          <w:noProof/>
          <w:szCs w:val="24"/>
        </w:rPr>
        <w:t>27</w:t>
      </w:r>
      <w:r w:rsidRPr="00D23B12">
        <w:rPr>
          <w:rFonts w:ascii="Calibri" w:hAnsi="Calibri" w:cs="Calibri"/>
          <w:noProof/>
          <w:szCs w:val="24"/>
        </w:rPr>
        <w:t>(8), 1213–1234. https://doi.org/10.1007/s10980-012-9773-9</w:t>
      </w:r>
    </w:p>
    <w:p w14:paraId="55FA329F"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Kreye, J. K., Kane, J. M., Varner, J. M., &amp; Hiers, J. K. (2020). Radiant heating rapidly increases litter flammability through impacts on fuel moisture. </w:t>
      </w:r>
      <w:r w:rsidRPr="00D23B12">
        <w:rPr>
          <w:rFonts w:ascii="Calibri" w:hAnsi="Calibri" w:cs="Calibri"/>
          <w:i/>
          <w:iCs/>
          <w:noProof/>
          <w:szCs w:val="24"/>
        </w:rPr>
        <w:t>Fire Ecology</w:t>
      </w:r>
      <w:r w:rsidRPr="00D23B12">
        <w:rPr>
          <w:rFonts w:ascii="Calibri" w:hAnsi="Calibri" w:cs="Calibri"/>
          <w:noProof/>
          <w:szCs w:val="24"/>
        </w:rPr>
        <w:t xml:space="preserve">, </w:t>
      </w:r>
      <w:r w:rsidRPr="00D23B12">
        <w:rPr>
          <w:rFonts w:ascii="Calibri" w:hAnsi="Calibri" w:cs="Calibri"/>
          <w:i/>
          <w:iCs/>
          <w:noProof/>
          <w:szCs w:val="24"/>
        </w:rPr>
        <w:t>16</w:t>
      </w:r>
      <w:r w:rsidRPr="00D23B12">
        <w:rPr>
          <w:rFonts w:ascii="Calibri" w:hAnsi="Calibri" w:cs="Calibri"/>
          <w:noProof/>
          <w:szCs w:val="24"/>
        </w:rPr>
        <w:t>(1). https://doi.org/10.1186/s42408-020-0067-3</w:t>
      </w:r>
    </w:p>
    <w:p w14:paraId="7A74E5FC"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Liang, S., Hurteau, M. D., &amp; Westerling, A. L. R. (2017). Response of Sierra Nevada forests to projected </w:t>
      </w:r>
      <w:r w:rsidRPr="00D23B12">
        <w:rPr>
          <w:rFonts w:ascii="Calibri" w:hAnsi="Calibri" w:cs="Calibri"/>
          <w:noProof/>
          <w:szCs w:val="24"/>
        </w:rPr>
        <w:lastRenderedPageBreak/>
        <w:t xml:space="preserve">climate–wildfire interactions. </w:t>
      </w:r>
      <w:r w:rsidRPr="00D23B12">
        <w:rPr>
          <w:rFonts w:ascii="Calibri" w:hAnsi="Calibri" w:cs="Calibri"/>
          <w:i/>
          <w:iCs/>
          <w:noProof/>
          <w:szCs w:val="24"/>
        </w:rPr>
        <w:t>Global Change Biology</w:t>
      </w:r>
      <w:r w:rsidRPr="00D23B12">
        <w:rPr>
          <w:rFonts w:ascii="Calibri" w:hAnsi="Calibri" w:cs="Calibri"/>
          <w:noProof/>
          <w:szCs w:val="24"/>
        </w:rPr>
        <w:t xml:space="preserve">, </w:t>
      </w:r>
      <w:r w:rsidRPr="00D23B12">
        <w:rPr>
          <w:rFonts w:ascii="Calibri" w:hAnsi="Calibri" w:cs="Calibri"/>
          <w:i/>
          <w:iCs/>
          <w:noProof/>
          <w:szCs w:val="24"/>
        </w:rPr>
        <w:t>23</w:t>
      </w:r>
      <w:r w:rsidRPr="00D23B12">
        <w:rPr>
          <w:rFonts w:ascii="Calibri" w:hAnsi="Calibri" w:cs="Calibri"/>
          <w:noProof/>
          <w:szCs w:val="24"/>
        </w:rPr>
        <w:t>(5), 2016–2030. https://doi.org/10.1111/gcb.13544</w:t>
      </w:r>
    </w:p>
    <w:p w14:paraId="71A7FEC9"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Loudermilk, E. L., Achtemeier, G. L., O’brien, J. J., Hiers, J. K., &amp; Hornsby, B. S. (2014). High-resolution observations of combustion in heterogeneous surface fuels. </w:t>
      </w:r>
      <w:r w:rsidRPr="00D23B12">
        <w:rPr>
          <w:rFonts w:ascii="Calibri" w:hAnsi="Calibri" w:cs="Calibri"/>
          <w:i/>
          <w:iCs/>
          <w:noProof/>
          <w:szCs w:val="24"/>
        </w:rPr>
        <w:t>International Journal of Wildland Fire</w:t>
      </w:r>
      <w:r w:rsidRPr="00D23B12">
        <w:rPr>
          <w:rFonts w:ascii="Calibri" w:hAnsi="Calibri" w:cs="Calibri"/>
          <w:noProof/>
          <w:szCs w:val="24"/>
        </w:rPr>
        <w:t xml:space="preserve">, </w:t>
      </w:r>
      <w:r w:rsidRPr="00D23B12">
        <w:rPr>
          <w:rFonts w:ascii="Calibri" w:hAnsi="Calibri" w:cs="Calibri"/>
          <w:i/>
          <w:iCs/>
          <w:noProof/>
          <w:szCs w:val="24"/>
        </w:rPr>
        <w:t>23</w:t>
      </w:r>
      <w:r w:rsidRPr="00D23B12">
        <w:rPr>
          <w:rFonts w:ascii="Calibri" w:hAnsi="Calibri" w:cs="Calibri"/>
          <w:noProof/>
          <w:szCs w:val="24"/>
        </w:rPr>
        <w:t>(7), 1016–1026. https://doi.org/10.1071/WF13160</w:t>
      </w:r>
    </w:p>
    <w:p w14:paraId="54E66A2B"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Loudermilk, E. L., O’Brien, J. J., Goodrick, S. L., Linn, R. R., Skowronski, N. S., &amp; Hiers, J. K. (2022). Vegetation’s influence on fire behavior goes beyond just being fuel. </w:t>
      </w:r>
      <w:r w:rsidRPr="00D23B12">
        <w:rPr>
          <w:rFonts w:ascii="Calibri" w:hAnsi="Calibri" w:cs="Calibri"/>
          <w:i/>
          <w:iCs/>
          <w:noProof/>
          <w:szCs w:val="24"/>
        </w:rPr>
        <w:t>Fire Ecology</w:t>
      </w:r>
      <w:r w:rsidRPr="00D23B12">
        <w:rPr>
          <w:rFonts w:ascii="Calibri" w:hAnsi="Calibri" w:cs="Calibri"/>
          <w:noProof/>
          <w:szCs w:val="24"/>
        </w:rPr>
        <w:t xml:space="preserve">, </w:t>
      </w:r>
      <w:r w:rsidRPr="00D23B12">
        <w:rPr>
          <w:rFonts w:ascii="Calibri" w:hAnsi="Calibri" w:cs="Calibri"/>
          <w:i/>
          <w:iCs/>
          <w:noProof/>
          <w:szCs w:val="24"/>
        </w:rPr>
        <w:t>18</w:t>
      </w:r>
      <w:r w:rsidRPr="00D23B12">
        <w:rPr>
          <w:rFonts w:ascii="Calibri" w:hAnsi="Calibri" w:cs="Calibri"/>
          <w:noProof/>
          <w:szCs w:val="24"/>
        </w:rPr>
        <w:t>(1). https://doi.org/10.1186/s42408-022-00132-9</w:t>
      </w:r>
    </w:p>
    <w:p w14:paraId="2683C4EC"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Lydersen, J. M., North, M. P., Knapp, E. E., &amp; Collins, B. M. (2013). Quantifying spatial patterns of tree groups and gaps in mixed-conifer forests: Reference conditions and long-term changes following fire suppression and logging.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304</w:t>
      </w:r>
      <w:r w:rsidRPr="00D23B12">
        <w:rPr>
          <w:rFonts w:ascii="Calibri" w:hAnsi="Calibri" w:cs="Calibri"/>
          <w:noProof/>
          <w:szCs w:val="24"/>
        </w:rPr>
        <w:t>, 370–382. https://doi.org/10.1016/j.foreco.2013.05.023</w:t>
      </w:r>
    </w:p>
    <w:p w14:paraId="28264849"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Mitchell, R. J., Hiers, J. K., O’Brien, J., &amp; Starr, G. (2009). Ecological forestry in the southeast: Understanding the ecology of fuels. </w:t>
      </w:r>
      <w:r w:rsidRPr="00D23B12">
        <w:rPr>
          <w:rFonts w:ascii="Calibri" w:hAnsi="Calibri" w:cs="Calibri"/>
          <w:i/>
          <w:iCs/>
          <w:noProof/>
          <w:szCs w:val="24"/>
        </w:rPr>
        <w:t>Journal of Forestry</w:t>
      </w:r>
      <w:r w:rsidRPr="00D23B12">
        <w:rPr>
          <w:rFonts w:ascii="Calibri" w:hAnsi="Calibri" w:cs="Calibri"/>
          <w:noProof/>
          <w:szCs w:val="24"/>
        </w:rPr>
        <w:t xml:space="preserve">, </w:t>
      </w:r>
      <w:r w:rsidRPr="00D23B12">
        <w:rPr>
          <w:rFonts w:ascii="Calibri" w:hAnsi="Calibri" w:cs="Calibri"/>
          <w:i/>
          <w:iCs/>
          <w:noProof/>
          <w:szCs w:val="24"/>
        </w:rPr>
        <w:t>107</w:t>
      </w:r>
      <w:r w:rsidRPr="00D23B12">
        <w:rPr>
          <w:rFonts w:ascii="Calibri" w:hAnsi="Calibri" w:cs="Calibri"/>
          <w:noProof/>
          <w:szCs w:val="24"/>
        </w:rPr>
        <w:t>(8), 391–397. https://doi.org/10.1093/jof/107.8.391</w:t>
      </w:r>
    </w:p>
    <w:p w14:paraId="5FAFD4FC"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Miyanishi, K., &amp; Johnson, E. A. (2002). Process and patterns of duff consumption in the mixedwood boreal forest. </w:t>
      </w:r>
      <w:r w:rsidRPr="00D23B12">
        <w:rPr>
          <w:rFonts w:ascii="Calibri" w:hAnsi="Calibri" w:cs="Calibri"/>
          <w:i/>
          <w:iCs/>
          <w:noProof/>
          <w:szCs w:val="24"/>
        </w:rPr>
        <w:t>Canadian Journal of Forest Research</w:t>
      </w:r>
      <w:r w:rsidRPr="00D23B12">
        <w:rPr>
          <w:rFonts w:ascii="Calibri" w:hAnsi="Calibri" w:cs="Calibri"/>
          <w:noProof/>
          <w:szCs w:val="24"/>
        </w:rPr>
        <w:t xml:space="preserve">, </w:t>
      </w:r>
      <w:r w:rsidRPr="00D23B12">
        <w:rPr>
          <w:rFonts w:ascii="Calibri" w:hAnsi="Calibri" w:cs="Calibri"/>
          <w:i/>
          <w:iCs/>
          <w:noProof/>
          <w:szCs w:val="24"/>
        </w:rPr>
        <w:t>32</w:t>
      </w:r>
      <w:r w:rsidRPr="00D23B12">
        <w:rPr>
          <w:rFonts w:ascii="Calibri" w:hAnsi="Calibri" w:cs="Calibri"/>
          <w:noProof/>
          <w:szCs w:val="24"/>
        </w:rPr>
        <w:t>(7), 1285–1295. https://doi.org/10.1139/x02-051</w:t>
      </w:r>
    </w:p>
    <w:p w14:paraId="778AB7C9"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North, M., Stine, P., O’Hara, K., Zielinski, W., Stephens, S., Service, F., &amp; Hara, K. O. (2009). An ecosystem management strategy for Sierran mixed- conifer forests. </w:t>
      </w:r>
      <w:r w:rsidRPr="00D23B12">
        <w:rPr>
          <w:rFonts w:ascii="Calibri" w:hAnsi="Calibri" w:cs="Calibri"/>
          <w:i/>
          <w:iCs/>
          <w:noProof/>
          <w:szCs w:val="24"/>
        </w:rPr>
        <w:t>USDA Forest Service, Pacific Southwest Research Station, General Technical Report</w:t>
      </w:r>
      <w:r w:rsidRPr="00D23B12">
        <w:rPr>
          <w:rFonts w:ascii="Calibri" w:hAnsi="Calibri" w:cs="Calibri"/>
          <w:noProof/>
          <w:szCs w:val="24"/>
        </w:rPr>
        <w:t xml:space="preserve">, </w:t>
      </w:r>
      <w:r w:rsidRPr="00D23B12">
        <w:rPr>
          <w:rFonts w:ascii="Calibri" w:hAnsi="Calibri" w:cs="Calibri"/>
          <w:i/>
          <w:iCs/>
          <w:noProof/>
          <w:szCs w:val="24"/>
        </w:rPr>
        <w:t>March</w:t>
      </w:r>
      <w:r w:rsidRPr="00D23B12">
        <w:rPr>
          <w:rFonts w:ascii="Calibri" w:hAnsi="Calibri" w:cs="Calibri"/>
          <w:noProof/>
          <w:szCs w:val="24"/>
        </w:rPr>
        <w:t>, PSW-GTR-220.</w:t>
      </w:r>
    </w:p>
    <w:p w14:paraId="1FB99DF8"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O’Brien, J. J., Loudermilk, E. L., Hiers, J. K., Pokswinski, S. M., Hornsby, B., Hudak, A. T., Strother, D., Rowell, E., &amp; Bright, B. C. (2016). Canopy-Derived Fuels Drive Patterns of In-Fire Energy Release and Understory Plant Mortality in a Longleaf Pine (Pinus palustris) Sandhill in Northwest Florida, USA. </w:t>
      </w:r>
      <w:r w:rsidRPr="00D23B12">
        <w:rPr>
          <w:rFonts w:ascii="Calibri" w:hAnsi="Calibri" w:cs="Calibri"/>
          <w:i/>
          <w:iCs/>
          <w:noProof/>
          <w:szCs w:val="24"/>
        </w:rPr>
        <w:t>Canadian Journal of Remote Sensing</w:t>
      </w:r>
      <w:r w:rsidRPr="00D23B12">
        <w:rPr>
          <w:rFonts w:ascii="Calibri" w:hAnsi="Calibri" w:cs="Calibri"/>
          <w:noProof/>
          <w:szCs w:val="24"/>
        </w:rPr>
        <w:t xml:space="preserve">, </w:t>
      </w:r>
      <w:r w:rsidRPr="00D23B12">
        <w:rPr>
          <w:rFonts w:ascii="Calibri" w:hAnsi="Calibri" w:cs="Calibri"/>
          <w:i/>
          <w:iCs/>
          <w:noProof/>
          <w:szCs w:val="24"/>
        </w:rPr>
        <w:t>42</w:t>
      </w:r>
      <w:r w:rsidRPr="00D23B12">
        <w:rPr>
          <w:rFonts w:ascii="Calibri" w:hAnsi="Calibri" w:cs="Calibri"/>
          <w:noProof/>
          <w:szCs w:val="24"/>
        </w:rPr>
        <w:t>(5), 489–500. https://doi.org/10.1080/07038992.2016.1199271</w:t>
      </w:r>
    </w:p>
    <w:p w14:paraId="2EEE07FD"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Pawlikowski, N. C., Coppoletta, M., Knapp, E., &amp; Taylor, A. H. (2019). Spatial dynamics of tree group and gap structure in an old-growth ponderosa pine-California black oak forest burned by repeated wildfires.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434</w:t>
      </w:r>
      <w:r w:rsidRPr="00D23B12">
        <w:rPr>
          <w:rFonts w:ascii="Calibri" w:hAnsi="Calibri" w:cs="Calibri"/>
          <w:noProof/>
          <w:szCs w:val="24"/>
        </w:rPr>
        <w:t>(December 2018), 289–302. https://doi.org/10.1016/j.foreco.2018.12.016</w:t>
      </w:r>
    </w:p>
    <w:p w14:paraId="7CB54707"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R Core Team. (2021). </w:t>
      </w:r>
      <w:r w:rsidRPr="00D23B12">
        <w:rPr>
          <w:rFonts w:ascii="Calibri" w:hAnsi="Calibri" w:cs="Calibri"/>
          <w:i/>
          <w:iCs/>
          <w:noProof/>
          <w:szCs w:val="24"/>
        </w:rPr>
        <w:t>R: A language and environment for statistical computing.</w:t>
      </w:r>
      <w:r w:rsidRPr="00D23B12">
        <w:rPr>
          <w:rFonts w:ascii="Calibri" w:hAnsi="Calibri" w:cs="Calibri"/>
          <w:noProof/>
          <w:szCs w:val="24"/>
        </w:rPr>
        <w:t xml:space="preserve"> R Foundation for Statistical Computing. https://www.r-project.org</w:t>
      </w:r>
    </w:p>
    <w:p w14:paraId="5172DABE"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Reinhardt, E. D., &amp; Ryan, K. C. (1988). Predicting postfire mortality of seven western conifers. </w:t>
      </w:r>
      <w:r w:rsidRPr="00D23B12">
        <w:rPr>
          <w:rFonts w:ascii="Calibri" w:hAnsi="Calibri" w:cs="Calibri"/>
          <w:i/>
          <w:iCs/>
          <w:noProof/>
          <w:szCs w:val="24"/>
        </w:rPr>
        <w:t>Canadian Journal of Forest Research</w:t>
      </w:r>
      <w:r w:rsidRPr="00D23B12">
        <w:rPr>
          <w:rFonts w:ascii="Calibri" w:hAnsi="Calibri" w:cs="Calibri"/>
          <w:noProof/>
          <w:szCs w:val="24"/>
        </w:rPr>
        <w:t xml:space="preserve">, </w:t>
      </w:r>
      <w:r w:rsidRPr="00D23B12">
        <w:rPr>
          <w:rFonts w:ascii="Calibri" w:hAnsi="Calibri" w:cs="Calibri"/>
          <w:i/>
          <w:iCs/>
          <w:noProof/>
          <w:szCs w:val="24"/>
        </w:rPr>
        <w:t>18</w:t>
      </w:r>
      <w:r w:rsidRPr="00D23B12">
        <w:rPr>
          <w:rFonts w:ascii="Calibri" w:hAnsi="Calibri" w:cs="Calibri"/>
          <w:noProof/>
          <w:szCs w:val="24"/>
        </w:rPr>
        <w:t>, 1291–11297.</w:t>
      </w:r>
    </w:p>
    <w:p w14:paraId="3E3E86F6"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Rice, S. K. (1993).  Vegetation establishment in post-fire Adenostoma chaparral in relation to fine-scale pattern in fire intensity and soil nutrients . </w:t>
      </w:r>
      <w:r w:rsidRPr="00D23B12">
        <w:rPr>
          <w:rFonts w:ascii="Calibri" w:hAnsi="Calibri" w:cs="Calibri"/>
          <w:i/>
          <w:iCs/>
          <w:noProof/>
          <w:szCs w:val="24"/>
        </w:rPr>
        <w:t>Journal of Vegetation Science</w:t>
      </w:r>
      <w:r w:rsidRPr="00D23B12">
        <w:rPr>
          <w:rFonts w:ascii="Calibri" w:hAnsi="Calibri" w:cs="Calibri"/>
          <w:noProof/>
          <w:szCs w:val="24"/>
        </w:rPr>
        <w:t xml:space="preserve">, </w:t>
      </w:r>
      <w:r w:rsidRPr="00D23B12">
        <w:rPr>
          <w:rFonts w:ascii="Calibri" w:hAnsi="Calibri" w:cs="Calibri"/>
          <w:i/>
          <w:iCs/>
          <w:noProof/>
          <w:szCs w:val="24"/>
        </w:rPr>
        <w:t>4</w:t>
      </w:r>
      <w:r w:rsidRPr="00D23B12">
        <w:rPr>
          <w:rFonts w:ascii="Calibri" w:hAnsi="Calibri" w:cs="Calibri"/>
          <w:noProof/>
          <w:szCs w:val="24"/>
        </w:rPr>
        <w:t>(1), 115–124. https://doi.org/10.2307/3235739</w:t>
      </w:r>
    </w:p>
    <w:p w14:paraId="7FCC6055"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Ritter, S. M., Hoffman, C. M., Battaglia, M. A., &amp; Jain, T. B. (2022). </w:t>
      </w:r>
      <w:r w:rsidRPr="00D23B12">
        <w:rPr>
          <w:rFonts w:ascii="Calibri" w:hAnsi="Calibri" w:cs="Calibri"/>
          <w:i/>
          <w:iCs/>
          <w:noProof/>
          <w:szCs w:val="24"/>
        </w:rPr>
        <w:t>Restoration and fuel hazard reduction result in equivalent reductions in crown fire behavior in dry conifer forests</w:t>
      </w:r>
      <w:r w:rsidRPr="00D23B12">
        <w:rPr>
          <w:rFonts w:ascii="Calibri" w:hAnsi="Calibri" w:cs="Calibri"/>
          <w:noProof/>
          <w:szCs w:val="24"/>
        </w:rPr>
        <w:t>. 4. https://doi.org/10.1002/eap.2682</w:t>
      </w:r>
    </w:p>
    <w:p w14:paraId="5E989C55"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lastRenderedPageBreak/>
        <w:t xml:space="preserve">Ritter, S. M., Hoffman, C. M., Battaglia, M. A., Stevens-Rumann, C. S., &amp; Mell, W. E. (2020). Fine-scale fire patterns mediate forest structure in frequent-fire ecosystems. </w:t>
      </w:r>
      <w:r w:rsidRPr="00D23B12">
        <w:rPr>
          <w:rFonts w:ascii="Calibri" w:hAnsi="Calibri" w:cs="Calibri"/>
          <w:i/>
          <w:iCs/>
          <w:noProof/>
          <w:szCs w:val="24"/>
        </w:rPr>
        <w:t>Ecosphere</w:t>
      </w:r>
      <w:r w:rsidRPr="00D23B12">
        <w:rPr>
          <w:rFonts w:ascii="Calibri" w:hAnsi="Calibri" w:cs="Calibri"/>
          <w:noProof/>
          <w:szCs w:val="24"/>
        </w:rPr>
        <w:t xml:space="preserve">, </w:t>
      </w:r>
      <w:r w:rsidRPr="00D23B12">
        <w:rPr>
          <w:rFonts w:ascii="Calibri" w:hAnsi="Calibri" w:cs="Calibri"/>
          <w:i/>
          <w:iCs/>
          <w:noProof/>
          <w:szCs w:val="24"/>
        </w:rPr>
        <w:t>11</w:t>
      </w:r>
      <w:r w:rsidRPr="00D23B12">
        <w:rPr>
          <w:rFonts w:ascii="Calibri" w:hAnsi="Calibri" w:cs="Calibri"/>
          <w:noProof/>
          <w:szCs w:val="24"/>
        </w:rPr>
        <w:t>(7). https://doi.org/10.1002/ecs2.3177</w:t>
      </w:r>
    </w:p>
    <w:p w14:paraId="1FB241AC"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Safford, H. D., &amp; Stevens, J. T. (2017). Natural Range of Variation (NRV) for yellow pine and mixed conifer forests in the bioregional assessment area, including the Sierra Nevada, southern Cascades, and Modoc and Inyo National Forests. </w:t>
      </w:r>
      <w:r w:rsidRPr="00D23B12">
        <w:rPr>
          <w:rFonts w:ascii="Calibri" w:hAnsi="Calibri" w:cs="Calibri"/>
          <w:i/>
          <w:iCs/>
          <w:noProof/>
          <w:szCs w:val="24"/>
        </w:rPr>
        <w:t>Gen. Tech. Rep. PSW-GTR-2562</w:t>
      </w:r>
      <w:r w:rsidRPr="00D23B12">
        <w:rPr>
          <w:rFonts w:ascii="Calibri" w:hAnsi="Calibri" w:cs="Calibri"/>
          <w:noProof/>
          <w:szCs w:val="24"/>
        </w:rPr>
        <w:t xml:space="preserve">, </w:t>
      </w:r>
      <w:r w:rsidRPr="00D23B12">
        <w:rPr>
          <w:rFonts w:ascii="Calibri" w:hAnsi="Calibri" w:cs="Calibri"/>
          <w:i/>
          <w:iCs/>
          <w:noProof/>
          <w:szCs w:val="24"/>
        </w:rPr>
        <w:t>October</w:t>
      </w:r>
      <w:r w:rsidRPr="00D23B12">
        <w:rPr>
          <w:rFonts w:ascii="Calibri" w:hAnsi="Calibri" w:cs="Calibri"/>
          <w:noProof/>
          <w:szCs w:val="24"/>
        </w:rPr>
        <w:t>, 1–151.</w:t>
      </w:r>
    </w:p>
    <w:p w14:paraId="148E2054"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Stan Development Team. (2022). </w:t>
      </w:r>
      <w:r w:rsidRPr="00D23B12">
        <w:rPr>
          <w:rFonts w:ascii="Calibri" w:hAnsi="Calibri" w:cs="Calibri"/>
          <w:i/>
          <w:iCs/>
          <w:noProof/>
          <w:szCs w:val="24"/>
        </w:rPr>
        <w:t>Stan Modeling Language Users Guide and Reference Manual</w:t>
      </w:r>
      <w:r w:rsidRPr="00D23B12">
        <w:rPr>
          <w:rFonts w:ascii="Calibri" w:hAnsi="Calibri" w:cs="Calibri"/>
          <w:noProof/>
          <w:szCs w:val="24"/>
        </w:rPr>
        <w:t xml:space="preserve"> (2.28.2). https://mc-stan.org</w:t>
      </w:r>
    </w:p>
    <w:p w14:paraId="2B7AFCE0"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Steel, Z. L., Foster, D., Coppoletta, M., Lydersen, J. M., Stephens, S. L., Paudel, A., Markwith, S. H., Merriam, K., &amp; Collins, B. M. (2021). Ecological resilience and vegetation transition in the face of two successive large wildfires. </w:t>
      </w:r>
      <w:r w:rsidRPr="00D23B12">
        <w:rPr>
          <w:rFonts w:ascii="Calibri" w:hAnsi="Calibri" w:cs="Calibri"/>
          <w:i/>
          <w:iCs/>
          <w:noProof/>
          <w:szCs w:val="24"/>
        </w:rPr>
        <w:t>Journal of Ecology</w:t>
      </w:r>
      <w:r w:rsidRPr="00D23B12">
        <w:rPr>
          <w:rFonts w:ascii="Calibri" w:hAnsi="Calibri" w:cs="Calibri"/>
          <w:noProof/>
          <w:szCs w:val="24"/>
        </w:rPr>
        <w:t xml:space="preserve">, </w:t>
      </w:r>
      <w:r w:rsidRPr="00D23B12">
        <w:rPr>
          <w:rFonts w:ascii="Calibri" w:hAnsi="Calibri" w:cs="Calibri"/>
          <w:i/>
          <w:iCs/>
          <w:noProof/>
          <w:szCs w:val="24"/>
        </w:rPr>
        <w:t>109</w:t>
      </w:r>
      <w:r w:rsidRPr="00D23B12">
        <w:rPr>
          <w:rFonts w:ascii="Calibri" w:hAnsi="Calibri" w:cs="Calibri"/>
          <w:noProof/>
          <w:szCs w:val="24"/>
        </w:rPr>
        <w:t>(9), 3340–3355. https://doi.org/10.1111/1365-2745.13764</w:t>
      </w:r>
    </w:p>
    <w:p w14:paraId="2843E65B"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Steel, Z. L., Safford, H. D., &amp; Viers, J. H. (2015). The fire frequency-severity relationship and the legacy of fire suppression in California forests http://www.esajournals.org/doi/pdf/10.1890/ES14-00224.1. </w:t>
      </w:r>
      <w:r w:rsidRPr="00D23B12">
        <w:rPr>
          <w:rFonts w:ascii="Calibri" w:hAnsi="Calibri" w:cs="Calibri"/>
          <w:i/>
          <w:iCs/>
          <w:noProof/>
          <w:szCs w:val="24"/>
        </w:rPr>
        <w:t>Ecosphere</w:t>
      </w:r>
      <w:r w:rsidRPr="00D23B12">
        <w:rPr>
          <w:rFonts w:ascii="Calibri" w:hAnsi="Calibri" w:cs="Calibri"/>
          <w:noProof/>
          <w:szCs w:val="24"/>
        </w:rPr>
        <w:t xml:space="preserve">, </w:t>
      </w:r>
      <w:r w:rsidRPr="00D23B12">
        <w:rPr>
          <w:rFonts w:ascii="Calibri" w:hAnsi="Calibri" w:cs="Calibri"/>
          <w:i/>
          <w:iCs/>
          <w:noProof/>
          <w:szCs w:val="24"/>
        </w:rPr>
        <w:t>6</w:t>
      </w:r>
      <w:r w:rsidRPr="00D23B12">
        <w:rPr>
          <w:rFonts w:ascii="Calibri" w:hAnsi="Calibri" w:cs="Calibri"/>
          <w:noProof/>
          <w:szCs w:val="24"/>
        </w:rPr>
        <w:t>(1). https://doi.org/10.1890/ES14-00224.1</w:t>
      </w:r>
    </w:p>
    <w:p w14:paraId="4FE907C0"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Stephens, S., Lydersen, J., Collins, B., &amp; Fry, D. (2015). Historical and current landscape-scale ponderosa pine and mixed conifer forest structure in the Southern Sierra Nevada. </w:t>
      </w:r>
      <w:r w:rsidRPr="00D23B12">
        <w:rPr>
          <w:rFonts w:ascii="Calibri" w:hAnsi="Calibri" w:cs="Calibri"/>
          <w:i/>
          <w:iCs/>
          <w:noProof/>
          <w:szCs w:val="24"/>
        </w:rPr>
        <w:t>Ecosphere</w:t>
      </w:r>
      <w:r w:rsidRPr="00D23B12">
        <w:rPr>
          <w:rFonts w:ascii="Calibri" w:hAnsi="Calibri" w:cs="Calibri"/>
          <w:noProof/>
          <w:szCs w:val="24"/>
        </w:rPr>
        <w:t xml:space="preserve">, </w:t>
      </w:r>
      <w:r w:rsidRPr="00D23B12">
        <w:rPr>
          <w:rFonts w:ascii="Calibri" w:hAnsi="Calibri" w:cs="Calibri"/>
          <w:i/>
          <w:iCs/>
          <w:noProof/>
          <w:szCs w:val="24"/>
        </w:rPr>
        <w:t>6</w:t>
      </w:r>
      <w:r w:rsidRPr="00D23B12">
        <w:rPr>
          <w:rFonts w:ascii="Calibri" w:hAnsi="Calibri" w:cs="Calibri"/>
          <w:noProof/>
          <w:szCs w:val="24"/>
        </w:rPr>
        <w:t>(May), 1–63.</w:t>
      </w:r>
    </w:p>
    <w:p w14:paraId="39DB30A9"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Stephens, S L, &amp; Collins, B. M. (2004). Fire regimes of mixed conifer forests in the north-central Sierra Nevada at multiple spatial scales. </w:t>
      </w:r>
      <w:r w:rsidRPr="00D23B12">
        <w:rPr>
          <w:rFonts w:ascii="Calibri" w:hAnsi="Calibri" w:cs="Calibri"/>
          <w:i/>
          <w:iCs/>
          <w:noProof/>
          <w:szCs w:val="24"/>
        </w:rPr>
        <w:t>Northwest Science</w:t>
      </w:r>
      <w:r w:rsidRPr="00D23B12">
        <w:rPr>
          <w:rFonts w:ascii="Calibri" w:hAnsi="Calibri" w:cs="Calibri"/>
          <w:noProof/>
          <w:szCs w:val="24"/>
        </w:rPr>
        <w:t xml:space="preserve">, </w:t>
      </w:r>
      <w:r w:rsidRPr="00D23B12">
        <w:rPr>
          <w:rFonts w:ascii="Calibri" w:hAnsi="Calibri" w:cs="Calibri"/>
          <w:i/>
          <w:iCs/>
          <w:noProof/>
          <w:szCs w:val="24"/>
        </w:rPr>
        <w:t>78</w:t>
      </w:r>
      <w:r w:rsidRPr="00D23B12">
        <w:rPr>
          <w:rFonts w:ascii="Calibri" w:hAnsi="Calibri" w:cs="Calibri"/>
          <w:noProof/>
          <w:szCs w:val="24"/>
        </w:rPr>
        <w:t>(1), 12–23.</w:t>
      </w:r>
    </w:p>
    <w:p w14:paraId="28E68A0E"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Stephens, S L, McIver, J. D., Boerner, R. E. J., Fettig, C. J., Fontaine, J. B., Hartsough, B. R., Kennedy, P. L., &amp; Schwilk, D. W. (2012). The Effects of Forest Fuel-Reduction Treatments in the United States. </w:t>
      </w:r>
      <w:r w:rsidRPr="00D23B12">
        <w:rPr>
          <w:rFonts w:ascii="Calibri" w:hAnsi="Calibri" w:cs="Calibri"/>
          <w:i/>
          <w:iCs/>
          <w:noProof/>
          <w:szCs w:val="24"/>
        </w:rPr>
        <w:t>Bioscience</w:t>
      </w:r>
      <w:r w:rsidRPr="00D23B12">
        <w:rPr>
          <w:rFonts w:ascii="Calibri" w:hAnsi="Calibri" w:cs="Calibri"/>
          <w:noProof/>
          <w:szCs w:val="24"/>
        </w:rPr>
        <w:t xml:space="preserve">, </w:t>
      </w:r>
      <w:r w:rsidRPr="00D23B12">
        <w:rPr>
          <w:rFonts w:ascii="Calibri" w:hAnsi="Calibri" w:cs="Calibri"/>
          <w:i/>
          <w:iCs/>
          <w:noProof/>
          <w:szCs w:val="24"/>
        </w:rPr>
        <w:t>62</w:t>
      </w:r>
      <w:r w:rsidRPr="00D23B12">
        <w:rPr>
          <w:rFonts w:ascii="Calibri" w:hAnsi="Calibri" w:cs="Calibri"/>
          <w:noProof/>
          <w:szCs w:val="24"/>
        </w:rPr>
        <w:t>(6), 549–560. https://doi.org/10.1525/bio.2012.62.6.6</w:t>
      </w:r>
    </w:p>
    <w:p w14:paraId="2F4AF994"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Stephens, Scott L., &amp; Finney, M. A. (2002). Prescribed fire mortality of Sierra Nevada mixed conifer tree species: Effects of crown damage and forest floor combustion.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162</w:t>
      </w:r>
      <w:r w:rsidRPr="00D23B12">
        <w:rPr>
          <w:rFonts w:ascii="Calibri" w:hAnsi="Calibri" w:cs="Calibri"/>
          <w:noProof/>
          <w:szCs w:val="24"/>
        </w:rPr>
        <w:t>(2–3), 261–271. https://doi.org/10.1016/S0378-1127(01)00521-7</w:t>
      </w:r>
    </w:p>
    <w:p w14:paraId="6A5568F9"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Stephens, Scott L., &amp; Moghaddas, J. J. (2005). Experimental fuel treatment impacts on forest structure, potential fire behavior, and predicted tree mortality in a California mixed conifer forest.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215</w:t>
      </w:r>
      <w:r w:rsidRPr="00D23B12">
        <w:rPr>
          <w:rFonts w:ascii="Calibri" w:hAnsi="Calibri" w:cs="Calibri"/>
          <w:noProof/>
          <w:szCs w:val="24"/>
        </w:rPr>
        <w:t>(1–3), 21–36. https://doi.org/10.1016/j.foreco.2005.03.070</w:t>
      </w:r>
    </w:p>
    <w:p w14:paraId="69A8F9DD"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Stephens, Scott L., Moghaddas, J. J., Edminster, C., Fiedler, C. E., Haase, S., Harrington, M., Keeley, J. E., Knapp, E. E., McIver, J. D., Metlen, K., Skinner, C. N., &amp; Youngblood, A. (2009). Fire Treatment Effects on Vegetation Structure , Fuels , and Potential Fire Severity in Western U . S . Forests. </w:t>
      </w:r>
      <w:r w:rsidRPr="00D23B12">
        <w:rPr>
          <w:rFonts w:ascii="Calibri" w:hAnsi="Calibri" w:cs="Calibri"/>
          <w:i/>
          <w:iCs/>
          <w:noProof/>
          <w:szCs w:val="24"/>
        </w:rPr>
        <w:t>Ecological Applications</w:t>
      </w:r>
      <w:r w:rsidRPr="00D23B12">
        <w:rPr>
          <w:rFonts w:ascii="Calibri" w:hAnsi="Calibri" w:cs="Calibri"/>
          <w:noProof/>
          <w:szCs w:val="24"/>
        </w:rPr>
        <w:t xml:space="preserve">, </w:t>
      </w:r>
      <w:r w:rsidRPr="00D23B12">
        <w:rPr>
          <w:rFonts w:ascii="Calibri" w:hAnsi="Calibri" w:cs="Calibri"/>
          <w:i/>
          <w:iCs/>
          <w:noProof/>
          <w:szCs w:val="24"/>
        </w:rPr>
        <w:t>19</w:t>
      </w:r>
      <w:r w:rsidRPr="00D23B12">
        <w:rPr>
          <w:rFonts w:ascii="Calibri" w:hAnsi="Calibri" w:cs="Calibri"/>
          <w:noProof/>
          <w:szCs w:val="24"/>
        </w:rPr>
        <w:t>(2), 305–320. https://doi.org/10.1890/07-1755.1</w:t>
      </w:r>
    </w:p>
    <w:p w14:paraId="12867239"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Stevens, J. T., Collins, B. M., Miller, J. D., North, M. P., &amp; Stephens, S. L. (2017). Changing spatial patterns of stand-replacing fire in California conifer forests.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406</w:t>
      </w:r>
      <w:r w:rsidRPr="00D23B12">
        <w:rPr>
          <w:rFonts w:ascii="Calibri" w:hAnsi="Calibri" w:cs="Calibri"/>
          <w:noProof/>
          <w:szCs w:val="24"/>
        </w:rPr>
        <w:t>(August), 28–36. https://doi.org/10.1016/j.foreco.2017.08.051</w:t>
      </w:r>
    </w:p>
    <w:p w14:paraId="4AD8AD81"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Taylor, A. H., Vandervlugt, A. M., Maxwell, R. S., Beaty, R. M., Airey Lauvaux, C., &amp; Skinner, C. N. (2014). Changes in forest structure, fuels and potential fire behaviour since 1873 in the Lake Tahoe Basin, USA. </w:t>
      </w:r>
      <w:r w:rsidRPr="00D23B12">
        <w:rPr>
          <w:rFonts w:ascii="Calibri" w:hAnsi="Calibri" w:cs="Calibri"/>
          <w:i/>
          <w:iCs/>
          <w:noProof/>
          <w:szCs w:val="24"/>
        </w:rPr>
        <w:t>Applied Vegetation Science</w:t>
      </w:r>
      <w:r w:rsidRPr="00D23B12">
        <w:rPr>
          <w:rFonts w:ascii="Calibri" w:hAnsi="Calibri" w:cs="Calibri"/>
          <w:noProof/>
          <w:szCs w:val="24"/>
        </w:rPr>
        <w:t xml:space="preserve">, </w:t>
      </w:r>
      <w:r w:rsidRPr="00D23B12">
        <w:rPr>
          <w:rFonts w:ascii="Calibri" w:hAnsi="Calibri" w:cs="Calibri"/>
          <w:i/>
          <w:iCs/>
          <w:noProof/>
          <w:szCs w:val="24"/>
        </w:rPr>
        <w:t>17</w:t>
      </w:r>
      <w:r w:rsidRPr="00D23B12">
        <w:rPr>
          <w:rFonts w:ascii="Calibri" w:hAnsi="Calibri" w:cs="Calibri"/>
          <w:noProof/>
          <w:szCs w:val="24"/>
        </w:rPr>
        <w:t>(1), 17–31. https://doi.org/10.1111/avsc.12049</w:t>
      </w:r>
    </w:p>
    <w:p w14:paraId="7584FB90"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Thaxton, J. M., &amp; Platt, W. J. (2006). Small-scale fuel variation alters fire intensity and shrub abundance in a pine savanna. </w:t>
      </w:r>
      <w:r w:rsidRPr="00D23B12">
        <w:rPr>
          <w:rFonts w:ascii="Calibri" w:hAnsi="Calibri" w:cs="Calibri"/>
          <w:i/>
          <w:iCs/>
          <w:noProof/>
          <w:szCs w:val="24"/>
        </w:rPr>
        <w:t>Ecology</w:t>
      </w:r>
      <w:r w:rsidRPr="00D23B12">
        <w:rPr>
          <w:rFonts w:ascii="Calibri" w:hAnsi="Calibri" w:cs="Calibri"/>
          <w:noProof/>
          <w:szCs w:val="24"/>
        </w:rPr>
        <w:t xml:space="preserve">, </w:t>
      </w:r>
      <w:r w:rsidRPr="00D23B12">
        <w:rPr>
          <w:rFonts w:ascii="Calibri" w:hAnsi="Calibri" w:cs="Calibri"/>
          <w:i/>
          <w:iCs/>
          <w:noProof/>
          <w:szCs w:val="24"/>
        </w:rPr>
        <w:t>87</w:t>
      </w:r>
      <w:r w:rsidRPr="00D23B12">
        <w:rPr>
          <w:rFonts w:ascii="Calibri" w:hAnsi="Calibri" w:cs="Calibri"/>
          <w:noProof/>
          <w:szCs w:val="24"/>
        </w:rPr>
        <w:t>(5), 1331–1337. https://doi.org/10.1890/0012-</w:t>
      </w:r>
      <w:r w:rsidRPr="00D23B12">
        <w:rPr>
          <w:rFonts w:ascii="Calibri" w:hAnsi="Calibri" w:cs="Calibri"/>
          <w:noProof/>
          <w:szCs w:val="24"/>
        </w:rPr>
        <w:lastRenderedPageBreak/>
        <w:t>9658(2006)87[1331:SFVAFI]2.0.CO;2</w:t>
      </w:r>
    </w:p>
    <w:p w14:paraId="09B3AB04"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Vakili, E., Hoffman, C. M., Keane, R. E., Tinkham, W. T., &amp; Dickinson, Y. (2016). Spatial variability of surface fuels in treated and untreated ponderosa pine forests of the southern Rocky Mountains. </w:t>
      </w:r>
      <w:r w:rsidRPr="00D23B12">
        <w:rPr>
          <w:rFonts w:ascii="Calibri" w:hAnsi="Calibri" w:cs="Calibri"/>
          <w:i/>
          <w:iCs/>
          <w:noProof/>
          <w:szCs w:val="24"/>
        </w:rPr>
        <w:t>International Journal of Wildland Fire</w:t>
      </w:r>
      <w:r w:rsidRPr="00D23B12">
        <w:rPr>
          <w:rFonts w:ascii="Calibri" w:hAnsi="Calibri" w:cs="Calibri"/>
          <w:noProof/>
          <w:szCs w:val="24"/>
        </w:rPr>
        <w:t xml:space="preserve">, </w:t>
      </w:r>
      <w:r w:rsidRPr="00D23B12">
        <w:rPr>
          <w:rFonts w:ascii="Calibri" w:hAnsi="Calibri" w:cs="Calibri"/>
          <w:i/>
          <w:iCs/>
          <w:noProof/>
          <w:szCs w:val="24"/>
        </w:rPr>
        <w:t>25</w:t>
      </w:r>
      <w:r w:rsidRPr="00D23B12">
        <w:rPr>
          <w:rFonts w:ascii="Calibri" w:hAnsi="Calibri" w:cs="Calibri"/>
          <w:noProof/>
          <w:szCs w:val="24"/>
        </w:rPr>
        <w:t>(11), 1156–1168. https://doi.org/10.1071/WF16072</w:t>
      </w:r>
    </w:p>
    <w:p w14:paraId="4CB47AEA"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van Mantgem, P. J., Stephenson, N. L., Knapp, E., Battles, J., &amp; Keeley, J. E. (2011). Long-term effects of prescribed fire on mixed conifer forest structure in the Sierra Nevada, California.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261</w:t>
      </w:r>
      <w:r w:rsidRPr="00D23B12">
        <w:rPr>
          <w:rFonts w:ascii="Calibri" w:hAnsi="Calibri" w:cs="Calibri"/>
          <w:noProof/>
          <w:szCs w:val="24"/>
        </w:rPr>
        <w:t>(6), 989–994. https://doi.org/10.1016/j.foreco.2010.12.013</w:t>
      </w:r>
    </w:p>
    <w:p w14:paraId="42DC4145"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Westerling, A. L., Bryant, B. P., Preisler, H. K., Holmes, T. P., Hidalgo, H. G., Das, T., &amp; Shrestha, S. R. (2011). Climate change and growth scenarios for California wildfire. </w:t>
      </w:r>
      <w:r w:rsidRPr="00D23B12">
        <w:rPr>
          <w:rFonts w:ascii="Calibri" w:hAnsi="Calibri" w:cs="Calibri"/>
          <w:i/>
          <w:iCs/>
          <w:noProof/>
          <w:szCs w:val="24"/>
        </w:rPr>
        <w:t>Climatic Change</w:t>
      </w:r>
      <w:r w:rsidRPr="00D23B12">
        <w:rPr>
          <w:rFonts w:ascii="Calibri" w:hAnsi="Calibri" w:cs="Calibri"/>
          <w:noProof/>
          <w:szCs w:val="24"/>
        </w:rPr>
        <w:t xml:space="preserve">, </w:t>
      </w:r>
      <w:r w:rsidRPr="00D23B12">
        <w:rPr>
          <w:rFonts w:ascii="Calibri" w:hAnsi="Calibri" w:cs="Calibri"/>
          <w:i/>
          <w:iCs/>
          <w:noProof/>
          <w:szCs w:val="24"/>
        </w:rPr>
        <w:t>109</w:t>
      </w:r>
      <w:r w:rsidRPr="00D23B12">
        <w:rPr>
          <w:rFonts w:ascii="Calibri" w:hAnsi="Calibri" w:cs="Calibri"/>
          <w:noProof/>
          <w:szCs w:val="24"/>
        </w:rPr>
        <w:t>(SUPPL. 1), 445–463. https://doi.org/10.1007/s10584-011-0329-9</w:t>
      </w:r>
    </w:p>
    <w:p w14:paraId="16C0BAE0"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Westerling, A. L., Hidalgo, H. G., Cayan, D. R., &amp; Swetnam, T. W. (2006). Warming and earlier spring increase Western U.S. forest wildfire activity. </w:t>
      </w:r>
      <w:r w:rsidRPr="00D23B12">
        <w:rPr>
          <w:rFonts w:ascii="Calibri" w:hAnsi="Calibri" w:cs="Calibri"/>
          <w:i/>
          <w:iCs/>
          <w:noProof/>
          <w:szCs w:val="24"/>
        </w:rPr>
        <w:t>Science</w:t>
      </w:r>
      <w:r w:rsidRPr="00D23B12">
        <w:rPr>
          <w:rFonts w:ascii="Calibri" w:hAnsi="Calibri" w:cs="Calibri"/>
          <w:noProof/>
          <w:szCs w:val="24"/>
        </w:rPr>
        <w:t xml:space="preserve">, </w:t>
      </w:r>
      <w:r w:rsidRPr="00D23B12">
        <w:rPr>
          <w:rFonts w:ascii="Calibri" w:hAnsi="Calibri" w:cs="Calibri"/>
          <w:i/>
          <w:iCs/>
          <w:noProof/>
          <w:szCs w:val="24"/>
        </w:rPr>
        <w:t>313</w:t>
      </w:r>
      <w:r w:rsidRPr="00D23B12">
        <w:rPr>
          <w:rFonts w:ascii="Calibri" w:hAnsi="Calibri" w:cs="Calibri"/>
          <w:noProof/>
          <w:szCs w:val="24"/>
        </w:rPr>
        <w:t>(5789), 940–943. https://doi.org/10.1126/science.1128834</w:t>
      </w:r>
    </w:p>
    <w:p w14:paraId="7ACDEFCC"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Wiggers, M. S., Kirkman, L. K., Boyd, R. S., &amp; Hiers, J. K. (2013). Fine-scale variation in surface fire environment and legume germination in the longleaf pine ecosystem.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310</w:t>
      </w:r>
      <w:r w:rsidRPr="00D23B12">
        <w:rPr>
          <w:rFonts w:ascii="Calibri" w:hAnsi="Calibri" w:cs="Calibri"/>
          <w:noProof/>
          <w:szCs w:val="24"/>
        </w:rPr>
        <w:t>, 54–63. https://doi.org/10.1016/j.foreco.2013.07.030</w:t>
      </w:r>
    </w:p>
    <w:p w14:paraId="49756FCD"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szCs w:val="24"/>
        </w:rPr>
      </w:pPr>
      <w:r w:rsidRPr="00D23B12">
        <w:rPr>
          <w:rFonts w:ascii="Calibri" w:hAnsi="Calibri" w:cs="Calibri"/>
          <w:noProof/>
          <w:szCs w:val="24"/>
        </w:rPr>
        <w:t xml:space="preserve">York, R. A., Battles, J. J., Wenk, R. C., &amp; Saah, D. (2012). A gap-based approach for regenerating pine species and reducing surface fuels in multi-aged mixed conifer stands in the Sierra Nevada, California. </w:t>
      </w:r>
      <w:r w:rsidRPr="00D23B12">
        <w:rPr>
          <w:rFonts w:ascii="Calibri" w:hAnsi="Calibri" w:cs="Calibri"/>
          <w:i/>
          <w:iCs/>
          <w:noProof/>
          <w:szCs w:val="24"/>
        </w:rPr>
        <w:t>Forestry</w:t>
      </w:r>
      <w:r w:rsidRPr="00D23B12">
        <w:rPr>
          <w:rFonts w:ascii="Calibri" w:hAnsi="Calibri" w:cs="Calibri"/>
          <w:noProof/>
          <w:szCs w:val="24"/>
        </w:rPr>
        <w:t xml:space="preserve">, </w:t>
      </w:r>
      <w:r w:rsidRPr="00D23B12">
        <w:rPr>
          <w:rFonts w:ascii="Calibri" w:hAnsi="Calibri" w:cs="Calibri"/>
          <w:i/>
          <w:iCs/>
          <w:noProof/>
          <w:szCs w:val="24"/>
        </w:rPr>
        <w:t>85</w:t>
      </w:r>
      <w:r w:rsidRPr="00D23B12">
        <w:rPr>
          <w:rFonts w:ascii="Calibri" w:hAnsi="Calibri" w:cs="Calibri"/>
          <w:noProof/>
          <w:szCs w:val="24"/>
        </w:rPr>
        <w:t>(2), 203–213. https://doi.org/10.1093/forestry/cpr058</w:t>
      </w:r>
    </w:p>
    <w:p w14:paraId="394EEDB4" w14:textId="77777777" w:rsidR="00D23B12" w:rsidRPr="00D23B12" w:rsidRDefault="00D23B12" w:rsidP="00D23B12">
      <w:pPr>
        <w:widowControl w:val="0"/>
        <w:autoSpaceDE w:val="0"/>
        <w:autoSpaceDN w:val="0"/>
        <w:adjustRightInd w:val="0"/>
        <w:spacing w:line="240" w:lineRule="auto"/>
        <w:ind w:left="480" w:hanging="480"/>
        <w:rPr>
          <w:rFonts w:ascii="Calibri" w:hAnsi="Calibri" w:cs="Calibri"/>
          <w:noProof/>
        </w:rPr>
      </w:pPr>
      <w:r w:rsidRPr="00D23B12">
        <w:rPr>
          <w:rFonts w:ascii="Calibri" w:hAnsi="Calibri" w:cs="Calibri"/>
          <w:noProof/>
          <w:szCs w:val="24"/>
        </w:rPr>
        <w:t xml:space="preserve">Ziegler, J. P., Hoffman, C., Battaglia, M., &amp; Mell, W. (2017). Spatially explicit measurements of forest structure and fire behavior following restoration treatments in dry forests. </w:t>
      </w:r>
      <w:r w:rsidRPr="00D23B12">
        <w:rPr>
          <w:rFonts w:ascii="Calibri" w:hAnsi="Calibri" w:cs="Calibri"/>
          <w:i/>
          <w:iCs/>
          <w:noProof/>
          <w:szCs w:val="24"/>
        </w:rPr>
        <w:t>Forest Ecology and Management</w:t>
      </w:r>
      <w:r w:rsidRPr="00D23B12">
        <w:rPr>
          <w:rFonts w:ascii="Calibri" w:hAnsi="Calibri" w:cs="Calibri"/>
          <w:noProof/>
          <w:szCs w:val="24"/>
        </w:rPr>
        <w:t xml:space="preserve">, </w:t>
      </w:r>
      <w:r w:rsidRPr="00D23B12">
        <w:rPr>
          <w:rFonts w:ascii="Calibri" w:hAnsi="Calibri" w:cs="Calibri"/>
          <w:i/>
          <w:iCs/>
          <w:noProof/>
          <w:szCs w:val="24"/>
        </w:rPr>
        <w:t>386</w:t>
      </w:r>
      <w:r w:rsidRPr="00D23B12">
        <w:rPr>
          <w:rFonts w:ascii="Calibri" w:hAnsi="Calibri" w:cs="Calibri"/>
          <w:noProof/>
          <w:szCs w:val="24"/>
        </w:rPr>
        <w:t>, 1–12. https://doi.org/10.1016/j.foreco.2016.12.002</w:t>
      </w:r>
    </w:p>
    <w:p w14:paraId="7C6647CB" w14:textId="16E15B10" w:rsidR="007D2728" w:rsidRDefault="00AF1F55" w:rsidP="008659A7">
      <w:r>
        <w:fldChar w:fldCharType="end"/>
      </w:r>
      <w:r w:rsidR="007D2728">
        <w:br w:type="page"/>
      </w:r>
    </w:p>
    <w:p w14:paraId="0FE5F2A1" w14:textId="7C6F0D92" w:rsidR="007D2728" w:rsidRDefault="007D2728" w:rsidP="008659A7">
      <w:pPr>
        <w:pStyle w:val="Heading1"/>
      </w:pPr>
      <w:r>
        <w:lastRenderedPageBreak/>
        <w:t>Tables</w:t>
      </w:r>
    </w:p>
    <w:p w14:paraId="5E3227F4" w14:textId="77777777" w:rsidR="00073AF0" w:rsidRDefault="00073AF0" w:rsidP="008659A7">
      <w:pPr>
        <w:pStyle w:val="Heading2"/>
      </w:pPr>
    </w:p>
    <w:tbl>
      <w:tblPr>
        <w:tblStyle w:val="TableGrid"/>
        <w:tblW w:w="9484" w:type="dxa"/>
        <w:tblInd w:w="-5" w:type="dxa"/>
        <w:tblLook w:val="04A0" w:firstRow="1" w:lastRow="0" w:firstColumn="1" w:lastColumn="0" w:noHBand="0" w:noVBand="1"/>
      </w:tblPr>
      <w:tblGrid>
        <w:gridCol w:w="1710"/>
        <w:gridCol w:w="1890"/>
        <w:gridCol w:w="1890"/>
        <w:gridCol w:w="1980"/>
        <w:gridCol w:w="2014"/>
      </w:tblGrid>
      <w:tr w:rsidR="00C9018D" w:rsidRPr="00073AF0" w14:paraId="31381EE8" w14:textId="77777777" w:rsidTr="00C9018D">
        <w:trPr>
          <w:trHeight w:val="281"/>
        </w:trPr>
        <w:tc>
          <w:tcPr>
            <w:tcW w:w="1710" w:type="dxa"/>
            <w:noWrap/>
            <w:hideMark/>
          </w:tcPr>
          <w:p w14:paraId="179DE8B0" w14:textId="4FAA35FA" w:rsidR="00C9018D" w:rsidRPr="00073AF0" w:rsidRDefault="00C9018D" w:rsidP="008659A7">
            <w:pPr>
              <w:rPr>
                <w:rFonts w:ascii="Calibri" w:eastAsia="Times New Roman" w:hAnsi="Calibri" w:cs="Calibri"/>
                <w:b/>
                <w:bCs/>
                <w:color w:val="000000"/>
              </w:rPr>
            </w:pPr>
          </w:p>
        </w:tc>
        <w:tc>
          <w:tcPr>
            <w:tcW w:w="1890" w:type="dxa"/>
            <w:noWrap/>
            <w:hideMark/>
          </w:tcPr>
          <w:p w14:paraId="7F4C41AE" w14:textId="7FFB1BD4" w:rsidR="00C9018D" w:rsidRPr="00073AF0" w:rsidRDefault="009D2B60" w:rsidP="008659A7">
            <w:pPr>
              <w:rPr>
                <w:rFonts w:ascii="Calibri" w:eastAsia="Times New Roman" w:hAnsi="Calibri" w:cs="Calibri"/>
                <w:b/>
                <w:bCs/>
                <w:color w:val="000000"/>
              </w:rPr>
            </w:pPr>
            <w:r>
              <w:rPr>
                <w:rFonts w:ascii="Calibri" w:eastAsia="Times New Roman" w:hAnsi="Calibri" w:cs="Calibri"/>
                <w:b/>
                <w:bCs/>
                <w:color w:val="000000"/>
              </w:rPr>
              <w:t>Litter and duff</w:t>
            </w:r>
          </w:p>
        </w:tc>
        <w:tc>
          <w:tcPr>
            <w:tcW w:w="1890" w:type="dxa"/>
            <w:noWrap/>
            <w:hideMark/>
          </w:tcPr>
          <w:p w14:paraId="2B80B6C9" w14:textId="77777777" w:rsidR="00C9018D" w:rsidRPr="00073AF0" w:rsidRDefault="00C9018D" w:rsidP="008659A7">
            <w:pPr>
              <w:rPr>
                <w:rFonts w:ascii="Calibri" w:eastAsia="Times New Roman" w:hAnsi="Calibri" w:cs="Calibri"/>
                <w:b/>
                <w:bCs/>
                <w:color w:val="000000"/>
              </w:rPr>
            </w:pPr>
            <w:r w:rsidRPr="00073AF0">
              <w:rPr>
                <w:rFonts w:ascii="Calibri" w:eastAsia="Times New Roman" w:hAnsi="Calibri" w:cs="Calibri"/>
                <w:b/>
                <w:bCs/>
                <w:color w:val="000000"/>
              </w:rPr>
              <w:t>1-hour FWD</w:t>
            </w:r>
          </w:p>
        </w:tc>
        <w:tc>
          <w:tcPr>
            <w:tcW w:w="1980" w:type="dxa"/>
            <w:noWrap/>
            <w:hideMark/>
          </w:tcPr>
          <w:p w14:paraId="03F0F931" w14:textId="77777777" w:rsidR="00C9018D" w:rsidRPr="00073AF0" w:rsidRDefault="00C9018D" w:rsidP="008659A7">
            <w:pPr>
              <w:rPr>
                <w:rFonts w:ascii="Calibri" w:eastAsia="Times New Roman" w:hAnsi="Calibri" w:cs="Calibri"/>
                <w:b/>
                <w:bCs/>
                <w:color w:val="000000"/>
              </w:rPr>
            </w:pPr>
            <w:r w:rsidRPr="00073AF0">
              <w:rPr>
                <w:rFonts w:ascii="Calibri" w:eastAsia="Times New Roman" w:hAnsi="Calibri" w:cs="Calibri"/>
                <w:b/>
                <w:bCs/>
                <w:color w:val="000000"/>
              </w:rPr>
              <w:t>10-hour FWD</w:t>
            </w:r>
          </w:p>
        </w:tc>
        <w:tc>
          <w:tcPr>
            <w:tcW w:w="2014" w:type="dxa"/>
            <w:noWrap/>
            <w:hideMark/>
          </w:tcPr>
          <w:p w14:paraId="4E947ACE" w14:textId="77777777" w:rsidR="00C9018D" w:rsidRPr="00073AF0" w:rsidRDefault="00C9018D" w:rsidP="008659A7">
            <w:pPr>
              <w:rPr>
                <w:rFonts w:ascii="Calibri" w:eastAsia="Times New Roman" w:hAnsi="Calibri" w:cs="Calibri"/>
                <w:b/>
                <w:bCs/>
                <w:color w:val="000000"/>
              </w:rPr>
            </w:pPr>
            <w:r w:rsidRPr="00073AF0">
              <w:rPr>
                <w:rFonts w:ascii="Calibri" w:eastAsia="Times New Roman" w:hAnsi="Calibri" w:cs="Calibri"/>
                <w:b/>
                <w:bCs/>
                <w:color w:val="000000"/>
              </w:rPr>
              <w:t>100-hour FWD</w:t>
            </w:r>
          </w:p>
        </w:tc>
      </w:tr>
      <w:tr w:rsidR="00C9018D" w:rsidRPr="00073AF0" w14:paraId="297EEEE4" w14:textId="77777777" w:rsidTr="00C9018D">
        <w:trPr>
          <w:trHeight w:val="281"/>
        </w:trPr>
        <w:tc>
          <w:tcPr>
            <w:tcW w:w="1710" w:type="dxa"/>
            <w:noWrap/>
            <w:hideMark/>
          </w:tcPr>
          <w:p w14:paraId="51067D9A" w14:textId="4FF7E4F7"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Intercept</w:t>
            </w:r>
          </w:p>
        </w:tc>
        <w:tc>
          <w:tcPr>
            <w:tcW w:w="1890" w:type="dxa"/>
            <w:noWrap/>
            <w:vAlign w:val="bottom"/>
            <w:hideMark/>
          </w:tcPr>
          <w:p w14:paraId="77B02FB9" w14:textId="5B71AEC1" w:rsidR="00C9018D" w:rsidRPr="00073AF0" w:rsidRDefault="00C9018D" w:rsidP="008659A7">
            <w:pPr>
              <w:rPr>
                <w:rFonts w:ascii="Calibri" w:eastAsia="Times New Roman" w:hAnsi="Calibri" w:cs="Calibri"/>
                <w:color w:val="000000"/>
              </w:rPr>
            </w:pPr>
            <w:r>
              <w:rPr>
                <w:rFonts w:ascii="Calibri" w:hAnsi="Calibri" w:cs="Calibri"/>
                <w:color w:val="000000"/>
              </w:rPr>
              <w:t>1.51 (1.3, 1.74)</w:t>
            </w:r>
          </w:p>
        </w:tc>
        <w:tc>
          <w:tcPr>
            <w:tcW w:w="1890" w:type="dxa"/>
            <w:noWrap/>
            <w:vAlign w:val="bottom"/>
            <w:hideMark/>
          </w:tcPr>
          <w:p w14:paraId="3D23C691" w14:textId="39EBBEF3" w:rsidR="00C9018D" w:rsidRPr="00073AF0" w:rsidRDefault="00C9018D" w:rsidP="008659A7">
            <w:pPr>
              <w:rPr>
                <w:rFonts w:ascii="Calibri" w:eastAsia="Times New Roman" w:hAnsi="Calibri" w:cs="Calibri"/>
                <w:color w:val="000000"/>
              </w:rPr>
            </w:pPr>
            <w:r>
              <w:rPr>
                <w:rFonts w:ascii="Calibri" w:hAnsi="Calibri" w:cs="Calibri"/>
                <w:color w:val="000000"/>
              </w:rPr>
              <w:t>2.63 (2.42, 2.85)</w:t>
            </w:r>
          </w:p>
        </w:tc>
        <w:tc>
          <w:tcPr>
            <w:tcW w:w="1980" w:type="dxa"/>
            <w:noWrap/>
            <w:vAlign w:val="bottom"/>
            <w:hideMark/>
          </w:tcPr>
          <w:p w14:paraId="20857F85" w14:textId="11E64429" w:rsidR="00C9018D" w:rsidRPr="00073AF0" w:rsidRDefault="00C9018D" w:rsidP="008659A7">
            <w:pPr>
              <w:rPr>
                <w:rFonts w:ascii="Calibri" w:eastAsia="Times New Roman" w:hAnsi="Calibri" w:cs="Calibri"/>
                <w:color w:val="000000"/>
              </w:rPr>
            </w:pPr>
            <w:r>
              <w:rPr>
                <w:rFonts w:ascii="Calibri" w:hAnsi="Calibri" w:cs="Calibri"/>
                <w:color w:val="000000"/>
              </w:rPr>
              <w:t>1.3 (1.12, 1.48)</w:t>
            </w:r>
          </w:p>
        </w:tc>
        <w:tc>
          <w:tcPr>
            <w:tcW w:w="2014" w:type="dxa"/>
            <w:noWrap/>
            <w:vAlign w:val="bottom"/>
            <w:hideMark/>
          </w:tcPr>
          <w:p w14:paraId="3C79D8CC" w14:textId="0A72829D" w:rsidR="00C9018D" w:rsidRPr="00073AF0" w:rsidRDefault="00C9018D" w:rsidP="008659A7">
            <w:pPr>
              <w:rPr>
                <w:rFonts w:ascii="Calibri" w:eastAsia="Times New Roman" w:hAnsi="Calibri" w:cs="Calibri"/>
                <w:color w:val="000000"/>
              </w:rPr>
            </w:pPr>
            <w:r>
              <w:rPr>
                <w:rFonts w:ascii="Calibri" w:hAnsi="Calibri" w:cs="Calibri"/>
                <w:color w:val="000000"/>
              </w:rPr>
              <w:t>-0.6 (-0.95, -0.24)</w:t>
            </w:r>
          </w:p>
        </w:tc>
      </w:tr>
      <w:tr w:rsidR="00C9018D" w:rsidRPr="00073AF0" w14:paraId="0B67E602" w14:textId="77777777" w:rsidTr="00C9018D">
        <w:trPr>
          <w:trHeight w:val="281"/>
        </w:trPr>
        <w:tc>
          <w:tcPr>
            <w:tcW w:w="1710" w:type="dxa"/>
            <w:noWrap/>
            <w:hideMark/>
          </w:tcPr>
          <w:p w14:paraId="059F6012" w14:textId="3AB7FD20"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compB</w:t>
            </w:r>
          </w:p>
        </w:tc>
        <w:tc>
          <w:tcPr>
            <w:tcW w:w="1890" w:type="dxa"/>
            <w:noWrap/>
            <w:vAlign w:val="bottom"/>
            <w:hideMark/>
          </w:tcPr>
          <w:p w14:paraId="6E8C44F3" w14:textId="14740F81" w:rsidR="00C9018D" w:rsidRPr="00073AF0" w:rsidRDefault="00C9018D" w:rsidP="008659A7">
            <w:pPr>
              <w:rPr>
                <w:rFonts w:ascii="Calibri" w:eastAsia="Times New Roman" w:hAnsi="Calibri" w:cs="Calibri"/>
                <w:color w:val="000000"/>
              </w:rPr>
            </w:pPr>
            <w:r>
              <w:rPr>
                <w:rFonts w:ascii="Calibri" w:hAnsi="Calibri" w:cs="Calibri"/>
                <w:color w:val="000000"/>
              </w:rPr>
              <w:t>-0.11 (-0.48, 0.26)</w:t>
            </w:r>
          </w:p>
        </w:tc>
        <w:tc>
          <w:tcPr>
            <w:tcW w:w="1890" w:type="dxa"/>
            <w:noWrap/>
            <w:vAlign w:val="bottom"/>
            <w:hideMark/>
          </w:tcPr>
          <w:p w14:paraId="163E00F6" w14:textId="293EA654" w:rsidR="00C9018D" w:rsidRPr="00073AF0" w:rsidRDefault="00C9018D" w:rsidP="008659A7">
            <w:pPr>
              <w:rPr>
                <w:rFonts w:ascii="Calibri" w:eastAsia="Times New Roman" w:hAnsi="Calibri" w:cs="Calibri"/>
                <w:color w:val="000000"/>
              </w:rPr>
            </w:pPr>
            <w:r>
              <w:rPr>
                <w:rFonts w:ascii="Calibri" w:hAnsi="Calibri" w:cs="Calibri"/>
                <w:color w:val="000000"/>
              </w:rPr>
              <w:t>-0.27 (-0.63, 0.07)</w:t>
            </w:r>
          </w:p>
        </w:tc>
        <w:tc>
          <w:tcPr>
            <w:tcW w:w="1980" w:type="dxa"/>
            <w:noWrap/>
            <w:vAlign w:val="bottom"/>
            <w:hideMark/>
          </w:tcPr>
          <w:p w14:paraId="63B79962" w14:textId="31AEB4AB" w:rsidR="00C9018D" w:rsidRPr="00073AF0" w:rsidRDefault="00C9018D" w:rsidP="008659A7">
            <w:pPr>
              <w:rPr>
                <w:rFonts w:ascii="Calibri" w:eastAsia="Times New Roman" w:hAnsi="Calibri" w:cs="Calibri"/>
                <w:color w:val="000000"/>
              </w:rPr>
            </w:pPr>
            <w:r>
              <w:rPr>
                <w:rFonts w:ascii="Calibri" w:hAnsi="Calibri" w:cs="Calibri"/>
                <w:color w:val="000000"/>
              </w:rPr>
              <w:t>-0.17 (-0.49, 0.14)</w:t>
            </w:r>
          </w:p>
        </w:tc>
        <w:tc>
          <w:tcPr>
            <w:tcW w:w="2014" w:type="dxa"/>
            <w:noWrap/>
            <w:vAlign w:val="bottom"/>
            <w:hideMark/>
          </w:tcPr>
          <w:p w14:paraId="15843166" w14:textId="77D7B089" w:rsidR="00C9018D" w:rsidRPr="00073AF0" w:rsidRDefault="00C9018D" w:rsidP="008659A7">
            <w:pPr>
              <w:rPr>
                <w:rFonts w:ascii="Calibri" w:eastAsia="Times New Roman" w:hAnsi="Calibri" w:cs="Calibri"/>
                <w:color w:val="000000"/>
              </w:rPr>
            </w:pPr>
            <w:r>
              <w:rPr>
                <w:rFonts w:ascii="Calibri" w:hAnsi="Calibri" w:cs="Calibri"/>
                <w:color w:val="000000"/>
              </w:rPr>
              <w:t>-0.38 (-1, 0.2)</w:t>
            </w:r>
          </w:p>
        </w:tc>
      </w:tr>
      <w:tr w:rsidR="00C9018D" w:rsidRPr="00073AF0" w14:paraId="47E95C57" w14:textId="77777777" w:rsidTr="00C9018D">
        <w:trPr>
          <w:trHeight w:val="281"/>
        </w:trPr>
        <w:tc>
          <w:tcPr>
            <w:tcW w:w="1710" w:type="dxa"/>
            <w:noWrap/>
            <w:hideMark/>
          </w:tcPr>
          <w:p w14:paraId="2BEF86F0" w14:textId="37F77527"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compC</w:t>
            </w:r>
          </w:p>
        </w:tc>
        <w:tc>
          <w:tcPr>
            <w:tcW w:w="1890" w:type="dxa"/>
            <w:noWrap/>
            <w:vAlign w:val="bottom"/>
            <w:hideMark/>
          </w:tcPr>
          <w:p w14:paraId="05057850" w14:textId="144EED3E" w:rsidR="00C9018D" w:rsidRPr="00073AF0" w:rsidRDefault="00C9018D" w:rsidP="008659A7">
            <w:pPr>
              <w:rPr>
                <w:rFonts w:ascii="Calibri" w:eastAsia="Times New Roman" w:hAnsi="Calibri" w:cs="Calibri"/>
                <w:color w:val="000000"/>
              </w:rPr>
            </w:pPr>
            <w:r>
              <w:rPr>
                <w:rFonts w:ascii="Calibri" w:hAnsi="Calibri" w:cs="Calibri"/>
                <w:color w:val="000000"/>
              </w:rPr>
              <w:t>0.29 (-0.05, 0.64)</w:t>
            </w:r>
          </w:p>
        </w:tc>
        <w:tc>
          <w:tcPr>
            <w:tcW w:w="1890" w:type="dxa"/>
            <w:noWrap/>
            <w:vAlign w:val="bottom"/>
            <w:hideMark/>
          </w:tcPr>
          <w:p w14:paraId="3DE53EF3" w14:textId="4280AC36" w:rsidR="00C9018D" w:rsidRPr="00073AF0" w:rsidRDefault="00C9018D" w:rsidP="008659A7">
            <w:pPr>
              <w:rPr>
                <w:rFonts w:ascii="Calibri" w:eastAsia="Times New Roman" w:hAnsi="Calibri" w:cs="Calibri"/>
                <w:color w:val="000000"/>
              </w:rPr>
            </w:pPr>
            <w:r>
              <w:rPr>
                <w:rFonts w:ascii="Calibri" w:hAnsi="Calibri" w:cs="Calibri"/>
                <w:color w:val="000000"/>
              </w:rPr>
              <w:t>-0.24 (-0.61, 0.13)</w:t>
            </w:r>
          </w:p>
        </w:tc>
        <w:tc>
          <w:tcPr>
            <w:tcW w:w="1980" w:type="dxa"/>
            <w:noWrap/>
            <w:vAlign w:val="bottom"/>
            <w:hideMark/>
          </w:tcPr>
          <w:p w14:paraId="1EACB85C" w14:textId="17A8517F" w:rsidR="00C9018D" w:rsidRPr="00073AF0" w:rsidRDefault="00C9018D" w:rsidP="008659A7">
            <w:pPr>
              <w:rPr>
                <w:rFonts w:ascii="Calibri" w:eastAsia="Times New Roman" w:hAnsi="Calibri" w:cs="Calibri"/>
                <w:color w:val="000000"/>
              </w:rPr>
            </w:pPr>
            <w:r>
              <w:rPr>
                <w:rFonts w:ascii="Calibri" w:hAnsi="Calibri" w:cs="Calibri"/>
                <w:color w:val="000000"/>
              </w:rPr>
              <w:t>-0.23 (-0.52, 0.08)</w:t>
            </w:r>
          </w:p>
        </w:tc>
        <w:tc>
          <w:tcPr>
            <w:tcW w:w="2014" w:type="dxa"/>
            <w:noWrap/>
            <w:vAlign w:val="bottom"/>
            <w:hideMark/>
          </w:tcPr>
          <w:p w14:paraId="63297138" w14:textId="74C8D985" w:rsidR="00C9018D" w:rsidRPr="00073AF0" w:rsidRDefault="00C9018D" w:rsidP="008659A7">
            <w:pPr>
              <w:rPr>
                <w:rFonts w:ascii="Calibri" w:eastAsia="Times New Roman" w:hAnsi="Calibri" w:cs="Calibri"/>
                <w:color w:val="000000"/>
              </w:rPr>
            </w:pPr>
            <w:r>
              <w:rPr>
                <w:rFonts w:ascii="Calibri" w:hAnsi="Calibri" w:cs="Calibri"/>
                <w:color w:val="000000"/>
              </w:rPr>
              <w:t>-0.56 (-1.16, 0)</w:t>
            </w:r>
          </w:p>
        </w:tc>
      </w:tr>
      <w:tr w:rsidR="00C9018D" w:rsidRPr="00073AF0" w14:paraId="01CC88A8" w14:textId="77777777" w:rsidTr="00C9018D">
        <w:trPr>
          <w:trHeight w:val="281"/>
        </w:trPr>
        <w:tc>
          <w:tcPr>
            <w:tcW w:w="1710" w:type="dxa"/>
            <w:noWrap/>
            <w:hideMark/>
          </w:tcPr>
          <w:p w14:paraId="5E885E21" w14:textId="1D6750CE"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timePost</w:t>
            </w:r>
          </w:p>
        </w:tc>
        <w:tc>
          <w:tcPr>
            <w:tcW w:w="1890" w:type="dxa"/>
            <w:noWrap/>
            <w:vAlign w:val="bottom"/>
            <w:hideMark/>
          </w:tcPr>
          <w:p w14:paraId="1F7929F4" w14:textId="37199C1B" w:rsidR="00C9018D" w:rsidRPr="00073AF0" w:rsidRDefault="00C9018D" w:rsidP="008659A7">
            <w:pPr>
              <w:rPr>
                <w:rFonts w:ascii="Calibri" w:eastAsia="Times New Roman" w:hAnsi="Calibri" w:cs="Calibri"/>
                <w:color w:val="000000"/>
              </w:rPr>
            </w:pPr>
            <w:r>
              <w:rPr>
                <w:rFonts w:ascii="Calibri" w:hAnsi="Calibri" w:cs="Calibri"/>
                <w:color w:val="000000"/>
              </w:rPr>
              <w:t>-1.45 (-1.73, -1.19)</w:t>
            </w:r>
          </w:p>
        </w:tc>
        <w:tc>
          <w:tcPr>
            <w:tcW w:w="1890" w:type="dxa"/>
            <w:noWrap/>
            <w:vAlign w:val="bottom"/>
            <w:hideMark/>
          </w:tcPr>
          <w:p w14:paraId="064B4093" w14:textId="00830B02" w:rsidR="00C9018D" w:rsidRPr="00073AF0" w:rsidRDefault="00C9018D" w:rsidP="008659A7">
            <w:pPr>
              <w:rPr>
                <w:rFonts w:ascii="Calibri" w:eastAsia="Times New Roman" w:hAnsi="Calibri" w:cs="Calibri"/>
                <w:color w:val="000000"/>
              </w:rPr>
            </w:pPr>
            <w:r>
              <w:rPr>
                <w:rFonts w:ascii="Calibri" w:hAnsi="Calibri" w:cs="Calibri"/>
                <w:color w:val="000000"/>
              </w:rPr>
              <w:t>-2.3 (-2.71, -1.88)</w:t>
            </w:r>
          </w:p>
        </w:tc>
        <w:tc>
          <w:tcPr>
            <w:tcW w:w="1980" w:type="dxa"/>
            <w:noWrap/>
            <w:vAlign w:val="bottom"/>
            <w:hideMark/>
          </w:tcPr>
          <w:p w14:paraId="0FF8ED18" w14:textId="37B380DC" w:rsidR="00C9018D" w:rsidRPr="00073AF0" w:rsidRDefault="00C9018D" w:rsidP="008659A7">
            <w:pPr>
              <w:rPr>
                <w:rFonts w:ascii="Calibri" w:eastAsia="Times New Roman" w:hAnsi="Calibri" w:cs="Calibri"/>
                <w:color w:val="000000"/>
              </w:rPr>
            </w:pPr>
            <w:r>
              <w:rPr>
                <w:rFonts w:ascii="Calibri" w:hAnsi="Calibri" w:cs="Calibri"/>
                <w:color w:val="000000"/>
              </w:rPr>
              <w:t>-1.44 (-1.69, -1.18)</w:t>
            </w:r>
          </w:p>
        </w:tc>
        <w:tc>
          <w:tcPr>
            <w:tcW w:w="2014" w:type="dxa"/>
            <w:noWrap/>
            <w:vAlign w:val="bottom"/>
            <w:hideMark/>
          </w:tcPr>
          <w:p w14:paraId="5BAC7334" w14:textId="059881CE" w:rsidR="00C9018D" w:rsidRPr="00073AF0" w:rsidRDefault="00C9018D" w:rsidP="008659A7">
            <w:pPr>
              <w:rPr>
                <w:rFonts w:ascii="Calibri" w:eastAsia="Times New Roman" w:hAnsi="Calibri" w:cs="Calibri"/>
                <w:color w:val="000000"/>
              </w:rPr>
            </w:pPr>
            <w:r>
              <w:rPr>
                <w:rFonts w:ascii="Calibri" w:hAnsi="Calibri" w:cs="Calibri"/>
                <w:color w:val="000000"/>
              </w:rPr>
              <w:t>-1.17 (-1.61, -0.75)</w:t>
            </w:r>
          </w:p>
        </w:tc>
      </w:tr>
      <w:tr w:rsidR="00C9018D" w:rsidRPr="00073AF0" w14:paraId="09450B8D" w14:textId="77777777" w:rsidTr="00C9018D">
        <w:trPr>
          <w:trHeight w:val="281"/>
        </w:trPr>
        <w:tc>
          <w:tcPr>
            <w:tcW w:w="1710" w:type="dxa"/>
            <w:noWrap/>
            <w:hideMark/>
          </w:tcPr>
          <w:p w14:paraId="1EA344B0" w14:textId="4ABED8C3"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compBtimePost</w:t>
            </w:r>
          </w:p>
        </w:tc>
        <w:tc>
          <w:tcPr>
            <w:tcW w:w="1890" w:type="dxa"/>
            <w:noWrap/>
            <w:vAlign w:val="bottom"/>
            <w:hideMark/>
          </w:tcPr>
          <w:p w14:paraId="1B877387" w14:textId="2D3F99FA" w:rsidR="00C9018D" w:rsidRPr="00073AF0" w:rsidRDefault="00C9018D" w:rsidP="008659A7">
            <w:pPr>
              <w:rPr>
                <w:rFonts w:ascii="Calibri" w:eastAsia="Times New Roman" w:hAnsi="Calibri" w:cs="Calibri"/>
                <w:color w:val="000000"/>
              </w:rPr>
            </w:pPr>
            <w:r>
              <w:rPr>
                <w:rFonts w:ascii="Calibri" w:hAnsi="Calibri" w:cs="Calibri"/>
                <w:color w:val="000000"/>
              </w:rPr>
              <w:t>-0.03 (-0.48, 0.43)</w:t>
            </w:r>
          </w:p>
        </w:tc>
        <w:tc>
          <w:tcPr>
            <w:tcW w:w="1890" w:type="dxa"/>
            <w:noWrap/>
            <w:vAlign w:val="bottom"/>
            <w:hideMark/>
          </w:tcPr>
          <w:p w14:paraId="3667B42C" w14:textId="1390B455" w:rsidR="00C9018D" w:rsidRPr="00073AF0" w:rsidRDefault="00C9018D" w:rsidP="008659A7">
            <w:pPr>
              <w:rPr>
                <w:rFonts w:ascii="Calibri" w:eastAsia="Times New Roman" w:hAnsi="Calibri" w:cs="Calibri"/>
                <w:color w:val="000000"/>
              </w:rPr>
            </w:pPr>
            <w:r>
              <w:rPr>
                <w:rFonts w:ascii="Calibri" w:hAnsi="Calibri" w:cs="Calibri"/>
                <w:color w:val="000000"/>
              </w:rPr>
              <w:t>0.01 (-0.66, 0.69)</w:t>
            </w:r>
          </w:p>
        </w:tc>
        <w:tc>
          <w:tcPr>
            <w:tcW w:w="1980" w:type="dxa"/>
            <w:noWrap/>
            <w:vAlign w:val="bottom"/>
            <w:hideMark/>
          </w:tcPr>
          <w:p w14:paraId="4377C351" w14:textId="38317074" w:rsidR="00C9018D" w:rsidRPr="00073AF0" w:rsidRDefault="00C9018D" w:rsidP="008659A7">
            <w:pPr>
              <w:rPr>
                <w:rFonts w:ascii="Calibri" w:eastAsia="Times New Roman" w:hAnsi="Calibri" w:cs="Calibri"/>
                <w:color w:val="000000"/>
              </w:rPr>
            </w:pPr>
            <w:r>
              <w:rPr>
                <w:rFonts w:ascii="Calibri" w:hAnsi="Calibri" w:cs="Calibri"/>
                <w:color w:val="000000"/>
              </w:rPr>
              <w:t>0.09 (-0.33, 0.51)</w:t>
            </w:r>
          </w:p>
        </w:tc>
        <w:tc>
          <w:tcPr>
            <w:tcW w:w="2014" w:type="dxa"/>
            <w:noWrap/>
            <w:vAlign w:val="bottom"/>
            <w:hideMark/>
          </w:tcPr>
          <w:p w14:paraId="648CD144" w14:textId="2117865B" w:rsidR="00C9018D" w:rsidRPr="00073AF0" w:rsidRDefault="00C9018D" w:rsidP="008659A7">
            <w:pPr>
              <w:rPr>
                <w:rFonts w:ascii="Calibri" w:eastAsia="Times New Roman" w:hAnsi="Calibri" w:cs="Calibri"/>
                <w:color w:val="000000"/>
              </w:rPr>
            </w:pPr>
            <w:r>
              <w:rPr>
                <w:rFonts w:ascii="Calibri" w:hAnsi="Calibri" w:cs="Calibri"/>
                <w:color w:val="000000"/>
              </w:rPr>
              <w:t>0.29 (-0.4, 0.98)</w:t>
            </w:r>
          </w:p>
        </w:tc>
      </w:tr>
      <w:tr w:rsidR="00C9018D" w:rsidRPr="00073AF0" w14:paraId="3A220B7B" w14:textId="77777777" w:rsidTr="00C9018D">
        <w:trPr>
          <w:trHeight w:val="281"/>
        </w:trPr>
        <w:tc>
          <w:tcPr>
            <w:tcW w:w="1710" w:type="dxa"/>
            <w:noWrap/>
            <w:hideMark/>
          </w:tcPr>
          <w:p w14:paraId="38D8DEA4" w14:textId="77777777" w:rsidR="00C9018D" w:rsidRPr="00073AF0" w:rsidRDefault="00C9018D" w:rsidP="008659A7">
            <w:pPr>
              <w:rPr>
                <w:rFonts w:ascii="Calibri" w:eastAsia="Times New Roman" w:hAnsi="Calibri" w:cs="Calibri"/>
                <w:b/>
                <w:bCs/>
                <w:color w:val="000000"/>
              </w:rPr>
            </w:pPr>
            <w:r w:rsidRPr="00073AF0">
              <w:rPr>
                <w:rFonts w:ascii="Calibri" w:eastAsia="Times New Roman" w:hAnsi="Calibri" w:cs="Calibri"/>
                <w:b/>
                <w:bCs/>
                <w:color w:val="000000"/>
              </w:rPr>
              <w:t>compCtimePost</w:t>
            </w:r>
          </w:p>
        </w:tc>
        <w:tc>
          <w:tcPr>
            <w:tcW w:w="1890" w:type="dxa"/>
            <w:noWrap/>
            <w:vAlign w:val="bottom"/>
            <w:hideMark/>
          </w:tcPr>
          <w:p w14:paraId="62134F74" w14:textId="34381B44" w:rsidR="00C9018D" w:rsidRPr="00073AF0" w:rsidRDefault="00C9018D" w:rsidP="008659A7">
            <w:pPr>
              <w:rPr>
                <w:rFonts w:ascii="Calibri" w:eastAsia="Times New Roman" w:hAnsi="Calibri" w:cs="Calibri"/>
                <w:color w:val="000000"/>
              </w:rPr>
            </w:pPr>
            <w:r>
              <w:rPr>
                <w:rFonts w:ascii="Calibri" w:hAnsi="Calibri" w:cs="Calibri"/>
                <w:color w:val="000000"/>
              </w:rPr>
              <w:t>0.27 (-0.16, 0.71)</w:t>
            </w:r>
          </w:p>
        </w:tc>
        <w:tc>
          <w:tcPr>
            <w:tcW w:w="1890" w:type="dxa"/>
            <w:noWrap/>
            <w:vAlign w:val="bottom"/>
            <w:hideMark/>
          </w:tcPr>
          <w:p w14:paraId="19DBF3C7" w14:textId="6AFEE8F2" w:rsidR="00C9018D" w:rsidRPr="00073AF0" w:rsidRDefault="00C9018D" w:rsidP="008659A7">
            <w:pPr>
              <w:rPr>
                <w:rFonts w:ascii="Calibri" w:eastAsia="Times New Roman" w:hAnsi="Calibri" w:cs="Calibri"/>
                <w:color w:val="000000"/>
              </w:rPr>
            </w:pPr>
            <w:r>
              <w:rPr>
                <w:rFonts w:ascii="Calibri" w:hAnsi="Calibri" w:cs="Calibri"/>
                <w:color w:val="000000"/>
              </w:rPr>
              <w:t>-0.36 (-1.07, 0.32)</w:t>
            </w:r>
          </w:p>
        </w:tc>
        <w:tc>
          <w:tcPr>
            <w:tcW w:w="1980" w:type="dxa"/>
            <w:noWrap/>
            <w:vAlign w:val="bottom"/>
            <w:hideMark/>
          </w:tcPr>
          <w:p w14:paraId="2623DC95" w14:textId="17922B9D" w:rsidR="00C9018D" w:rsidRPr="00073AF0" w:rsidRDefault="00C9018D" w:rsidP="008659A7">
            <w:pPr>
              <w:rPr>
                <w:rFonts w:ascii="Calibri" w:eastAsia="Times New Roman" w:hAnsi="Calibri" w:cs="Calibri"/>
                <w:color w:val="000000"/>
              </w:rPr>
            </w:pPr>
            <w:r>
              <w:rPr>
                <w:rFonts w:ascii="Calibri" w:hAnsi="Calibri" w:cs="Calibri"/>
                <w:color w:val="000000"/>
              </w:rPr>
              <w:t>0.17 (-0.25, 0.57)</w:t>
            </w:r>
          </w:p>
        </w:tc>
        <w:tc>
          <w:tcPr>
            <w:tcW w:w="2014" w:type="dxa"/>
            <w:noWrap/>
            <w:vAlign w:val="bottom"/>
            <w:hideMark/>
          </w:tcPr>
          <w:p w14:paraId="48D1F7F3" w14:textId="5A3153B3" w:rsidR="00C9018D" w:rsidRPr="00073AF0" w:rsidRDefault="00C9018D" w:rsidP="008659A7">
            <w:pPr>
              <w:rPr>
                <w:rFonts w:ascii="Calibri" w:eastAsia="Times New Roman" w:hAnsi="Calibri" w:cs="Calibri"/>
                <w:color w:val="000000"/>
              </w:rPr>
            </w:pPr>
            <w:r>
              <w:rPr>
                <w:rFonts w:ascii="Calibri" w:hAnsi="Calibri" w:cs="Calibri"/>
                <w:color w:val="000000"/>
              </w:rPr>
              <w:t>0.55 (-0.09, 1.27)</w:t>
            </w:r>
          </w:p>
        </w:tc>
      </w:tr>
      <w:tr w:rsidR="00C9018D" w:rsidRPr="00073AF0" w14:paraId="5A8ED12D" w14:textId="77777777" w:rsidTr="00C9018D">
        <w:trPr>
          <w:trHeight w:val="281"/>
        </w:trPr>
        <w:tc>
          <w:tcPr>
            <w:tcW w:w="1710" w:type="dxa"/>
            <w:noWrap/>
            <w:hideMark/>
          </w:tcPr>
          <w:p w14:paraId="471F3E3B" w14:textId="690BFB1D"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Plot SD</w:t>
            </w:r>
          </w:p>
        </w:tc>
        <w:tc>
          <w:tcPr>
            <w:tcW w:w="1890" w:type="dxa"/>
            <w:noWrap/>
            <w:vAlign w:val="bottom"/>
            <w:hideMark/>
          </w:tcPr>
          <w:p w14:paraId="561058A4" w14:textId="0399A367" w:rsidR="00C9018D" w:rsidRPr="00073AF0" w:rsidRDefault="00C9018D" w:rsidP="008659A7">
            <w:pPr>
              <w:rPr>
                <w:rFonts w:ascii="Calibri" w:eastAsia="Times New Roman" w:hAnsi="Calibri" w:cs="Calibri"/>
                <w:color w:val="000000"/>
              </w:rPr>
            </w:pPr>
            <w:r>
              <w:rPr>
                <w:rFonts w:ascii="Calibri" w:hAnsi="Calibri" w:cs="Calibri"/>
                <w:color w:val="000000"/>
              </w:rPr>
              <w:t>0.23 (0.09, 0.41)</w:t>
            </w:r>
          </w:p>
        </w:tc>
        <w:tc>
          <w:tcPr>
            <w:tcW w:w="1890" w:type="dxa"/>
            <w:noWrap/>
            <w:vAlign w:val="bottom"/>
            <w:hideMark/>
          </w:tcPr>
          <w:p w14:paraId="4C257813" w14:textId="7FA21567" w:rsidR="00C9018D" w:rsidRPr="00073AF0" w:rsidRDefault="00C9018D" w:rsidP="008659A7">
            <w:pPr>
              <w:rPr>
                <w:rFonts w:ascii="Calibri" w:eastAsia="Times New Roman" w:hAnsi="Calibri" w:cs="Calibri"/>
                <w:color w:val="000000"/>
              </w:rPr>
            </w:pPr>
            <w:r>
              <w:rPr>
                <w:rFonts w:ascii="Calibri" w:hAnsi="Calibri" w:cs="Calibri"/>
                <w:color w:val="000000"/>
              </w:rPr>
              <w:t>0.24 (0.1, 0.42)</w:t>
            </w:r>
          </w:p>
        </w:tc>
        <w:tc>
          <w:tcPr>
            <w:tcW w:w="1980" w:type="dxa"/>
            <w:noWrap/>
            <w:vAlign w:val="bottom"/>
            <w:hideMark/>
          </w:tcPr>
          <w:p w14:paraId="547C4B57" w14:textId="3768D8ED" w:rsidR="00C9018D" w:rsidRPr="00073AF0" w:rsidRDefault="00C9018D" w:rsidP="008659A7">
            <w:pPr>
              <w:rPr>
                <w:rFonts w:ascii="Calibri" w:eastAsia="Times New Roman" w:hAnsi="Calibri" w:cs="Calibri"/>
                <w:color w:val="000000"/>
              </w:rPr>
            </w:pPr>
            <w:r>
              <w:rPr>
                <w:rFonts w:ascii="Calibri" w:hAnsi="Calibri" w:cs="Calibri"/>
                <w:color w:val="000000"/>
              </w:rPr>
              <w:t>0.16 (0.03, 0.32)</w:t>
            </w:r>
          </w:p>
        </w:tc>
        <w:tc>
          <w:tcPr>
            <w:tcW w:w="2014" w:type="dxa"/>
            <w:noWrap/>
            <w:vAlign w:val="bottom"/>
            <w:hideMark/>
          </w:tcPr>
          <w:p w14:paraId="3F632BA9" w14:textId="39B6513B" w:rsidR="00C9018D" w:rsidRPr="00073AF0" w:rsidRDefault="00C9018D" w:rsidP="008659A7">
            <w:pPr>
              <w:rPr>
                <w:rFonts w:ascii="Calibri" w:eastAsia="Times New Roman" w:hAnsi="Calibri" w:cs="Calibri"/>
                <w:color w:val="000000"/>
              </w:rPr>
            </w:pPr>
            <w:r>
              <w:rPr>
                <w:rFonts w:ascii="Calibri" w:hAnsi="Calibri" w:cs="Calibri"/>
                <w:color w:val="000000"/>
              </w:rPr>
              <w:t>0.35 (0.16, 0.62)</w:t>
            </w:r>
          </w:p>
        </w:tc>
      </w:tr>
      <w:tr w:rsidR="00C9018D" w:rsidRPr="00073AF0" w14:paraId="6CB80740" w14:textId="77777777" w:rsidTr="00C9018D">
        <w:trPr>
          <w:trHeight w:val="281"/>
        </w:trPr>
        <w:tc>
          <w:tcPr>
            <w:tcW w:w="1710" w:type="dxa"/>
            <w:noWrap/>
            <w:hideMark/>
          </w:tcPr>
          <w:p w14:paraId="33FBA2EF" w14:textId="7805540C"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 xml:space="preserve">GP </w:t>
            </w:r>
            <w:r w:rsidR="004E34EF">
              <w:rPr>
                <w:rFonts w:ascii="Calibri" w:eastAsia="Times New Roman" w:hAnsi="Calibri" w:cs="Calibri"/>
                <w:b/>
                <w:bCs/>
                <w:color w:val="000000"/>
              </w:rPr>
              <w:t>Magnitude</w:t>
            </w:r>
            <w:r>
              <w:rPr>
                <w:rFonts w:ascii="Calibri" w:eastAsia="Times New Roman" w:hAnsi="Calibri" w:cs="Calibri"/>
                <w:b/>
                <w:bCs/>
                <w:color w:val="000000"/>
              </w:rPr>
              <w:t xml:space="preserve"> (pre)</w:t>
            </w:r>
          </w:p>
        </w:tc>
        <w:tc>
          <w:tcPr>
            <w:tcW w:w="1890" w:type="dxa"/>
            <w:noWrap/>
            <w:vAlign w:val="bottom"/>
            <w:hideMark/>
          </w:tcPr>
          <w:p w14:paraId="29A6C628" w14:textId="03D50DBC" w:rsidR="00C9018D" w:rsidRPr="00073AF0" w:rsidRDefault="00C9018D" w:rsidP="008659A7">
            <w:pPr>
              <w:rPr>
                <w:rFonts w:ascii="Calibri" w:eastAsia="Times New Roman" w:hAnsi="Calibri" w:cs="Calibri"/>
                <w:color w:val="000000"/>
              </w:rPr>
            </w:pPr>
            <w:r>
              <w:rPr>
                <w:rFonts w:ascii="Calibri" w:hAnsi="Calibri" w:cs="Calibri"/>
                <w:color w:val="000000"/>
              </w:rPr>
              <w:t>0.77 (0.7, 0.85)</w:t>
            </w:r>
          </w:p>
        </w:tc>
        <w:tc>
          <w:tcPr>
            <w:tcW w:w="1890" w:type="dxa"/>
            <w:noWrap/>
            <w:vAlign w:val="bottom"/>
            <w:hideMark/>
          </w:tcPr>
          <w:p w14:paraId="7E0CB608" w14:textId="09375E87" w:rsidR="00C9018D" w:rsidRPr="00073AF0" w:rsidRDefault="00C9018D" w:rsidP="008659A7">
            <w:pPr>
              <w:rPr>
                <w:rFonts w:ascii="Calibri" w:eastAsia="Times New Roman" w:hAnsi="Calibri" w:cs="Calibri"/>
                <w:color w:val="000000"/>
              </w:rPr>
            </w:pPr>
            <w:r>
              <w:rPr>
                <w:rFonts w:ascii="Calibri" w:hAnsi="Calibri" w:cs="Calibri"/>
                <w:color w:val="000000"/>
              </w:rPr>
              <w:t>0.63 (0.56, 0.72)</w:t>
            </w:r>
          </w:p>
        </w:tc>
        <w:tc>
          <w:tcPr>
            <w:tcW w:w="1980" w:type="dxa"/>
            <w:noWrap/>
            <w:vAlign w:val="bottom"/>
            <w:hideMark/>
          </w:tcPr>
          <w:p w14:paraId="48B05860" w14:textId="1A97497B" w:rsidR="00C9018D" w:rsidRPr="00073AF0" w:rsidRDefault="00C9018D" w:rsidP="008659A7">
            <w:pPr>
              <w:rPr>
                <w:rFonts w:ascii="Calibri" w:eastAsia="Times New Roman" w:hAnsi="Calibri" w:cs="Calibri"/>
                <w:color w:val="000000"/>
              </w:rPr>
            </w:pPr>
            <w:r>
              <w:rPr>
                <w:rFonts w:ascii="Calibri" w:hAnsi="Calibri" w:cs="Calibri"/>
                <w:color w:val="000000"/>
              </w:rPr>
              <w:t>0.61 (0.52, 0.7)</w:t>
            </w:r>
          </w:p>
        </w:tc>
        <w:tc>
          <w:tcPr>
            <w:tcW w:w="2014" w:type="dxa"/>
            <w:noWrap/>
            <w:vAlign w:val="bottom"/>
            <w:hideMark/>
          </w:tcPr>
          <w:p w14:paraId="303B444D" w14:textId="1CEAC3C4" w:rsidR="00C9018D" w:rsidRPr="00073AF0" w:rsidRDefault="00C9018D" w:rsidP="008659A7">
            <w:pPr>
              <w:rPr>
                <w:rFonts w:ascii="Calibri" w:eastAsia="Times New Roman" w:hAnsi="Calibri" w:cs="Calibri"/>
                <w:color w:val="000000"/>
              </w:rPr>
            </w:pPr>
            <w:r>
              <w:rPr>
                <w:rFonts w:ascii="Calibri" w:hAnsi="Calibri" w:cs="Calibri"/>
                <w:color w:val="000000"/>
              </w:rPr>
              <w:t>0.92 (0.75, 1.12)</w:t>
            </w:r>
          </w:p>
        </w:tc>
      </w:tr>
      <w:tr w:rsidR="00C9018D" w:rsidRPr="00073AF0" w14:paraId="4EE223BD" w14:textId="77777777" w:rsidTr="00C9018D">
        <w:trPr>
          <w:trHeight w:val="281"/>
        </w:trPr>
        <w:tc>
          <w:tcPr>
            <w:tcW w:w="1710" w:type="dxa"/>
            <w:noWrap/>
            <w:hideMark/>
          </w:tcPr>
          <w:p w14:paraId="6AFB14D0" w14:textId="590139AB"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 xml:space="preserve">GP </w:t>
            </w:r>
            <w:r w:rsidR="004E34EF">
              <w:rPr>
                <w:rFonts w:ascii="Calibri" w:eastAsia="Times New Roman" w:hAnsi="Calibri" w:cs="Calibri"/>
                <w:b/>
                <w:bCs/>
                <w:color w:val="000000"/>
              </w:rPr>
              <w:t>Magnitude</w:t>
            </w:r>
            <w:r>
              <w:rPr>
                <w:rFonts w:ascii="Calibri" w:eastAsia="Times New Roman" w:hAnsi="Calibri" w:cs="Calibri"/>
                <w:b/>
                <w:bCs/>
                <w:color w:val="000000"/>
              </w:rPr>
              <w:t xml:space="preserve"> (post)</w:t>
            </w:r>
          </w:p>
        </w:tc>
        <w:tc>
          <w:tcPr>
            <w:tcW w:w="1890" w:type="dxa"/>
            <w:noWrap/>
            <w:vAlign w:val="bottom"/>
            <w:hideMark/>
          </w:tcPr>
          <w:p w14:paraId="4FF1D5CC" w14:textId="401433F4" w:rsidR="00C9018D" w:rsidRPr="00073AF0" w:rsidRDefault="00C9018D" w:rsidP="008659A7">
            <w:pPr>
              <w:rPr>
                <w:rFonts w:ascii="Calibri" w:eastAsia="Times New Roman" w:hAnsi="Calibri" w:cs="Calibri"/>
                <w:color w:val="000000"/>
              </w:rPr>
            </w:pPr>
            <w:r>
              <w:rPr>
                <w:rFonts w:ascii="Calibri" w:hAnsi="Calibri" w:cs="Calibri"/>
                <w:color w:val="000000"/>
              </w:rPr>
              <w:t>1.4 (1.26, 1.56)</w:t>
            </w:r>
          </w:p>
        </w:tc>
        <w:tc>
          <w:tcPr>
            <w:tcW w:w="1890" w:type="dxa"/>
            <w:noWrap/>
            <w:vAlign w:val="bottom"/>
            <w:hideMark/>
          </w:tcPr>
          <w:p w14:paraId="0BA3CCBA" w14:textId="1971406D" w:rsidR="00C9018D" w:rsidRPr="00073AF0" w:rsidRDefault="00C9018D" w:rsidP="008659A7">
            <w:pPr>
              <w:rPr>
                <w:rFonts w:ascii="Calibri" w:eastAsia="Times New Roman" w:hAnsi="Calibri" w:cs="Calibri"/>
                <w:color w:val="000000"/>
              </w:rPr>
            </w:pPr>
            <w:r>
              <w:rPr>
                <w:rFonts w:ascii="Calibri" w:hAnsi="Calibri" w:cs="Calibri"/>
                <w:color w:val="000000"/>
              </w:rPr>
              <w:t>1.37 (1.16, 1.62)</w:t>
            </w:r>
          </w:p>
        </w:tc>
        <w:tc>
          <w:tcPr>
            <w:tcW w:w="1980" w:type="dxa"/>
            <w:noWrap/>
            <w:vAlign w:val="bottom"/>
            <w:hideMark/>
          </w:tcPr>
          <w:p w14:paraId="25F1B857" w14:textId="1B875F48" w:rsidR="00C9018D" w:rsidRPr="00073AF0" w:rsidRDefault="00C9018D" w:rsidP="008659A7">
            <w:pPr>
              <w:rPr>
                <w:rFonts w:ascii="Calibri" w:eastAsia="Times New Roman" w:hAnsi="Calibri" w:cs="Calibri"/>
                <w:color w:val="000000"/>
              </w:rPr>
            </w:pPr>
            <w:r>
              <w:rPr>
                <w:rFonts w:ascii="Calibri" w:hAnsi="Calibri" w:cs="Calibri"/>
                <w:color w:val="000000"/>
              </w:rPr>
              <w:t>0.89 (0.75, 1.04)</w:t>
            </w:r>
          </w:p>
        </w:tc>
        <w:tc>
          <w:tcPr>
            <w:tcW w:w="2014" w:type="dxa"/>
            <w:noWrap/>
            <w:vAlign w:val="bottom"/>
            <w:hideMark/>
          </w:tcPr>
          <w:p w14:paraId="4539A0FF" w14:textId="6142FA85" w:rsidR="00C9018D" w:rsidRPr="00073AF0" w:rsidRDefault="00C9018D" w:rsidP="008659A7">
            <w:pPr>
              <w:rPr>
                <w:rFonts w:ascii="Calibri" w:eastAsia="Times New Roman" w:hAnsi="Calibri" w:cs="Calibri"/>
                <w:color w:val="000000"/>
              </w:rPr>
            </w:pPr>
            <w:r>
              <w:rPr>
                <w:rFonts w:ascii="Calibri" w:hAnsi="Calibri" w:cs="Calibri"/>
                <w:color w:val="000000"/>
              </w:rPr>
              <w:t>0.85 (0.41, 1.21)</w:t>
            </w:r>
          </w:p>
        </w:tc>
      </w:tr>
      <w:tr w:rsidR="00C9018D" w:rsidRPr="00073AF0" w14:paraId="0E0AF87D" w14:textId="77777777" w:rsidTr="00C9018D">
        <w:trPr>
          <w:trHeight w:val="281"/>
        </w:trPr>
        <w:tc>
          <w:tcPr>
            <w:tcW w:w="1710" w:type="dxa"/>
            <w:noWrap/>
            <w:hideMark/>
          </w:tcPr>
          <w:p w14:paraId="5481DFFA" w14:textId="508EE7CF"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GP Range (pre)</w:t>
            </w:r>
          </w:p>
        </w:tc>
        <w:tc>
          <w:tcPr>
            <w:tcW w:w="1890" w:type="dxa"/>
            <w:noWrap/>
            <w:vAlign w:val="bottom"/>
            <w:hideMark/>
          </w:tcPr>
          <w:p w14:paraId="12583B84" w14:textId="2A357DCF" w:rsidR="00C9018D" w:rsidRPr="00073AF0" w:rsidRDefault="00C9018D" w:rsidP="008659A7">
            <w:pPr>
              <w:rPr>
                <w:rFonts w:ascii="Calibri" w:eastAsia="Times New Roman" w:hAnsi="Calibri" w:cs="Calibri"/>
                <w:color w:val="000000"/>
              </w:rPr>
            </w:pPr>
            <w:r>
              <w:rPr>
                <w:rFonts w:ascii="Calibri" w:hAnsi="Calibri" w:cs="Calibri"/>
                <w:color w:val="000000"/>
              </w:rPr>
              <w:t>1.58 (1.23, 1.89)</w:t>
            </w:r>
          </w:p>
        </w:tc>
        <w:tc>
          <w:tcPr>
            <w:tcW w:w="1890" w:type="dxa"/>
            <w:noWrap/>
            <w:vAlign w:val="bottom"/>
            <w:hideMark/>
          </w:tcPr>
          <w:p w14:paraId="5DEFF392" w14:textId="5D8F2546" w:rsidR="00C9018D" w:rsidRPr="00073AF0" w:rsidRDefault="00C9018D" w:rsidP="008659A7">
            <w:pPr>
              <w:rPr>
                <w:rFonts w:ascii="Calibri" w:eastAsia="Times New Roman" w:hAnsi="Calibri" w:cs="Calibri"/>
                <w:color w:val="000000"/>
              </w:rPr>
            </w:pPr>
            <w:r>
              <w:rPr>
                <w:rFonts w:ascii="Calibri" w:hAnsi="Calibri" w:cs="Calibri"/>
                <w:color w:val="000000"/>
              </w:rPr>
              <w:t>3.52 (2.87, 4.3)</w:t>
            </w:r>
          </w:p>
        </w:tc>
        <w:tc>
          <w:tcPr>
            <w:tcW w:w="1980" w:type="dxa"/>
            <w:noWrap/>
            <w:vAlign w:val="bottom"/>
            <w:hideMark/>
          </w:tcPr>
          <w:p w14:paraId="595FFFDB" w14:textId="2B21EEDB" w:rsidR="00C9018D" w:rsidRPr="00073AF0" w:rsidRDefault="00C9018D" w:rsidP="008659A7">
            <w:pPr>
              <w:rPr>
                <w:rFonts w:ascii="Calibri" w:eastAsia="Times New Roman" w:hAnsi="Calibri" w:cs="Calibri"/>
                <w:color w:val="000000"/>
              </w:rPr>
            </w:pPr>
            <w:r>
              <w:rPr>
                <w:rFonts w:ascii="Calibri" w:hAnsi="Calibri" w:cs="Calibri"/>
                <w:color w:val="000000"/>
              </w:rPr>
              <w:t>2.86 (2.19, 3.67)</w:t>
            </w:r>
          </w:p>
        </w:tc>
        <w:tc>
          <w:tcPr>
            <w:tcW w:w="2014" w:type="dxa"/>
            <w:noWrap/>
            <w:vAlign w:val="bottom"/>
            <w:hideMark/>
          </w:tcPr>
          <w:p w14:paraId="52E749E7" w14:textId="3D892213" w:rsidR="00C9018D" w:rsidRPr="00073AF0" w:rsidRDefault="00C9018D" w:rsidP="008659A7">
            <w:pPr>
              <w:rPr>
                <w:rFonts w:ascii="Calibri" w:eastAsia="Times New Roman" w:hAnsi="Calibri" w:cs="Calibri"/>
                <w:color w:val="000000"/>
              </w:rPr>
            </w:pPr>
            <w:r>
              <w:rPr>
                <w:rFonts w:ascii="Calibri" w:hAnsi="Calibri" w:cs="Calibri"/>
                <w:color w:val="000000"/>
              </w:rPr>
              <w:t>3.25 (2.44, 4.34)</w:t>
            </w:r>
          </w:p>
        </w:tc>
      </w:tr>
      <w:tr w:rsidR="00C9018D" w:rsidRPr="00073AF0" w14:paraId="215946B5" w14:textId="77777777" w:rsidTr="00C9018D">
        <w:trPr>
          <w:trHeight w:val="281"/>
        </w:trPr>
        <w:tc>
          <w:tcPr>
            <w:tcW w:w="1710" w:type="dxa"/>
            <w:noWrap/>
            <w:hideMark/>
          </w:tcPr>
          <w:p w14:paraId="55EB9785" w14:textId="29340435"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GP Range (post)</w:t>
            </w:r>
          </w:p>
        </w:tc>
        <w:tc>
          <w:tcPr>
            <w:tcW w:w="1890" w:type="dxa"/>
            <w:noWrap/>
            <w:vAlign w:val="bottom"/>
            <w:hideMark/>
          </w:tcPr>
          <w:p w14:paraId="61C3DFD4" w14:textId="2EA7825F" w:rsidR="00C9018D" w:rsidRPr="00073AF0" w:rsidRDefault="00C9018D" w:rsidP="008659A7">
            <w:pPr>
              <w:rPr>
                <w:rFonts w:ascii="Calibri" w:eastAsia="Times New Roman" w:hAnsi="Calibri" w:cs="Calibri"/>
                <w:color w:val="000000"/>
              </w:rPr>
            </w:pPr>
            <w:r>
              <w:rPr>
                <w:rFonts w:ascii="Calibri" w:hAnsi="Calibri" w:cs="Calibri"/>
                <w:color w:val="000000"/>
              </w:rPr>
              <w:t>1.03 (0.9, 1.15)</w:t>
            </w:r>
          </w:p>
        </w:tc>
        <w:tc>
          <w:tcPr>
            <w:tcW w:w="1890" w:type="dxa"/>
            <w:noWrap/>
            <w:vAlign w:val="bottom"/>
            <w:hideMark/>
          </w:tcPr>
          <w:p w14:paraId="326EC30D" w14:textId="4391DFEB" w:rsidR="00C9018D" w:rsidRPr="00073AF0" w:rsidRDefault="00C9018D" w:rsidP="008659A7">
            <w:pPr>
              <w:rPr>
                <w:rFonts w:ascii="Calibri" w:eastAsia="Times New Roman" w:hAnsi="Calibri" w:cs="Calibri"/>
                <w:color w:val="000000"/>
              </w:rPr>
            </w:pPr>
            <w:r>
              <w:rPr>
                <w:rFonts w:ascii="Calibri" w:hAnsi="Calibri" w:cs="Calibri"/>
                <w:color w:val="000000"/>
              </w:rPr>
              <w:t>6.84 (5.55, 8.43)</w:t>
            </w:r>
          </w:p>
        </w:tc>
        <w:tc>
          <w:tcPr>
            <w:tcW w:w="1980" w:type="dxa"/>
            <w:noWrap/>
            <w:vAlign w:val="bottom"/>
            <w:hideMark/>
          </w:tcPr>
          <w:p w14:paraId="5E3D86F0" w14:textId="3FDA1AAB" w:rsidR="00C9018D" w:rsidRPr="00073AF0" w:rsidRDefault="00C9018D" w:rsidP="008659A7">
            <w:pPr>
              <w:rPr>
                <w:rFonts w:ascii="Calibri" w:eastAsia="Times New Roman" w:hAnsi="Calibri" w:cs="Calibri"/>
                <w:color w:val="000000"/>
              </w:rPr>
            </w:pPr>
            <w:r>
              <w:rPr>
                <w:rFonts w:ascii="Calibri" w:hAnsi="Calibri" w:cs="Calibri"/>
                <w:color w:val="000000"/>
              </w:rPr>
              <w:t>2.96 (2.39, 3.67)</w:t>
            </w:r>
          </w:p>
        </w:tc>
        <w:tc>
          <w:tcPr>
            <w:tcW w:w="2014" w:type="dxa"/>
            <w:noWrap/>
            <w:vAlign w:val="bottom"/>
            <w:hideMark/>
          </w:tcPr>
          <w:p w14:paraId="796E8E62" w14:textId="38CEEDDB" w:rsidR="00C9018D" w:rsidRPr="00073AF0" w:rsidRDefault="00C9018D" w:rsidP="008659A7">
            <w:pPr>
              <w:rPr>
                <w:rFonts w:ascii="Calibri" w:eastAsia="Times New Roman" w:hAnsi="Calibri" w:cs="Calibri"/>
                <w:color w:val="000000"/>
              </w:rPr>
            </w:pPr>
            <w:r>
              <w:rPr>
                <w:rFonts w:ascii="Calibri" w:hAnsi="Calibri" w:cs="Calibri"/>
                <w:color w:val="000000"/>
              </w:rPr>
              <w:t>4.71 (2.7, 10.35)</w:t>
            </w:r>
          </w:p>
        </w:tc>
      </w:tr>
      <w:tr w:rsidR="00C9018D" w:rsidRPr="00073AF0" w14:paraId="18521F90" w14:textId="77777777" w:rsidTr="00C9018D">
        <w:trPr>
          <w:trHeight w:val="281"/>
        </w:trPr>
        <w:tc>
          <w:tcPr>
            <w:tcW w:w="1710" w:type="dxa"/>
            <w:noWrap/>
            <w:hideMark/>
          </w:tcPr>
          <w:p w14:paraId="78FA4007" w14:textId="1BBB72E9"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GP Noise (pre)</w:t>
            </w:r>
          </w:p>
        </w:tc>
        <w:tc>
          <w:tcPr>
            <w:tcW w:w="1890" w:type="dxa"/>
            <w:noWrap/>
            <w:vAlign w:val="bottom"/>
            <w:hideMark/>
          </w:tcPr>
          <w:p w14:paraId="0218B51A" w14:textId="18333A97" w:rsidR="00C9018D" w:rsidRPr="00073AF0" w:rsidRDefault="00C9018D" w:rsidP="008659A7">
            <w:pPr>
              <w:rPr>
                <w:rFonts w:ascii="Calibri" w:eastAsia="Times New Roman" w:hAnsi="Calibri" w:cs="Calibri"/>
                <w:color w:val="000000"/>
              </w:rPr>
            </w:pPr>
            <w:r>
              <w:rPr>
                <w:rFonts w:ascii="Calibri" w:hAnsi="Calibri" w:cs="Calibri"/>
                <w:color w:val="000000"/>
              </w:rPr>
              <w:t>NA</w:t>
            </w:r>
          </w:p>
        </w:tc>
        <w:tc>
          <w:tcPr>
            <w:tcW w:w="1890" w:type="dxa"/>
            <w:noWrap/>
            <w:vAlign w:val="bottom"/>
            <w:hideMark/>
          </w:tcPr>
          <w:p w14:paraId="08E85641" w14:textId="7DED8493" w:rsidR="00C9018D" w:rsidRPr="00073AF0" w:rsidRDefault="00C9018D" w:rsidP="008659A7">
            <w:pPr>
              <w:rPr>
                <w:rFonts w:ascii="Calibri" w:eastAsia="Times New Roman" w:hAnsi="Calibri" w:cs="Calibri"/>
                <w:color w:val="000000"/>
              </w:rPr>
            </w:pPr>
            <w:r>
              <w:rPr>
                <w:rFonts w:ascii="Calibri" w:hAnsi="Calibri" w:cs="Calibri"/>
                <w:color w:val="000000"/>
              </w:rPr>
              <w:t>0.08 (0.05, 0.12)</w:t>
            </w:r>
          </w:p>
        </w:tc>
        <w:tc>
          <w:tcPr>
            <w:tcW w:w="1980" w:type="dxa"/>
            <w:noWrap/>
            <w:vAlign w:val="bottom"/>
            <w:hideMark/>
          </w:tcPr>
          <w:p w14:paraId="5441AABF" w14:textId="60A451F2" w:rsidR="00C9018D" w:rsidRPr="00073AF0" w:rsidRDefault="00C9018D" w:rsidP="008659A7">
            <w:pPr>
              <w:rPr>
                <w:rFonts w:ascii="Calibri" w:eastAsia="Times New Roman" w:hAnsi="Calibri" w:cs="Calibri"/>
                <w:color w:val="000000"/>
              </w:rPr>
            </w:pPr>
            <w:r>
              <w:rPr>
                <w:rFonts w:ascii="Calibri" w:hAnsi="Calibri" w:cs="Calibri"/>
                <w:color w:val="000000"/>
              </w:rPr>
              <w:t>0.13 (0.07, 0.2)</w:t>
            </w:r>
          </w:p>
        </w:tc>
        <w:tc>
          <w:tcPr>
            <w:tcW w:w="2014" w:type="dxa"/>
            <w:noWrap/>
            <w:vAlign w:val="bottom"/>
            <w:hideMark/>
          </w:tcPr>
          <w:p w14:paraId="76403585" w14:textId="6A4A4FCE" w:rsidR="00C9018D" w:rsidRPr="00073AF0" w:rsidRDefault="00C9018D" w:rsidP="008659A7">
            <w:pPr>
              <w:rPr>
                <w:rFonts w:ascii="Calibri" w:eastAsia="Times New Roman" w:hAnsi="Calibri" w:cs="Calibri"/>
                <w:color w:val="000000"/>
              </w:rPr>
            </w:pPr>
            <w:r>
              <w:rPr>
                <w:rFonts w:ascii="Calibri" w:hAnsi="Calibri" w:cs="Calibri"/>
                <w:color w:val="000000"/>
              </w:rPr>
              <w:t>0.11 (0.01, 0.3)</w:t>
            </w:r>
          </w:p>
        </w:tc>
      </w:tr>
      <w:tr w:rsidR="00C9018D" w:rsidRPr="00073AF0" w14:paraId="46F6BE01" w14:textId="77777777" w:rsidTr="00C9018D">
        <w:trPr>
          <w:trHeight w:val="281"/>
        </w:trPr>
        <w:tc>
          <w:tcPr>
            <w:tcW w:w="1710" w:type="dxa"/>
            <w:noWrap/>
            <w:hideMark/>
          </w:tcPr>
          <w:p w14:paraId="21918EB0" w14:textId="578B3ED3"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GP Noise (post)</w:t>
            </w:r>
          </w:p>
        </w:tc>
        <w:tc>
          <w:tcPr>
            <w:tcW w:w="1890" w:type="dxa"/>
            <w:noWrap/>
            <w:vAlign w:val="bottom"/>
            <w:hideMark/>
          </w:tcPr>
          <w:p w14:paraId="099529CB" w14:textId="3341E7CF" w:rsidR="00C9018D" w:rsidRPr="00073AF0" w:rsidRDefault="00C9018D" w:rsidP="008659A7">
            <w:pPr>
              <w:rPr>
                <w:rFonts w:ascii="Calibri" w:eastAsia="Times New Roman" w:hAnsi="Calibri" w:cs="Calibri"/>
                <w:color w:val="000000"/>
              </w:rPr>
            </w:pPr>
            <w:r>
              <w:rPr>
                <w:rFonts w:ascii="Calibri" w:hAnsi="Calibri" w:cs="Calibri"/>
                <w:color w:val="000000"/>
              </w:rPr>
              <w:t>NA</w:t>
            </w:r>
          </w:p>
        </w:tc>
        <w:tc>
          <w:tcPr>
            <w:tcW w:w="1890" w:type="dxa"/>
            <w:noWrap/>
            <w:vAlign w:val="bottom"/>
            <w:hideMark/>
          </w:tcPr>
          <w:p w14:paraId="3A710C17" w14:textId="48EB1BF8" w:rsidR="00C9018D" w:rsidRPr="00073AF0" w:rsidRDefault="00C9018D" w:rsidP="008659A7">
            <w:pPr>
              <w:rPr>
                <w:rFonts w:ascii="Calibri" w:eastAsia="Times New Roman" w:hAnsi="Calibri" w:cs="Calibri"/>
                <w:color w:val="000000"/>
              </w:rPr>
            </w:pPr>
            <w:r>
              <w:rPr>
                <w:rFonts w:ascii="Calibri" w:hAnsi="Calibri" w:cs="Calibri"/>
                <w:color w:val="000000"/>
              </w:rPr>
              <w:t>0.44 (0.32, 0.6)</w:t>
            </w:r>
          </w:p>
        </w:tc>
        <w:tc>
          <w:tcPr>
            <w:tcW w:w="1980" w:type="dxa"/>
            <w:noWrap/>
            <w:vAlign w:val="bottom"/>
            <w:hideMark/>
          </w:tcPr>
          <w:p w14:paraId="1DE9A2CD" w14:textId="630CB8B5" w:rsidR="00C9018D" w:rsidRPr="00073AF0" w:rsidRDefault="00C9018D" w:rsidP="008659A7">
            <w:pPr>
              <w:rPr>
                <w:rFonts w:ascii="Calibri" w:eastAsia="Times New Roman" w:hAnsi="Calibri" w:cs="Calibri"/>
                <w:color w:val="000000"/>
              </w:rPr>
            </w:pPr>
            <w:r>
              <w:rPr>
                <w:rFonts w:ascii="Calibri" w:hAnsi="Calibri" w:cs="Calibri"/>
                <w:color w:val="000000"/>
              </w:rPr>
              <w:t>0.15 (0.04, 0.31)</w:t>
            </w:r>
          </w:p>
        </w:tc>
        <w:tc>
          <w:tcPr>
            <w:tcW w:w="2014" w:type="dxa"/>
            <w:noWrap/>
            <w:vAlign w:val="bottom"/>
            <w:hideMark/>
          </w:tcPr>
          <w:p w14:paraId="27176126" w14:textId="5BA3E129" w:rsidR="00C9018D" w:rsidRPr="00073AF0" w:rsidRDefault="00C9018D" w:rsidP="008659A7">
            <w:pPr>
              <w:rPr>
                <w:rFonts w:ascii="Calibri" w:eastAsia="Times New Roman" w:hAnsi="Calibri" w:cs="Calibri"/>
                <w:color w:val="000000"/>
              </w:rPr>
            </w:pPr>
            <w:r>
              <w:rPr>
                <w:rFonts w:ascii="Calibri" w:hAnsi="Calibri" w:cs="Calibri"/>
                <w:color w:val="000000"/>
              </w:rPr>
              <w:t>0.67 (0.22, 1.27)</w:t>
            </w:r>
          </w:p>
        </w:tc>
      </w:tr>
      <w:tr w:rsidR="00C9018D" w:rsidRPr="00073AF0" w14:paraId="00748F0D" w14:textId="77777777" w:rsidTr="00C9018D">
        <w:trPr>
          <w:trHeight w:val="281"/>
        </w:trPr>
        <w:tc>
          <w:tcPr>
            <w:tcW w:w="1710" w:type="dxa"/>
            <w:noWrap/>
            <w:hideMark/>
          </w:tcPr>
          <w:p w14:paraId="02E405FB" w14:textId="154E1CFC" w:rsidR="00C9018D" w:rsidRPr="00073AF0" w:rsidRDefault="00C9018D" w:rsidP="008659A7">
            <w:pPr>
              <w:rPr>
                <w:rFonts w:ascii="Calibri" w:eastAsia="Times New Roman" w:hAnsi="Calibri" w:cs="Calibri"/>
                <w:b/>
                <w:bCs/>
                <w:color w:val="000000"/>
              </w:rPr>
            </w:pPr>
            <w:r>
              <w:rPr>
                <w:rFonts w:ascii="Calibri" w:eastAsia="Times New Roman" w:hAnsi="Calibri" w:cs="Calibri"/>
                <w:b/>
                <w:bCs/>
                <w:color w:val="000000"/>
              </w:rPr>
              <w:t>NB Inverse Dispersion</w:t>
            </w:r>
          </w:p>
        </w:tc>
        <w:tc>
          <w:tcPr>
            <w:tcW w:w="1890" w:type="dxa"/>
            <w:noWrap/>
            <w:vAlign w:val="bottom"/>
            <w:hideMark/>
          </w:tcPr>
          <w:p w14:paraId="4D6A9208" w14:textId="1554CCE6" w:rsidR="00C9018D" w:rsidRPr="00073AF0" w:rsidRDefault="00C9018D" w:rsidP="008659A7">
            <w:pPr>
              <w:rPr>
                <w:rFonts w:ascii="Calibri" w:eastAsia="Times New Roman" w:hAnsi="Calibri" w:cs="Calibri"/>
                <w:color w:val="000000"/>
              </w:rPr>
            </w:pPr>
            <w:r>
              <w:rPr>
                <w:rFonts w:ascii="Calibri" w:hAnsi="Calibri" w:cs="Calibri"/>
                <w:color w:val="000000"/>
              </w:rPr>
              <w:t>29.58 (17.05, 72.25)</w:t>
            </w:r>
          </w:p>
        </w:tc>
        <w:tc>
          <w:tcPr>
            <w:tcW w:w="1890" w:type="dxa"/>
            <w:noWrap/>
            <w:vAlign w:val="bottom"/>
            <w:hideMark/>
          </w:tcPr>
          <w:p w14:paraId="0C712102" w14:textId="0BC27890" w:rsidR="00C9018D" w:rsidRPr="00073AF0" w:rsidRDefault="00C9018D" w:rsidP="008659A7">
            <w:pPr>
              <w:rPr>
                <w:rFonts w:ascii="Calibri" w:eastAsia="Times New Roman" w:hAnsi="Calibri" w:cs="Calibri"/>
                <w:color w:val="000000"/>
              </w:rPr>
            </w:pPr>
            <w:r>
              <w:rPr>
                <w:rFonts w:ascii="Calibri" w:hAnsi="Calibri" w:cs="Calibri"/>
                <w:color w:val="000000"/>
              </w:rPr>
              <w:t>36.37 (25.56, 56.02)</w:t>
            </w:r>
          </w:p>
        </w:tc>
        <w:tc>
          <w:tcPr>
            <w:tcW w:w="1980" w:type="dxa"/>
            <w:noWrap/>
            <w:vAlign w:val="bottom"/>
            <w:hideMark/>
          </w:tcPr>
          <w:p w14:paraId="6B0C03DE" w14:textId="62ADA2D9" w:rsidR="00C9018D" w:rsidRPr="00073AF0" w:rsidRDefault="00C9018D" w:rsidP="008659A7">
            <w:pPr>
              <w:rPr>
                <w:rFonts w:ascii="Calibri" w:eastAsia="Times New Roman" w:hAnsi="Calibri" w:cs="Calibri"/>
                <w:color w:val="000000"/>
              </w:rPr>
            </w:pPr>
            <w:r>
              <w:rPr>
                <w:rFonts w:ascii="Calibri" w:hAnsi="Calibri" w:cs="Calibri"/>
                <w:color w:val="000000"/>
              </w:rPr>
              <w:t>149.62 (37.83, 3398.4)</w:t>
            </w:r>
          </w:p>
        </w:tc>
        <w:tc>
          <w:tcPr>
            <w:tcW w:w="2014" w:type="dxa"/>
            <w:noWrap/>
            <w:vAlign w:val="bottom"/>
            <w:hideMark/>
          </w:tcPr>
          <w:p w14:paraId="46FD5A0D" w14:textId="41331CC2" w:rsidR="00C9018D" w:rsidRPr="00073AF0" w:rsidRDefault="00C9018D" w:rsidP="008659A7">
            <w:pPr>
              <w:keepNext/>
              <w:rPr>
                <w:rFonts w:ascii="Calibri" w:eastAsia="Times New Roman" w:hAnsi="Calibri" w:cs="Calibri"/>
                <w:color w:val="000000"/>
              </w:rPr>
            </w:pPr>
            <w:r>
              <w:rPr>
                <w:rFonts w:ascii="Calibri" w:hAnsi="Calibri" w:cs="Calibri"/>
                <w:color w:val="000000"/>
              </w:rPr>
              <w:t>87.27 (18.67, 1985.75)</w:t>
            </w:r>
          </w:p>
        </w:tc>
      </w:tr>
    </w:tbl>
    <w:p w14:paraId="664D9EB4" w14:textId="23C7D8DB" w:rsidR="00DA5294" w:rsidRDefault="00DA5294" w:rsidP="008659A7">
      <w:pPr>
        <w:pStyle w:val="Caption"/>
      </w:pPr>
      <w:bookmarkStart w:id="0" w:name="_Ref108783664"/>
      <w:r>
        <w:t xml:space="preserve">Table </w:t>
      </w:r>
      <w:fldSimple w:instr=" SEQ Table \* ARABIC ">
        <w:r>
          <w:rPr>
            <w:noProof/>
          </w:rPr>
          <w:t>1</w:t>
        </w:r>
      </w:fldSimple>
      <w:bookmarkEnd w:id="0"/>
      <w:r>
        <w:t xml:space="preserve">: Parameter estimates for </w:t>
      </w:r>
      <w:r w:rsidR="009D2B60">
        <w:t>litter and duff</w:t>
      </w:r>
      <w:r w:rsidR="00C9018D">
        <w:t xml:space="preserve"> and </w:t>
      </w:r>
      <w:r>
        <w:t>1-hour, 10-hour, and 100-hour</w:t>
      </w:r>
      <w:r w:rsidR="00C9018D">
        <w:t xml:space="preserve"> fine woody debris</w:t>
      </w:r>
      <w:r>
        <w:t xml:space="preserve"> models, all of which include a negative binomial response and a log</w:t>
      </w:r>
      <w:r w:rsidR="00C9018D">
        <w:t xml:space="preserve"> </w:t>
      </w:r>
      <w:r>
        <w:t xml:space="preserve">link. </w:t>
      </w:r>
      <w:r w:rsidR="0074573B">
        <w:t>Parameter v</w:t>
      </w:r>
      <w:r>
        <w:t xml:space="preserve">alues are the posterior median and a 95% credible interval in parenthesis. </w:t>
      </w:r>
      <w:r w:rsidR="0074573B">
        <w:t>The fixed effects are compartment crossed with timestep: Intercept is the (log) mean value in compartment A pre-burn, “compB” is the main effect of compartment B, “compC” is the main effect of compartment C, “timePost” is the main effect of the post-burn timestep, “compBtimePost” is the interaction between compartment B and</w:t>
      </w:r>
      <w:r w:rsidR="0053576C">
        <w:t xml:space="preserve"> the</w:t>
      </w:r>
      <w:r w:rsidR="0074573B">
        <w:t xml:space="preserve"> post-burn timestep</w:t>
      </w:r>
      <w:r w:rsidR="0053576C">
        <w:t xml:space="preserve">, and “compCtimePost” is the interaction between compartment C and the post-burn timestep. “Plot SD” is the standard deviation of the plot random effect. “GP SD (pre)” </w:t>
      </w:r>
      <w:r w:rsidR="00657BD2">
        <w:t>AND “GP SD (post)” are</w:t>
      </w:r>
      <w:r w:rsidR="0053576C">
        <w:t xml:space="preserve"> the standard deviation</w:t>
      </w:r>
      <w:r w:rsidR="00657BD2">
        <w:t>s</w:t>
      </w:r>
      <w:r w:rsidR="0053576C">
        <w:t xml:space="preserve"> of the </w:t>
      </w:r>
      <w:r w:rsidR="00657BD2">
        <w:t xml:space="preserve">gaussian process </w:t>
      </w:r>
      <w:r w:rsidR="0053576C">
        <w:t>spatial random effect</w:t>
      </w:r>
      <w:r w:rsidR="00657BD2">
        <w:t>s</w:t>
      </w:r>
      <w:r w:rsidR="0053576C">
        <w:t xml:space="preserve"> for pre-burn and post-burn observations, respectively.</w:t>
      </w:r>
      <w:r w:rsidR="00657BD2">
        <w:t xml:space="preserve"> “GP Range (pre)” and “GP Range (post)” are the length-scale parameters controlling the decay rate of the spatial correlation in the gaussian process spatial random effects for the pre-burn and post-burn observations, respectively. “GP Noise (pre)” and “GP Noise (post)” are the gaussian process noise parameters describing the </w:t>
      </w:r>
      <w:r w:rsidR="00360129">
        <w:t>covariance between observations from the same spatial location in the pre-burn and post-burn timesteps, respectively. “NB Inverse Dispersion” is the parameter controlling the overdispersion in the negative binomial response distribution (with higher values reducing the overdispersion).</w:t>
      </w:r>
    </w:p>
    <w:p w14:paraId="4C7E318B" w14:textId="7BAE063C" w:rsidR="007D2728" w:rsidRDefault="007D2728" w:rsidP="008659A7">
      <w:pPr>
        <w:pStyle w:val="Heading2"/>
      </w:pPr>
      <w:r>
        <w:br w:type="page"/>
      </w:r>
    </w:p>
    <w:p w14:paraId="3D3AB1A0" w14:textId="47E8FE18" w:rsidR="007D2728" w:rsidRDefault="007D2728" w:rsidP="008659A7">
      <w:pPr>
        <w:pStyle w:val="Heading1"/>
      </w:pPr>
      <w:r>
        <w:lastRenderedPageBreak/>
        <w:t>Figures</w:t>
      </w:r>
    </w:p>
    <w:p w14:paraId="5068CCA3" w14:textId="5F7F74F6" w:rsidR="007D2728" w:rsidRDefault="007D2728" w:rsidP="008659A7"/>
    <w:p w14:paraId="40FB45DB" w14:textId="77777777" w:rsidR="00464FCC" w:rsidRDefault="00846F8B" w:rsidP="008659A7">
      <w:pPr>
        <w:keepNext/>
      </w:pPr>
      <w:r>
        <w:rPr>
          <w:noProof/>
        </w:rPr>
        <w:drawing>
          <wp:inline distT="0" distB="0" distL="0" distR="0" wp14:anchorId="163AAFDD" wp14:editId="655EA5C5">
            <wp:extent cx="5943612" cy="5943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2B3C817" w14:textId="06D5B286" w:rsidR="00464FCC" w:rsidRDefault="00464FCC" w:rsidP="008659A7">
      <w:pPr>
        <w:pStyle w:val="Caption"/>
      </w:pPr>
      <w:bookmarkStart w:id="1" w:name="_Ref108783866"/>
      <w:r>
        <w:t xml:space="preserve">Figure </w:t>
      </w:r>
      <w:fldSimple w:instr=" SEQ Figure \* ARABIC ">
        <w:r w:rsidR="00763DC6">
          <w:rPr>
            <w:noProof/>
          </w:rPr>
          <w:t>1</w:t>
        </w:r>
      </w:fldSimple>
      <w:bookmarkEnd w:id="1"/>
      <w:r>
        <w:t xml:space="preserve">: Posterior distributions for gaussian process </w:t>
      </w:r>
      <w:r w:rsidR="00867998">
        <w:t>magnitude</w:t>
      </w:r>
      <w:r>
        <w:t xml:space="preserve">s in pre-burn and post-burn timesteps for </w:t>
      </w:r>
      <w:r w:rsidR="009D2B60">
        <w:t>litter and duff</w:t>
      </w:r>
      <w:r w:rsidR="00C9018D">
        <w:t xml:space="preserve"> and</w:t>
      </w:r>
      <w:r>
        <w:t xml:space="preserve"> 1-hour, 10-hour, and 100-hour </w:t>
      </w:r>
      <w:r w:rsidR="00C9018D">
        <w:t xml:space="preserve">fine woody debris </w:t>
      </w:r>
      <w:r>
        <w:t xml:space="preserve">fuels. </w:t>
      </w:r>
    </w:p>
    <w:p w14:paraId="5F325800" w14:textId="77777777" w:rsidR="00763DC6" w:rsidRDefault="00763DC6" w:rsidP="008659A7">
      <w:r>
        <w:br w:type="page"/>
      </w:r>
    </w:p>
    <w:p w14:paraId="6444D9AA" w14:textId="77777777" w:rsidR="00763DC6" w:rsidRDefault="00763DC6" w:rsidP="008659A7">
      <w:pPr>
        <w:keepNext/>
      </w:pPr>
      <w:r>
        <w:rPr>
          <w:noProof/>
        </w:rPr>
        <w:lastRenderedPageBreak/>
        <w:drawing>
          <wp:inline distT="0" distB="0" distL="0" distR="0" wp14:anchorId="76C002A8" wp14:editId="515D44E7">
            <wp:extent cx="5943612" cy="59436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05F4093" w14:textId="42C1A702" w:rsidR="00763DC6" w:rsidRDefault="00763DC6" w:rsidP="008659A7">
      <w:pPr>
        <w:pStyle w:val="Caption"/>
      </w:pPr>
      <w:bookmarkStart w:id="2" w:name="_Ref108784284"/>
      <w:r>
        <w:t xml:space="preserve">Figure </w:t>
      </w:r>
      <w:fldSimple w:instr=" SEQ Figure \* ARABIC ">
        <w:r>
          <w:rPr>
            <w:noProof/>
          </w:rPr>
          <w:t>2</w:t>
        </w:r>
      </w:fldSimple>
      <w:bookmarkEnd w:id="2"/>
      <w:r>
        <w:t>: Posterior distributions for gaussian process length-scale parameters in pre-burn and post-burn timesteps for</w:t>
      </w:r>
      <w:r w:rsidR="00DE143E">
        <w:t xml:space="preserve"> </w:t>
      </w:r>
      <w:r w:rsidR="009D2B60">
        <w:t>litter and duff</w:t>
      </w:r>
      <w:r w:rsidR="00DE143E">
        <w:t>,</w:t>
      </w:r>
      <w:r>
        <w:t xml:space="preserve"> 1-hour, 10-hour, and 100-hour </w:t>
      </w:r>
      <w:r w:rsidR="00DE143E">
        <w:t xml:space="preserve">fine woody debris </w:t>
      </w:r>
      <w:r>
        <w:t>fuels.</w:t>
      </w:r>
    </w:p>
    <w:p w14:paraId="161288E4" w14:textId="601A4D6C" w:rsidR="00763DC6" w:rsidRDefault="00763DC6" w:rsidP="008659A7">
      <w:r>
        <w:br w:type="page"/>
      </w:r>
    </w:p>
    <w:p w14:paraId="56A53FF7" w14:textId="77777777" w:rsidR="00763DC6" w:rsidRDefault="00763DC6" w:rsidP="008659A7">
      <w:pPr>
        <w:keepNext/>
      </w:pPr>
      <w:r>
        <w:rPr>
          <w:noProof/>
        </w:rPr>
        <w:lastRenderedPageBreak/>
        <w:drawing>
          <wp:inline distT="0" distB="0" distL="0" distR="0" wp14:anchorId="5E81026E" wp14:editId="001627F0">
            <wp:extent cx="5943612" cy="59436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C1903B8" w14:textId="2CE3EE71" w:rsidR="00763DC6" w:rsidRPr="00763DC6" w:rsidRDefault="00763DC6" w:rsidP="008659A7">
      <w:pPr>
        <w:pStyle w:val="Caption"/>
      </w:pPr>
      <w:bookmarkStart w:id="3" w:name="_Ref108784720"/>
      <w:r>
        <w:t xml:space="preserve">Figure </w:t>
      </w:r>
      <w:fldSimple w:instr=" SEQ Figure \* ARABIC ">
        <w:r>
          <w:rPr>
            <w:noProof/>
          </w:rPr>
          <w:t>3</w:t>
        </w:r>
      </w:fldSimple>
      <w:bookmarkEnd w:id="3"/>
      <w:r>
        <w:t>: Posterior distribution for gaussian process noise parameters in pre-burn and post-burn timesteps for 1-hour, 10-hour, and 100-hour</w:t>
      </w:r>
      <w:r w:rsidR="00DE143E">
        <w:t xml:space="preserve"> fine woody debris</w:t>
      </w:r>
      <w:r>
        <w:t xml:space="preserve"> fuels. No noise parameter was included in the litter and duff models because </w:t>
      </w:r>
      <w:r w:rsidR="00E713B2">
        <w:t>there was only a single observation at each spatial location in the litter and duff data.</w:t>
      </w:r>
    </w:p>
    <w:p w14:paraId="37B6E2DA" w14:textId="7602CB79" w:rsidR="007D2728" w:rsidRDefault="007D2728" w:rsidP="008659A7">
      <w:r>
        <w:br w:type="page"/>
      </w:r>
    </w:p>
    <w:p w14:paraId="19D5FB56" w14:textId="32DCD7AD" w:rsidR="007D2728" w:rsidRDefault="007D2728" w:rsidP="008659A7">
      <w:pPr>
        <w:pStyle w:val="Heading1"/>
      </w:pPr>
      <w:bookmarkStart w:id="4" w:name="_Ref108783039"/>
      <w:r>
        <w:lastRenderedPageBreak/>
        <w:t>Supplementary Materials</w:t>
      </w:r>
      <w:bookmarkEnd w:id="4"/>
    </w:p>
    <w:p w14:paraId="5D4AC98F" w14:textId="19235841" w:rsidR="007D2728" w:rsidRDefault="007D2728" w:rsidP="008659A7"/>
    <w:p w14:paraId="17478CB6" w14:textId="77777777" w:rsidR="00FA1102" w:rsidRDefault="00FA1102" w:rsidP="008659A7">
      <w:pPr>
        <w:keepNext/>
      </w:pPr>
      <w:r>
        <w:rPr>
          <w:noProof/>
        </w:rPr>
        <w:drawing>
          <wp:inline distT="0" distB="0" distL="0" distR="0" wp14:anchorId="71537DAF" wp14:editId="0AAD4ECA">
            <wp:extent cx="4815840" cy="6668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1877" cy="6676445"/>
                    </a:xfrm>
                    <a:prstGeom prst="rect">
                      <a:avLst/>
                    </a:prstGeom>
                  </pic:spPr>
                </pic:pic>
              </a:graphicData>
            </a:graphic>
          </wp:inline>
        </w:drawing>
      </w:r>
    </w:p>
    <w:p w14:paraId="7BFD7F44" w14:textId="5BB9B24E" w:rsidR="007D2728" w:rsidRDefault="00FA1102" w:rsidP="008659A7">
      <w:pPr>
        <w:pStyle w:val="Caption"/>
      </w:pPr>
      <w:r>
        <w:t xml:space="preserve">Supplementary Figure </w:t>
      </w:r>
      <w:fldSimple w:instr=" SEQ Supplementary_Figure \* ARABIC ">
        <w:r w:rsidR="00F24284">
          <w:rPr>
            <w:noProof/>
          </w:rPr>
          <w:t>1</w:t>
        </w:r>
      </w:fldSimple>
      <w:r>
        <w:t xml:space="preserve">: Prior vs. posterior distributions for all parameters of the model for </w:t>
      </w:r>
      <w:r w:rsidR="009D2B60">
        <w:t>litter and duff</w:t>
      </w:r>
      <w:r>
        <w:t xml:space="preserve"> depths. Clear differences between the prior and posterior distributions exist for all parameters, indicating that the posterior estimates were strongly informed by the data, rather than the priors. </w:t>
      </w:r>
    </w:p>
    <w:p w14:paraId="69C751BA" w14:textId="1E973A91" w:rsidR="008C143E" w:rsidRDefault="008C143E" w:rsidP="008659A7"/>
    <w:p w14:paraId="2036D959" w14:textId="77777777" w:rsidR="008C143E" w:rsidRDefault="008C143E" w:rsidP="008659A7">
      <w:pPr>
        <w:keepNext/>
      </w:pPr>
      <w:r>
        <w:rPr>
          <w:noProof/>
        </w:rPr>
        <w:lastRenderedPageBreak/>
        <w:drawing>
          <wp:inline distT="0" distB="0" distL="0" distR="0" wp14:anchorId="3AD137AE" wp14:editId="1B89D24B">
            <wp:extent cx="4809913" cy="665988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1622" cy="6676093"/>
                    </a:xfrm>
                    <a:prstGeom prst="rect">
                      <a:avLst/>
                    </a:prstGeom>
                  </pic:spPr>
                </pic:pic>
              </a:graphicData>
            </a:graphic>
          </wp:inline>
        </w:drawing>
      </w:r>
    </w:p>
    <w:p w14:paraId="2AAE9908" w14:textId="29F4C385" w:rsidR="008C143E" w:rsidRDefault="008C143E" w:rsidP="008659A7">
      <w:pPr>
        <w:pStyle w:val="Caption"/>
      </w:pPr>
      <w:r>
        <w:t xml:space="preserve">Supplementary Figure </w:t>
      </w:r>
      <w:fldSimple w:instr=" SEQ Supplementary_Figure \* ARABIC ">
        <w:r w:rsidR="00F24284">
          <w:rPr>
            <w:noProof/>
          </w:rPr>
          <w:t>2</w:t>
        </w:r>
      </w:fldSimple>
      <w:r>
        <w:t>: Prior vs. posterior parameter distributions for all parameters in the model for 1-hour fine woody debris tallies. In all cases, there are clear differences between the prior and the posterior distributions, indicating that parameter estimates are strongly informed by the data, rather than the prior.</w:t>
      </w:r>
    </w:p>
    <w:p w14:paraId="79875725" w14:textId="58273075" w:rsidR="008C143E" w:rsidRDefault="008C143E" w:rsidP="008659A7">
      <w:r>
        <w:br w:type="page"/>
      </w:r>
    </w:p>
    <w:p w14:paraId="6D601DCC" w14:textId="77777777" w:rsidR="008C143E" w:rsidRDefault="008C143E" w:rsidP="008659A7">
      <w:pPr>
        <w:keepNext/>
      </w:pPr>
      <w:r>
        <w:rPr>
          <w:noProof/>
        </w:rPr>
        <w:lastRenderedPageBreak/>
        <w:drawing>
          <wp:inline distT="0" distB="0" distL="0" distR="0" wp14:anchorId="62E3D3F7" wp14:editId="3BE1C323">
            <wp:extent cx="4815417" cy="666750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22306" cy="6677039"/>
                    </a:xfrm>
                    <a:prstGeom prst="rect">
                      <a:avLst/>
                    </a:prstGeom>
                  </pic:spPr>
                </pic:pic>
              </a:graphicData>
            </a:graphic>
          </wp:inline>
        </w:drawing>
      </w:r>
    </w:p>
    <w:p w14:paraId="727AE8D2" w14:textId="6D3027A3" w:rsidR="008C143E" w:rsidRPr="008C143E" w:rsidRDefault="008C143E" w:rsidP="008659A7">
      <w:pPr>
        <w:pStyle w:val="Caption"/>
      </w:pPr>
      <w:r>
        <w:t xml:space="preserve">Supplementary Figure </w:t>
      </w:r>
      <w:fldSimple w:instr=" SEQ Supplementary_Figure \* ARABIC ">
        <w:r w:rsidR="00F24284">
          <w:rPr>
            <w:noProof/>
          </w:rPr>
          <w:t>3</w:t>
        </w:r>
      </w:fldSimple>
      <w:r>
        <w:t>: Prior vs. posterior parameter distributions for all parameters in the model for 10-hour fine woody debris tallies. In all cases, there are clear differences between the prior and the posterior distributions, indicating that parameter estimates are strongly informed by the data, rather than the prior.</w:t>
      </w:r>
    </w:p>
    <w:p w14:paraId="2427DD6D" w14:textId="41AFC33E" w:rsidR="008C143E" w:rsidRDefault="008C143E" w:rsidP="008659A7">
      <w:r>
        <w:br w:type="page"/>
      </w:r>
    </w:p>
    <w:p w14:paraId="01FEA984" w14:textId="77777777" w:rsidR="006E3169" w:rsidRDefault="008C143E" w:rsidP="008659A7">
      <w:pPr>
        <w:keepNext/>
      </w:pPr>
      <w:r>
        <w:rPr>
          <w:noProof/>
        </w:rPr>
        <w:lastRenderedPageBreak/>
        <w:drawing>
          <wp:inline distT="0" distB="0" distL="0" distR="0" wp14:anchorId="4058845D" wp14:editId="7EC235D8">
            <wp:extent cx="4809913" cy="6659880"/>
            <wp:effectExtent l="0" t="0" r="0" b="0"/>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18363" cy="6671580"/>
                    </a:xfrm>
                    <a:prstGeom prst="rect">
                      <a:avLst/>
                    </a:prstGeom>
                  </pic:spPr>
                </pic:pic>
              </a:graphicData>
            </a:graphic>
          </wp:inline>
        </w:drawing>
      </w:r>
    </w:p>
    <w:p w14:paraId="0EE20A20" w14:textId="64456EB4" w:rsidR="000052BF" w:rsidRDefault="006E3169" w:rsidP="008659A7">
      <w:pPr>
        <w:pStyle w:val="Caption"/>
        <w:rPr>
          <w:rFonts w:eastAsiaTheme="minorEastAsia"/>
        </w:rPr>
      </w:pPr>
      <w:r>
        <w:t xml:space="preserve">Supplementary Figure </w:t>
      </w:r>
      <w:fldSimple w:instr=" SEQ Supplementary_Figure \* ARABIC ">
        <w:r w:rsidR="00F24284">
          <w:rPr>
            <w:noProof/>
          </w:rPr>
          <w:t>4</w:t>
        </w:r>
      </w:fldSimple>
      <w:r>
        <w:t xml:space="preserve">: Prior vs. posterior parameter distributions for all parameters in the model for 100-hour fine woody debris tallies. In most cases, there are clear differences between the prior and the posterior distributions, indicating that parameter estimates are strongly informed by the data, rather than the prior. However, the posterior distribution for </w:t>
      </w:r>
      <m:oMath>
        <m:sSub>
          <m:sSubPr>
            <m:ctrlPr>
              <w:rPr>
                <w:rFonts w:ascii="Cambria Math" w:hAnsi="Cambria Math"/>
              </w:rPr>
            </m:ctrlPr>
          </m:sSubPr>
          <m:e>
            <m:r>
              <w:rPr>
                <w:rFonts w:ascii="Cambria Math" w:hAnsi="Cambria Math"/>
              </w:rPr>
              <m:t>ρ</m:t>
            </m:r>
          </m:e>
          <m:sub>
            <m:r>
              <w:rPr>
                <w:rFonts w:ascii="Cambria Math" w:hAnsi="Cambria Math"/>
              </w:rPr>
              <m:t>post</m:t>
            </m:r>
          </m:sub>
        </m:sSub>
      </m:oMath>
      <w:r>
        <w:rPr>
          <w:rFonts w:eastAsiaTheme="minorEastAsia"/>
        </w:rPr>
        <w:t xml:space="preserve"> substantially overlaps the prior, indicating that model estimates for that parameter were only moderately informed by the data, and may instead reflect prior assumptions. </w:t>
      </w:r>
    </w:p>
    <w:p w14:paraId="6A445D13" w14:textId="5BB39823" w:rsidR="0049669E" w:rsidRDefault="0049669E" w:rsidP="008659A7">
      <w:r>
        <w:br w:type="page"/>
      </w:r>
    </w:p>
    <w:p w14:paraId="03BD8F74" w14:textId="77777777" w:rsidR="0049669E" w:rsidRDefault="0049669E" w:rsidP="008659A7">
      <w:pPr>
        <w:keepNext/>
      </w:pPr>
      <w:r>
        <w:rPr>
          <w:noProof/>
        </w:rPr>
        <w:lastRenderedPageBreak/>
        <w:drawing>
          <wp:inline distT="0" distB="0" distL="0" distR="0" wp14:anchorId="2B849FAA" wp14:editId="22EA1C4C">
            <wp:extent cx="5943612" cy="3657607"/>
            <wp:effectExtent l="0" t="0" r="0" b="0"/>
            <wp:docPr id="8" name="Picture 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histo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3E068AF" w14:textId="7E980F57" w:rsidR="0049669E" w:rsidRDefault="0049669E" w:rsidP="008659A7">
      <w:pPr>
        <w:pStyle w:val="Caption"/>
        <w:rPr>
          <w:rFonts w:eastAsiaTheme="minorEastAsia"/>
        </w:rPr>
      </w:pPr>
      <w:r>
        <w:t xml:space="preserve">Supplementary Figure </w:t>
      </w:r>
      <w:fldSimple w:instr=" SEQ Supplementary_Figure \* ARABIC ">
        <w:r w:rsidR="00F24284">
          <w:rPr>
            <w:noProof/>
          </w:rPr>
          <w:t>5</w:t>
        </w:r>
      </w:fldSimple>
      <w:r>
        <w:t xml:space="preserve">: Posterior predictions for the </w:t>
      </w:r>
      <w:r w:rsidR="009D2B60">
        <w:t>litter and duff</w:t>
      </w:r>
      <w:r>
        <w:t xml:space="preserve"> depths model generated using the training data and posterior parameter estimates. </w:t>
      </w:r>
      <w:r w:rsidR="003B564B">
        <w:t xml:space="preserve">For each draw of the posterior, </w:t>
      </w:r>
      <w:r w:rsidR="009D2B60">
        <w:t>litter and duff</w:t>
      </w:r>
      <w:r w:rsidR="003B564B">
        <w:t xml:space="preserve"> depth was simulated for every sample in the training data. </w:t>
      </w:r>
      <w:r>
        <w:t xml:space="preserve">Each observation in the training dataset (black points) is plotted with its posterior mean value for </w:t>
      </w:r>
      <m:oMath>
        <m:func>
          <m:funcPr>
            <m:ctrlPr>
              <w:rPr>
                <w:rFonts w:ascii="Cambria Math" w:hAnsi="Cambria Math"/>
              </w:rPr>
            </m:ctrlPr>
          </m:funcPr>
          <m:fName>
            <m:r>
              <w:rPr>
                <w:rFonts w:ascii="Cambria Math" w:hAnsi="Cambria Math"/>
              </w:rPr>
              <m:t>log</m:t>
            </m:r>
          </m:fName>
          <m:e>
            <m:r>
              <w:rPr>
                <w:rFonts w:ascii="Cambria Math" w:hAnsi="Cambria Math"/>
              </w:rPr>
              <m:t>μ</m:t>
            </m:r>
          </m:e>
        </m:func>
      </m:oMath>
      <w:r w:rsidR="008A42F8">
        <w:rPr>
          <w:rFonts w:eastAsiaTheme="minorEastAsia"/>
        </w:rPr>
        <w:t xml:space="preserve"> (the linear predictor) on the X-axis and the observed depth for that observation on the Y-axis. The grey ribbon covers a 95% credible interval for the </w:t>
      </w:r>
      <w:r w:rsidR="009D2B60">
        <w:rPr>
          <w:rFonts w:eastAsiaTheme="minorEastAsia"/>
        </w:rPr>
        <w:t>litter and duff</w:t>
      </w:r>
      <w:r w:rsidR="008A42F8">
        <w:rPr>
          <w:rFonts w:eastAsiaTheme="minorEastAsia"/>
        </w:rPr>
        <w:t xml:space="preserve"> depth for each observation (the range between the 2.5</w:t>
      </w:r>
      <w:r w:rsidR="008A42F8" w:rsidRPr="008A42F8">
        <w:rPr>
          <w:rFonts w:eastAsiaTheme="minorEastAsia"/>
          <w:vertAlign w:val="superscript"/>
        </w:rPr>
        <w:t>th</w:t>
      </w:r>
      <w:r w:rsidR="008A42F8">
        <w:rPr>
          <w:rFonts w:eastAsiaTheme="minorEastAsia"/>
        </w:rPr>
        <w:t xml:space="preserve"> and 97.5</w:t>
      </w:r>
      <w:r w:rsidR="008A42F8" w:rsidRPr="008A42F8">
        <w:rPr>
          <w:rFonts w:eastAsiaTheme="minorEastAsia"/>
          <w:vertAlign w:val="superscript"/>
        </w:rPr>
        <w:t>th</w:t>
      </w:r>
      <w:r w:rsidR="008A42F8">
        <w:rPr>
          <w:rFonts w:eastAsiaTheme="minorEastAsia"/>
        </w:rPr>
        <w:t xml:space="preserve"> percentiles of simulated counts). The model generally shows good agreement between simulated and observed data, though the variance in observed data is less than the model predicts for high values of </w:t>
      </w:r>
      <m:oMath>
        <m:func>
          <m:funcPr>
            <m:ctrlPr>
              <w:rPr>
                <w:rFonts w:ascii="Cambria Math" w:hAnsi="Cambria Math"/>
              </w:rPr>
            </m:ctrlPr>
          </m:funcPr>
          <m:fName>
            <m:r>
              <w:rPr>
                <w:rFonts w:ascii="Cambria Math" w:hAnsi="Cambria Math"/>
              </w:rPr>
              <m:t>log</m:t>
            </m:r>
          </m:fName>
          <m:e>
            <m:r>
              <w:rPr>
                <w:rFonts w:ascii="Cambria Math" w:hAnsi="Cambria Math"/>
              </w:rPr>
              <m:t>μ</m:t>
            </m:r>
          </m:e>
        </m:func>
      </m:oMath>
      <w:r w:rsidR="008A42F8">
        <w:rPr>
          <w:rFonts w:eastAsiaTheme="minorEastAsia"/>
        </w:rPr>
        <w:t>.</w:t>
      </w:r>
    </w:p>
    <w:p w14:paraId="58CA3EEE" w14:textId="61DD0A4C" w:rsidR="008A42F8" w:rsidRDefault="008A42F8" w:rsidP="008659A7"/>
    <w:p w14:paraId="77E0FDA4" w14:textId="0D6F7C56" w:rsidR="008A42F8" w:rsidRDefault="008A42F8" w:rsidP="008659A7">
      <w:r>
        <w:br w:type="page"/>
      </w:r>
    </w:p>
    <w:p w14:paraId="02BB6A05" w14:textId="77777777" w:rsidR="008A42F8" w:rsidRDefault="008A42F8" w:rsidP="008659A7">
      <w:pPr>
        <w:keepNext/>
      </w:pPr>
      <w:r>
        <w:rPr>
          <w:noProof/>
        </w:rPr>
        <w:lastRenderedPageBreak/>
        <w:drawing>
          <wp:inline distT="0" distB="0" distL="0" distR="0" wp14:anchorId="0C14E9F9" wp14:editId="7A7CD8FF">
            <wp:extent cx="5943612" cy="36576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901972F" w14:textId="0E1B58E4" w:rsidR="008A42F8" w:rsidRDefault="008A42F8" w:rsidP="008659A7">
      <w:pPr>
        <w:pStyle w:val="Caption"/>
      </w:pPr>
      <w:r>
        <w:t xml:space="preserve">Supplementary Figure </w:t>
      </w:r>
      <w:fldSimple w:instr=" SEQ Supplementary_Figure \* ARABIC ">
        <w:r w:rsidR="00F24284">
          <w:rPr>
            <w:noProof/>
          </w:rPr>
          <w:t>6</w:t>
        </w:r>
      </w:fldSimple>
      <w:r>
        <w:t xml:space="preserve">: Posterior predictions for the </w:t>
      </w:r>
      <w:r w:rsidR="009D2B60">
        <w:t>litter and duff</w:t>
      </w:r>
      <w:r>
        <w:t xml:space="preserve"> depths model generated using the training data and posterior parameter values. </w:t>
      </w:r>
      <w:r w:rsidR="003B564B">
        <w:t xml:space="preserve">For each draw of the posterior, </w:t>
      </w:r>
      <w:r w:rsidR="009D2B60">
        <w:t>litter and duff</w:t>
      </w:r>
      <w:r w:rsidR="003B564B">
        <w:t xml:space="preserve"> depth was simulated for every sample in the training data. </w:t>
      </w:r>
      <w:r w:rsidR="00510576">
        <w:t xml:space="preserve">Each black point is an observed sample, plotted with its mean posterior predicted value on the X-axis and its observed value on the Y-axis. </w:t>
      </w:r>
      <w:r w:rsidR="00C707BA">
        <w:t xml:space="preserve">A 1:1 line is plotted in red, and the actual linear relationship between (mean) simulated and observed counts in blue. </w:t>
      </w:r>
      <w:r w:rsidR="00510576">
        <w:t xml:space="preserve">Model predictions appear to be unbiased (slope between simulated and real data is very close to 1). </w:t>
      </w:r>
    </w:p>
    <w:p w14:paraId="02B901AD" w14:textId="0E81FB87" w:rsidR="00510576" w:rsidRDefault="00510576" w:rsidP="008659A7"/>
    <w:p w14:paraId="0987C596" w14:textId="77777777" w:rsidR="00510576" w:rsidRDefault="00510576" w:rsidP="008659A7">
      <w:pPr>
        <w:keepNext/>
      </w:pPr>
      <w:r>
        <w:rPr>
          <w:noProof/>
        </w:rPr>
        <w:lastRenderedPageBreak/>
        <w:drawing>
          <wp:inline distT="0" distB="0" distL="0" distR="0" wp14:anchorId="009D501E" wp14:editId="15354C45">
            <wp:extent cx="5943612" cy="36576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2B9B2DEF" w14:textId="2145D0D2" w:rsidR="00510576" w:rsidRDefault="00510576" w:rsidP="008659A7">
      <w:pPr>
        <w:pStyle w:val="Caption"/>
      </w:pPr>
      <w:r>
        <w:t xml:space="preserve">Supplementary Figure </w:t>
      </w:r>
      <w:fldSimple w:instr=" SEQ Supplementary_Figure \* ARABIC ">
        <w:r w:rsidR="00F24284">
          <w:rPr>
            <w:noProof/>
          </w:rPr>
          <w:t>7</w:t>
        </w:r>
      </w:fldSimple>
      <w:r>
        <w:t xml:space="preserve">: Posterior predictions for the </w:t>
      </w:r>
      <w:r w:rsidR="009D2B60">
        <w:t>litter and duff</w:t>
      </w:r>
      <w:r>
        <w:t xml:space="preserve"> model generated using the training data and posterior parameter estimates. </w:t>
      </w:r>
      <w:r w:rsidR="003B564B">
        <w:t xml:space="preserve">For each draw of the posterior, </w:t>
      </w:r>
      <w:r w:rsidR="009D2B60">
        <w:t>litter and duff</w:t>
      </w:r>
      <w:r w:rsidR="003B564B">
        <w:t xml:space="preserve"> depth was simulated for every sample in the training data. The bar charts show the distribution of simulated (red) and observed (blue) </w:t>
      </w:r>
      <w:r w:rsidR="009D2B60">
        <w:t>litter and duff</w:t>
      </w:r>
      <w:r w:rsidR="003B564B">
        <w:t xml:space="preserve"> depths. The panels break the predictions out by fixed effect group (crossing experimental unit A, B, or C with timestep pre-fire or post-fire). The models satisfactorily, though not perfectly, reproduce the distribution of values in the observed data. Though broad trends are similar, there appears to be an unmodeled bias in the observed data favoring even depth observations (i.e., observations of </w:t>
      </w:r>
      <w:r w:rsidR="00F14B46">
        <w:t xml:space="preserve">4, 6, or 8 cm are substantially more common than observations of 3, 4, or 5 cm). Also, the observed data for Unit C in the post-burn timestep show a bimodal distribution with many 0s and a secondary peak around 4-6 cm, rather than the unimodal distribution in the simulated data. </w:t>
      </w:r>
    </w:p>
    <w:p w14:paraId="0D2189E5" w14:textId="5AB3D43B" w:rsidR="00F14B46" w:rsidRDefault="00F14B46" w:rsidP="008659A7"/>
    <w:p w14:paraId="3FE1C48F" w14:textId="533E75B8" w:rsidR="00F14B46" w:rsidRDefault="00F14B46" w:rsidP="008659A7">
      <w:r>
        <w:br w:type="page"/>
      </w:r>
    </w:p>
    <w:p w14:paraId="1CB79C6C" w14:textId="77777777" w:rsidR="00F14B46" w:rsidRDefault="00F14B46" w:rsidP="008659A7">
      <w:pPr>
        <w:keepNext/>
      </w:pPr>
      <w:r>
        <w:rPr>
          <w:noProof/>
        </w:rPr>
        <w:lastRenderedPageBreak/>
        <w:drawing>
          <wp:inline distT="0" distB="0" distL="0" distR="0" wp14:anchorId="6F817FB8" wp14:editId="38E4C2BB">
            <wp:extent cx="5943612" cy="3657607"/>
            <wp:effectExtent l="0" t="0" r="0" b="0"/>
            <wp:docPr id="11" name="Picture 1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E36F088" w14:textId="1FE8E13C" w:rsidR="00F14B46" w:rsidRDefault="00F14B46" w:rsidP="008659A7">
      <w:pPr>
        <w:pStyle w:val="Caption"/>
      </w:pPr>
      <w:r>
        <w:t xml:space="preserve">Supplementary Figure </w:t>
      </w:r>
      <w:fldSimple w:instr=" SEQ Supplementary_Figure \* ARABIC ">
        <w:r w:rsidR="00F24284">
          <w:rPr>
            <w:noProof/>
          </w:rPr>
          <w:t>8</w:t>
        </w:r>
      </w:fldSimple>
      <w:r>
        <w:t xml:space="preserve">: Posterior predictions for the </w:t>
      </w:r>
      <w:r w:rsidR="009D2B60">
        <w:t>litter and duff</w:t>
      </w:r>
      <w:r>
        <w:t xml:space="preserve"> model generated using the training data and posterior parameter estimates. For each draw of the posterior, </w:t>
      </w:r>
      <w:r w:rsidR="009D2B60">
        <w:t>litter and duff</w:t>
      </w:r>
      <w:r>
        <w:t xml:space="preserve"> depth was simulated for every sample in the training data. The observed data are plotted as red points, with the observed value on the X-axis and the count of observations having that </w:t>
      </w:r>
      <w:r w:rsidR="004674CC">
        <w:t xml:space="preserve">depth </w:t>
      </w:r>
      <w:r>
        <w:t>value on the Y-axis (</w:t>
      </w:r>
      <w:proofErr w:type="gramStart"/>
      <w:r>
        <w:t>similar to</w:t>
      </w:r>
      <w:proofErr w:type="gramEnd"/>
      <w:r>
        <w:t xml:space="preserve"> a histogram). The 2.5</w:t>
      </w:r>
      <w:r w:rsidRPr="00F14B46">
        <w:rPr>
          <w:vertAlign w:val="superscript"/>
        </w:rPr>
        <w:t>th</w:t>
      </w:r>
      <w:r>
        <w:t xml:space="preserve"> and 97.5</w:t>
      </w:r>
      <w:r w:rsidRPr="00F14B46">
        <w:rPr>
          <w:vertAlign w:val="superscript"/>
        </w:rPr>
        <w:t>th</w:t>
      </w:r>
      <w:r>
        <w:t xml:space="preserve"> percentiles of </w:t>
      </w:r>
      <w:r w:rsidR="004674CC">
        <w:t xml:space="preserve">the count of samples for each depth value across all posterior draws are shown as the error bars. The model simulations broadly match the training data, though again there is an unmodeled preference in the training data for even values of depth (even depth values appear more frequently than odd ones). </w:t>
      </w:r>
    </w:p>
    <w:p w14:paraId="056215F9" w14:textId="1EF1A981" w:rsidR="0089798C" w:rsidRDefault="0089798C" w:rsidP="008659A7"/>
    <w:p w14:paraId="38008E9C" w14:textId="086BBADC" w:rsidR="0089798C" w:rsidRDefault="0089798C" w:rsidP="008659A7">
      <w:r>
        <w:br w:type="page"/>
      </w:r>
    </w:p>
    <w:p w14:paraId="7366E6FB" w14:textId="77777777" w:rsidR="0089798C" w:rsidRDefault="0089798C" w:rsidP="008659A7">
      <w:pPr>
        <w:keepNext/>
      </w:pPr>
      <w:r>
        <w:rPr>
          <w:noProof/>
        </w:rPr>
        <w:lastRenderedPageBreak/>
        <w:drawing>
          <wp:inline distT="0" distB="0" distL="0" distR="0" wp14:anchorId="7F8B1D01" wp14:editId="4765BB01">
            <wp:extent cx="5943612" cy="36576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4AFDC0A7" w14:textId="0E280540" w:rsidR="0089798C" w:rsidRDefault="0089798C" w:rsidP="008659A7">
      <w:pPr>
        <w:pStyle w:val="Caption"/>
        <w:rPr>
          <w:rFonts w:eastAsiaTheme="minorEastAsia"/>
        </w:rPr>
      </w:pPr>
      <w:r>
        <w:t xml:space="preserve">Supplementary Figure </w:t>
      </w:r>
      <w:fldSimple w:instr=" SEQ Supplementary_Figure \* ARABIC ">
        <w:r w:rsidR="00F24284">
          <w:rPr>
            <w:noProof/>
          </w:rPr>
          <w:t>9</w:t>
        </w:r>
      </w:fldSimple>
      <w:r>
        <w:t xml:space="preserve">: Posterior predictions for the </w:t>
      </w:r>
      <w:r w:rsidR="009D2B60">
        <w:t>litter and duff</w:t>
      </w:r>
      <w:r>
        <w:t xml:space="preserve"> depths model generated using the validation data and posterior parameter estimates. For each draw of the posterior, </w:t>
      </w:r>
      <w:r w:rsidR="009D2B60">
        <w:t>litter and duff</w:t>
      </w:r>
      <w:r>
        <w:t xml:space="preserve"> depth was simulated for every sample in the validation data. Each observation in the validation dataset (black points) is plotted with its posterior mean value for </w:t>
      </w:r>
      <m:oMath>
        <m:func>
          <m:funcPr>
            <m:ctrlPr>
              <w:rPr>
                <w:rFonts w:ascii="Cambria Math" w:hAnsi="Cambria Math"/>
              </w:rPr>
            </m:ctrlPr>
          </m:funcPr>
          <m:fName>
            <m:r>
              <w:rPr>
                <w:rFonts w:ascii="Cambria Math" w:hAnsi="Cambria Math"/>
              </w:rPr>
              <m:t>log</m:t>
            </m:r>
          </m:fName>
          <m:e>
            <m:r>
              <w:rPr>
                <w:rFonts w:ascii="Cambria Math" w:hAnsi="Cambria Math"/>
              </w:rPr>
              <m:t>μ</m:t>
            </m:r>
          </m:e>
        </m:func>
      </m:oMath>
      <w:r>
        <w:rPr>
          <w:rFonts w:eastAsiaTheme="minorEastAsia"/>
        </w:rPr>
        <w:t xml:space="preserve"> (the linear predictor) on the X-axis and the observed depth for that observation on the Y-axis. The grey ribbon covers a 95% credible interval for the </w:t>
      </w:r>
      <w:r w:rsidR="009D2B60">
        <w:rPr>
          <w:rFonts w:eastAsiaTheme="minorEastAsia"/>
        </w:rPr>
        <w:t>litter and duff</w:t>
      </w:r>
      <w:r>
        <w:rPr>
          <w:rFonts w:eastAsiaTheme="minorEastAsia"/>
        </w:rPr>
        <w:t xml:space="preserve"> depth for each observation (the range between the 2.5</w:t>
      </w:r>
      <w:r w:rsidRPr="008A42F8">
        <w:rPr>
          <w:rFonts w:eastAsiaTheme="minorEastAsia"/>
          <w:vertAlign w:val="superscript"/>
        </w:rPr>
        <w:t>th</w:t>
      </w:r>
      <w:r>
        <w:rPr>
          <w:rFonts w:eastAsiaTheme="minorEastAsia"/>
        </w:rPr>
        <w:t xml:space="preserve"> and 97.5</w:t>
      </w:r>
      <w:r w:rsidRPr="008A42F8">
        <w:rPr>
          <w:rFonts w:eastAsiaTheme="minorEastAsia"/>
          <w:vertAlign w:val="superscript"/>
        </w:rPr>
        <w:t>th</w:t>
      </w:r>
      <w:r>
        <w:rPr>
          <w:rFonts w:eastAsiaTheme="minorEastAsia"/>
        </w:rPr>
        <w:t xml:space="preserve"> percentiles of simulated counts). The model generally shows good agreement between simulated and observed data, though the variance in observed data is less than the model predicts for high values of </w:t>
      </w:r>
      <m:oMath>
        <m:func>
          <m:funcPr>
            <m:ctrlPr>
              <w:rPr>
                <w:rFonts w:ascii="Cambria Math" w:hAnsi="Cambria Math"/>
              </w:rPr>
            </m:ctrlPr>
          </m:funcPr>
          <m:fName>
            <m:r>
              <w:rPr>
                <w:rFonts w:ascii="Cambria Math" w:hAnsi="Cambria Math"/>
              </w:rPr>
              <m:t>log</m:t>
            </m:r>
          </m:fName>
          <m:e>
            <m:r>
              <w:rPr>
                <w:rFonts w:ascii="Cambria Math" w:hAnsi="Cambria Math"/>
              </w:rPr>
              <m:t>μ</m:t>
            </m:r>
          </m:e>
        </m:func>
      </m:oMath>
      <w:r>
        <w:rPr>
          <w:rFonts w:eastAsiaTheme="minorEastAsia"/>
        </w:rPr>
        <w:t>.</w:t>
      </w:r>
    </w:p>
    <w:p w14:paraId="27EC48A3" w14:textId="03D492E0" w:rsidR="0089798C" w:rsidRPr="0089798C" w:rsidRDefault="0089798C" w:rsidP="008659A7">
      <w:pPr>
        <w:pStyle w:val="Caption"/>
      </w:pPr>
    </w:p>
    <w:p w14:paraId="00454C7E" w14:textId="77777777" w:rsidR="00480827" w:rsidRDefault="00480827" w:rsidP="008659A7">
      <w:pPr>
        <w:keepNext/>
      </w:pPr>
      <w:r>
        <w:rPr>
          <w:noProof/>
        </w:rPr>
        <w:lastRenderedPageBreak/>
        <w:drawing>
          <wp:inline distT="0" distB="0" distL="0" distR="0" wp14:anchorId="5124E079" wp14:editId="0A358128">
            <wp:extent cx="5943612" cy="36576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571C124" w14:textId="04B787B6" w:rsidR="00490FC9" w:rsidRDefault="00480827" w:rsidP="008659A7">
      <w:pPr>
        <w:pStyle w:val="Caption"/>
      </w:pPr>
      <w:r>
        <w:t xml:space="preserve">Supplementary Figure </w:t>
      </w:r>
      <w:fldSimple w:instr=" SEQ Supplementary_Figure \* ARABIC ">
        <w:r w:rsidR="00F24284">
          <w:rPr>
            <w:noProof/>
          </w:rPr>
          <w:t>10</w:t>
        </w:r>
      </w:fldSimple>
      <w:r w:rsidR="00490FC9">
        <w:t xml:space="preserve">: Posterior predictions for the </w:t>
      </w:r>
      <w:r w:rsidR="009D2B60">
        <w:t>litter and duff</w:t>
      </w:r>
      <w:r w:rsidR="00490FC9">
        <w:t xml:space="preserve"> depths model generated using the validation data and posterior parameter values. For each draw of the posterior, </w:t>
      </w:r>
      <w:r w:rsidR="009D2B60">
        <w:t>litter and duff</w:t>
      </w:r>
      <w:r w:rsidR="00490FC9">
        <w:t xml:space="preserve"> depth was simulated for every sample in the validation data. Each black point is an observed sample, plotted with its mean posterior predicted value on the X-axis and its observed value on the Y-axis. </w:t>
      </w:r>
      <w:r w:rsidR="00C707BA">
        <w:t xml:space="preserve">A 1:1 line is plotted in red, and the actual linear relationship between (mean) simulated and observed counts in blue. </w:t>
      </w:r>
      <w:r w:rsidR="00490FC9">
        <w:t xml:space="preserve">Model predictions appear to be unbiased (slope between simulated and real data is very close to 1). </w:t>
      </w:r>
    </w:p>
    <w:p w14:paraId="7C94C476" w14:textId="41A87F92" w:rsidR="000052BF" w:rsidRDefault="000052BF" w:rsidP="008659A7">
      <w:pPr>
        <w:pStyle w:val="Caption"/>
      </w:pPr>
    </w:p>
    <w:p w14:paraId="13876822" w14:textId="77777777" w:rsidR="004D29E2" w:rsidRDefault="004D29E2" w:rsidP="008659A7">
      <w:pPr>
        <w:keepNext/>
      </w:pPr>
      <w:r>
        <w:rPr>
          <w:noProof/>
        </w:rPr>
        <w:lastRenderedPageBreak/>
        <w:drawing>
          <wp:inline distT="0" distB="0" distL="0" distR="0" wp14:anchorId="48506F30" wp14:editId="150DBD3D">
            <wp:extent cx="5943612" cy="3657607"/>
            <wp:effectExtent l="0" t="0" r="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7832EC09" w14:textId="4085327F" w:rsidR="004D29E2" w:rsidRDefault="004D29E2" w:rsidP="008659A7">
      <w:pPr>
        <w:pStyle w:val="Caption"/>
      </w:pPr>
      <w:r>
        <w:t xml:space="preserve">Supplementary Figure </w:t>
      </w:r>
      <w:fldSimple w:instr=" SEQ Supplementary_Figure \* ARABIC ">
        <w:r w:rsidR="00F24284">
          <w:rPr>
            <w:noProof/>
          </w:rPr>
          <w:t>11</w:t>
        </w:r>
      </w:fldSimple>
      <w:r>
        <w:t xml:space="preserve">: Posterior predictions for the </w:t>
      </w:r>
      <w:r w:rsidR="009D2B60">
        <w:t>litter and duff</w:t>
      </w:r>
      <w:r>
        <w:t xml:space="preserve"> model generated using the validation data and posterior parameter estimates. For each draw of the posterior, </w:t>
      </w:r>
      <w:r w:rsidR="009D2B60">
        <w:t>litter and duff</w:t>
      </w:r>
      <w:r>
        <w:t xml:space="preserve"> depth was simulated for every sample in the validation data. The bar charts show the distribution of simulated (red) and observed (blue) </w:t>
      </w:r>
      <w:r w:rsidR="009D2B60">
        <w:t>litter and duff</w:t>
      </w:r>
      <w:r>
        <w:t xml:space="preserve"> depths. The panels break the predictions out by fixed effect group (crossing experimental unit A, B, or C with timestep pre-fire or post-fire). The models satisfactorily, though not perfectly, reproduce the distribution of values in the observed data. There are relatively many large depth values in the observed data, though the small number of samples from the observed data (relative to the simulated data) makes the distribution less smooth. </w:t>
      </w:r>
    </w:p>
    <w:p w14:paraId="097F87E3" w14:textId="77777777" w:rsidR="005F18C4" w:rsidRDefault="005F18C4" w:rsidP="008659A7">
      <w:pPr>
        <w:keepNext/>
      </w:pPr>
      <w:r>
        <w:rPr>
          <w:noProof/>
        </w:rPr>
        <w:lastRenderedPageBreak/>
        <w:drawing>
          <wp:inline distT="0" distB="0" distL="0" distR="0" wp14:anchorId="71D18750" wp14:editId="62697084">
            <wp:extent cx="5943612" cy="3657607"/>
            <wp:effectExtent l="0" t="0" r="0" b="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6260536A" w14:textId="0BD0AC06" w:rsidR="005F18C4" w:rsidRDefault="005F18C4" w:rsidP="008659A7">
      <w:pPr>
        <w:pStyle w:val="Caption"/>
      </w:pPr>
      <w:r>
        <w:t xml:space="preserve">Supplementary Figure </w:t>
      </w:r>
      <w:fldSimple w:instr=" SEQ Supplementary_Figure \* ARABIC ">
        <w:r w:rsidR="00F24284">
          <w:rPr>
            <w:noProof/>
          </w:rPr>
          <w:t>12</w:t>
        </w:r>
      </w:fldSimple>
      <w:r>
        <w:t xml:space="preserve">: Posterior predictions for the </w:t>
      </w:r>
      <w:r w:rsidR="009D2B60">
        <w:t>litter and duff</w:t>
      </w:r>
      <w:r>
        <w:t xml:space="preserve"> model generated using the validation data and posterior parameter estimates. For each draw of the posterior, </w:t>
      </w:r>
      <w:r w:rsidR="009D2B60">
        <w:t>litter and duff</w:t>
      </w:r>
      <w:r>
        <w:t xml:space="preserve"> depth was simulated for every sample in the validation data. The observed data are plotted as red points, with the observed value on the X-axis and the count of observations having that depth value on the Y-axis (</w:t>
      </w:r>
      <w:proofErr w:type="gramStart"/>
      <w:r>
        <w:t>similar to</w:t>
      </w:r>
      <w:proofErr w:type="gramEnd"/>
      <w:r>
        <w:t xml:space="preserve"> a histogram). The 2.5</w:t>
      </w:r>
      <w:r w:rsidRPr="00F14B46">
        <w:rPr>
          <w:vertAlign w:val="superscript"/>
        </w:rPr>
        <w:t>th</w:t>
      </w:r>
      <w:r>
        <w:t xml:space="preserve"> and 97.5</w:t>
      </w:r>
      <w:r w:rsidRPr="00F14B46">
        <w:rPr>
          <w:vertAlign w:val="superscript"/>
        </w:rPr>
        <w:t>th</w:t>
      </w:r>
      <w:r>
        <w:t xml:space="preserve"> percentiles of the count of samples for each depth value across all posterior draws are shown as the error bars. The model simulations broadly match the training data, though again there is an unmodeled preference in the training data for even values of depth (even depth values appear more frequently than odd ones).</w:t>
      </w:r>
    </w:p>
    <w:p w14:paraId="11F1BF26" w14:textId="77777777" w:rsidR="005335F3" w:rsidRDefault="005335F3" w:rsidP="008659A7">
      <w:pPr>
        <w:keepNext/>
      </w:pPr>
      <w:r>
        <w:rPr>
          <w:noProof/>
        </w:rPr>
        <w:lastRenderedPageBreak/>
        <w:drawing>
          <wp:inline distT="0" distB="0" distL="0" distR="0" wp14:anchorId="06EA58DF" wp14:editId="26260993">
            <wp:extent cx="5943612" cy="3657607"/>
            <wp:effectExtent l="0" t="0" r="0" b="0"/>
            <wp:docPr id="16" name="Picture 1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737406CB" w14:textId="1705E9FE" w:rsidR="005335F3" w:rsidRDefault="005335F3" w:rsidP="008659A7">
      <w:pPr>
        <w:pStyle w:val="Caption"/>
        <w:rPr>
          <w:rFonts w:eastAsiaTheme="minorEastAsia"/>
        </w:rPr>
      </w:pPr>
      <w:r>
        <w:t xml:space="preserve">Supplementary Figure </w:t>
      </w:r>
      <w:fldSimple w:instr=" SEQ Supplementary_Figure \* ARABIC ">
        <w:r w:rsidR="00F24284">
          <w:rPr>
            <w:noProof/>
          </w:rPr>
          <w:t>13</w:t>
        </w:r>
      </w:fldSimple>
      <w:r>
        <w:t xml:space="preserve">: Posterior predictions for the 1-hour FWD tallies model generated using the training data and posterior parameter estimates. For each draw of the posterior, 1-hour FWD tally was simulated for every sample in the training data. Each observation in the training dataset (black points) is plotted with its posterior mean value for </w:t>
      </w:r>
      <m:oMath>
        <m:func>
          <m:funcPr>
            <m:ctrlPr>
              <w:rPr>
                <w:rFonts w:ascii="Cambria Math" w:hAnsi="Cambria Math"/>
              </w:rPr>
            </m:ctrlPr>
          </m:funcPr>
          <m:fName>
            <m:r>
              <w:rPr>
                <w:rFonts w:ascii="Cambria Math" w:hAnsi="Cambria Math"/>
              </w:rPr>
              <m:t>log</m:t>
            </m:r>
          </m:fName>
          <m:e>
            <m:r>
              <w:rPr>
                <w:rFonts w:ascii="Cambria Math" w:hAnsi="Cambria Math"/>
              </w:rPr>
              <m:t>μ</m:t>
            </m:r>
          </m:e>
        </m:func>
      </m:oMath>
      <w:r>
        <w:rPr>
          <w:rFonts w:eastAsiaTheme="minorEastAsia"/>
        </w:rPr>
        <w:t xml:space="preserve"> (the linear predictor) on the X-axis and the observed depth for that observation on the Y-axis. The grey ribbon covers a 95% credible interval for the </w:t>
      </w:r>
      <w:r w:rsidR="00083AB8">
        <w:rPr>
          <w:rFonts w:eastAsiaTheme="minorEastAsia"/>
        </w:rPr>
        <w:t>tally</w:t>
      </w:r>
      <w:r>
        <w:rPr>
          <w:rFonts w:eastAsiaTheme="minorEastAsia"/>
        </w:rPr>
        <w:t xml:space="preserve"> for each observation (the range between the 2.5</w:t>
      </w:r>
      <w:r w:rsidRPr="008A42F8">
        <w:rPr>
          <w:rFonts w:eastAsiaTheme="minorEastAsia"/>
          <w:vertAlign w:val="superscript"/>
        </w:rPr>
        <w:t>th</w:t>
      </w:r>
      <w:r>
        <w:rPr>
          <w:rFonts w:eastAsiaTheme="minorEastAsia"/>
        </w:rPr>
        <w:t xml:space="preserve"> and 97.5</w:t>
      </w:r>
      <w:r w:rsidRPr="008A42F8">
        <w:rPr>
          <w:rFonts w:eastAsiaTheme="minorEastAsia"/>
          <w:vertAlign w:val="superscript"/>
        </w:rPr>
        <w:t>th</w:t>
      </w:r>
      <w:r>
        <w:rPr>
          <w:rFonts w:eastAsiaTheme="minorEastAsia"/>
        </w:rPr>
        <w:t xml:space="preserve"> percentiles of simulated counts). The model generally shows good agreement between simulated and observed </w:t>
      </w:r>
      <w:proofErr w:type="gramStart"/>
      <w:r>
        <w:rPr>
          <w:rFonts w:eastAsiaTheme="minorEastAsia"/>
        </w:rPr>
        <w:t>data, but</w:t>
      </w:r>
      <w:proofErr w:type="gramEnd"/>
      <w:r>
        <w:rPr>
          <w:rFonts w:eastAsiaTheme="minorEastAsia"/>
        </w:rPr>
        <w:t xml:space="preserve"> appears to have a mild bias towards overprediction for large values of </w:t>
      </w:r>
      <m:oMath>
        <m:func>
          <m:funcPr>
            <m:ctrlPr>
              <w:rPr>
                <w:rFonts w:ascii="Cambria Math" w:eastAsiaTheme="minorEastAsia" w:hAnsi="Cambria Math"/>
              </w:rPr>
            </m:ctrlPr>
          </m:funcPr>
          <m:fName>
            <m:r>
              <w:rPr>
                <w:rFonts w:ascii="Cambria Math" w:hAnsi="Cambria Math"/>
              </w:rPr>
              <m:t>log</m:t>
            </m:r>
          </m:fName>
          <m:e>
            <m:r>
              <w:rPr>
                <w:rFonts w:ascii="Cambria Math" w:eastAsiaTheme="minorEastAsia" w:hAnsi="Cambria Math"/>
              </w:rPr>
              <m:t>μ</m:t>
            </m:r>
          </m:e>
        </m:func>
      </m:oMath>
      <w:r>
        <w:rPr>
          <w:rFonts w:eastAsiaTheme="minorEastAsia"/>
        </w:rPr>
        <w:t>, with observed values generally falling in the lower end of what the model predicts is the plausible range.</w:t>
      </w:r>
    </w:p>
    <w:p w14:paraId="23127686" w14:textId="77777777" w:rsidR="00C707BA" w:rsidRDefault="005335F3" w:rsidP="008659A7">
      <w:pPr>
        <w:keepNext/>
      </w:pPr>
      <w:r>
        <w:rPr>
          <w:noProof/>
        </w:rPr>
        <w:lastRenderedPageBreak/>
        <w:drawing>
          <wp:inline distT="0" distB="0" distL="0" distR="0" wp14:anchorId="77477848" wp14:editId="3E2DB8EE">
            <wp:extent cx="5943612" cy="3657607"/>
            <wp:effectExtent l="0" t="0" r="0" b="0"/>
            <wp:docPr id="17" name="Picture 1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85254DC" w14:textId="3E89EFE7" w:rsidR="005335F3" w:rsidRDefault="00C707BA" w:rsidP="008659A7">
      <w:pPr>
        <w:pStyle w:val="Caption"/>
      </w:pPr>
      <w:r>
        <w:t xml:space="preserve">Supplementary Figure </w:t>
      </w:r>
      <w:fldSimple w:instr=" SEQ Supplementary_Figure \* ARABIC ">
        <w:r w:rsidR="00F24284">
          <w:rPr>
            <w:noProof/>
          </w:rPr>
          <w:t>14</w:t>
        </w:r>
      </w:fldSimple>
      <w:r>
        <w:t xml:space="preserve">: Posterior predictions for the 1-hour FWD tallies model generated using the training data and posterior parameter values. For each draw of the posterior, 1-hour FWD tally was simulated for every sample in the training data. Each black point is an observed sample, plotted with its mean posterior predicted value on the X-axis and its observed value on the Y-axis. A 1:1 line is plotted in red, and the actual linear relationship between (mean) simulated and observed counts in blue. Again, there appears to be a mild bias towards overprediction for larger counts, with the observed values generally falling below the mean predicted value for predicted counts greater than ~25. </w:t>
      </w:r>
    </w:p>
    <w:p w14:paraId="27E83061" w14:textId="1194CAFD" w:rsidR="00C707BA" w:rsidRDefault="00C707BA" w:rsidP="008659A7"/>
    <w:p w14:paraId="24DF5F07" w14:textId="77777777" w:rsidR="006F2A85" w:rsidRDefault="006F2A85" w:rsidP="008659A7">
      <w:pPr>
        <w:keepNext/>
      </w:pPr>
      <w:r>
        <w:rPr>
          <w:noProof/>
        </w:rPr>
        <w:lastRenderedPageBreak/>
        <w:drawing>
          <wp:inline distT="0" distB="0" distL="0" distR="0" wp14:anchorId="16C4525F" wp14:editId="4B9829D6">
            <wp:extent cx="5943600" cy="5607685"/>
            <wp:effectExtent l="0" t="0" r="0" b="0"/>
            <wp:docPr id="18" name="Picture 1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histo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607685"/>
                    </a:xfrm>
                    <a:prstGeom prst="rect">
                      <a:avLst/>
                    </a:prstGeom>
                  </pic:spPr>
                </pic:pic>
              </a:graphicData>
            </a:graphic>
          </wp:inline>
        </w:drawing>
      </w:r>
    </w:p>
    <w:p w14:paraId="143C05E8" w14:textId="7C111DC6" w:rsidR="00C707BA" w:rsidRDefault="006F2A85" w:rsidP="008659A7">
      <w:pPr>
        <w:pStyle w:val="Caption"/>
      </w:pPr>
      <w:r>
        <w:t xml:space="preserve">Supplementary Figure </w:t>
      </w:r>
      <w:fldSimple w:instr=" SEQ Supplementary_Figure \* ARABIC ">
        <w:r w:rsidR="00F24284">
          <w:rPr>
            <w:noProof/>
          </w:rPr>
          <w:t>15</w:t>
        </w:r>
      </w:fldSimple>
      <w:r>
        <w:t xml:space="preserve">: Posterior predictions for the 1-hour FWD model generated using the training data and posterior parameter estimates. For each draw of the posterior, 1-hour FWD tally was simulated for every sample in the training data. The bar charts show the distribution of simulated (red) and observed (blue) tallies. The panels break the predictions out by fixed effect group (crossing experimental unit A, B, or C with timestep pre-fire or post-fire). The distribution of values in the simulated data is </w:t>
      </w:r>
      <w:proofErr w:type="gramStart"/>
      <w:r>
        <w:t>similar to</w:t>
      </w:r>
      <w:proofErr w:type="gramEnd"/>
      <w:r>
        <w:t xml:space="preserve"> the distribution of values in the observed data. </w:t>
      </w:r>
      <w:r w:rsidR="00C03861">
        <w:t xml:space="preserve">There are many more samples (4000 times as many) in the simulated data distributions, so it is to be expected that the resulting distribution is smoother than the distribution of observed values, but the broad behavior is reproduced well. </w:t>
      </w:r>
    </w:p>
    <w:p w14:paraId="39A18D99" w14:textId="77777777" w:rsidR="00423B52" w:rsidRDefault="00C03861" w:rsidP="008659A7">
      <w:pPr>
        <w:keepNext/>
      </w:pPr>
      <w:r>
        <w:rPr>
          <w:noProof/>
        </w:rPr>
        <w:lastRenderedPageBreak/>
        <w:drawing>
          <wp:inline distT="0" distB="0" distL="0" distR="0" wp14:anchorId="6269A73A" wp14:editId="391EFFAE">
            <wp:extent cx="5943612" cy="3657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3EAA73ED" w14:textId="760A2898" w:rsidR="00C03861" w:rsidRDefault="00423B52" w:rsidP="008659A7">
      <w:pPr>
        <w:pStyle w:val="Caption"/>
      </w:pPr>
      <w:r>
        <w:t xml:space="preserve">Supplementary Figure </w:t>
      </w:r>
      <w:fldSimple w:instr=" SEQ Supplementary_Figure \* ARABIC ">
        <w:r w:rsidR="00F24284">
          <w:rPr>
            <w:noProof/>
          </w:rPr>
          <w:t>16</w:t>
        </w:r>
      </w:fldSimple>
      <w:r>
        <w:t>: Posterior predictions for the 1-hour FWD model generated using the training data and posterior parameter estimates. For each draw of the posterior, 1-hour FWD tally was simulated for every sample in the training data. The observed data are plotted as red points, with the observed value on the X-axis and the count of observations having that depth value on the Y-axis (</w:t>
      </w:r>
      <w:proofErr w:type="gramStart"/>
      <w:r>
        <w:t>similar to</w:t>
      </w:r>
      <w:proofErr w:type="gramEnd"/>
      <w:r>
        <w:t xml:space="preserve"> a histogram). The 2.5</w:t>
      </w:r>
      <w:r w:rsidRPr="00F14B46">
        <w:rPr>
          <w:vertAlign w:val="superscript"/>
        </w:rPr>
        <w:t>th</w:t>
      </w:r>
      <w:r>
        <w:t xml:space="preserve"> and 97.5</w:t>
      </w:r>
      <w:r w:rsidRPr="00F14B46">
        <w:rPr>
          <w:vertAlign w:val="superscript"/>
        </w:rPr>
        <w:t>th</w:t>
      </w:r>
      <w:r>
        <w:t xml:space="preserve"> percentiles of the count of samples for each depth value across all posterior draws are shown as the error bars. The observed data fall within the range of behaviors predicted by the model. </w:t>
      </w:r>
    </w:p>
    <w:p w14:paraId="1A864199" w14:textId="2B8F3E5C" w:rsidR="00083AB8" w:rsidRDefault="00083AB8" w:rsidP="008659A7"/>
    <w:p w14:paraId="1E5616F5" w14:textId="77777777" w:rsidR="00083AB8" w:rsidRDefault="00083AB8" w:rsidP="008659A7">
      <w:pPr>
        <w:keepNext/>
      </w:pPr>
      <w:r>
        <w:rPr>
          <w:noProof/>
        </w:rPr>
        <w:lastRenderedPageBreak/>
        <w:drawing>
          <wp:inline distT="0" distB="0" distL="0" distR="0" wp14:anchorId="1E215F6C" wp14:editId="6EE76760">
            <wp:extent cx="5943612" cy="3657607"/>
            <wp:effectExtent l="0" t="0" r="0" b="0"/>
            <wp:docPr id="20" name="Picture 2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3158169B" w14:textId="5CD4825A" w:rsidR="00083AB8" w:rsidRDefault="00083AB8" w:rsidP="008659A7">
      <w:pPr>
        <w:pStyle w:val="Caption"/>
        <w:rPr>
          <w:rFonts w:eastAsiaTheme="minorEastAsia"/>
        </w:rPr>
      </w:pPr>
      <w:r>
        <w:t xml:space="preserve">Supplementary Figure </w:t>
      </w:r>
      <w:fldSimple w:instr=" SEQ Supplementary_Figure \* ARABIC ">
        <w:r w:rsidR="00F24284">
          <w:rPr>
            <w:noProof/>
          </w:rPr>
          <w:t>17</w:t>
        </w:r>
      </w:fldSimple>
      <w:r>
        <w:t xml:space="preserve">: Posterior predictions for the 1-hour FWD tallies model generated using the validation data and posterior parameter estimates. For each draw of the posterior, 1-hour FWD tally was simulated for every sample in the validation data. Each observation in the validation dataset (black points) is plotted with its posterior mean value for </w:t>
      </w:r>
      <m:oMath>
        <m:func>
          <m:funcPr>
            <m:ctrlPr>
              <w:rPr>
                <w:rFonts w:ascii="Cambria Math" w:hAnsi="Cambria Math"/>
              </w:rPr>
            </m:ctrlPr>
          </m:funcPr>
          <m:fName>
            <m:r>
              <w:rPr>
                <w:rFonts w:ascii="Cambria Math" w:hAnsi="Cambria Math"/>
              </w:rPr>
              <m:t>log</m:t>
            </m:r>
          </m:fName>
          <m:e>
            <m:r>
              <w:rPr>
                <w:rFonts w:ascii="Cambria Math" w:hAnsi="Cambria Math"/>
              </w:rPr>
              <m:t>μ</m:t>
            </m:r>
          </m:e>
        </m:func>
      </m:oMath>
      <w:r>
        <w:rPr>
          <w:rFonts w:eastAsiaTheme="minorEastAsia"/>
        </w:rPr>
        <w:t xml:space="preserve"> (the linear predictor) on the X-axis and the observed tally for that observation on the Y-axis. The grey ribbon covers a 95% credible interval for the tally for each observation (the range between the 2.5</w:t>
      </w:r>
      <w:r w:rsidRPr="008A42F8">
        <w:rPr>
          <w:rFonts w:eastAsiaTheme="minorEastAsia"/>
          <w:vertAlign w:val="superscript"/>
        </w:rPr>
        <w:t>th</w:t>
      </w:r>
      <w:r>
        <w:rPr>
          <w:rFonts w:eastAsiaTheme="minorEastAsia"/>
        </w:rPr>
        <w:t xml:space="preserve"> and 97.5</w:t>
      </w:r>
      <w:r w:rsidRPr="008A42F8">
        <w:rPr>
          <w:rFonts w:eastAsiaTheme="minorEastAsia"/>
          <w:vertAlign w:val="superscript"/>
        </w:rPr>
        <w:t>th</w:t>
      </w:r>
      <w:r>
        <w:rPr>
          <w:rFonts w:eastAsiaTheme="minorEastAsia"/>
        </w:rPr>
        <w:t xml:space="preserve"> percentiles of simulated counts). The model generally shows good agreement between simulated and observed </w:t>
      </w:r>
      <w:proofErr w:type="gramStart"/>
      <w:r>
        <w:rPr>
          <w:rFonts w:eastAsiaTheme="minorEastAsia"/>
        </w:rPr>
        <w:t>data, but</w:t>
      </w:r>
      <w:proofErr w:type="gramEnd"/>
      <w:r>
        <w:rPr>
          <w:rFonts w:eastAsiaTheme="minorEastAsia"/>
        </w:rPr>
        <w:t xml:space="preserve"> appears to have a mild bias towards overprediction for large values of </w:t>
      </w:r>
      <m:oMath>
        <m:func>
          <m:funcPr>
            <m:ctrlPr>
              <w:rPr>
                <w:rFonts w:ascii="Cambria Math" w:eastAsiaTheme="minorEastAsia" w:hAnsi="Cambria Math"/>
              </w:rPr>
            </m:ctrlPr>
          </m:funcPr>
          <m:fName>
            <m:r>
              <w:rPr>
                <w:rFonts w:ascii="Cambria Math" w:hAnsi="Cambria Math"/>
              </w:rPr>
              <m:t>log</m:t>
            </m:r>
          </m:fName>
          <m:e>
            <m:r>
              <w:rPr>
                <w:rFonts w:ascii="Cambria Math" w:eastAsiaTheme="minorEastAsia" w:hAnsi="Cambria Math"/>
              </w:rPr>
              <m:t>μ</m:t>
            </m:r>
          </m:e>
        </m:func>
      </m:oMath>
      <w:r>
        <w:rPr>
          <w:rFonts w:eastAsiaTheme="minorEastAsia"/>
        </w:rPr>
        <w:t>, with observed values generally falling in the lower end of what the model predicts is the plausible range.</w:t>
      </w:r>
    </w:p>
    <w:p w14:paraId="1CDC7E6C" w14:textId="77777777" w:rsidR="001068BE" w:rsidRDefault="001068BE" w:rsidP="008659A7">
      <w:pPr>
        <w:keepNext/>
      </w:pPr>
      <w:r>
        <w:rPr>
          <w:noProof/>
        </w:rPr>
        <w:lastRenderedPageBreak/>
        <w:drawing>
          <wp:inline distT="0" distB="0" distL="0" distR="0" wp14:anchorId="43CEAD97" wp14:editId="2074ED7B">
            <wp:extent cx="5943612" cy="3657607"/>
            <wp:effectExtent l="0" t="0" r="0" b="0"/>
            <wp:docPr id="21" name="Picture 2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41A654CD" w14:textId="165BDBF5" w:rsidR="00083AB8" w:rsidRDefault="001068BE" w:rsidP="008659A7">
      <w:pPr>
        <w:pStyle w:val="Caption"/>
      </w:pPr>
      <w:r>
        <w:t xml:space="preserve">Supplementary Figure </w:t>
      </w:r>
      <w:fldSimple w:instr=" SEQ Supplementary_Figure \* ARABIC ">
        <w:r w:rsidR="00F24284">
          <w:rPr>
            <w:noProof/>
          </w:rPr>
          <w:t>18</w:t>
        </w:r>
      </w:fldSimple>
      <w:r>
        <w:t>: Posterior predictions for the 1-hour FWD tallies model generated using the validation data and posterior parameter values. For each draw of the posterior, 1-hour FWD tally was simulated for every sample in the validation data. Each black point is an observed sample, plotted with its mean posterior predicted value on the X-axis and its observed value on the Y-axis. A 1:1 line is plotted in red, and the actual linear relationship between (mean) simulated and observed counts in blue. The simulated values show a mild bias towards overprediction of the observed counts above ~7, and a mild bias towards underprediction of observed counts below ~7.</w:t>
      </w:r>
    </w:p>
    <w:p w14:paraId="4F72552A" w14:textId="703A0066" w:rsidR="001068BE" w:rsidRDefault="001068BE" w:rsidP="008659A7"/>
    <w:p w14:paraId="06DBEEA4" w14:textId="77777777" w:rsidR="001068BE" w:rsidRDefault="001068BE" w:rsidP="008659A7">
      <w:pPr>
        <w:keepNext/>
      </w:pPr>
      <w:r>
        <w:rPr>
          <w:noProof/>
        </w:rPr>
        <w:lastRenderedPageBreak/>
        <w:drawing>
          <wp:inline distT="0" distB="0" distL="0" distR="0" wp14:anchorId="24971BB8" wp14:editId="40D88CC1">
            <wp:extent cx="5943600" cy="5607685"/>
            <wp:effectExtent l="0" t="0" r="0" b="0"/>
            <wp:docPr id="22" name="Picture 2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5607685"/>
                    </a:xfrm>
                    <a:prstGeom prst="rect">
                      <a:avLst/>
                    </a:prstGeom>
                  </pic:spPr>
                </pic:pic>
              </a:graphicData>
            </a:graphic>
          </wp:inline>
        </w:drawing>
      </w:r>
    </w:p>
    <w:p w14:paraId="7C2E4894" w14:textId="005A397F" w:rsidR="001068BE" w:rsidRDefault="001068BE" w:rsidP="008659A7">
      <w:pPr>
        <w:pStyle w:val="Caption"/>
      </w:pPr>
      <w:r>
        <w:t xml:space="preserve">Supplementary Figure </w:t>
      </w:r>
      <w:fldSimple w:instr=" SEQ Supplementary_Figure \* ARABIC ">
        <w:r w:rsidR="00F24284">
          <w:rPr>
            <w:noProof/>
          </w:rPr>
          <w:t>19</w:t>
        </w:r>
      </w:fldSimple>
      <w:r>
        <w:t xml:space="preserve">: Posterior predictions for the 1-hour FWD model generated using the validation data and posterior parameter estimates. For each draw of the posterior, 1-hour FWD tally was simulated for every sample in the validation data. The bar charts show the distribution of simulated (red) and observed (blue) tallies. The panels break the predictions out by fixed effect group (crossing experimental unit A, B, or C with timestep pre-fire or post-fire). The distribution of values in the simulated data is </w:t>
      </w:r>
      <w:proofErr w:type="gramStart"/>
      <w:r>
        <w:t>similar to</w:t>
      </w:r>
      <w:proofErr w:type="gramEnd"/>
      <w:r>
        <w:t xml:space="preserve"> the distribution of values in the observed data. There are many more samples (4000 times as many) in the simulated data distributions, so it is to be expected that the resulting distribution is smoother than the distribution of observed values, but the broad behavior is reproduced well.</w:t>
      </w:r>
    </w:p>
    <w:p w14:paraId="1DA5BCFE" w14:textId="7A50257A" w:rsidR="00C47EC4" w:rsidRDefault="00C47EC4" w:rsidP="008659A7"/>
    <w:p w14:paraId="373ADBB3" w14:textId="77777777" w:rsidR="00C47EC4" w:rsidRDefault="00C47EC4" w:rsidP="008659A7">
      <w:pPr>
        <w:keepNext/>
      </w:pPr>
      <w:r>
        <w:rPr>
          <w:noProof/>
        </w:rPr>
        <w:lastRenderedPageBreak/>
        <w:drawing>
          <wp:inline distT="0" distB="0" distL="0" distR="0" wp14:anchorId="0C3E4355" wp14:editId="09A9E0DC">
            <wp:extent cx="5943612" cy="3657607"/>
            <wp:effectExtent l="0" t="0" r="0" b="0"/>
            <wp:docPr id="23" name="Picture 2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6FBAA4EA" w14:textId="7710E7F9" w:rsidR="00C47EC4" w:rsidRDefault="00C47EC4" w:rsidP="008659A7">
      <w:pPr>
        <w:pStyle w:val="Caption"/>
      </w:pPr>
      <w:r>
        <w:t xml:space="preserve">Supplementary Figure </w:t>
      </w:r>
      <w:fldSimple w:instr=" SEQ Supplementary_Figure \* ARABIC ">
        <w:r w:rsidR="00F24284">
          <w:rPr>
            <w:noProof/>
          </w:rPr>
          <w:t>20</w:t>
        </w:r>
      </w:fldSimple>
      <w:r>
        <w:t>: Posterior predictions for the 1-hour FWD model generated using the validation data and posterior parameter estimates. For each draw of the posterior, 1-hour FWD tally was simulated for every sample in the validation data. The observed data are plotted as red points, with the observed value on the X-axis and the count of observations having that depth value on the Y-axis (</w:t>
      </w:r>
      <w:proofErr w:type="gramStart"/>
      <w:r>
        <w:t>similar to</w:t>
      </w:r>
      <w:proofErr w:type="gramEnd"/>
      <w:r>
        <w:t xml:space="preserve"> a histogram). The 2.5</w:t>
      </w:r>
      <w:r w:rsidRPr="00F14B46">
        <w:rPr>
          <w:vertAlign w:val="superscript"/>
        </w:rPr>
        <w:t>th</w:t>
      </w:r>
      <w:r>
        <w:t xml:space="preserve"> and 97.5</w:t>
      </w:r>
      <w:r w:rsidRPr="00F14B46">
        <w:rPr>
          <w:vertAlign w:val="superscript"/>
        </w:rPr>
        <w:t>th</w:t>
      </w:r>
      <w:r>
        <w:t xml:space="preserve"> percentiles of the count of samples for each depth value across all posterior draws are shown as the error bars. The observed data fall within the range of behaviors predicted by the model.</w:t>
      </w:r>
    </w:p>
    <w:p w14:paraId="1193394A" w14:textId="58099995" w:rsidR="00C47EC4" w:rsidRDefault="00C47EC4" w:rsidP="008659A7"/>
    <w:p w14:paraId="37F396E8" w14:textId="77777777" w:rsidR="00C47EC4" w:rsidRDefault="00C47EC4" w:rsidP="008659A7">
      <w:pPr>
        <w:keepNext/>
      </w:pPr>
      <w:r>
        <w:rPr>
          <w:noProof/>
        </w:rPr>
        <w:lastRenderedPageBreak/>
        <w:drawing>
          <wp:inline distT="0" distB="0" distL="0" distR="0" wp14:anchorId="1BB9BFF5" wp14:editId="0977AA87">
            <wp:extent cx="5943612" cy="3657607"/>
            <wp:effectExtent l="0" t="0" r="0" b="0"/>
            <wp:docPr id="24" name="Picture 2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355D0D5" w14:textId="78755C63" w:rsidR="00C47EC4" w:rsidRDefault="00C47EC4" w:rsidP="008659A7">
      <w:pPr>
        <w:pStyle w:val="Caption"/>
      </w:pPr>
      <w:r>
        <w:t xml:space="preserve">Supplementary Figure </w:t>
      </w:r>
      <w:fldSimple w:instr=" SEQ Supplementary_Figure \* ARABIC ">
        <w:r w:rsidR="00F24284">
          <w:rPr>
            <w:noProof/>
          </w:rPr>
          <w:t>21</w:t>
        </w:r>
      </w:fldSimple>
      <w:r w:rsidR="00572EAA">
        <w:t xml:space="preserve">: Posterior predictions for the 10-hour FWD tallies model generated using the training data and posterior parameter estimates. For each draw of the posterior, 10-hour FWD tally was simulated for every sample in the training data. Each observation in the training dataset (black points) is plotted with its posterior mean value for </w:t>
      </w:r>
      <m:oMath>
        <m:func>
          <m:funcPr>
            <m:ctrlPr>
              <w:rPr>
                <w:rFonts w:ascii="Cambria Math" w:hAnsi="Cambria Math"/>
              </w:rPr>
            </m:ctrlPr>
          </m:funcPr>
          <m:fName>
            <m:r>
              <w:rPr>
                <w:rFonts w:ascii="Cambria Math" w:hAnsi="Cambria Math"/>
              </w:rPr>
              <m:t>log</m:t>
            </m:r>
          </m:fName>
          <m:e>
            <m:r>
              <w:rPr>
                <w:rFonts w:ascii="Cambria Math" w:hAnsi="Cambria Math"/>
              </w:rPr>
              <m:t>μ</m:t>
            </m:r>
          </m:e>
        </m:func>
      </m:oMath>
      <w:r w:rsidR="00572EAA">
        <w:rPr>
          <w:rFonts w:eastAsiaTheme="minorEastAsia"/>
        </w:rPr>
        <w:t xml:space="preserve"> (the linear predictor) on the X-axis and the observed depth for that observation on the Y-axis. The grey ribbon covers a 95% credible interval for the tally for each observation (the range between the 2.5</w:t>
      </w:r>
      <w:r w:rsidR="00572EAA" w:rsidRPr="008A42F8">
        <w:rPr>
          <w:rFonts w:eastAsiaTheme="minorEastAsia"/>
          <w:vertAlign w:val="superscript"/>
        </w:rPr>
        <w:t>th</w:t>
      </w:r>
      <w:r w:rsidR="00572EAA">
        <w:rPr>
          <w:rFonts w:eastAsiaTheme="minorEastAsia"/>
        </w:rPr>
        <w:t xml:space="preserve"> and 97.5</w:t>
      </w:r>
      <w:r w:rsidR="00572EAA" w:rsidRPr="008A42F8">
        <w:rPr>
          <w:rFonts w:eastAsiaTheme="minorEastAsia"/>
          <w:vertAlign w:val="superscript"/>
        </w:rPr>
        <w:t>th</w:t>
      </w:r>
      <w:r w:rsidR="00572EAA">
        <w:rPr>
          <w:rFonts w:eastAsiaTheme="minorEastAsia"/>
        </w:rPr>
        <w:t xml:space="preserve"> percentiles of simulated counts). The model generally shows good agreement between simulated and observed </w:t>
      </w:r>
      <w:proofErr w:type="gramStart"/>
      <w:r w:rsidR="00572EAA">
        <w:rPr>
          <w:rFonts w:eastAsiaTheme="minorEastAsia"/>
        </w:rPr>
        <w:t>data, but</w:t>
      </w:r>
      <w:proofErr w:type="gramEnd"/>
      <w:r w:rsidR="00572EAA">
        <w:rPr>
          <w:rFonts w:eastAsiaTheme="minorEastAsia"/>
        </w:rPr>
        <w:t xml:space="preserve"> appears to have a mild bias towards overprediction for large values of </w:t>
      </w:r>
      <m:oMath>
        <m:func>
          <m:funcPr>
            <m:ctrlPr>
              <w:rPr>
                <w:rFonts w:ascii="Cambria Math" w:eastAsiaTheme="minorEastAsia" w:hAnsi="Cambria Math"/>
              </w:rPr>
            </m:ctrlPr>
          </m:funcPr>
          <m:fName>
            <m:r>
              <w:rPr>
                <w:rFonts w:ascii="Cambria Math" w:hAnsi="Cambria Math"/>
              </w:rPr>
              <m:t>log</m:t>
            </m:r>
          </m:fName>
          <m:e>
            <m:r>
              <w:rPr>
                <w:rFonts w:ascii="Cambria Math" w:eastAsiaTheme="minorEastAsia" w:hAnsi="Cambria Math"/>
              </w:rPr>
              <m:t>μ</m:t>
            </m:r>
          </m:e>
        </m:func>
      </m:oMath>
      <w:r w:rsidR="00572EAA">
        <w:rPr>
          <w:rFonts w:eastAsiaTheme="minorEastAsia"/>
        </w:rPr>
        <w:t>, with observed values generally falling in the lower end of what the model predicts is the plausible range.</w:t>
      </w:r>
    </w:p>
    <w:p w14:paraId="10E04A74" w14:textId="07950721" w:rsidR="00C47EC4" w:rsidRDefault="00C47EC4" w:rsidP="008659A7"/>
    <w:p w14:paraId="4E693D5C" w14:textId="77777777" w:rsidR="00C47EC4" w:rsidRDefault="00C47EC4" w:rsidP="008659A7">
      <w:pPr>
        <w:keepNext/>
      </w:pPr>
      <w:r>
        <w:rPr>
          <w:noProof/>
        </w:rPr>
        <w:lastRenderedPageBreak/>
        <w:drawing>
          <wp:inline distT="0" distB="0" distL="0" distR="0" wp14:anchorId="2F612E13" wp14:editId="4EB39EF1">
            <wp:extent cx="5943612" cy="3657607"/>
            <wp:effectExtent l="0" t="0" r="0" b="0"/>
            <wp:docPr id="25" name="Picture 2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7B3F3F4C" w14:textId="7935F4BA" w:rsidR="00C47EC4" w:rsidRDefault="00C47EC4" w:rsidP="008659A7">
      <w:pPr>
        <w:pStyle w:val="Caption"/>
      </w:pPr>
      <w:r>
        <w:t xml:space="preserve">Supplementary Figure </w:t>
      </w:r>
      <w:fldSimple w:instr=" SEQ Supplementary_Figure \* ARABIC ">
        <w:r w:rsidR="00F24284">
          <w:rPr>
            <w:noProof/>
          </w:rPr>
          <w:t>22</w:t>
        </w:r>
      </w:fldSimple>
      <w:r w:rsidR="00572EAA">
        <w:t xml:space="preserve">: Posterior predictions for the 10-hour FWD tallies model generated using the training data and posterior parameter values. For each draw of the posterior, </w:t>
      </w:r>
      <w:r w:rsidR="006744AE">
        <w:t>10</w:t>
      </w:r>
      <w:r w:rsidR="00572EAA">
        <w:t>-hour FWD tally was simulated for every sample in the training data. Each black point is an observed sample, plotted with its mean posterior predicted value on the X-axis and its observed value on the Y-axis. A 1:1 line is plotted in red, and the actual linear relationship between (mean) simulated and observed counts in blue. Again, there appears to be a mild bias towards overprediction for larger counts, with the observed values generally falling below the mean predicted value for predicted counts greater than ~25.</w:t>
      </w:r>
    </w:p>
    <w:p w14:paraId="10FB06A1" w14:textId="093A0DE2" w:rsidR="00C47EC4" w:rsidRDefault="00C47EC4" w:rsidP="008659A7"/>
    <w:p w14:paraId="6CAE81B5" w14:textId="77777777" w:rsidR="00C47EC4" w:rsidRDefault="00C47EC4" w:rsidP="008659A7">
      <w:pPr>
        <w:keepNext/>
      </w:pPr>
      <w:r>
        <w:rPr>
          <w:noProof/>
        </w:rPr>
        <w:lastRenderedPageBreak/>
        <w:drawing>
          <wp:inline distT="0" distB="0" distL="0" distR="0" wp14:anchorId="7FC00E04" wp14:editId="55068C82">
            <wp:extent cx="5943612" cy="3657607"/>
            <wp:effectExtent l="0" t="0" r="0" b="0"/>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3333DD8" w14:textId="389763CA" w:rsidR="00C47EC4" w:rsidRDefault="00C47EC4" w:rsidP="008659A7">
      <w:pPr>
        <w:pStyle w:val="Caption"/>
      </w:pPr>
      <w:r>
        <w:t xml:space="preserve">Supplementary Figure </w:t>
      </w:r>
      <w:fldSimple w:instr=" SEQ Supplementary_Figure \* ARABIC ">
        <w:r w:rsidR="00F24284">
          <w:rPr>
            <w:noProof/>
          </w:rPr>
          <w:t>23</w:t>
        </w:r>
      </w:fldSimple>
      <w:r w:rsidR="00572EAA">
        <w:t>: Posterior predictions for the 10-hour FWD model generated using the training data and posterior parameter estimates. For each draw of the posterior, 10-hour FWD tally was simulated for every sample in the training data. The bar charts show the distribution of simulated (red) and observed (blue) tallies. The panels break the predictions out by fixed effect group (crossing experimental unit A, B, or C with timestep pre-fire or post-fire). The distribution of values in the simulated data is very similar to the distribution of values in the observed data. There are many more samples (4000 times as many) in the simulated data distributions, so it is to be expected that the resulting distribution is smoother than the distribution of observed values, but the broad behavior is reproduced very well.</w:t>
      </w:r>
    </w:p>
    <w:p w14:paraId="0A494E1A" w14:textId="3945E8ED" w:rsidR="00C47EC4" w:rsidRDefault="00C47EC4" w:rsidP="008659A7"/>
    <w:p w14:paraId="5549D5CE" w14:textId="77777777" w:rsidR="00C47EC4" w:rsidRDefault="00C47EC4" w:rsidP="008659A7">
      <w:pPr>
        <w:keepNext/>
      </w:pPr>
      <w:r>
        <w:rPr>
          <w:noProof/>
        </w:rPr>
        <w:lastRenderedPageBreak/>
        <w:drawing>
          <wp:inline distT="0" distB="0" distL="0" distR="0" wp14:anchorId="66CA03D9" wp14:editId="7BA436E3">
            <wp:extent cx="5943612" cy="3657607"/>
            <wp:effectExtent l="0" t="0" r="0" b="0"/>
            <wp:docPr id="27" name="Picture 27" descr="Chart, lin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line chart, scatter chart&#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4A05AFC1" w14:textId="59655A53" w:rsidR="00C47EC4" w:rsidRDefault="00C47EC4" w:rsidP="008659A7">
      <w:pPr>
        <w:pStyle w:val="Caption"/>
      </w:pPr>
      <w:r>
        <w:t xml:space="preserve">Supplementary Figure </w:t>
      </w:r>
      <w:fldSimple w:instr=" SEQ Supplementary_Figure \* ARABIC ">
        <w:r w:rsidR="00F24284">
          <w:rPr>
            <w:noProof/>
          </w:rPr>
          <w:t>24</w:t>
        </w:r>
      </w:fldSimple>
      <w:r w:rsidR="004415E3">
        <w:t>: Posterior predictions for the 10-hour FWD model generated using the training data and posterior parameter estimates. For each draw of the posterior, 10-hour FWD tally was simulated for every sample in the training data. The observed data are plotted as red points, with the observed value on the X-axis and the count of observations having that depth value on the Y-axis (</w:t>
      </w:r>
      <w:proofErr w:type="gramStart"/>
      <w:r w:rsidR="004415E3">
        <w:t>similar to</w:t>
      </w:r>
      <w:proofErr w:type="gramEnd"/>
      <w:r w:rsidR="004415E3">
        <w:t xml:space="preserve"> a histogram). The 2.5</w:t>
      </w:r>
      <w:r w:rsidR="004415E3" w:rsidRPr="00F14B46">
        <w:rPr>
          <w:vertAlign w:val="superscript"/>
        </w:rPr>
        <w:t>th</w:t>
      </w:r>
      <w:r w:rsidR="004415E3">
        <w:t xml:space="preserve"> and 97.5</w:t>
      </w:r>
      <w:r w:rsidR="004415E3" w:rsidRPr="00F14B46">
        <w:rPr>
          <w:vertAlign w:val="superscript"/>
        </w:rPr>
        <w:t>th</w:t>
      </w:r>
      <w:r w:rsidR="004415E3">
        <w:t xml:space="preserve"> percentiles of the count of samples for each depth value across all posterior draws are shown as the error bars. The observed data fall within the range of behaviors predicted by the model.</w:t>
      </w:r>
    </w:p>
    <w:p w14:paraId="232CF973" w14:textId="0F6A653B" w:rsidR="00C47EC4" w:rsidRDefault="00C47EC4" w:rsidP="008659A7"/>
    <w:p w14:paraId="22B0F9EC" w14:textId="77777777" w:rsidR="00C47EC4" w:rsidRDefault="00C47EC4" w:rsidP="008659A7">
      <w:pPr>
        <w:keepNext/>
      </w:pPr>
      <w:r>
        <w:rPr>
          <w:noProof/>
        </w:rPr>
        <w:lastRenderedPageBreak/>
        <w:drawing>
          <wp:inline distT="0" distB="0" distL="0" distR="0" wp14:anchorId="1B56FE4E" wp14:editId="6BA7DA7C">
            <wp:extent cx="5943612" cy="3657607"/>
            <wp:effectExtent l="0" t="0" r="0" b="0"/>
            <wp:docPr id="28" name="Picture 2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histogram&#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4484A674" w14:textId="317D7189" w:rsidR="004415E3" w:rsidRPr="004415E3" w:rsidRDefault="00C47EC4" w:rsidP="008659A7">
      <w:pPr>
        <w:pStyle w:val="Caption"/>
        <w:rPr>
          <w:rFonts w:eastAsiaTheme="minorEastAsia"/>
        </w:rPr>
      </w:pPr>
      <w:r>
        <w:t xml:space="preserve">Supplementary Figure </w:t>
      </w:r>
      <w:fldSimple w:instr=" SEQ Supplementary_Figure \* ARABIC ">
        <w:r w:rsidR="00F24284">
          <w:rPr>
            <w:noProof/>
          </w:rPr>
          <w:t>25</w:t>
        </w:r>
      </w:fldSimple>
      <w:r w:rsidR="004415E3">
        <w:t xml:space="preserve">: Posterior predictions for the 10-hour FWD tallies model generated using the validation data and posterior parameter estimates. For each draw of the posterior, 10-hour FWD tally was simulated for every sample in the validation data. Each observation in the validation dataset (black points) is plotted with its posterior mean value for </w:t>
      </w:r>
      <m:oMath>
        <m:func>
          <m:funcPr>
            <m:ctrlPr>
              <w:rPr>
                <w:rFonts w:ascii="Cambria Math" w:hAnsi="Cambria Math"/>
              </w:rPr>
            </m:ctrlPr>
          </m:funcPr>
          <m:fName>
            <m:r>
              <w:rPr>
                <w:rFonts w:ascii="Cambria Math" w:hAnsi="Cambria Math"/>
              </w:rPr>
              <m:t>log</m:t>
            </m:r>
          </m:fName>
          <m:e>
            <m:r>
              <w:rPr>
                <w:rFonts w:ascii="Cambria Math" w:hAnsi="Cambria Math"/>
              </w:rPr>
              <m:t>μ</m:t>
            </m:r>
          </m:e>
        </m:func>
      </m:oMath>
      <w:r w:rsidR="004415E3">
        <w:rPr>
          <w:rFonts w:eastAsiaTheme="minorEastAsia"/>
        </w:rPr>
        <w:t xml:space="preserve"> (the linear predictor) on the X-axis and the observed tally for that observation on the Y-axis. The grey ribbon covers a 95% credible interval for the tally for each observation (the range between the 2.5</w:t>
      </w:r>
      <w:r w:rsidR="004415E3" w:rsidRPr="008A42F8">
        <w:rPr>
          <w:rFonts w:eastAsiaTheme="minorEastAsia"/>
          <w:vertAlign w:val="superscript"/>
        </w:rPr>
        <w:t>th</w:t>
      </w:r>
      <w:r w:rsidR="004415E3">
        <w:rPr>
          <w:rFonts w:eastAsiaTheme="minorEastAsia"/>
        </w:rPr>
        <w:t xml:space="preserve"> and 97.5</w:t>
      </w:r>
      <w:r w:rsidR="004415E3" w:rsidRPr="008A42F8">
        <w:rPr>
          <w:rFonts w:eastAsiaTheme="minorEastAsia"/>
          <w:vertAlign w:val="superscript"/>
        </w:rPr>
        <w:t>th</w:t>
      </w:r>
      <w:r w:rsidR="004415E3">
        <w:rPr>
          <w:rFonts w:eastAsiaTheme="minorEastAsia"/>
        </w:rPr>
        <w:t xml:space="preserve"> percentiles of simulated counts). The model shows good agreement between simulated and observed data.</w:t>
      </w:r>
    </w:p>
    <w:p w14:paraId="5FD3294A" w14:textId="42E3F6D7" w:rsidR="00C47EC4" w:rsidRDefault="00C47EC4" w:rsidP="008659A7"/>
    <w:p w14:paraId="3CF1BF3C" w14:textId="77777777" w:rsidR="00C47EC4" w:rsidRDefault="00C47EC4" w:rsidP="008659A7">
      <w:pPr>
        <w:keepNext/>
      </w:pPr>
      <w:r>
        <w:rPr>
          <w:noProof/>
        </w:rPr>
        <w:lastRenderedPageBreak/>
        <w:drawing>
          <wp:inline distT="0" distB="0" distL="0" distR="0" wp14:anchorId="44A712D4" wp14:editId="48A9FB95">
            <wp:extent cx="5943612" cy="3657607"/>
            <wp:effectExtent l="0" t="0" r="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3E8172B8" w14:textId="46330E53" w:rsidR="00C47EC4" w:rsidRDefault="00C47EC4" w:rsidP="008659A7">
      <w:pPr>
        <w:pStyle w:val="Caption"/>
      </w:pPr>
      <w:r>
        <w:t xml:space="preserve">Supplementary Figure </w:t>
      </w:r>
      <w:fldSimple w:instr=" SEQ Supplementary_Figure \* ARABIC ">
        <w:r w:rsidR="00F24284">
          <w:rPr>
            <w:noProof/>
          </w:rPr>
          <w:t>26</w:t>
        </w:r>
      </w:fldSimple>
      <w:r w:rsidR="004415E3">
        <w:t>: Posterior predictions for the 10-hour FWD tallies model generated using the validation data and posterior parameter values. For each draw of the posterior, 10-hour FWD tally was simulated for every sample in the validation data. Each black point is an observed sample, plotted with its mean posterior predicted value on the X-axis and its observed value on the Y-axis. A 1:1 line is plotted in red, and the actual linear relationship between (mean) simulated and observed counts in blue. The simulated values show a mild bias towards overprediction of the observed counts above ~5.</w:t>
      </w:r>
    </w:p>
    <w:p w14:paraId="1B0A0953" w14:textId="6B146B9F" w:rsidR="00C47EC4" w:rsidRDefault="00C47EC4" w:rsidP="008659A7"/>
    <w:p w14:paraId="0340B0BF" w14:textId="77777777" w:rsidR="00572EAA" w:rsidRDefault="00572EAA" w:rsidP="008659A7">
      <w:pPr>
        <w:keepNext/>
      </w:pPr>
      <w:r>
        <w:rPr>
          <w:noProof/>
        </w:rPr>
        <w:lastRenderedPageBreak/>
        <w:drawing>
          <wp:inline distT="0" distB="0" distL="0" distR="0" wp14:anchorId="25859BA1" wp14:editId="785C8D77">
            <wp:extent cx="5943612" cy="3657607"/>
            <wp:effectExtent l="0" t="0" r="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971B4FE" w14:textId="0075B9BE" w:rsidR="00C47EC4" w:rsidRDefault="00572EAA" w:rsidP="008659A7">
      <w:pPr>
        <w:pStyle w:val="Caption"/>
      </w:pPr>
      <w:r>
        <w:t xml:space="preserve">Supplementary Figure </w:t>
      </w:r>
      <w:fldSimple w:instr=" SEQ Supplementary_Figure \* ARABIC ">
        <w:r w:rsidR="00F24284">
          <w:rPr>
            <w:noProof/>
          </w:rPr>
          <w:t>27</w:t>
        </w:r>
      </w:fldSimple>
      <w:r w:rsidR="004415E3">
        <w:t xml:space="preserve">: Posterior predictions for the 10-hour FWD model generated using the validation data and posterior parameter estimates. For each draw of the posterior, 10-hour FWD tally was simulated for every sample in the validation data. The bar charts show the distribution of simulated (red) and observed (blue) tallies. The panels break the predictions out by fixed effect group (crossing experimental unit A, B, or C with timestep pre-fire or post-fire). The distribution of values in the simulated data is </w:t>
      </w:r>
      <w:proofErr w:type="gramStart"/>
      <w:r w:rsidR="004415E3">
        <w:t>similar to</w:t>
      </w:r>
      <w:proofErr w:type="gramEnd"/>
      <w:r w:rsidR="004415E3">
        <w:t xml:space="preserve"> the distribution of values in the observed data. There are many more samples (4000 times as many) in the simulated data distributions, so it is to be expected that the resulting distribution is smoother than the distribution of observed values, but the broad behavior is reproduced well.</w:t>
      </w:r>
    </w:p>
    <w:p w14:paraId="03849C0D" w14:textId="1163519A" w:rsidR="00572EAA" w:rsidRDefault="00572EAA" w:rsidP="008659A7"/>
    <w:p w14:paraId="25D0CE7E" w14:textId="77777777" w:rsidR="00572EAA" w:rsidRDefault="00572EAA" w:rsidP="008659A7">
      <w:pPr>
        <w:keepNext/>
      </w:pPr>
      <w:r>
        <w:rPr>
          <w:noProof/>
        </w:rPr>
        <w:lastRenderedPageBreak/>
        <w:drawing>
          <wp:inline distT="0" distB="0" distL="0" distR="0" wp14:anchorId="3B563462" wp14:editId="28B32FFD">
            <wp:extent cx="5943612" cy="3657607"/>
            <wp:effectExtent l="0" t="0" r="0" b="0"/>
            <wp:docPr id="31" name="Picture 3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2A3E413C" w14:textId="03EF2727" w:rsidR="00572EAA" w:rsidRDefault="00572EAA" w:rsidP="008659A7">
      <w:pPr>
        <w:pStyle w:val="Caption"/>
      </w:pPr>
      <w:r>
        <w:t xml:space="preserve">Supplementary Figure </w:t>
      </w:r>
      <w:fldSimple w:instr=" SEQ Supplementary_Figure \* ARABIC ">
        <w:r w:rsidR="00F24284">
          <w:rPr>
            <w:noProof/>
          </w:rPr>
          <w:t>28</w:t>
        </w:r>
      </w:fldSimple>
      <w:r w:rsidR="004415E3">
        <w:t>: Posterior predictions for the 10-hour FWD model generated using the validation data and posterior parameter estimates. For each draw of the posterior, 10-hour FWD tally was simulated for every sample in the validation data. The observed data are plotted as red points, with the observed value on the X-axis and the count of observations having that depth value on the Y-axis (</w:t>
      </w:r>
      <w:proofErr w:type="gramStart"/>
      <w:r w:rsidR="004415E3">
        <w:t>similar to</w:t>
      </w:r>
      <w:proofErr w:type="gramEnd"/>
      <w:r w:rsidR="004415E3">
        <w:t xml:space="preserve"> a histogram). The 2.5</w:t>
      </w:r>
      <w:r w:rsidR="004415E3" w:rsidRPr="00F14B46">
        <w:rPr>
          <w:vertAlign w:val="superscript"/>
        </w:rPr>
        <w:t>th</w:t>
      </w:r>
      <w:r w:rsidR="004415E3">
        <w:t xml:space="preserve"> and 97.5</w:t>
      </w:r>
      <w:r w:rsidR="004415E3" w:rsidRPr="00F14B46">
        <w:rPr>
          <w:vertAlign w:val="superscript"/>
        </w:rPr>
        <w:t>th</w:t>
      </w:r>
      <w:r w:rsidR="004415E3">
        <w:t xml:space="preserve"> percentiles of the count of samples for each depth value across all posterior draws are shown as the error bars. The observed data fall within the range of behaviors predicted by the model.</w:t>
      </w:r>
    </w:p>
    <w:p w14:paraId="5735CC12" w14:textId="45E2AB73" w:rsidR="00F24284" w:rsidRDefault="00F24284" w:rsidP="008659A7"/>
    <w:p w14:paraId="1E265187" w14:textId="77777777" w:rsidR="00F24284" w:rsidRDefault="00F24284" w:rsidP="008659A7">
      <w:pPr>
        <w:keepNext/>
      </w:pPr>
      <w:r>
        <w:rPr>
          <w:noProof/>
        </w:rPr>
        <w:lastRenderedPageBreak/>
        <w:drawing>
          <wp:inline distT="0" distB="0" distL="0" distR="0" wp14:anchorId="44814B05" wp14:editId="4F424F23">
            <wp:extent cx="5943612" cy="3657607"/>
            <wp:effectExtent l="0" t="0" r="0" b="0"/>
            <wp:docPr id="32" name="Picture 3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hart, histogram&#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8CFBB78" w14:textId="74579766" w:rsidR="006744AE" w:rsidRPr="006744AE" w:rsidRDefault="00F24284" w:rsidP="008659A7">
      <w:pPr>
        <w:pStyle w:val="Caption"/>
        <w:rPr>
          <w:rFonts w:eastAsiaTheme="minorEastAsia"/>
        </w:rPr>
      </w:pPr>
      <w:r>
        <w:t xml:space="preserve">Supplementary Figure </w:t>
      </w:r>
      <w:fldSimple w:instr=" SEQ Supplementary_Figure \* ARABIC ">
        <w:r>
          <w:rPr>
            <w:noProof/>
          </w:rPr>
          <w:t>29</w:t>
        </w:r>
      </w:fldSimple>
      <w:r w:rsidR="00185BA0">
        <w:t>: Posterior predictions for the 1</w:t>
      </w:r>
      <w:r w:rsidR="006744AE">
        <w:t>0</w:t>
      </w:r>
      <w:r w:rsidR="00185BA0">
        <w:t>0-hour FWD tallies model generated using the training data and posterior parameter estimates. For each draw of the posterior, 1</w:t>
      </w:r>
      <w:r w:rsidR="006744AE">
        <w:t>0</w:t>
      </w:r>
      <w:r w:rsidR="00185BA0">
        <w:t xml:space="preserve">0-hour FWD tally was simulated for every sample in the training data. Each observation in the training dataset (black points) is plotted with its posterior mean value for </w:t>
      </w:r>
      <m:oMath>
        <m:func>
          <m:funcPr>
            <m:ctrlPr>
              <w:rPr>
                <w:rFonts w:ascii="Cambria Math" w:hAnsi="Cambria Math"/>
              </w:rPr>
            </m:ctrlPr>
          </m:funcPr>
          <m:fName>
            <m:r>
              <w:rPr>
                <w:rFonts w:ascii="Cambria Math" w:hAnsi="Cambria Math"/>
              </w:rPr>
              <m:t>log</m:t>
            </m:r>
          </m:fName>
          <m:e>
            <m:r>
              <w:rPr>
                <w:rFonts w:ascii="Cambria Math" w:hAnsi="Cambria Math"/>
              </w:rPr>
              <m:t>μ</m:t>
            </m:r>
          </m:e>
        </m:func>
      </m:oMath>
      <w:r w:rsidR="00185BA0">
        <w:rPr>
          <w:rFonts w:eastAsiaTheme="minorEastAsia"/>
        </w:rPr>
        <w:t xml:space="preserve"> (the linear predictor) on the X-axis and the observed depth for that observation on the Y-axis. The grey ribbon covers a 95% credible interval for the tally for each observation (the range between the 2.5</w:t>
      </w:r>
      <w:r w:rsidR="00185BA0" w:rsidRPr="008A42F8">
        <w:rPr>
          <w:rFonts w:eastAsiaTheme="minorEastAsia"/>
          <w:vertAlign w:val="superscript"/>
        </w:rPr>
        <w:t>th</w:t>
      </w:r>
      <w:r w:rsidR="00185BA0">
        <w:rPr>
          <w:rFonts w:eastAsiaTheme="minorEastAsia"/>
        </w:rPr>
        <w:t xml:space="preserve"> and 97.5</w:t>
      </w:r>
      <w:r w:rsidR="00185BA0" w:rsidRPr="008A42F8">
        <w:rPr>
          <w:rFonts w:eastAsiaTheme="minorEastAsia"/>
          <w:vertAlign w:val="superscript"/>
        </w:rPr>
        <w:t>th</w:t>
      </w:r>
      <w:r w:rsidR="00185BA0">
        <w:rPr>
          <w:rFonts w:eastAsiaTheme="minorEastAsia"/>
        </w:rPr>
        <w:t xml:space="preserve"> percentiles of simulated counts). The model generally shows good agreement between simulated and observed data</w:t>
      </w:r>
      <w:r w:rsidR="006744AE">
        <w:rPr>
          <w:rFonts w:eastAsiaTheme="minorEastAsia"/>
        </w:rPr>
        <w:t>.</w:t>
      </w:r>
    </w:p>
    <w:p w14:paraId="23D83D9C" w14:textId="7D95E4D6" w:rsidR="00F24284" w:rsidRDefault="00F24284" w:rsidP="008659A7">
      <w:pPr>
        <w:pStyle w:val="Caption"/>
      </w:pPr>
    </w:p>
    <w:p w14:paraId="7BA9F34D" w14:textId="41E7CD6E" w:rsidR="00F24284" w:rsidRDefault="00F24284" w:rsidP="008659A7"/>
    <w:p w14:paraId="33790F48" w14:textId="77777777" w:rsidR="00F24284" w:rsidRDefault="00F24284" w:rsidP="008659A7">
      <w:pPr>
        <w:keepNext/>
      </w:pPr>
      <w:r>
        <w:rPr>
          <w:noProof/>
        </w:rPr>
        <w:lastRenderedPageBreak/>
        <w:drawing>
          <wp:inline distT="0" distB="0" distL="0" distR="0" wp14:anchorId="5FC16F30" wp14:editId="2DE314C2">
            <wp:extent cx="5943612" cy="3657607"/>
            <wp:effectExtent l="0" t="0" r="0" b="0"/>
            <wp:docPr id="33" name="Picture 33"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10;&#10;Description automatically generated with low confidenc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74C0C38F" w14:textId="0EB00B2A" w:rsidR="00F24284" w:rsidRDefault="00F24284" w:rsidP="008659A7">
      <w:pPr>
        <w:pStyle w:val="Caption"/>
      </w:pPr>
      <w:r>
        <w:t xml:space="preserve">Supplementary Figure </w:t>
      </w:r>
      <w:fldSimple w:instr=" SEQ Supplementary_Figure \* ARABIC ">
        <w:r>
          <w:rPr>
            <w:noProof/>
          </w:rPr>
          <w:t>30</w:t>
        </w:r>
      </w:fldSimple>
      <w:r w:rsidR="006744AE">
        <w:t>: Posterior predictions for the 100-hour FWD tallies model generated using the training data and posterior parameter values. For each draw of the posterior, 100-hour FWD tally was simulated for every sample in the training data. Each black point is an observed sample, plotted with its mean posterior predicted value on the X-axis and its observed value on the Y-axis. A 1:1 line is plotted in red, and the actual linear relationship between (mean) simulated and observed counts in blue. Again, there appears to be a mild bias towards underprediction, with the observed values generally falling above the mean predicted value for predicted values greater than approximately 0.5.</w:t>
      </w:r>
    </w:p>
    <w:p w14:paraId="3B92CE0E" w14:textId="09F7B5BF" w:rsidR="00F24284" w:rsidRDefault="00F24284" w:rsidP="008659A7"/>
    <w:p w14:paraId="7710667F" w14:textId="77777777" w:rsidR="00F24284" w:rsidRDefault="00F24284" w:rsidP="008659A7">
      <w:pPr>
        <w:keepNext/>
      </w:pPr>
      <w:r>
        <w:rPr>
          <w:noProof/>
        </w:rPr>
        <w:lastRenderedPageBreak/>
        <w:drawing>
          <wp:inline distT="0" distB="0" distL="0" distR="0" wp14:anchorId="20C23499" wp14:editId="3D4D9023">
            <wp:extent cx="5943612" cy="3657607"/>
            <wp:effectExtent l="0" t="0" r="0" b="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7F041EE0" w14:textId="109D770E" w:rsidR="00F24284" w:rsidRDefault="00F24284" w:rsidP="008659A7">
      <w:pPr>
        <w:pStyle w:val="Caption"/>
      </w:pPr>
      <w:r>
        <w:t xml:space="preserve">Supplementary Figure </w:t>
      </w:r>
      <w:fldSimple w:instr=" SEQ Supplementary_Figure \* ARABIC ">
        <w:r>
          <w:rPr>
            <w:noProof/>
          </w:rPr>
          <w:t>31</w:t>
        </w:r>
      </w:fldSimple>
      <w:r w:rsidR="006744AE">
        <w:t>: Posterior predictions for the 100-hour FWD model generated using the training data and posterior parameter estimates. For each draw of the posterior, 100-hour FWD tally was simulated for every sample in the training data. The bar charts show the distribution of simulated (red) and observed (blue) tallies. The panels break the predictions out by fixed effect group (crossing experimental unit A, B, or C with timestep pre-fire or post-fire). The distribution of values in the simulated data is very similar to the distribution of values in the observed data. There are many more samples (4000 times as many) in the simulated data distributions, so it is to be expected that the resulting distribution is smoother than the distribution of observed values, but the broad behavior is reproduced very well.</w:t>
      </w:r>
    </w:p>
    <w:p w14:paraId="55AE1145" w14:textId="11D9616E" w:rsidR="00F24284" w:rsidRDefault="00F24284" w:rsidP="008659A7"/>
    <w:p w14:paraId="1C40EA73" w14:textId="77777777" w:rsidR="00F24284" w:rsidRDefault="00F24284" w:rsidP="008659A7">
      <w:pPr>
        <w:keepNext/>
      </w:pPr>
      <w:r>
        <w:rPr>
          <w:noProof/>
        </w:rPr>
        <w:lastRenderedPageBreak/>
        <w:drawing>
          <wp:inline distT="0" distB="0" distL="0" distR="0" wp14:anchorId="5019DB72" wp14:editId="45B0C3D4">
            <wp:extent cx="5943612" cy="3657607"/>
            <wp:effectExtent l="0" t="0" r="0" b="0"/>
            <wp:docPr id="35" name="Picture 35"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10;&#10;Description automatically generated with medium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5B7B78E0" w14:textId="4D398D7E" w:rsidR="00F24284" w:rsidRDefault="00F24284" w:rsidP="008659A7">
      <w:pPr>
        <w:pStyle w:val="Caption"/>
      </w:pPr>
      <w:r>
        <w:t xml:space="preserve">Supplementary Figure </w:t>
      </w:r>
      <w:fldSimple w:instr=" SEQ Supplementary_Figure \* ARABIC ">
        <w:r>
          <w:rPr>
            <w:noProof/>
          </w:rPr>
          <w:t>32</w:t>
        </w:r>
      </w:fldSimple>
      <w:r w:rsidR="006744AE">
        <w:t>: Posterior predictions for the 100-hour FWD model generated using the training data and posterior parameter estimates. For each draw of the posterior, 100-hour FWD tally was simulated for every sample in the training data. The observed data are plotted as red points, with the observed value on the X-axis and the count of observations having that depth value on the Y-axis (</w:t>
      </w:r>
      <w:proofErr w:type="gramStart"/>
      <w:r w:rsidR="006744AE">
        <w:t>similar to</w:t>
      </w:r>
      <w:proofErr w:type="gramEnd"/>
      <w:r w:rsidR="006744AE">
        <w:t xml:space="preserve"> a histogram). The 2.5</w:t>
      </w:r>
      <w:r w:rsidR="006744AE" w:rsidRPr="00F14B46">
        <w:rPr>
          <w:vertAlign w:val="superscript"/>
        </w:rPr>
        <w:t>th</w:t>
      </w:r>
      <w:r w:rsidR="006744AE">
        <w:t xml:space="preserve"> and 97.5</w:t>
      </w:r>
      <w:r w:rsidR="006744AE" w:rsidRPr="00F14B46">
        <w:rPr>
          <w:vertAlign w:val="superscript"/>
        </w:rPr>
        <w:t>th</w:t>
      </w:r>
      <w:r w:rsidR="006744AE">
        <w:t xml:space="preserve"> percentiles of the count of samples for each depth value across all posterior draws are shown as the error bars. The observed data fall within the range of behaviors predicted by the model.</w:t>
      </w:r>
    </w:p>
    <w:p w14:paraId="6C4838BB" w14:textId="29B54A82" w:rsidR="00F24284" w:rsidRDefault="00F24284" w:rsidP="008659A7"/>
    <w:p w14:paraId="7D234D74" w14:textId="77777777" w:rsidR="00F24284" w:rsidRDefault="00F24284" w:rsidP="008659A7">
      <w:pPr>
        <w:keepNext/>
      </w:pPr>
      <w:r>
        <w:rPr>
          <w:noProof/>
        </w:rPr>
        <w:lastRenderedPageBreak/>
        <w:drawing>
          <wp:inline distT="0" distB="0" distL="0" distR="0" wp14:anchorId="7ED623CB" wp14:editId="71F94816">
            <wp:extent cx="5943612" cy="365760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2AF81859" w14:textId="25A813FE" w:rsidR="00F24284" w:rsidRDefault="00F24284" w:rsidP="008659A7">
      <w:pPr>
        <w:pStyle w:val="Caption"/>
      </w:pPr>
      <w:r>
        <w:t xml:space="preserve">Supplementary Figure </w:t>
      </w:r>
      <w:fldSimple w:instr=" SEQ Supplementary_Figure \* ARABIC ">
        <w:r>
          <w:rPr>
            <w:noProof/>
          </w:rPr>
          <w:t>33</w:t>
        </w:r>
      </w:fldSimple>
      <w:r w:rsidR="006744AE">
        <w:t xml:space="preserve">: Posterior predictions for the 100-hour FWD tallies model generated using the validation data and posterior parameter estimates. For each draw of the posterior, 100-hour FWD tally was simulated for every sample in the validation data. Each observation in the validation dataset (black points) is plotted with its posterior mean value for </w:t>
      </w:r>
      <m:oMath>
        <m:func>
          <m:funcPr>
            <m:ctrlPr>
              <w:rPr>
                <w:rFonts w:ascii="Cambria Math" w:hAnsi="Cambria Math"/>
              </w:rPr>
            </m:ctrlPr>
          </m:funcPr>
          <m:fName>
            <m:r>
              <w:rPr>
                <w:rFonts w:ascii="Cambria Math" w:hAnsi="Cambria Math"/>
              </w:rPr>
              <m:t>log</m:t>
            </m:r>
          </m:fName>
          <m:e>
            <m:r>
              <w:rPr>
                <w:rFonts w:ascii="Cambria Math" w:hAnsi="Cambria Math"/>
              </w:rPr>
              <m:t>μ</m:t>
            </m:r>
          </m:e>
        </m:func>
      </m:oMath>
      <w:r w:rsidR="006744AE">
        <w:rPr>
          <w:rFonts w:eastAsiaTheme="minorEastAsia"/>
        </w:rPr>
        <w:t xml:space="preserve"> (the linear predictor) on the X-axis and the observed tally for that observation on the Y-axis. The grey ribbon covers a 95% credible interval for the tally for each observation (the range between the 2.5</w:t>
      </w:r>
      <w:r w:rsidR="006744AE" w:rsidRPr="008A42F8">
        <w:rPr>
          <w:rFonts w:eastAsiaTheme="minorEastAsia"/>
          <w:vertAlign w:val="superscript"/>
        </w:rPr>
        <w:t>th</w:t>
      </w:r>
      <w:r w:rsidR="006744AE">
        <w:rPr>
          <w:rFonts w:eastAsiaTheme="minorEastAsia"/>
        </w:rPr>
        <w:t xml:space="preserve"> and 97.5</w:t>
      </w:r>
      <w:r w:rsidR="006744AE" w:rsidRPr="008A42F8">
        <w:rPr>
          <w:rFonts w:eastAsiaTheme="minorEastAsia"/>
          <w:vertAlign w:val="superscript"/>
        </w:rPr>
        <w:t>th</w:t>
      </w:r>
      <w:r w:rsidR="006744AE">
        <w:rPr>
          <w:rFonts w:eastAsiaTheme="minorEastAsia"/>
        </w:rPr>
        <w:t xml:space="preserve"> percentiles of simulated counts). The model shows good agreement between simulated and observed data.</w:t>
      </w:r>
    </w:p>
    <w:p w14:paraId="11025873" w14:textId="2207FF62" w:rsidR="00F24284" w:rsidRDefault="00F24284" w:rsidP="008659A7"/>
    <w:p w14:paraId="7504171D" w14:textId="77777777" w:rsidR="00F24284" w:rsidRDefault="00F24284" w:rsidP="008659A7">
      <w:pPr>
        <w:keepNext/>
      </w:pPr>
      <w:r>
        <w:rPr>
          <w:noProof/>
        </w:rPr>
        <w:lastRenderedPageBreak/>
        <w:drawing>
          <wp:inline distT="0" distB="0" distL="0" distR="0" wp14:anchorId="0DC22696" wp14:editId="6CE06768">
            <wp:extent cx="5943612" cy="3657607"/>
            <wp:effectExtent l="0" t="0" r="0" b="0"/>
            <wp:docPr id="37" name="Picture 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 line chart&#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27DD10A5" w14:textId="4D42CF42" w:rsidR="00F24284" w:rsidRDefault="00F24284" w:rsidP="008659A7">
      <w:pPr>
        <w:pStyle w:val="Caption"/>
      </w:pPr>
      <w:r>
        <w:t xml:space="preserve">Supplementary Figure </w:t>
      </w:r>
      <w:fldSimple w:instr=" SEQ Supplementary_Figure \* ARABIC ">
        <w:r>
          <w:rPr>
            <w:noProof/>
          </w:rPr>
          <w:t>34</w:t>
        </w:r>
      </w:fldSimple>
      <w:r w:rsidR="00D34729" w:rsidRPr="00D34729">
        <w:t xml:space="preserve"> </w:t>
      </w:r>
      <w:r w:rsidR="00D34729">
        <w:t>Posterior predictions for the 10-hour FWD tallies model generated using the validation data and posterior parameter values. For each draw of the posterior, 10-hour FWD tally was simulated for every sample in the validation data. Each black point is an observed sample, plotted with its mean posterior predicted value on the X-axis and its observed value on the Y-axis. A 1:1 line is plotted in red, and the actual linear relationship between (mean) simulated and observed counts in blue. The simulated values show a mild bias towards underprediction of the observed counts.</w:t>
      </w:r>
    </w:p>
    <w:p w14:paraId="14E8B6BB" w14:textId="3EB6DC0E" w:rsidR="00F24284" w:rsidRDefault="00F24284" w:rsidP="008659A7"/>
    <w:p w14:paraId="3DF11713" w14:textId="77777777" w:rsidR="00F24284" w:rsidRDefault="00F24284" w:rsidP="008659A7">
      <w:pPr>
        <w:keepNext/>
      </w:pPr>
      <w:r>
        <w:rPr>
          <w:noProof/>
        </w:rPr>
        <w:lastRenderedPageBreak/>
        <w:drawing>
          <wp:inline distT="0" distB="0" distL="0" distR="0" wp14:anchorId="78D9934C" wp14:editId="25C97CED">
            <wp:extent cx="5943612" cy="3657607"/>
            <wp:effectExtent l="0" t="0" r="0" b="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iagram&#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824E0CD" w14:textId="154A52FA" w:rsidR="00F24284" w:rsidRDefault="00F24284" w:rsidP="008659A7">
      <w:pPr>
        <w:pStyle w:val="Caption"/>
      </w:pPr>
      <w:r>
        <w:t xml:space="preserve">Supplementary Figure </w:t>
      </w:r>
      <w:fldSimple w:instr=" SEQ Supplementary_Figure \* ARABIC ">
        <w:r>
          <w:rPr>
            <w:noProof/>
          </w:rPr>
          <w:t>35</w:t>
        </w:r>
      </w:fldSimple>
      <w:r w:rsidR="00D34729">
        <w:t xml:space="preserve">: Posterior predictions for the 100-hour FWD model generated using the validation data and posterior parameter estimates. For each draw of the posterior, 100-hour FWD tally was simulated for every sample in the validation data. The bar charts show the distribution of simulated (red) and observed (blue) tallies. The panels break the predictions out by fixed effect group (crossing experimental unit A, B, or C with timestep pre-fire or post-fire). The distribution of values in the simulated data is </w:t>
      </w:r>
      <w:proofErr w:type="gramStart"/>
      <w:r w:rsidR="00D34729">
        <w:t>similar to</w:t>
      </w:r>
      <w:proofErr w:type="gramEnd"/>
      <w:r w:rsidR="00D34729">
        <w:t xml:space="preserve"> the distribution of values in the observed data. There are many more samples (4000 times as many) in the simulated data distributions, so it is to be expected that the resulting distribution is smoother than the distribution of observed values, but the broad behavior is reproduced well.</w:t>
      </w:r>
    </w:p>
    <w:p w14:paraId="252A7D51" w14:textId="6A164F7C" w:rsidR="00F24284" w:rsidRDefault="00F24284" w:rsidP="008659A7"/>
    <w:p w14:paraId="663A56A8" w14:textId="77777777" w:rsidR="00F24284" w:rsidRDefault="00F24284" w:rsidP="008659A7">
      <w:pPr>
        <w:keepNext/>
      </w:pPr>
      <w:r>
        <w:rPr>
          <w:noProof/>
        </w:rPr>
        <w:lastRenderedPageBreak/>
        <w:drawing>
          <wp:inline distT="0" distB="0" distL="0" distR="0" wp14:anchorId="2B4647E9" wp14:editId="3023D58F">
            <wp:extent cx="5943612" cy="3657607"/>
            <wp:effectExtent l="0" t="0" r="0" b="0"/>
            <wp:docPr id="39" name="Picture 3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with low confidenc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74F437B0" w14:textId="53462A6B" w:rsidR="00F24284" w:rsidRPr="00F24284" w:rsidRDefault="00F24284" w:rsidP="008659A7">
      <w:pPr>
        <w:pStyle w:val="Caption"/>
      </w:pPr>
      <w:r>
        <w:t xml:space="preserve">Supplementary Figure </w:t>
      </w:r>
      <w:fldSimple w:instr=" SEQ Supplementary_Figure \* ARABIC ">
        <w:r>
          <w:rPr>
            <w:noProof/>
          </w:rPr>
          <w:t>36</w:t>
        </w:r>
      </w:fldSimple>
      <w:r w:rsidR="00D34729">
        <w:t>: Posterior predictions for the 100-hour FWD model generated using the validation data and posterior parameter estimates. For each draw of the posterior, 100-hour FWD tally was simulated for every sample in the validation data. The observed data are plotted as red points, with the observed value on the X-axis and the count of observations having that depth value on the Y-axis (</w:t>
      </w:r>
      <w:proofErr w:type="gramStart"/>
      <w:r w:rsidR="00D34729">
        <w:t>similar to</w:t>
      </w:r>
      <w:proofErr w:type="gramEnd"/>
      <w:r w:rsidR="00D34729">
        <w:t xml:space="preserve"> a histogram). The 2.5</w:t>
      </w:r>
      <w:r w:rsidR="00D34729" w:rsidRPr="00F14B46">
        <w:rPr>
          <w:vertAlign w:val="superscript"/>
        </w:rPr>
        <w:t>th</w:t>
      </w:r>
      <w:r w:rsidR="00D34729">
        <w:t xml:space="preserve"> and 97.5</w:t>
      </w:r>
      <w:r w:rsidR="00D34729" w:rsidRPr="00F14B46">
        <w:rPr>
          <w:vertAlign w:val="superscript"/>
        </w:rPr>
        <w:t>th</w:t>
      </w:r>
      <w:r w:rsidR="00D34729">
        <w:t xml:space="preserve"> percentiles of the count of samples for each depth value across all posterior draws are shown as the error bars. The observed data fall within the range of behaviors predicted by the model.</w:t>
      </w:r>
    </w:p>
    <w:sectPr w:rsidR="00F24284" w:rsidRPr="00F24284">
      <w:headerReference w:type="default" r:id="rId47"/>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A9AD9" w14:textId="77777777" w:rsidR="007571C6" w:rsidRDefault="007571C6" w:rsidP="00360129">
      <w:pPr>
        <w:spacing w:after="0" w:line="240" w:lineRule="auto"/>
      </w:pPr>
      <w:r>
        <w:separator/>
      </w:r>
    </w:p>
  </w:endnote>
  <w:endnote w:type="continuationSeparator" w:id="0">
    <w:p w14:paraId="540A2786" w14:textId="77777777" w:rsidR="007571C6" w:rsidRDefault="007571C6" w:rsidP="00360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3CA5E" w14:textId="77777777" w:rsidR="00360129" w:rsidRDefault="00360129">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147B9B0" w14:textId="77777777" w:rsidR="00360129" w:rsidRDefault="00360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41F69" w14:textId="77777777" w:rsidR="007571C6" w:rsidRDefault="007571C6" w:rsidP="00360129">
      <w:pPr>
        <w:spacing w:after="0" w:line="240" w:lineRule="auto"/>
      </w:pPr>
      <w:r>
        <w:separator/>
      </w:r>
    </w:p>
  </w:footnote>
  <w:footnote w:type="continuationSeparator" w:id="0">
    <w:p w14:paraId="566208F7" w14:textId="77777777" w:rsidR="007571C6" w:rsidRDefault="007571C6" w:rsidP="00360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780A8" w14:textId="1CC7FB74" w:rsidR="00360129" w:rsidRDefault="00360129" w:rsidP="00360129">
    <w:pPr>
      <w:pStyle w:val="Header"/>
      <w:jc w:val="right"/>
    </w:pPr>
    <w:r>
      <w:t>Foster 2022</w:t>
    </w:r>
  </w:p>
  <w:p w14:paraId="089D9368" w14:textId="77777777" w:rsidR="00360129" w:rsidRDefault="00360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F65F5"/>
    <w:multiLevelType w:val="hybridMultilevel"/>
    <w:tmpl w:val="A0C07C7C"/>
    <w:lvl w:ilvl="0" w:tplc="A79C7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C932CF"/>
    <w:multiLevelType w:val="hybridMultilevel"/>
    <w:tmpl w:val="A42E1B7C"/>
    <w:lvl w:ilvl="0" w:tplc="05D87C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804705">
    <w:abstractNumId w:val="0"/>
  </w:num>
  <w:num w:numId="2" w16cid:durableId="233585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C0"/>
    <w:rsid w:val="00003235"/>
    <w:rsid w:val="000052BF"/>
    <w:rsid w:val="000168F2"/>
    <w:rsid w:val="0003072E"/>
    <w:rsid w:val="00073AF0"/>
    <w:rsid w:val="00083AB8"/>
    <w:rsid w:val="000A3F85"/>
    <w:rsid w:val="000A667D"/>
    <w:rsid w:val="000C5CFE"/>
    <w:rsid w:val="000C6D98"/>
    <w:rsid w:val="000E4DC7"/>
    <w:rsid w:val="000E737F"/>
    <w:rsid w:val="001068BE"/>
    <w:rsid w:val="0011611A"/>
    <w:rsid w:val="001310A0"/>
    <w:rsid w:val="00135827"/>
    <w:rsid w:val="00137700"/>
    <w:rsid w:val="00143BF0"/>
    <w:rsid w:val="0015457A"/>
    <w:rsid w:val="001610A6"/>
    <w:rsid w:val="00185BA0"/>
    <w:rsid w:val="0019691C"/>
    <w:rsid w:val="00196F97"/>
    <w:rsid w:val="001E31C9"/>
    <w:rsid w:val="002312B3"/>
    <w:rsid w:val="00273302"/>
    <w:rsid w:val="002E5964"/>
    <w:rsid w:val="00300C99"/>
    <w:rsid w:val="0030476C"/>
    <w:rsid w:val="00307444"/>
    <w:rsid w:val="003108AF"/>
    <w:rsid w:val="00320183"/>
    <w:rsid w:val="00331048"/>
    <w:rsid w:val="003333BA"/>
    <w:rsid w:val="0035436F"/>
    <w:rsid w:val="00360129"/>
    <w:rsid w:val="003776ED"/>
    <w:rsid w:val="003869C4"/>
    <w:rsid w:val="003A670E"/>
    <w:rsid w:val="003B564B"/>
    <w:rsid w:val="003C05A7"/>
    <w:rsid w:val="003E7489"/>
    <w:rsid w:val="003F3B41"/>
    <w:rsid w:val="003F4D3E"/>
    <w:rsid w:val="00407FB4"/>
    <w:rsid w:val="00423B52"/>
    <w:rsid w:val="00435521"/>
    <w:rsid w:val="004415E3"/>
    <w:rsid w:val="00452DA6"/>
    <w:rsid w:val="00456593"/>
    <w:rsid w:val="00464FCC"/>
    <w:rsid w:val="004674CC"/>
    <w:rsid w:val="00472F0D"/>
    <w:rsid w:val="00480827"/>
    <w:rsid w:val="00490FC9"/>
    <w:rsid w:val="00494FF9"/>
    <w:rsid w:val="0049669E"/>
    <w:rsid w:val="004D29E2"/>
    <w:rsid w:val="004E34EF"/>
    <w:rsid w:val="00510576"/>
    <w:rsid w:val="0053004B"/>
    <w:rsid w:val="005335F3"/>
    <w:rsid w:val="0053576C"/>
    <w:rsid w:val="00565108"/>
    <w:rsid w:val="00572EAA"/>
    <w:rsid w:val="00580BD7"/>
    <w:rsid w:val="00582B1A"/>
    <w:rsid w:val="005941B1"/>
    <w:rsid w:val="005A2F6D"/>
    <w:rsid w:val="005A7255"/>
    <w:rsid w:val="005B2CF0"/>
    <w:rsid w:val="005B4497"/>
    <w:rsid w:val="005B7139"/>
    <w:rsid w:val="005C0176"/>
    <w:rsid w:val="005C108B"/>
    <w:rsid w:val="005C539B"/>
    <w:rsid w:val="005C5E5A"/>
    <w:rsid w:val="005F18C4"/>
    <w:rsid w:val="00603311"/>
    <w:rsid w:val="00610712"/>
    <w:rsid w:val="006123F5"/>
    <w:rsid w:val="00636281"/>
    <w:rsid w:val="00643FA0"/>
    <w:rsid w:val="00657BD2"/>
    <w:rsid w:val="0066579A"/>
    <w:rsid w:val="006744AE"/>
    <w:rsid w:val="006822F4"/>
    <w:rsid w:val="006967BF"/>
    <w:rsid w:val="006A1419"/>
    <w:rsid w:val="006C1272"/>
    <w:rsid w:val="006C7F22"/>
    <w:rsid w:val="006D5E8F"/>
    <w:rsid w:val="006E3169"/>
    <w:rsid w:val="006E691A"/>
    <w:rsid w:val="006F2A85"/>
    <w:rsid w:val="006F38E1"/>
    <w:rsid w:val="00722B44"/>
    <w:rsid w:val="00730B34"/>
    <w:rsid w:val="00732895"/>
    <w:rsid w:val="0074573B"/>
    <w:rsid w:val="007545A0"/>
    <w:rsid w:val="007571C6"/>
    <w:rsid w:val="007601C7"/>
    <w:rsid w:val="00763DC6"/>
    <w:rsid w:val="00764CBE"/>
    <w:rsid w:val="00783CD0"/>
    <w:rsid w:val="00787758"/>
    <w:rsid w:val="00792D76"/>
    <w:rsid w:val="007D2728"/>
    <w:rsid w:val="007E2248"/>
    <w:rsid w:val="00846F8B"/>
    <w:rsid w:val="008659A7"/>
    <w:rsid w:val="00867998"/>
    <w:rsid w:val="0089798C"/>
    <w:rsid w:val="008A2AEE"/>
    <w:rsid w:val="008A42F8"/>
    <w:rsid w:val="008C143E"/>
    <w:rsid w:val="008C26D3"/>
    <w:rsid w:val="008E7DD4"/>
    <w:rsid w:val="0091053A"/>
    <w:rsid w:val="0091549D"/>
    <w:rsid w:val="009407AA"/>
    <w:rsid w:val="0098714F"/>
    <w:rsid w:val="00993343"/>
    <w:rsid w:val="009D2B60"/>
    <w:rsid w:val="009D513C"/>
    <w:rsid w:val="009D6ECA"/>
    <w:rsid w:val="00A21CBE"/>
    <w:rsid w:val="00A25EB7"/>
    <w:rsid w:val="00A2743B"/>
    <w:rsid w:val="00A4759D"/>
    <w:rsid w:val="00A5477D"/>
    <w:rsid w:val="00A747FD"/>
    <w:rsid w:val="00A93A28"/>
    <w:rsid w:val="00AC422C"/>
    <w:rsid w:val="00AD6744"/>
    <w:rsid w:val="00AF1F55"/>
    <w:rsid w:val="00AF277E"/>
    <w:rsid w:val="00AF5178"/>
    <w:rsid w:val="00B066D1"/>
    <w:rsid w:val="00B22B6F"/>
    <w:rsid w:val="00B27117"/>
    <w:rsid w:val="00B3629A"/>
    <w:rsid w:val="00B40577"/>
    <w:rsid w:val="00B4207C"/>
    <w:rsid w:val="00B81B43"/>
    <w:rsid w:val="00B81EC1"/>
    <w:rsid w:val="00BA39FB"/>
    <w:rsid w:val="00BA4D34"/>
    <w:rsid w:val="00BB5887"/>
    <w:rsid w:val="00BD1DC0"/>
    <w:rsid w:val="00BE47C4"/>
    <w:rsid w:val="00BF33BB"/>
    <w:rsid w:val="00C02089"/>
    <w:rsid w:val="00C03861"/>
    <w:rsid w:val="00C13FE5"/>
    <w:rsid w:val="00C41877"/>
    <w:rsid w:val="00C47EC4"/>
    <w:rsid w:val="00C56A5B"/>
    <w:rsid w:val="00C707BA"/>
    <w:rsid w:val="00C73C2E"/>
    <w:rsid w:val="00C82F34"/>
    <w:rsid w:val="00C9018D"/>
    <w:rsid w:val="00CA21E2"/>
    <w:rsid w:val="00CC098A"/>
    <w:rsid w:val="00CD1FB3"/>
    <w:rsid w:val="00CE532C"/>
    <w:rsid w:val="00CF2558"/>
    <w:rsid w:val="00D12C35"/>
    <w:rsid w:val="00D23B12"/>
    <w:rsid w:val="00D34729"/>
    <w:rsid w:val="00D4383B"/>
    <w:rsid w:val="00D44287"/>
    <w:rsid w:val="00D80AEE"/>
    <w:rsid w:val="00DA5294"/>
    <w:rsid w:val="00DA640C"/>
    <w:rsid w:val="00DB2F3F"/>
    <w:rsid w:val="00DB4649"/>
    <w:rsid w:val="00DC5ABF"/>
    <w:rsid w:val="00DC6439"/>
    <w:rsid w:val="00DE143E"/>
    <w:rsid w:val="00DE6364"/>
    <w:rsid w:val="00E05397"/>
    <w:rsid w:val="00E52B7C"/>
    <w:rsid w:val="00E64F12"/>
    <w:rsid w:val="00E713B2"/>
    <w:rsid w:val="00E72503"/>
    <w:rsid w:val="00E776FF"/>
    <w:rsid w:val="00E81C47"/>
    <w:rsid w:val="00E83729"/>
    <w:rsid w:val="00EB1561"/>
    <w:rsid w:val="00EE58A8"/>
    <w:rsid w:val="00F14B46"/>
    <w:rsid w:val="00F24284"/>
    <w:rsid w:val="00F26C4A"/>
    <w:rsid w:val="00F26E51"/>
    <w:rsid w:val="00F41DC0"/>
    <w:rsid w:val="00F441FE"/>
    <w:rsid w:val="00F56385"/>
    <w:rsid w:val="00F563E8"/>
    <w:rsid w:val="00F6127F"/>
    <w:rsid w:val="00F65DE2"/>
    <w:rsid w:val="00FA1102"/>
    <w:rsid w:val="00FA219B"/>
    <w:rsid w:val="00FB497C"/>
    <w:rsid w:val="00FB6ABC"/>
    <w:rsid w:val="00FB6D58"/>
    <w:rsid w:val="00FD6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3C6E5"/>
  <w15:chartTrackingRefBased/>
  <w15:docId w15:val="{C27CE7D8-4446-4FAF-A055-27DEA9613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2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27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52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2B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052B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D272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B42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529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601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129"/>
  </w:style>
  <w:style w:type="paragraph" w:styleId="Footer">
    <w:name w:val="footer"/>
    <w:basedOn w:val="Normal"/>
    <w:link w:val="FooterChar"/>
    <w:uiPriority w:val="99"/>
    <w:unhideWhenUsed/>
    <w:rsid w:val="003601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129"/>
  </w:style>
  <w:style w:type="paragraph" w:styleId="ListParagraph">
    <w:name w:val="List Paragraph"/>
    <w:basedOn w:val="Normal"/>
    <w:uiPriority w:val="34"/>
    <w:qFormat/>
    <w:rsid w:val="00F65DE2"/>
    <w:pPr>
      <w:ind w:left="720"/>
      <w:contextualSpacing/>
    </w:pPr>
  </w:style>
  <w:style w:type="character" w:styleId="PlaceholderText">
    <w:name w:val="Placeholder Text"/>
    <w:basedOn w:val="DefaultParagraphFont"/>
    <w:uiPriority w:val="99"/>
    <w:semiHidden/>
    <w:rsid w:val="00E52B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77327">
      <w:bodyDiv w:val="1"/>
      <w:marLeft w:val="0"/>
      <w:marRight w:val="0"/>
      <w:marTop w:val="0"/>
      <w:marBottom w:val="0"/>
      <w:divBdr>
        <w:top w:val="none" w:sz="0" w:space="0" w:color="auto"/>
        <w:left w:val="none" w:sz="0" w:space="0" w:color="auto"/>
        <w:bottom w:val="none" w:sz="0" w:space="0" w:color="auto"/>
        <w:right w:val="none" w:sz="0" w:space="0" w:color="auto"/>
      </w:divBdr>
    </w:div>
    <w:div w:id="1265192417">
      <w:bodyDiv w:val="1"/>
      <w:marLeft w:val="0"/>
      <w:marRight w:val="0"/>
      <w:marTop w:val="0"/>
      <w:marBottom w:val="0"/>
      <w:divBdr>
        <w:top w:val="none" w:sz="0" w:space="0" w:color="auto"/>
        <w:left w:val="none" w:sz="0" w:space="0" w:color="auto"/>
        <w:bottom w:val="none" w:sz="0" w:space="0" w:color="auto"/>
        <w:right w:val="none" w:sz="0" w:space="0" w:color="auto"/>
      </w:divBdr>
    </w:div>
    <w:div w:id="203603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5BA55-00C5-42B8-B7A5-8DA153D6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2374</TotalTime>
  <Pages>59</Pages>
  <Words>44853</Words>
  <Characters>255665</Characters>
  <Application>Microsoft Office Word</Application>
  <DocSecurity>0</DocSecurity>
  <Lines>2130</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21</cp:revision>
  <dcterms:created xsi:type="dcterms:W3CDTF">2022-06-28T16:36:00Z</dcterms:created>
  <dcterms:modified xsi:type="dcterms:W3CDTF">2022-08-10T21:01:00Z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http://www.zotero.org/styles/apa</vt:lpwstr>
  </property>
</Properties>
</file>