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A5538" w14:textId="0F16AC38" w:rsidR="00A5477D" w:rsidRDefault="007F0FF1" w:rsidP="00DE2B66">
      <w:pPr>
        <w:pStyle w:val="Title"/>
      </w:pPr>
      <w:r>
        <w:t>Beyond the mean: Quantifying</w:t>
      </w:r>
      <w:r w:rsidR="00DE2B66">
        <w:t xml:space="preserve"> fine-scale spatial heterogeneity in </w:t>
      </w:r>
      <w:r>
        <w:t>wildland fuels</w:t>
      </w:r>
    </w:p>
    <w:p w14:paraId="1E2B0DE1" w14:textId="74C03EE3" w:rsidR="00DE2B66" w:rsidRDefault="00DE2B66" w:rsidP="00DE2B66"/>
    <w:p w14:paraId="0E39759E" w14:textId="77946B31" w:rsidR="00DE2B66" w:rsidRDefault="00DE2B66" w:rsidP="00DE2B66">
      <w:pPr>
        <w:pStyle w:val="Heading1"/>
      </w:pPr>
      <w:r>
        <w:t>Abstract</w:t>
      </w:r>
    </w:p>
    <w:p w14:paraId="13E13EA6" w14:textId="432D25EB" w:rsidR="00DE2B66" w:rsidRDefault="00DE2B66" w:rsidP="00DE2B66"/>
    <w:p w14:paraId="7FAF4B8B" w14:textId="6C119D82" w:rsidR="002055AD" w:rsidRDefault="00DE2B66" w:rsidP="002055AD">
      <w:pPr>
        <w:pStyle w:val="Heading1"/>
      </w:pPr>
      <w:r>
        <w:t>Introduction</w:t>
      </w:r>
    </w:p>
    <w:p w14:paraId="11FED915" w14:textId="768938C9" w:rsidR="00786E78" w:rsidRDefault="00A02C43" w:rsidP="00786E78">
      <w:pPr>
        <w:ind w:firstLine="720"/>
      </w:pPr>
      <w:r>
        <w:t>Wildland fuels are the live and dead vegetation whose biomass is combusted during wildland fire events</w:t>
      </w:r>
      <w:r w:rsidR="001479E7">
        <w:t xml:space="preserve">. </w:t>
      </w:r>
      <w:r>
        <w:t xml:space="preserve">Conceptually, these fuels are often separated into distinct strata (canopy fuels &gt; 2 m above the ground, surface fuels &lt; 2 m above the ground, and ground fuels) and even finer fuel components (e.g. duff, litter, fine woody debris, coarse woody debris, understory vegetation, saplings, and trees) </w:t>
      </w:r>
      <w:r w:rsidR="00DD3046">
        <w:fldChar w:fldCharType="begin" w:fldLock="1"/>
      </w:r>
      <w:r w:rsidR="005136FF">
        <w:instrText>ADDIN CSL_CITATION {"citationItems":[{"id":"ITEM-1","itemData":{"ISBN":"9788578110796","ISSN":"1098-6596","PMID":"25246403","author":[{"dropping-particle":"","family":"Keane","given":"Robert E.","non-dropping-particle":"","parse-names":false,"suffix":""}],"container-title":"Journal of Chemical Information and Modeling","id":"ITEM-1","issue":"9","issued":{"date-parts":[["2015"]]},"title":"Wildland Fuel Fundamentals and Application","type":"book","volume":"53"},"uris":["http://www.mendeley.com/documents/?uuid=347d69aa-24de-4770-ae9d-dd922bdd4d31"]},{"id":"ITEM-2","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Fire","id":"ITEM-2","issue":"4","issued":{"date-parts":[["2001"]]},"page":"381-387","title":"Characterizing fuels in the 21st century","type":"article-journal","volume":"10"},"uris":["http://www.mendeley.com/documents/?uuid=cbdbeadd-b233-440a-8a1c-5a82932503e4"]}],"mendeley":{"formattedCitation":"(R. E. Keane, 2015; Sandberg et al., 2001)","plainTextFormattedCitation":"(R. E. Keane, 2015; Sandberg et al., 2001)","previouslyFormattedCitation":"(R. E. Keane, 2015; Sandberg et al., 2001)"},"properties":{"noteIndex":0},"schema":"https://github.com/citation-style-language/schema/raw/master/csl-citation.json"}</w:instrText>
      </w:r>
      <w:r w:rsidR="00DD3046">
        <w:fldChar w:fldCharType="separate"/>
      </w:r>
      <w:r w:rsidR="005136FF" w:rsidRPr="005136FF">
        <w:rPr>
          <w:noProof/>
        </w:rPr>
        <w:t>(R. E. Keane, 2015; Sandberg et al., 2001)</w:t>
      </w:r>
      <w:r w:rsidR="00DD3046">
        <w:fldChar w:fldCharType="end"/>
      </w:r>
      <w:r>
        <w:t>. Multiple characteristics of these fuel components are important for predicting how they will combust, such as</w:t>
      </w:r>
      <w:r w:rsidR="00366B66">
        <w:t xml:space="preserve"> the fuel moisture, mineral content,</w:t>
      </w:r>
      <w:r>
        <w:t xml:space="preserve"> and particle size </w:t>
      </w:r>
      <w:r w:rsidR="00DD3046">
        <w:fldChar w:fldCharType="begin" w:fldLock="1"/>
      </w:r>
      <w:r w:rsidR="005136FF">
        <w:instrText>ADDIN CSL_CITATION {"citationItems":[{"id":"ITEM-1","itemData":{"author":[{"dropping-particle":"","family":"Burgan","given":"Robert E.","non-dropping-particle":"","parse-names":false,"suffix":""},{"dropping-particle":"","family":"Rothermel","given":"Richard C.","non-dropping-particle":"","parse-names":false,"suffix":""}],"container-title":"General Technical Report INT-167","id":"ITEM-1","issued":{"date-parts":[["1984"]]},"publisher-place":"Ogden, Utah","title":"BEHAVE : Fire Behavior Prediction and Fuel Modeling GTR INT-194","type":"report"},"uris":["http://www.mendeley.com/documents/?uuid=c166cb0c-b00c-42d5-9391-99a8542ee8a2"]}],"mendeley":{"formattedCitation":"(Burgan &amp; Rothermel, 1984)","plainTextFormattedCitation":"(Burgan &amp; Rothermel, 1984)","previouslyFormattedCitation":"(Burgan &amp; Rothermel, 1984)"},"properties":{"noteIndex":0},"schema":"https://github.com/citation-style-language/schema/raw/master/csl-citation.json"}</w:instrText>
      </w:r>
      <w:r w:rsidR="00DD3046">
        <w:fldChar w:fldCharType="separate"/>
      </w:r>
      <w:r w:rsidR="00DD3046" w:rsidRPr="00DD3046">
        <w:rPr>
          <w:noProof/>
        </w:rPr>
        <w:t>(Burgan &amp; Rothermel, 1984)</w:t>
      </w:r>
      <w:r w:rsidR="00DD3046">
        <w:fldChar w:fldCharType="end"/>
      </w:r>
      <w:r>
        <w:t xml:space="preserve">. However, fuel loading (biomass per unit area) is the most </w:t>
      </w:r>
      <w:r w:rsidR="00786E78">
        <w:t>widely</w:t>
      </w:r>
      <w:r>
        <w:t xml:space="preserve"> used characteristic of fuels. Fuel loading is used to predict wildfire behavior </w:t>
      </w:r>
      <w:r w:rsidR="005136FF">
        <w:fldChar w:fldCharType="begin" w:fldLock="1"/>
      </w:r>
      <w:r w:rsidR="00217EA3">
        <w:instrText>ADDIN CSL_CITATION {"citationItems":[{"id":"ITEM-1","itemData":{"author":[{"dropping-particle":"","family":"Burgan","given":"Robert E.","non-dropping-particle":"","parse-names":false,"suffix":""},{"dropping-particle":"","family":"Rothermel","given":"Richard C.","non-dropping-particle":"","parse-names":false,"suffix":""}],"container-title":"General Technical Report INT-167","id":"ITEM-1","issued":{"date-parts":[["1984"]]},"publisher-place":"Ogden, Utah","title":"BEHAVE : Fire Behavior Prediction and Fuel Modeling GTR INT-194","type":"report"},"uris":["http://www.mendeley.com/documents/?uuid=c166cb0c-b00c-42d5-9391-99a8542ee8a2"]},{"id":"ITEM-2","itemData":{"author":[{"dropping-particle":"","family":"Finney","given":"Mark A.","non-dropping-particle":"","parse-names":false,"suffix":""}],"id":"ITEM-2","issued":{"date-parts":[["1998"]]},"title":"FARSITE: Fire Area Simulator - Model Development and Evaluation","type":"article"},"uris":["http://www.mendeley.com/documents/?uuid=27e95a33-2762-4593-b693-c174a9e21081"]},{"id":"ITEM-3","itemData":{"DOI":"10.1139/X07-094","ISSN":"00455067","abstract":"The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Research","id":"ITEM-3","issue":"12","issued":{"date-parts":[["2007"]]},"page":"2438-2455","title":"Reformulation of Rothermel's wildland fire behaviour model for heterogeneous fuelbeds","type":"article-journal","volume":"37"},"uris":["http://www.mendeley.com/documents/?uuid=2fccfad4-71b9-4d91-acd4-3ce2c5a084c2"]},{"id":"ITEM-4","itemData":{"DOI":"10.1071/wf02007","ISSN":"10498001","abstract":"A coupled atmospheric/wildfire behavior model is described that utilizes physics-based process models to represent wildfire behavior. Five simulations are presented, four of which are highly idealized situations that are meant to illustrate some of the dependencies of the model on environmental conditions. The fifth simulation consists of a fire burning in complex terrain with non-homogeneous vegetation and realistic meteorological conditions. The simulated fire behavior develops out of the coupling of a set of very complex processes and not from prescribed rules based on empirical data. This represents a new direction in wildfire modeling that we believe will eventually help decision makers and land managers do their jobs more effectively.","author":[{"dropping-particle":"","family":"Linn","given":"Rodman","non-dropping-particle":"","parse-names":false,"suffix":""},{"dropping-particle":"","family":"Reisner","given":"Jon","non-dropping-particle":"","parse-names":false,"suffix":""},{"dropping-particle":"","family":"Colman","given":"Jonah J.","non-dropping-particle":"","parse-names":false,"suffix":""},{"dropping-particle":"","family":"Winterkamp","given":"Judith","non-dropping-particle":"","parse-names":false,"suffix":""}],"container-title":"International Journal of Wildland Fire","id":"ITEM-4","issue":"3-4","issued":{"date-parts":[["2002"]]},"page":"233-246","title":"Studying wildfire behavior using FIRETEC","type":"article-journal","volume":"11"},"uris":["http://www.mendeley.com/documents/?uuid=d9920360-a584-48a2-931f-24c44d0d8fde"]}],"mendeley":{"formattedCitation":"(Burgan &amp; Rothermel, 1984; Mark A. Finney, 1998; Linn et al., 2002; Sandberg et al., 2007)","plainTextFormattedCitation":"(Burgan &amp; Rothermel, 1984; Mark A. Finney, 1998; Linn et al., 2002; Sandberg et al., 2007)","previouslyFormattedCitation":"(Burgan &amp; Rothermel, 1984; Mark A. Finney, 1998; Linn et al., 2002; Sandberg et al., 2007)"},"properties":{"noteIndex":0},"schema":"https://github.com/citation-style-language/schema/raw/master/csl-citation.json"}</w:instrText>
      </w:r>
      <w:r w:rsidR="005136FF">
        <w:fldChar w:fldCharType="separate"/>
      </w:r>
      <w:r w:rsidR="00217EA3" w:rsidRPr="00217EA3">
        <w:rPr>
          <w:noProof/>
        </w:rPr>
        <w:t>(Burgan &amp; Rothermel, 1984; Mark A. Finney, 1998; Linn et al., 2002; Sandberg et al., 2007)</w:t>
      </w:r>
      <w:r w:rsidR="005136FF">
        <w:fldChar w:fldCharType="end"/>
      </w:r>
      <w:r>
        <w:t xml:space="preserve"> and emissions </w:t>
      </w:r>
      <w:r w:rsidR="005136FF">
        <w:fldChar w:fldCharType="begin" w:fldLock="1"/>
      </w:r>
      <w:r w:rsidR="005136FF">
        <w:instrText>ADDIN CSL_CITATION {"citationItems":[{"id":"ITEM-1","itemData":{"author":[{"dropping-particle":"","family":"Keane","given":"R.","non-dropping-particle":"","parse-names":false,"suffix":""},{"dropping-particle":"","family":"Lutes","given":"D.","non-dropping-particle":"","parse-names":false,"suffix":""}],"id":"ITEM-1","issued":{"date-parts":[["2016"]]},"number":"6.3.1","title":"First Order Fire Effects Model (FOFEM)","type":"article"},"uris":["http://www.mendeley.com/documents/?uuid=aabd3ead-c5a8-406f-b7d7-19d101543fd1"]},{"id":"ITEM-2","itemData":{"DOI":"10.1016/j.foreco.2013.02.037","ISSN":"03781127","abstract":"Smoke from biomass fires makes up a substantial portion of global greenhouse gas, aerosol, and black carbon (GHG/A/BC) emissions. Understanding how fuel characteristics and conditions affect fire occurrence and extent, combustion dynamics, and fuel consumption is critical for making accurate, reliable estimates of emissions production at local, regional, national, and global scales. The type, amount, characteristics, and condition of wildland fuels affect combustion and emissions during wildland and prescribed fires. Description of fuel elements has focused on those needed for fire spread and fire danger prediction. Knowledge of physical and chemical properties for a limited number of plant species exists. Fuel beds with potential for high impact on smoldering emissions are not described well. An assortment of systems, methods, analytical techniques, and technologies have been used and are being developed to describe, classify, and map wildland fuels for a variety of applications. Older systems do not contain the necessary information to describe realistically the wildland fuel complex. While new tools provide needed detail, cost effectiveness to produce a reliable national fuels inventory has not been demonstrated. Climate change-related effects on vegetation growth and fuel distribution may affect the amount of GHG/A/BC emissions from wildland fires. A fundamental understanding of the relationships between fuel characteristics, fuel conditions, fire occurrence, combustion dynamics, and GHG/A/BC emissions is needed to aid strategy development to mitigate the expected effects of climate change. © 2013.","author":[{"dropping-particle":"","family":"Weise","given":"David R.","non-dropping-particle":"","parse-names":false,"suffix":""},{"dropping-particle":"","family":"Wright","given":"Clinton S.","non-dropping-particle":"","parse-names":false,"suffix":""}],"container-title":"Forest Ecology and Management","id":"ITEM-2","issued":{"date-parts":[["2014"]]},"page":"26-40","publisher":"Elsevier B.V.","title":"Wildland fire emissions, carbon and climate: Characterizing wildland fuels","type":"article-journal","volume":"317"},"uris":["http://www.mendeley.com/documents/?uuid=10d14154-eb11-43c9-a3ff-841786346c28"]}],"mendeley":{"formattedCitation":"(R. Keane &amp; Lutes, 2016; Weise &amp; Wright, 2014)","plainTextFormattedCitation":"(R. Keane &amp; Lutes, 2016; Weise &amp; Wright, 2014)","previouslyFormattedCitation":"(R. Keane &amp; Lutes, 2016; Weise &amp; Wright, 2014)"},"properties":{"noteIndex":0},"schema":"https://github.com/citation-style-language/schema/raw/master/csl-citation.json"}</w:instrText>
      </w:r>
      <w:r w:rsidR="005136FF">
        <w:fldChar w:fldCharType="separate"/>
      </w:r>
      <w:r w:rsidR="005136FF" w:rsidRPr="005136FF">
        <w:rPr>
          <w:noProof/>
        </w:rPr>
        <w:t>(R. Keane &amp; Lutes, 2016; Weise &amp; Wright, 2014)</w:t>
      </w:r>
      <w:r w:rsidR="005136FF">
        <w:fldChar w:fldCharType="end"/>
      </w:r>
      <w:r w:rsidR="005136FF">
        <w:t xml:space="preserve">, </w:t>
      </w:r>
      <w:r>
        <w:t xml:space="preserve">with fire hazard reduction treatments often focused on reducing fuel loading </w:t>
      </w:r>
      <w:r w:rsidR="005136FF">
        <w:fldChar w:fldCharType="begin" w:fldLock="1"/>
      </w:r>
      <w:r w:rsidR="00217EA3">
        <w:instrText>ADDIN CSL_CITATION {"citationItems":[{"id":"ITEM-1","itemData":{"DOI":"10.1016/j.foreco.2005.01.034","ISBN":"0378-1127","ISSN":"03781127","abstract":"Successful fire exclusion in the 20th century has created severe fire problems across the West. Not every forest is at risk of uncharacteristically severe wildfire, but drier forests are in need of active management to mitigate fire hazard. We summarize a set of simple principles important to address in fuel reduction treatments: reduction of surface fuels, increasing the height to live crown, decreasing crown density, and retaining large trees of fire-resistant species. Thinning and prescribed fire can be useful tools to achieve these objectives. Low thinning will be more effective than crown or selection thinning, and management of surface fuels will increase the likelihood that the stand will survive a wildfire. Five empirical examples of such treatment are discussed: Hayfork fires, California, 1987; Tyee fire, Washington, 1994; Megram fire, California, 1999; Hayman fire, Colorado, 2002; and the Cone fire, California, 2002. Applying treatments at an appropriate landscape scale will be critical to the success of fuel reduction treatments in reducing wildfire losses in Western forests. © 2005 Elsevier B.V. All rights reserved.","author":[{"dropping-particle":"","family":"Agee","given":"James K.","non-dropping-particle":"","parse-names":false,"suffix":""},{"dropping-particle":"","family":"Skinner","given":"Carl N.","non-dropping-particle":"","parse-names":false,"suffix":""}],"container-title":"Forest Ecology and Management","id":"ITEM-1","issue":"1-2","issued":{"date-parts":[["2005"]]},"page":"83-96","title":"Basic principles of forest fuel reduction treatments","type":"article-journal","volume":"211"},"uris":["http://www.mendeley.com/documents/?uuid=3d7946ee-7eb2-4c92-a873-39836314b49e"]},{"id":"ITEM-2","itemData":{"DOI":"10.1016/j.foreco.2005.03.070","ISBN":"0378-1127","ISSN":"03781127","abstract":"Fuel treatments have been suggested as a means to limit the size and intensity of wildfires but few experiments are available to analyze the effectiveness of different treatments. This paper presents information from a replicated, stand level experiment from mixed conifer forests in the north-central Sierra Nevada that investigated how control, mechanical (crown thinning, thinning from below followed, rotary mastication), prescribed fire, and mechanical followed by prescribed fire treatments affected fuels, forest structure, potential fire behavior, and modeled tree mortality at 80th, 90th, and 97.5th percentile fire weather conditions. Fuels Management Analyst was used to model fire behavior and tree mortality. Thinning and mastication each reduced crown bulk density by approximately 19% in mechanical only and mechanical plus fire treatments. Prescribed burning significantly reduced the total combined fuel load of litter, duff, 1, 10, 100, and 1000 h fuels by as much as 90%. This reduction significantly altered modeled fire behavior in both mechanical plus fire and fire only treatments in terms of fireline intensity and predicted mortality. The prescribed fire only and mechanical followed by prescribed fire treatments resulted in the lowest average fireline intensities, rate of spread, and predicted mortality. The control treatment resulted in the most severe modeled fire behavior and tree mortality. Mechanical only treatments were an improvement over controls but still resulted in tree mortality at severe fire weather when compared with the treatments that included prescribed fire. Restoration of mixed conifer ecosystems must include an examination of how proposed treatments affect fire behavior and effects. Variation in existing stand structures will require solutions that are site specific but the principals outlined in this work should help managers make better decisions. ?? 2005 Elsevier B.V. All rights reserved.","author":[{"dropping-particle":"","family":"Stephens","given":"Scott L.","non-dropping-particle":"","parse-names":false,"suffix":""},{"dropping-particle":"","family":"Moghaddas","given":"Jason J.","non-dropping-particle":"","parse-names":false,"suffix":""}],"container-title":"Forest Ecology and Management","id":"ITEM-2","issue":"1-3","issued":{"date-parts":[["2005"]]},"page":"21-36","title":"Experimental fuel treatment impacts on forest structure, potential fire behavior, and predicted tree mortality in a California mixed conifer forest","type":"article-journal","volume":"215"},"uris":["http://www.mendeley.com/documents/?uuid=220a22bb-3b31-484c-9a62-065eed2a07c1"]}],"mendeley":{"formattedCitation":"(Agee &amp; Skinner, 2005; Stephens &amp; Moghaddas, 2005)","plainTextFormattedCitation":"(Agee &amp; Skinner, 2005; Stephens &amp; Moghaddas, 2005)","previouslyFormattedCitation":"(Agee &amp; Skinner, 2005; Stephens &amp; Moghaddas, 2005)"},"properties":{"noteIndex":0},"schema":"https://github.com/citation-style-language/schema/raw/master/csl-citation.json"}</w:instrText>
      </w:r>
      <w:r w:rsidR="005136FF">
        <w:fldChar w:fldCharType="separate"/>
      </w:r>
      <w:r w:rsidR="00217EA3" w:rsidRPr="00217EA3">
        <w:rPr>
          <w:noProof/>
        </w:rPr>
        <w:t>(Agee &amp; Skinner, 2005; Stephens &amp; Moghaddas, 2005)</w:t>
      </w:r>
      <w:r w:rsidR="005136FF">
        <w:fldChar w:fldCharType="end"/>
      </w:r>
      <w:r w:rsidR="005136FF">
        <w:t xml:space="preserve">. </w:t>
      </w:r>
      <w:r>
        <w:t xml:space="preserve">Fuel loading also has important implications for carbon stocks </w:t>
      </w:r>
      <w:r w:rsidR="005136FF">
        <w:fldChar w:fldCharType="begin" w:fldLock="1"/>
      </w:r>
      <w:r w:rsidR="00E106A6">
        <w:instrText>ADDIN CSL_CITATION {"citationItems":[{"id":"ITEM-1","itemData":{"DOI":"10.1890/08-1173.1","ISBN":"1051-0761","ISSN":"10510761","PMID":"19769088","abstract":"Depending on management, forests can be an important sink or source of carbon that if released as CO2 could contribute to global warming. Many forests in the western United States are being treated to reduce fuels, yet the effects of these treatments on forest carbon are not well understood. We compared the immediate effects of fuels treatments on carbon stocks and releases in replicated plots before and after treatment, and against a reconstruction of active-fire stand conditions for the same forest in 1865. Total live-tree carbon was substantially lower in modern fire-suppressed conditions (and all of the treatments) than the same forest under an active-fire regime. Although fire suppression has increased stem density, current forests have fewer very large trees, reducing total live-tree carbon stocks and shifting a higher proportion of those stocks into small-diameter, firesensitive trees. Prescribed burning released 14.8 Mg C/ha, with pre-burn thinning increasing the average release by 70% and contributing 21.9–37.5 Mg C/ha in milling waste. Fire suppression may have incurred a double carbon penalty by reducing stocks and contributing to emissions with fuels-treatment activities or inevitable wildfire combustion. All treatments reduced fuels and increased fire resistance, but most of the gains were achieved with understory thinning, with only modest increases in the much heavier overstory thinning. We suggest modifying current treatments to focus on reducing surface fuels, actively thinning the majority of small trees, and removing only fire-sensitive species in the merchantable, intermediate size class. These changes would retain most of the current carbon-pool levels, reduce prescribed burn and potential future wildfire emissions, and favor stand development of large, fire-resistant trees that can better stabilize carbon stocks.","author":[{"dropping-particle":"","family":"North","given":"Malcolm","non-dropping-particle":"","parse-names":false,"suffix":""},{"dropping-particle":"","family":"Hurteau","given":"Matthew","non-dropping-particle":"","parse-names":false,"suffix":""},{"dropping-particle":"","family":"Innes","given":"James","non-dropping-particle":"","parse-names":false,"suffix":""}],"container-title":"Ecological Applications","id":"ITEM-1","issue":"6","issued":{"date-parts":[["2009"]]},"page":"1385-1396","title":"Fire suppression and fuels treatment effects on mixed- conifer carbon stocks and emissions","type":"article-journal","volume":"19"},"uris":["http://www.mendeley.com/documents/?uuid=ea735719-b896-4194-9ab4-df253dbc50cf"]},{"id":"ITEM-2","itemData":{"DOI":"10.1071/WF17148","ISSN":"10498001","abstract":"Forest wildfires consume fuel and are followed by post-fire fuel accumulation. This study examines post-fire surface fuel dynamics over 9 years across a wide range of conditions characteristic of California fires in dry conifer and hardwood forests. We estimated post-fire surface fuel loadings (Mg ha−1) from 191 repeatedly measured United States national inventory plots in dry conifer and hardwood stands of 49 California forest wildfires and identified differences across fire severity classes – low, moderate and high. No significant change in duff load was detected within the first 9 years post-fire across all forest types and fire severities. Litter, 1-h and 10-h fuels exhibited a quadratic trend over time in dry conifer stands, peaking ~6 years after fire, whereas hardwood stands displayed a constant rate of increase in those fuel types. For 100- and 1000-h fuels, the annual rate of change was constant for dry conifer and hardwood stands with differing rates of change across fire severity classes. This study was based on an extensive, spatially balanced sample across burned dry conifer and hardwood forests of California. Therefore, the estimated patterns of fuel accumulation are generally applicable to wildfires within this population.","author":[{"dropping-particle":"","family":"Eskelson","given":"Bianca N.I.","non-dropping-particle":"","parse-names":false,"suffix":""},{"dropping-particle":"","family":"Monleon","given":"Vicente J.","non-dropping-particle":"","parse-names":false,"suffix":""}],"container-title":"International Journal of Wildland Fire","id":"ITEM-2","issue":"2","issued":{"date-parts":[["2018"]]},"page":"114-124","title":"Post-fire surface fuel dynamics in California forests across three burn severity classes","type":"article-journal","volume":"27"},"uris":["http://www.mendeley.com/documents/?uuid=705457e2-db1d-4cd9-a985-9efa73896de0"]},{"id":"ITEM-3","itemData":{"DOI":"10.1002/ecs2.3198","ISSN":"21508925","abstract":"Forests are the largest terrestrial carbon stock, and disturbance regimes can have large effects on the structure and function of forests. Many dry temperate forests in the western United States are adapted to a regime of frequent, low-to-moderate severity fire. The disruption of this disturbance regime over the last century has shifted forest conditions, making them more susceptible to high-severity fire. Fuel treatments have been shown to effectively reduce wildfire hazard, often with co-benefits to ecological values. However, the effects of fuel treatments on forest carbon are complex, often characterized by direct costs (e.g., carbon emissions from prescribed fire) and wildfire-contingent benefits (increased resistance of live tree carbon to wildfire). In this study, we employ risk-sensitive carbon accounting and empirical data from a replicated field experiment to evaluate the stand-scale carbon effects of four management regimes over a 14-yr period in a historically frequent-fire adapted forest. All three active treatment regimes immediately increased stable live tree carbon stocks over no-treatment controls. In most contexts examined, mechanical-only or no-treatment controls will maximize expected total carbon stocks when incorporating wildfire risk and the carbon stability of live biomass, dead biomass, and offsite forest products, although we acknowledge our wildfire modeling may underestimate C losses, particularly in the control stands. Undoubtedly, many other ecosystem and social values besides carbon will be important factors that influence fuel and restoration treatments.","author":[{"dropping-particle":"","family":"Foster","given":"Daniel E.","non-dropping-particle":"","parse-names":false,"suffix":""},{"dropping-particle":"","family":"Battles","given":"John J.","non-dropping-particle":"","parse-names":false,"suffix":""},{"dropping-particle":"","family":"Collins","given":"Brandon M.","non-dropping-particle":"","parse-names":false,"suffix":""},{"dropping-particle":"","family":"York","given":"Robert A.","non-dropping-particle":"","parse-names":false,"suffix":""},{"dropping-particle":"","family":"Stephens","given":"Scott L.","non-dropping-particle":"","parse-names":false,"suffix":""}],"container-title":"Ecosphere","id":"ITEM-3","issue":"8","issued":{"date-parts":[["2020"]]},"title":"Potential wildfire and carbon stability in frequent-fire forests in the Sierra Nevada: trade-offs from a long-term study","type":"article-journal","volume":"11"},"uris":["http://www.mendeley.com/documents/?uuid=eb2bae80-149d-4e46-be37-b171fce5c7f0"]}],"mendeley":{"formattedCitation":"(Eskelson &amp; Monleon, 2018; Foster et al., 2020; North et al., 2009)","plainTextFormattedCitation":"(Eskelson &amp; Monleon, 2018; Foster et al., 2020; North et al., 2009)","previouslyFormattedCitation":"(Eskelson &amp; Monleon, 2018; Foster et al., 2020; North et al., 2009)"},"properties":{"noteIndex":0},"schema":"https://github.com/citation-style-language/schema/raw/master/csl-citation.json"}</w:instrText>
      </w:r>
      <w:r w:rsidR="005136FF">
        <w:fldChar w:fldCharType="separate"/>
      </w:r>
      <w:r w:rsidR="005136FF" w:rsidRPr="005136FF">
        <w:rPr>
          <w:noProof/>
        </w:rPr>
        <w:t>(Eskelson &amp; Monleon, 2018; Foster et al., 2020; North et al., 2009)</w:t>
      </w:r>
      <w:r w:rsidR="005136FF">
        <w:fldChar w:fldCharType="end"/>
      </w:r>
      <w:r>
        <w:t xml:space="preserve"> and other ecosystem processes </w:t>
      </w:r>
      <w:r w:rsidR="00E106A6">
        <w:fldChar w:fldCharType="begin" w:fldLock="1"/>
      </w:r>
      <w:r w:rsidR="00E106A6">
        <w:instrText>ADDIN CSL_CITATION {"citationItems":[{"id":"ITEM-1","itemData":{"author":[{"dropping-particle":"","family":"Ucitel","given":"Dalit","non-dropping-particle":"","parse-names":false,"suffix":""},{"dropping-particle":"","family":"Christian","given":"Donald P.","non-dropping-particle":"","parse-names":false,"suffix":""},{"dropping-particle":"","family":"Graham","given":"Jonathan M.","non-dropping-particle":"","parse-names":false,"suffix":""}],"container-title":"The Journal of Wildlife Management","id":"ITEM-1","issue":"1","issued":{"date-parts":[["2003"]]},"page":"65-72","title":"Vole Use of Coarse Woody Debris and Implications for Habitat and Fuel Management Author ( s ): Dalit Ucitel , Donald P . Christian and Jonathan M . Graham Published by : Wiley on behalf of the Wildlife Society Stable URL : http://www.jstor.org/stable/3803","type":"article-journal","volume":"67"},"uris":["http://www.mendeley.com/documents/?uuid=30be39db-d0cc-4929-b997-57d7e1bbd40a"]},{"id":"ITEM-2","itemData":{"DOI":"10.1093/forestscience/32.1.61","ISSN":"0015749X","abstract":"Shrub canopy volume and survival, growth, and water potential of planted ponderosa pine Pinus ponderosa, sugar pine Pinus lambertiana and white fir Abies concolor were measured. Ponderosa pine survived better than sugar pine or white fir regardless of shrub presence or absence. Shrub canopy volume did not influence tree survival, but presence of shrub debris from some treatments increased planting difficulty and resulted in increased tree mortality. Predawn and midday water potential, height, stem diameter, and canopy volume of conifers were highest when shrub canopy volumes were low. -from Authors","author":[{"dropping-particle":"","family":"Lanini","given":"W. T.","non-dropping-particle":"","parse-names":false,"suffix":""},{"dropping-particle":"","family":"Radosevich","given":"S. R.","non-dropping-particle":"","parse-names":false,"suffix":""}],"container-title":"Forest Science","id":"ITEM-2","issue":"1","issued":{"date-parts":[["1986"]]},"page":"61-77","title":"Response of three conifer species to site preparation and shrub control.","type":"article-journal","volume":"32"},"uris":["http://www.mendeley.com/documents/?uuid=74b1144f-1119-4c3f-9f1e-afa1390f570b"]}],"mendeley":{"formattedCitation":"(Lanini &amp; Radosevich, 1986; Ucitel et al., 2003)","plainTextFormattedCitation":"(Lanini &amp; Radosevich, 1986; Ucitel et al., 2003)","previouslyFormattedCitation":"(Lanini &amp; Radosevich, 1986; Ucitel et al., 2003)"},"properties":{"noteIndex":0},"schema":"https://github.com/citation-style-language/schema/raw/master/csl-citation.json"}</w:instrText>
      </w:r>
      <w:r w:rsidR="00E106A6">
        <w:fldChar w:fldCharType="separate"/>
      </w:r>
      <w:r w:rsidR="00E106A6" w:rsidRPr="00E106A6">
        <w:rPr>
          <w:noProof/>
        </w:rPr>
        <w:t>(Lanini &amp; Radosevich, 1986; Ucitel et al., 2003)</w:t>
      </w:r>
      <w:r w:rsidR="00E106A6">
        <w:fldChar w:fldCharType="end"/>
      </w:r>
      <w:r w:rsidR="00E106A6">
        <w:t>.</w:t>
      </w:r>
      <w:r>
        <w:t xml:space="preserve"> </w:t>
      </w:r>
    </w:p>
    <w:p w14:paraId="57A1719A" w14:textId="617EED08" w:rsidR="00786E78" w:rsidRDefault="00A02C43" w:rsidP="00786E78">
      <w:pPr>
        <w:ind w:firstLine="720"/>
      </w:pPr>
      <w:r>
        <w:t xml:space="preserve">Most existing fuel classification systems describe fuel conditions in terms of mean loading for the various fuel components </w:t>
      </w:r>
      <w:r w:rsidR="00E106A6">
        <w:fldChar w:fldCharType="begin" w:fldLock="1"/>
      </w:r>
      <w:r w:rsidR="00E106A6">
        <w:instrText>ADDIN CSL_CITATION {"citationItems":[{"id":"ITEM-1","itemData":{"DOI":"10.1071/WF01036","author":[{"dropping-particle":"V.","family":"Sandberg","given":"David","non-dropping-particle":"","parse-names":false,"suffix":""},{"dropping-particle":"","family":"Ottmar","given":"Roger D.","non-dropping-particle":"","parse-names":false,"suffix":""},{"dropping-particle":"","family":"Cushon","given":"Geoffrey H.","non-dropping-particle":"","parse-names":false,"suffix":""}],"container-title":"International Journal Of Wildland Fire","id":"ITEM-1","issue":"4","issued":{"date-parts":[["2001"]]},"page":"381-387","title":"Characterizing fuels in the 21st century","type":"article-journal","volume":"10"},"uris":["http://www.mendeley.com/documents/?uuid=cbdbeadd-b233-440a-8a1c-5a82932503e4"]},{"id":"ITEM-2","itemData":{"DOI":"10.1139/X07-077","ISBN":"0045-5067, 1208-6037","ISSN":"0045-5067","abstract":"The Fuel Characteristic Classification System (FCCS) is a systematic catalog of inherent physical properties of wildland fuelbeds that allows land managers, policy makers, and scientists to build and calculate fuel characteristics with complete or incomplete information. The FCCS is equipped with a set of equations to calculate the potential of any real- world or simulated fuelbed to spread fire across the surface and in the crowns, and consume fuels. FCCS fire potentials are a set of relative values that rate the intrinsic physical capacity of a wildland fuelbed to release energy and to spread, crown, consume, and smolder under known or benchmark weather and fuel moisture conditions. The FCCS reports eight component fire potentials for every fuelbed, arranged in three categories: surface fire behaviour (reaction intensity, spread rate, and flame length), crown fire potential (torching and active crown fire), and available fuel potential (flaming, smoul- dering, and residual smouldering). FCCS fire potentials may be used to classify or compare fuelbeds that differ because of location, structure, passage of time, or management action, based on expected fire behavior or effect outcomes. As a classifi- cation tool, they are offered as an objective alternative to categorizing bulk properties of fuelbeds or stylized model inputs.","author":[{"dropping-particle":"","family":"Ottmar","given":"Roger D.","non-dropping-particle":"","parse-names":false,"suffix":""},{"dropping-particle":"V.","family":"Sandberg","given":"David","non-dropping-particle":"","parse-names":false,"suffix":""},{"dropping-particle":"","family":"Riccardi","given":"Cynthia L.","non-dropping-particle":"","parse-names":false,"suffix":""},{"dropping-particle":"","family":"Prichard","given":"Susan J.","non-dropping-particle":"","parse-names":false,"suffix":""}],"container-title":"Canadian Journal of Forest Research","id":"ITEM-2","issue":"12","issued":{"date-parts":[["2007"]]},"page":"2383-2393","title":"An overview of the Fuel Characteristic Classification System — Quantifying, classifying, and creating fuelbeds for resource planningThis article is one of a selection of papers published in the Special Forum on the Fuel Characteristic Classification Syste","type":"article-journal","volume":"37"},"uris":["http://www.mendeley.com/documents/?uuid=62a376a5-e8e9-4220-a84e-b04f491055da"]},{"id":"ITEM-3","itemData":{"DOI":"10.2737/RMRS-GTR-153","ISSN":"02775786","abstract":"This report describes a new set of standard fire behavior fuel models for use with Rothermel's surface fire spread model and the relationship of the new set to the original set of 13 fire behavior fuel models. To assist with transition to using the new fuel models, a fuel model selection guide, fuel model crosswalk, and set of fuel model photos are provided.","author":[{"dropping-particle":"","family":"Scott","given":"Joe H.","non-dropping-particle":"","parse-names":false,"suffix":""},{"dropping-particle":"","family":"Burgan","given":"Robert E.","non-dropping-particle":"","parse-names":false,"suffix":""}],"container-title":"USDA Forest Service - General Technical Report RMRS-GTR","id":"ITEM-3","issue":"153 RMRS-GTR","issued":{"date-parts":[["2005"]]},"page":"1-76","title":"Standard fire behavior fuel models: A comprehensive set for use with Rothermel's surface fire spread model","type":"article-journal"},"uris":["http://www.mendeley.com/documents/?uuid=15431ff4-b82b-419a-ad08-402a5f29e6b5"]},{"id":"ITEM-4","itemData":{"ISBN":"INT-122","abstract":"This report presents photographic examples, tabula- tions, and a similarity chart to assist fire behavior offi- cers, fuel management specialists, and other field per- sonnel in selecting a fuel model appropriate for a specific field situation. Proper selection of a fuel model is a criti- cal step in the mathematical modeling of fire behavior and fire danger rating. This guide will facilitate the selec- tion of the proper fire behavior fuel model and will allow comparison with fire danger rating fuel models. The 13 fire behavior fuel models are presented in 4 fuel groups: grasslands, shrublands, timber, and slash. Each group comprises three or more fuel models; two or more photographs illustrate field situations relevant to each fuel model. The 13 fire behavior fuel models are cross- referenced to the 20 fuel models of the National Fire Danger Rating System by means of a similarity chart. Fire behavior fuel models and fire danger rating fuel models, along with the fire-carrying features of the model and its physical characteristics, are described in detail.","author":[{"dropping-particle":"","family":"Anderson","given":"H. E.","non-dropping-particle":"","parse-names":false,"suffix":""}],"container-title":"The Bark Beetles, Fuels, and Fire Bibliography","id":"ITEM-4","issue":"April","issued":{"date-parts":[["1982"]]},"page":"1-22","title":"Aids to determining fuel models for estimating fire behavior","type":"article-journal"},"uris":["http://www.mendeley.com/documents/?uuid=97593249-3b46-49d9-b22c-69541321c059"]}],"mendeley":{"formattedCitation":"(Anderson, 1982; Ottmar et al., 2007; Sandberg et al., 2001; Scott &amp; Burgan, 2005)","plainTextFormattedCitation":"(Anderson, 1982; Ottmar et al., 2007; Sandberg et al., 2001; Scott &amp; Burgan, 2005)","previouslyFormattedCitation":"(Anderson, 1982; Ottmar et al., 2007; Sandberg et al., 2001; Scott &amp; Burgan, 2005)"},"properties":{"noteIndex":0},"schema":"https://github.com/citation-style-language/schema/raw/master/csl-citation.json"}</w:instrText>
      </w:r>
      <w:r w:rsidR="00E106A6">
        <w:fldChar w:fldCharType="separate"/>
      </w:r>
      <w:r w:rsidR="00E106A6" w:rsidRPr="00E106A6">
        <w:rPr>
          <w:noProof/>
        </w:rPr>
        <w:t>(Anderson, 1982; Ottmar et al., 2007; Sandberg et al., 2001; Scott &amp; Burgan, 2005)</w:t>
      </w:r>
      <w:r w:rsidR="00E106A6">
        <w:fldChar w:fldCharType="end"/>
      </w:r>
      <w:r w:rsidR="00E106A6">
        <w:t>.</w:t>
      </w:r>
      <w:r>
        <w:t xml:space="preserve"> </w:t>
      </w:r>
      <w:r w:rsidR="00647682">
        <w:t>This practice is largely driven by t</w:t>
      </w:r>
      <w:r w:rsidR="004A0BD2">
        <w:t xml:space="preserve">he </w:t>
      </w:r>
      <w:proofErr w:type="spellStart"/>
      <w:r w:rsidR="004A0BD2">
        <w:t>Rothermel</w:t>
      </w:r>
      <w:proofErr w:type="spellEnd"/>
      <w:r w:rsidR="004A0BD2">
        <w:t xml:space="preserve"> fire behavior model </w:t>
      </w:r>
      <w:r w:rsidR="00217EA3">
        <w:fldChar w:fldCharType="begin" w:fldLock="1"/>
      </w:r>
      <w:r w:rsidR="00217EA3">
        <w:instrText>ADDIN CSL_CITATION {"citationItems":[{"id":"ITEM-1","itemData":{"author":[{"dropping-particle":"","family":"Rothermel","given":"Richard C.","non-dropping-particle":"","parse-names":false,"suffix":""}],"container-title":"USDA Forest Service Research Paper INT-115","id":"ITEM-1","issued":{"date-parts":[["1972"]]},"publisher":"Intermountain Forest and Range Experiment Station","publisher-place":"Ogden, Utah","title":"A Mathematical Model for Predicting Fire Spread in Wildland Fuels","type":"article"},"uris":["http://www.mendeley.com/documents/?uuid=b94c05b3-7882-4aa2-8661-6003a40141ac"]}],"mendeley":{"formattedCitation":"(Rothermel, 1972)","plainTextFormattedCitation":"(Rothermel, 1972)","previouslyFormattedCitation":"(Rothermel, 1972)"},"properties":{"noteIndex":0},"schema":"https://github.com/citation-style-language/schema/raw/master/csl-citation.json"}</w:instrText>
      </w:r>
      <w:r w:rsidR="00217EA3">
        <w:fldChar w:fldCharType="separate"/>
      </w:r>
      <w:r w:rsidR="00217EA3" w:rsidRPr="00217EA3">
        <w:rPr>
          <w:noProof/>
        </w:rPr>
        <w:t>(Rothermel, 1972)</w:t>
      </w:r>
      <w:r w:rsidR="00217EA3">
        <w:fldChar w:fldCharType="end"/>
      </w:r>
      <w:r w:rsidR="00217EA3">
        <w:t xml:space="preserve">, </w:t>
      </w:r>
      <w:r w:rsidR="004A0BD2">
        <w:t xml:space="preserve">which is the backbone of many tools used to predict wildfire behavior and effects </w:t>
      </w:r>
      <w:r w:rsidR="00786E78">
        <w:t xml:space="preserve">in the United States </w:t>
      </w:r>
      <w:r w:rsidR="00217EA3">
        <w:fldChar w:fldCharType="begin" w:fldLock="1"/>
      </w:r>
      <w:r w:rsidR="00217EA3">
        <w:instrText>ADDIN CSL_CITATION {"citationItems":[{"id":"ITEM-1","itemData":{"author":[{"dropping-particle":"","family":"Burgan","given":"Robert E.","non-dropping-particle":"","parse-names":false,"suffix":""},{"dropping-particle":"","family":"Rothermel","given":"Richard C.","non-dropping-particle":"","parse-names":false,"suffix":""}],"container-title":"General Technical Report INT-167","id":"ITEM-1","issued":{"date-parts":[["1984"]]},"publisher-place":"Ogden, Utah","title":"BEHAVE : Fire Behavior Prediction and Fuel Modeling GTR INT-194","type":"report"},"uris":["http://www.mendeley.com/documents/?uuid=c166cb0c-b00c-42d5-9391-99a8542ee8a2"]},{"id":"ITEM-2","itemData":{"author":[{"dropping-particle":"","family":"Finney","given":"Mark A.","non-dropping-particle":"","parse-names":false,"suffix":""}],"id":"ITEM-2","issued":{"date-parts":[["1998"]]},"title":"FARSITE: Fire Area Simulator - Model Development and Evaluation","type":"article"},"uris":["http://www.mendeley.com/documents/?uuid=27e95a33-2762-4593-b693-c174a9e21081"]},{"id":"ITEM-3","itemData":{"ISBN":"Proceedings RMRS-P-41.","abstract":"Modeling and experiments have suggested that spatial fuel treatment patterns can infl uence the movement of large fi res. On simple theoretical landscapes consisting of two fuel types (treated and untreated) optimal patterns can be analytically derived that disrupt fi re growth effi ciently (i.e. with less area treated than random patterns). Although conceptually simple, the application of these theories to actual landscapes is made diffi cult by heterogeneity (fuels, weather, and topography) compared to the assumptions required for analytical solutions. Here I describe a computational method for heterogeneous landscapes that identifi es effi cient fuel treatment units and patterns for a selected fi re weather scenario. The method requires input of two sets of spatial input data: 1) the current fuel conditions and 2) the potential fuel conditions after a treatment (if it were possible). The contrast in fi re spread rate between the two land- scapes under the weather scenario conditions indicates where treatments are effective at delaying the growth of fi res. Fire growth from the upwind edge of the landscape is then computed using a minimum travel time algorithm. This identifi es major fi re travel routes (areas needing treatment) and their intersections with the areas where treatments occurred and reduced the spread rate (opportunity for treatment). These zones of treatment “need and opportunity” are iteratively delineated by contiguous patches of raster cells up to a user-supplied constraint on percentage of land area to be treated. This algorithm is demonstrated for simple and for complex landscapes. Introduction Fuel treatment effects on wildland fi re behavior have long been docu- mented at the stand level (Biswell et al. 1973, Wagle and Eakle 1979, Helms 1979, Pollet and Omi 2002, Fernandes and Botelho 2003, Graham 2003). Prescribed burns and thinning operations change fuel structure and have together been successful in modifying fi re behavior and consequent effects in the areas treated (Weaver 1943, Kallender et al. 1955, Cooper 1961, Martin et al. 1989, Graham et al. 1999, Schoennagle et al. 2004, Graham et al. 2004, Agee and Skinner 2005, Cram et al. 2006). The landscape level, however, is composed of many stands and mixtures of fuel conditions through which large fi res burn, and there has been little work on strategies for treatment at this broad scale. Prescribed burning and general fuel management will be a necessary part of mitigating and…","author":[{"dropping-particle":"","family":"Finney","given":"M. A.","non-dropping-particle":"","parse-names":false,"suffix":""}],"container-title":"Fuels Management—How to Measure Success: Conference Proceedings. 28-30 March 2006; Portland, OR","id":"ITEM-3","issued":{"date-parts":[["2006"]]},"page":"107-123","title":"A Computational Method for Optimizing Fuel Treatment Locations","type":"article-journal"},"uris":["http://www.mendeley.com/documents/?uuid=492b5981-c892-40ea-b504-7bca3597cc09"]},{"id":"ITEM-4","itemData":{"DOI":"10.1139/X07-094","ISSN":"00455067","abstract":"The Fuel Characteristic Classification System (FCCS) includes equations that calculate energy release and one-dimensional spread rate in quasi-steady state fires in heterogeneous but spatially-uniform wildland fuelbeds, using a reformulation of the widely used Rothermel fire spread model. This reformulation provides an automated means to predict fire behavior under any environmental conditions in any natural, modified, or simulated wildland fuelbed. The formulation may be used to compare potential fire behavior between fuelbeds that differ in time, space, or as a result of management, and provides a means to classify and map fuelbeds based on their expected surface fire behavior under any set of defined environmental conditions (i.e., effective wind speed and fuel moisture content). Model reformulation preserves the basic mathematical framework of the Rothermel fire spread model, reinterprets data from two of the original basic equations in his model, and offers a new conceptual formulation that allows the direct use of inventoried fuel properties instead of stylized fuel models. Alternative methods for calculating the effect of wind speed and fuel moisture, based on more recent literature, are also provided. This reformulation provides a framework for the incremental improvement in quantifying fire behaviour parameters in complex fuelbeds and for modeling fire spread. © 2007 NRC.","author":[{"dropping-particle":"V.","family":"Sandberg","given":"David","non-dropping-particle":"","parse-names":false,"suffix":""},{"dropping-particle":"","family":"Riccardi","given":"Cynthia L.","non-dropping-particle":"","parse-names":false,"suffix":""},{"dropping-particle":"","family":"Schaaf","given":"Mark D.","non-dropping-particle":"","parse-names":false,"suffix":""}],"container-title":"Canadian Journal of Forest Research","id":"ITEM-4","issue":"12","issued":{"date-parts":[["2007"]]},"page":"2438-2455","title":"Reformulation of Rothermel's wildland fire behaviour model for heterogeneous fuelbeds","type":"article-journal","volume":"37"},"uris":["http://www.mendeley.com/documents/?uuid=2fccfad4-71b9-4d91-acd4-3ce2c5a084c2"]}],"mendeley":{"formattedCitation":"(Burgan &amp; Rothermel, 1984; M. A. Finney, 2006; Mark A. Finney, 1998; Sandberg et al., 2007)","plainTextFormattedCitation":"(Burgan &amp; Rothermel, 1984; M. A. Finney, 2006; Mark A. Finney, 1998; Sandberg et al., 2007)","previouslyFormattedCitation":"(Burgan &amp; Rothermel, 1984; M. A. Finney, 2006; Mark A. Finney, 1998; Sandberg et al., 2007)"},"properties":{"noteIndex":0},"schema":"https://github.com/citation-style-language/schema/raw/master/csl-citation.json"}</w:instrText>
      </w:r>
      <w:r w:rsidR="00217EA3">
        <w:fldChar w:fldCharType="separate"/>
      </w:r>
      <w:r w:rsidR="00217EA3" w:rsidRPr="00217EA3">
        <w:rPr>
          <w:noProof/>
        </w:rPr>
        <w:t>(Burgan &amp; Rothermel, 1984; M. A. Finney, 2006; Mark A. Finney, 1998; Sandberg et al., 2007)</w:t>
      </w:r>
      <w:r w:rsidR="00217EA3">
        <w:fldChar w:fldCharType="end"/>
      </w:r>
      <w:r w:rsidR="00647682">
        <w:t xml:space="preserve"> and</w:t>
      </w:r>
      <w:r>
        <w:t xml:space="preserve"> assume</w:t>
      </w:r>
      <w:r w:rsidR="004A0BD2">
        <w:t>s</w:t>
      </w:r>
      <w:r>
        <w:t xml:space="preserve"> that fuel loads within the modeled area are uniformly distributed across space.</w:t>
      </w:r>
      <w:r w:rsidR="00786E78">
        <w:t xml:space="preserve"> In reality, loading is highly variable at multiple scales for most fuel components </w:t>
      </w:r>
      <w:r w:rsidR="00217EA3">
        <w:fldChar w:fldCharType="begin" w:fldLock="1"/>
      </w:r>
      <w:r w:rsidR="00B257B9">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USA","type":"article-journal","volume":"27"},"uris":["http://www.mendeley.com/documents/?uuid=3609ff6d-b86c-4513-88c0-2b3d18842ba8"]},{"id":"ITEM-2","itemData":{"DOI":"10.1139/cjfr-2014-0223","ISSN":"12086037","abstract":"Duff fires (smouldering in fermentation and humus forest floor horizons) and their consequences have been documented in fire-excluded ecosystems but with little attention to their underlying drivers. Duff characteristics influence the ignition and spread of smouldering fires, and their spatial patterns on the forest floor may be an important link to the heterogeneity of consumption observed following fires. We evaluated fuel bed characteristics (depths, bulk densities, and moisture) of duff in a long-unburned longleaf pine (Pinus palustris Mill.) forest and corresponding spatial variation across 100 to 103 m scales. Fermentation and humus horizon depths both varied (~100% coefficient of variation) but with moderate to strong spatial autocorrelation at fine scales. Fermentation bulk density varied less than humus bulk density, which varied considerably at fine scales. Fermentation horizons held more moisture (average 49%-172%) and were much more variable than humus following rainfall, which remained stable and relatively dry (average 28%-62%). Humus moisture was moderately autocorrelated at fine scales, but fermentation moisture was highly variable, showing no evidence of spatial autocorrelation under dry, intermediate, or wet conditions. Observations from this study highlight the underlying spatial variability in duff, informing future sampling and fire management efforts in these long-unburned coniferous forests.","author":[{"dropping-particle":"","family":"Kreye","given":"Jesse K.","non-dropping-particle":"","parse-names":false,"suffix":""},{"dropping-particle":"","family":"Varner","given":"J. Morgan","non-dropping-particle":"","parse-names":false,"suffix":""},{"dropping-particle":"","family":"Dugaw","given":"Christopher J.","non-dropping-particle":"","parse-names":false,"suffix":""}],"container-title":"Canadian Journal of Forest Research","id":"ITEM-2","issue":"12","issued":{"date-parts":[["2014"]]},"page":"1477-1486","title":"Spatial and temporal variability of forest floor duff characteristics in long-unburned Pinus palustris forests","type":"article-journal","volume":"44"},"uris":["http://www.mendeley.com/documents/?uuid=5c208354-9499-4022-9b87-73a26a741a21"]},{"id":"ITEM-3","itemData":{"DOI":"10.1016/j.foreco.2013.06.001","ISBN":"0378-1127","ISSN":"03781127","abstract":"Fuel Loading Models (FLMs) and Fuel Characteristic Classification System (FCCSs) fuelbeds are used throughout wildland fire science and management to simplify fuel inputs into fire behavior and effects models, but they have yet to be thoroughly evaluated with field data. In this study, we used a large dataset of Forest Inventory and Analysis (FIA) surface fuel estimates (n=13,138) to create a new fuel classification called Fuel Type Groups (FTGs) from FIA forest type groups, and then keyed an FLM, FCCS, and FTG class to each FIA plot based on fuel loadings and stand conditions. We then compared FIA sampled loadings to the keyed class loading values for four surface fuel components (duff, litter, fine woody debris, coarse woody debris) and to mapped FLM, FCCS, and FTG class loading values from spatial fuel products. We found poor performances (R2&lt;0.30) for most fuel component loadings in all three classifications that, in turn, contributed to poor mapping accuracies. The main reason for the poor performances is the high variability of the four fuel component loadings within classification categories and the inherent scale of this variability does not seem to match the FIA measurement scale or LANDFIRE mapping scale. © 2013 Elsevier B.V.","author":[{"dropping-particle":"","family":"Keane","given":"Robert E.","non-dropping-particle":"","parse-names":false,"suffix":""},{"dropping-particle":"","family":"Herynk","given":"Jason M.","non-dropping-particle":"","parse-names":false,"suffix":""},{"dropping-particle":"","family":"Toney","given":"Chris","non-dropping-particle":"","parse-names":false,"suffix":""},{"dropping-particle":"","family":"Urbanski","given":"Shawn P.","non-dropping-particle":"","parse-names":false,"suffix":""},{"dropping-particle":"","family":"Lutes","given":"Duncan C.","non-dropping-particle":"","parse-names":false,"suffix":""},{"dropping-particle":"","family":"Ottmar","given":"Roger D.","non-dropping-particle":"","parse-names":false,"suffix":""}],"container-title":"Forest Ecology and Management","id":"ITEM-3","issued":{"date-parts":[["2013"]]},"page":"248-263","publisher":"Elsevier B.V.","title":"Evaluating the performance and mapping of three fuel classification systems using Forest Inventory and Analysis surface fuel measurements","type":"article-journal","volume":"305"},"uris":["http://www.mendeley.com/documents/?uuid=da21e84f-2b08-4612-9f61-153a1e53373c"]},{"id":"ITEM-4","itemData":{"DOI":"10.1071/WF16072","ISSN":"10498001","abstract":"There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Fire","id":"ITEM-4","issue":"11","issued":{"date-parts":[["2016"]]},"page":"1156-1168","title":"Spatial variability of surface fuels in treated and untreated ponderosa pine forests of the southern Rocky Mountains","type":"article-journal","volume":"25"},"uris":["http://www.mendeley.com/documents/?uuid=cfb10ea1-44b5-4fff-a379-6df1fcad2bc6"]}],"mendeley":{"formattedCitation":"(R. E. Keane et al., 2013; R. E. Keane, Gray, Bacciu, et al., 2012; Kreye et al., 2014; Vakili et al., 2016)","plainTextFormattedCitation":"(R. E. Keane et al., 2013; R. E. Keane, Gray, Bacciu, et al., 2012; Kreye et al., 2014; Vakili et al., 2016)","previouslyFormattedCitation":"(R. E. Keane et al., 2013; R. E. Keane, Gray, Bacciu, et al., 2012; Kreye et al., 2014; Vakili et al., 2016)"},"properties":{"noteIndex":0},"schema":"https://github.com/citation-style-language/schema/raw/master/csl-citation.json"}</w:instrText>
      </w:r>
      <w:r w:rsidR="00217EA3">
        <w:fldChar w:fldCharType="separate"/>
      </w:r>
      <w:r w:rsidR="00B257B9" w:rsidRPr="00B257B9">
        <w:rPr>
          <w:noProof/>
        </w:rPr>
        <w:t>(R. E. Keane et al., 2013; R. E. Keane, Gray, Bacciu, et al., 2012; Kreye et al., 2014; Vakili et al., 2016)</w:t>
      </w:r>
      <w:r w:rsidR="00217EA3">
        <w:fldChar w:fldCharType="end"/>
      </w:r>
      <w:r w:rsidR="00786E78">
        <w:t xml:space="preserve">. </w:t>
      </w:r>
      <w:r w:rsidR="003D0F49">
        <w:t xml:space="preserve">Furthermore, research has shown that fine-scale heterogeneity in fuel loadings </w:t>
      </w:r>
      <w:r w:rsidR="00026B0A">
        <w:t>impacts fire behavior and effects</w:t>
      </w:r>
      <w:r w:rsidR="00786E78">
        <w:t xml:space="preserve"> </w:t>
      </w:r>
      <w:r w:rsidR="00B257B9">
        <w:fldChar w:fldCharType="begin" w:fldLock="1"/>
      </w:r>
      <w:r w:rsidR="00B257B9">
        <w:instrText>ADDIN CSL_CITATION {"citationItems":[{"id":"ITEM-1","itemData":{"DOI":"10.1890/0012-9658(2006)87[1331:SFVAFI]2.0.CO;2","ISSN":"00129658","PMID":"16761611","abstract":"Small-scale variation in fire intensity and effects may be an important source of environmental heterogeneity in frequently burned plant communities. We hypothesized that variation in fire intensity resulting from local differences in fuel loads produces heterogeneity in pine savanna ground cover by altering shrub abundance. To test this hypothesis, we experimentally manipulated prefire fuel loads to mimic naturally occurring fuel-load heterogeneity associated with branch falls, needle fall near large pines, and animal disturbances in a frequently burned longleaf pine (Pinus palustris) savanna in Louisiana, USA. We applied one of four fuel treatments (unaltered control, fine-fuel removal, fine-fuel addition, wood addition) to each of 540 (1-m2) quadrats prior to growing-season prescribed fires in each of two years (1999 and 2001). In both years fuel addition increased (and fuel removal decreased) fuel consumption and maximum fire temperatures relative to unaltered controls. Fuel addition, particularly wood, increased damage to shrubs, increased shrub mortality, and decreased resprout density relative to controls. We propose that local variation in fire intensity may contribute to maintenance of high species diversity in pine savannas by reducing shrub abundance and creating openings in an otherwise continuous ground cover. © 2006 by the Ecological Society of America.","author":[{"dropping-particle":"","family":"Thaxton","given":"Jarrod M.","non-dropping-particle":"","parse-names":false,"suffix":""},{"dropping-particle":"","family":"Platt","given":"William J.","non-dropping-particle":"","parse-names":false,"suffix":""}],"container-title":"Ecology","id":"ITEM-1","issue":"5","issued":{"date-parts":[["2006"]]},"page":"1331-1337","title":"Small-scale fuel variation alters fire intensity and shrub abundance in a pine savanna","type":"article-journal","volume":"87"},"uris":["http://www.mendeley.com/documents/?uuid=77642198-84f9-4355-880f-0fe62fc85062"]},{"id":"ITEM-2","itemData":{"DOI":"10.1071/WF20096","author":[{"dropping-particle":"","family":"Atchley","given":"Adam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Fire","id":"ITEM-2","issue":"3","issued":{"date-parts":[["2021"]]},"note":"-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behavior","type":"article-journal","volume":"30"},"uris":["http://www.mendeley.com/documents/?uuid=44ce2cda-693d-4bb3-8c96-92a1489c9fd1"]},{"id":"ITEM-3","itemData":{"DOI":"10.1071/WF04043","ISSN":"10498001","abstract":"In this text we describe an initial attempt to incorporate discrete porous element fuel beds into the coupled atmosphere-wildfire behavior model HIGRAD/FIRETEC. First we develop conceptual models for use in translating measured tree data (in this case a ponderosa pine forest) into discrete fuel elements. Then data collected at experimental sites near Flagstaff, Arizona are used to create a discontinuous canopy fuel representation in HIGRAD/FIRETEC. Four simulations are presented with different canopy and understory configurations as described in the text. The results are discussed in terms of the same two discrete locations within the canopy for each simulation. The canopy structure had significant effects on the balance between radiative and convective heating in driving the fire and indeed sometimes determined whether a specific tree burned or not. In our simulations the ground fuel density was the determining factor in the overall spread rate of the fire, even when the overstory was involved in the fire. This behavior is well known in the fire meteorology community. In the future, simulations of this type could help land managers to better understand the role of canopy and understory structure in determining fire behavior, and thus help them decide between the different thinning and fuel treatment strategies available to them. © IAWF 2005.","author":[{"dropping-particle":"","family":"Linn","given":"Rodman","non-dropping-particle":"","parse-names":false,"suffix":""},{"dropping-particle":"","family":"Winterkamp","given":"Judith","non-dropping-particle":"","parse-names":false,"suffix":""},{"dropping-particle":"","family":"Colman","given":"Jonah J.","non-dropping-particle":"","parse-names":false,"suffix":""},{"dropping-particle":"","family":"Edminster","given":"Carleton","non-dropping-particle":"","parse-names":false,"suffix":""},{"dropping-particle":"","family":"Bailey","given":"John D.","non-dropping-particle":"","parse-names":false,"suffix":""}],"container-title":"International Journal of Wildland Fire","id":"ITEM-3","issue":"1","issued":{"date-parts":[["2005"]]},"page":"37-48","title":"Modeling interactions between fire and atmosphere in discrete element fuel beds","type":"article-journal","volume":"14"},"uris":["http://www.mendeley.com/documents/?uuid=31a73fd1-8eb0-4d53-9057-3f76562464f2"]},{"id":"ITEM-4","itemData":{"DOI":"10.1080/07038992.2016.1199271","ISSN":"17127971","abstract":"Wildland fire radiant energy emission is one of the only measurements of combustion that can be made at high temporal and spatial resolutions. Furthermore, spatially and temporally explicit measurements are critical for making inferences about ecological fire effects. Although the correlation between fire frequency and plant biological diversity in frequently burned coniferous forests is well documented, the ecological mechanisms explaining this relationship remains elusive. Uncovering these mechanisms will require highly resolved, spatially explicit fire data (Loudermilk et al. 2012). Here, we describe our efforts at connecting spatial variability in fuels to fire energy release and fire effects using fine scale (1 cm2) longwave infrared (LWIR) thermal imagery. We expected that the observed variability in fire radiative energy release driven by canopy-derived fuels could be the causal mechanism driving plant mortality, an important component of community dynamics. Analysis of fire radiant energy released in several experimental burns documented a close connection among patterns of fire intensity and plant mortality. Our results also confirmed the significance of cones in driving fine-scale spatial variability of fire intensity. Spatially and temporally resolved data from these techniques show promise to effectively link the combustion environment with postfire processes, remote sensing at larger scales, and wildland fire modeling efforts.","author":[{"dropping-particle":"","family":"O’Brien","given":"Joseph J.","non-dropping-particle":"","parse-names":false,"suffix":""},{"dropping-particle":"","family":"Loudermilk","given":"E. Louise","non-dropping-particle":"","parse-names":false,"suffix":""},{"dropping-particle":"","family":"Hiers","given":"J. Kevin","non-dropping-particle":"","parse-names":false,"suffix":""},{"dropping-particle":"","family":"Pokswinski","given":"Scott M.","non-dropping-particle":"","parse-names":false,"suffix":""},{"dropping-particle":"","family":"Hornsby","given":"Benjamin","non-dropping-particle":"","parse-names":false,"suffix":""},{"dropping-particle":"","family":"Hudak","given":"Andrew T.","non-dropping-particle":"","parse-names":false,"suffix":""},{"dropping-particle":"","family":"Strother","given":"Dexter","non-dropping-particle":"","parse-names":false,"suffix":""},{"dropping-particle":"","family":"Rowell","given":"Eric","non-dropping-particle":"","parse-names":false,"suffix":""},{"dropping-particle":"","family":"Bright","given":"Benjamin C.","non-dropping-particle":"","parse-names":false,"suffix":""}],"container-title":"Canadian Journal of Remote Sensing","id":"ITEM-4","issue":"5","issued":{"date-parts":[["2016"]]},"page":"489-500","title":"Canopy-Derived Fuels Drive Patterns of In-Fire Energy Release and Understory Plant Mortality in a Longleaf Pine (Pinus palustris) Sandhill in Northwest Florida, USA","type":"article-journal","volume":"42"},"uris":["http://www.mendeley.com/documents/?uuid=ab8f0c8e-4875-40a0-be55-04791536e494"]},{"id":"ITEM-5","itemData":{"DOI":"10.1071/WF10116","ISSN":"10498001","abstract":"Improved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 © IAWF 2012.","author":[{"dropping-particle":"","family":"Loudermilk","given":"E. Louise","non-dropping-particle":"","parse-names":false,"suffix":""},{"dropping-particle":"","family":"O'Brien","given":"Joseph J.","non-dropping-particle":"","parse-names":false,"suffix":""},{"dropping-particle":"","family":"Mitchell","given":"Robert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Fire","id":"ITEM-5","issue":"7","issued":{"date-parts":[["2012"]]},"page":"882-893","title":"Linking complex forest fuel structure and fire behaviour at fine scales","type":"article-journal","volume":"21"},"uris":["http://www.mendeley.com/documents/?uuid=3eb9c5a4-4f96-44be-845a-6023d58cbae6"]},{"id":"ITEM-6","itemData":{"DOI":"10.3375/043.029.0204","ISSN":"08858608","abstract":"Many forests, including the mixed-conifer forest of the Sierra Nevada, California, historically experienced a fire regime that generated considerable within- and among-fire environmental variability. Fire suppression has resulted in a heavier, more continuous fuel bed, which can cause today's prescribed fires to be considerably more homogeneous. To evaluate the potential importance of variability in fire severity on post-fire plant communities, I conducted an experiment to test whether understory species respond differently to sites burned under a heavy fuel load versus sites that burned under a light fuel load. Woody fuel was added or removed from small forest plots in order to manipulate the fire severity during prescribed fire. The fuel load manipulations affected which species survived fire as well as which species germinated after fire. Seven species (Chimaphila menziesii, Chrysolepis sempervirens, Osmorhiza chilensis, Pyrola picta, Phacelia hydrophylloides, Rubus parviflorus, and Smilacina racemosa) were unable to survive fire in either treatment. Four species (Bromus laevipes, Galium sparsiflorum, Rubus glaucifolius, and Sympkoricarpos mollis) survived more often on sites that were burned under a light fuel load. Several fire-stimulated species (Calystegia malacophylla, Cryptantha sp., Gayophytum eriospermum, Solanum xanti, Arctostaphylos patula, Ceanothus parvifolius, and Lotus crassifolius) germinated after fire regardless of fuel load, but others (Claytonia perfoliata, Ceanothus cordulatus, Prunus emarginata, and Ribes tularense) appeared more often on the light fuel treatments. Seedlings of Abies concolor germinated more often on the sites that burned under heavy fuel conditions. The varying responses of different species suggest that small-scale variations in fuel load may cause heterogeneous patterns of surface fire severity, which in turn may contribute to maintaining floral diversity in the mixed-conifer forest understory. In order to conserve native understory plant diversity, fire management efforts to restore these forests might consider spatial heterogeneity in fire severity as a management objective.","author":[{"dropping-particle":"","family":"Rocca","given":"Monique E.","non-dropping-particle":"","parse-names":false,"suffix":""}],"container-title":"Natural Areas Journal","id":"ITEM-6","issue":"2","issued":{"date-parts":[["2009"]]},"page":"126-132","title":"Fine-scale patchiness in fuel load can influence initial Post-fire understory composition in a mixed conifer forest, sequoia national park, california","type":"article-journal","volume":"29"},"uris":["http://www.mendeley.com/documents/?uuid=4f51575b-169d-4268-b64d-2c43654d7b0a"]}],"mendeley":{"formattedCitation":"(Atchley et al., 2021; Linn et al., 2005; Loudermilk, O’Brien, et al., 2012; O’Brien, Loudermilk, Hiers, et al., 2016; Rocca, 2009; Thaxton &amp; Platt, 2006)","plainTextFormattedCitation":"(Atchley et al., 2021; Linn et al., 2005; Loudermilk, O’Brien, et al., 2012; O’Brien, Loudermilk, Hiers, et al., 2016; Rocca, 2009; Thaxton &amp; Platt, 2006)","previouslyFormattedCitation":"(Atchley et al., 2021; Linn et al., 2005; Loudermilk, O’Brien, et al., 2012; O’Brien, Loudermilk, Hiers, et al., 2016; Rocca, 2009; Thaxton &amp; Platt, 2006)"},"properties":{"noteIndex":0},"schema":"https://github.com/citation-style-language/schema/raw/master/csl-citation.json"}</w:instrText>
      </w:r>
      <w:r w:rsidR="00B257B9">
        <w:fldChar w:fldCharType="separate"/>
      </w:r>
      <w:r w:rsidR="00B257B9" w:rsidRPr="00B257B9">
        <w:rPr>
          <w:noProof/>
        </w:rPr>
        <w:t>(Atchley et al., 2021; Linn et al., 2005; Loudermilk, O’Brien, et al., 2012; O’Brien, Loudermilk, Hiers, et al., 2016; Rocca, 2009; Thaxton &amp; Platt, 2006)</w:t>
      </w:r>
      <w:r w:rsidR="00B257B9">
        <w:fldChar w:fldCharType="end"/>
      </w:r>
      <w:r w:rsidR="00B257B9">
        <w:t>.</w:t>
      </w:r>
    </w:p>
    <w:p w14:paraId="35ED4383" w14:textId="6509BD5B" w:rsidR="00786E78" w:rsidRDefault="00026B0A" w:rsidP="00786E78">
      <w:pPr>
        <w:ind w:firstLine="720"/>
      </w:pPr>
      <w:r>
        <w:t>Because of the importance of fine-scale heterogeneity in fuel component loadings, many researchers have begun to quantify that heterogeneity and incorporate it into predictions of wildfire behavior. However, this work is still in its infancy and the existing lines of research suffer from important limitations.</w:t>
      </w:r>
      <w:r w:rsidR="00786E78">
        <w:t xml:space="preserve"> </w:t>
      </w:r>
      <w:r w:rsidR="004609C7">
        <w:t xml:space="preserve">Researchers have combined terrestrial LiDAR data with classified high resolution photographs to develop fine-scale </w:t>
      </w:r>
      <w:proofErr w:type="spellStart"/>
      <w:r w:rsidR="004609C7">
        <w:t>fuelbed</w:t>
      </w:r>
      <w:proofErr w:type="spellEnd"/>
      <w:r w:rsidR="004609C7">
        <w:t xml:space="preserve"> maps and linked these to fine-scale observations of fire behavior</w:t>
      </w:r>
      <w:r w:rsidR="00E106A6">
        <w:t xml:space="preserve"> </w:t>
      </w:r>
      <w:r w:rsidR="00B257B9">
        <w:fldChar w:fldCharType="begin" w:fldLock="1"/>
      </w:r>
      <w:r w:rsidR="00B257B9">
        <w:instrText>ADDIN CSL_CITATION {"citationItems":[{"id":"ITEM-1","itemData":{"DOI":"10.1016/j.mex.2018.11.006","ISSN":"22150161","abstract":"Surface fuels are the critical link between structure and function in frequently burned pine ecosystems, which are found globally (Williamson and Black, 1981; Rebertus et al., 1989; Glitzenstein et al., 1995) [1–3]. We bring fuels to the forefront of fire ecology through the concept of the Ecology of Fuels (Hiers et al. 2009) [4]. This concept describes a cyclic process between fuels, fire behavior, and fire effects, which ultimately affect future fuel distribution (Mitchell et al. 2009) [5]. Low-intensity surface fires are driven by the variability in fine-scale (sub-m level) fuels (Loudermilk et al. 2012) [6]. Traditional fuel measurement approaches do not capture this variability because they are over-generalized, and do not consider the fine-scale architecture of interwoven fuel types. Here, we introduce a new approach, the “3D fuels sampling protocol” that measures fuel biomass at the scale and dimensions useful for characterizing heterogeneous fuels found in low-intensity surface fire regimes. • Traditional fuel measurements are oversimplified, prone to sampling bias, and unrealistic for relating to fire behavior (Van Wagner, 1968; Hardy et al., 2008) [7,8].• We developed a novel field sampling approach to measuring 3D fuels using an adjustable rectangular prism sampling frame. This voxel sampling protocol records fuel biomass, occupied volume, and fuel types at multiple scales.• This method is scalable and versatile across ecosystems, and reduces sampling bias by eliminating the need for ocular estimations.","author":[{"dropping-particle":"","family":"Hawley","given":"Christie M.","non-dropping-particle":"","parse-names":false,"suffix":""},{"dropping-particle":"","family":"Loudermilk","given":"E. Louise","non-dropping-particle":"","parse-names":false,"suffix":""},{"dropping-particle":"","family":"Rowell","given":"Eric M.","non-dropping-particle":"","parse-names":false,"suffix":""},{"dropping-particle":"","family":"Pokswinski","given":"Scott","non-dropping-particle":"","parse-names":false,"suffix":""}],"container-title":"MethodsX","id":"ITEM-1","issue":"September","issued":{"date-parts":[["2018"]]},"page":"1597-1604","publisher":"Elsevier B.V.","title":"A novel approach to fuel biomass sampling for 3D fuel characterization","type":"article-journal","volume":"5"},"uris":["http://www.mendeley.com/documents/?uuid=5f7a59a2-3d91-411f-8b4d-45445d265aa4"]},{"id":"ITEM-2","itemData":{"DOI":"10.1071/WF07138","ISSN":"10498001","abstract":"Ground-based LIDAR (also known as laser ranging) is a novel technique that may precisely quantify fuelbed characteristics important in determining fire behavior. We measured fuel properties within a south-eastern US longleaf pine woodland at the individual plant and fuelbed scale. Data were collected using a mobile terrestrial LIDAR unit at sub-cm scale for individual fuel types (shrubs) and heterogeneous fuelbed plots. Spatially explicit point-intercept fuel sampling also measured fuelbed heights and volume, while leaf area and biomass measurements of whole and sectioned shrubs were determined from destructive sampling. Volumes obtained by LIDAR and traditional methods showed significant discrepancies. We found that traditional means overestimated volume for shrub fuel types because of variation in leaf area distribution within shrub canopies. LIDAR volume estimates were correlated with biomass and leaf area for individual shrubs when factored by species, size, and plant section. Fuelbed heights were found to be highly variable among the fuel plots, and ground LIDAR was more sensitive to capturing the height variation than traditional point intercept sampling. Ground LIDAR is a promising technology capable of measuring complex surface fuels and fuel characteristics, such as fuel volume. © IAWF 2009.","author":[{"dropping-particle":"","family":"Loudermilk","given":"E. Louise","non-dropping-particle":"","parse-names":false,"suffix":""},{"dropping-particle":"","family":"Hiers","given":"J. Kevin","non-dropping-particle":"","parse-names":false,"suffix":""},{"dropping-particle":"","family":"O'Brien","given":"Joseph J.","non-dropping-particle":"","parse-names":false,"suffix":""},{"dropping-particle":"","family":"Mitchell","given":"Robert J.","non-dropping-particle":"","parse-names":false,"suffix":""},{"dropping-particle":"","family":"Singhania","given":"Abhinav","non-dropping-particle":"","parse-names":false,"suffix":""},{"dropping-particle":"","family":"Fernandez","given":"Juan C.","non-dropping-particle":"","parse-names":false,"suffix":""},{"dropping-particle":"","family":"Cropper","given":"Wendell P.","non-dropping-particle":"","parse-names":false,"suffix":""},{"dropping-particle":"","family":"Slatton","given":"K. Clint","non-dropping-particle":"","parse-names":false,"suffix":""}],"container-title":"International Journal of Wildland Fire","id":"ITEM-2","issue":"6","issued":{"date-parts":[["2009"]]},"page":"676-685","title":"Ground-based LIDAR: A novel approach to quantify fine-scale fuelbed characteristics","type":"article-journal","volume":"18"},"uris":["http://www.mendeley.com/documents/?uuid=a98b0a5b-5c7f-43fd-8570-75916a84d370"]},{"id":"ITEM-3","itemData":{"DOI":"10.1071/WF14165","ISSN":"10498001","abstract":"Wildland fire radiant energy emission is one of the only measurements of combustion that can be made at wide spatial extents and high temporal and spatial resolutions. Furthermore, spatially and temporally explicit measurements are critical for making inferences about fire effects and useful for examining patterns of fire spread. In this study we describe our methods for capturing and analysing spatially and temporally explicit long-wave infrared (LWIR) imagery from the RxCADRE (Prescribed Fire Combustion and Atmospheric Dynamics Research Experiment) project and examine the usefulness of these data in investigating fire behaviour and effects. We compare LWIR imagery captured at fine and moderate spatial and temporal resolutions (from 1cm2 to 1m2; and from 0.12 to 1Hz) using both nadir and oblique measurements. We analyse fine-scale spatial heterogeneity of fire radiant power and energy released in several experimental burns. There was concurrence between the measurements, although the oblique view estimates of fire radiative power were consistently higher than the nadir view estimates. The nadir measurements illustrate the significance of fuel characteristics, particularly type and connectivity, in driving spatial variability at fine scales. The nadir and oblique measurements illustrate the usefulness of the data for describing the location and movement of the fire front at discrete moments in time at these fine and moderate resolutions. Spatially and temporally resolved data from these techniques show promise to effectively link the combustion environment with post-fire processes, remote sensing at larger scales and wildland fire modelling efforts.","author":[{"dropping-particle":"","family":"O'Brien","given":"Joseph J.","non-dropping-particle":"","parse-names":false,"suffix":""},{"dropping-particle":"","family":"Loudermilk","given":"E. Louise","non-dropping-particle":"","parse-names":false,"suffix":""},{"dropping-particle":"","family":"Hornsby","given":"Benjamin","non-dropping-particle":"","parse-names":false,"suffix":""},{"dropping-particle":"","family":"Hudak","given":"Andrew T.","non-dropping-particle":"","parse-names":false,"suffix":""},{"dropping-particle":"","family":"Bright","given":"Benjamin C.","non-dropping-particle":"","parse-names":false,"suffix":""},{"dropping-particle":"","family":"Dickinson","given":"Matthew B.","non-dropping-particle":"","parse-names":false,"suffix":""},{"dropping-particle":"","family":"Hiers","given":"J. Kevin","non-dropping-particle":"","parse-names":false,"suffix":""},{"dropping-particle":"","family":"Teske","given":"Casey","non-dropping-particle":"","parse-names":false,"suffix":""},{"dropping-particle":"","family":"Ottmar","given":"Roger D.","non-dropping-particle":"","parse-names":false,"suffix":""}],"container-title":"International Journal of Wildland Fire","id":"ITEM-3","issue":"1","issued":{"date-parts":[["2016"]]},"page":"62-75","title":"High-resolution infrared thermography for capturing wildland fire behaviour: RxCADRE 2012","type":"article-journal","volume":"25"},"uris":["http://www.mendeley.com/documents/?uuid=3a43949f-a33c-4f4a-b3d8-d61d96f3f4bd"]},{"id":"ITEM-4","itemData":{"DOI":"10.1071/WF08084","ISSN":"10498001","abstract":"In ecosystems with frequent surface fire regimes, fire and fuel heterogeneity has been largely overlooked owing to the lack of unburned patches and the difficulty in measuring fire behavior at fine scales (0.110 m). The diverse vegetation in these ecosystems varies at these fine scales. This diversity could be driven by the influences of local interactions among patches of understorey vegetation and canopy-supplied fine fuels on fire behavior, yet no method we know of can capture fine-scale fuel and fire measurements such that these relationships could be rigorously tested. We present here an original method for inventorying of fine-scale fuels and in situ measures of fire intensity within longleaf pine forests of the south-eastern USA. Using ground-based LIDAR (Light Detection and Ranging) with traditional fuel inventory approaches, we characterized within-fuel bed variation into discrete patches, termed wildland fuel cells, which had distinct fuel composition, characteristics, and architecture that became spatially independent beyond 0.5 m2. Spatially explicit fire behavior was measured in situ through digital infrared thermography. We found that fire temperatures and residence times varied at similar scales to those observed for wildland fuel cells. The wildland fuels cell concept could seamlessly connect empirical studies with numerical models or cellular automata models of fire behavior, representing a promising means to better predict within-burn heterogeneity and fire effects. © IAWF 2009.","author":[{"dropping-particle":"","family":"Hiers","given":"J. Kevin","non-dropping-particle":"","parse-names":false,"suffix":""},{"dropping-particle":"","family":"O'Brien","given":"Joseph J.","non-dropping-particle":"","parse-names":false,"suffix":""},{"dropping-particle":"","family":"Mitchell","given":"R. J.","non-dropping-particle":"","parse-names":false,"suffix":""},{"dropping-particle":"","family":"Grego","given":"John M.","non-dropping-particle":"","parse-names":false,"suffix":""},{"dropping-particle":"","family":"Loudermilk","given":"E. Louise","non-dropping-particle":"","parse-names":false,"suffix":""}],"container-title":"International Journal of Wildland Fire","id":"ITEM-4","issue":"3","issued":{"date-parts":[["2009"]]},"page":"315-325","title":"The wildland fuel cell concept: An approach to characterize fine-scale variation in fuels and fire in frequently burned longleaf pine forests","type":"article-journal","volume":"18"},"uris":["http://www.mendeley.com/documents/?uuid=6f8567da-7181-432d-aa9a-197ac76d4988"]},{"id":"ITEM-5","itemData":{"author":[{"dropping-particle":"","family":"Hiers","given":"Quinn A","non-dropping-particle":"","parse-names":false,"suffix":""},{"dropping-particle":"","family":"Loudermilk","given":"E Louise","non-dropping-particle":"","parse-names":false,"suffix":""},{"dropping-particle":"","family":"Hawley","given":"Christie M","non-dropping-particle":"","parse-names":false,"suffix":""},{"dropping-particle":"","family":"Hiers","given":"J Kevin","non-dropping-particle":"","parse-names":false,"suffix":""},{"dropping-particle":"","family":"Pokswinski","given":"Scott","non-dropping-particle":"","parse-names":false,"suffix":""},{"dropping-particle":"","family":"Hoffman","given":"Chad M","non-dropping-particle":"","parse-names":false,"suffix":""},{"dropping-particle":"","family":"Brien","given":"Joseph J O","non-dropping-particle":"","parse-names":false,"suffix":""}],"id":"ITEM-5","issued":{"date-parts":[["2021"]]},"title":"Non-Destructive Fuel Volume Measurements Can Estimate Fine-Scale Biomass across Surface Fuel Types in a Frequently Burned Ecosystem","type":"article-journal","volume":"M"},"uris":["http://www.mendeley.com/documents/?uuid=8e64d39a-0288-45a6-98ab-30e8bdd8d612"]},{"id":"ITEM-6","itemData":{"ISBN":"10498001","PMID":"310004400008","abstract":"Improved fire management of savannas and open woodlands requires better understanding of the fundamental connection between fuel heterogeneity, variation in fire behaviour and the influence of fire variation on vegetation feedbacks. In this study, we introduce a novel approach to predicting fire behaviour at the submetre scale, including measurements of forest understorey fuels using ground-based LIDAR (light detection and ranging) coupled with infrared thermography for recording precise fire temperatures. We used ensemble classification and regression trees to examine the relationships between fuel characteristics and fire temperature dynamics. Fire behaviour was best predicted by characterising fuelbed heterogeneity and continuity across multiple plots of similar fire intensity, where impacts from plot-to-plot variation in fuel, fire and weather did not overwhelm the effects of fuels. The individual plot-level results revealed the significance of specific fuel types (e.g. bare soil, pine leaf litter) as well as the spatial configuration of fire. This was the first known study to link the importance of fuelbed continuity and the heterogeneity associated with fuel types to fire behaviour at metre to submetre scales and provides the next step in understanding the complex responses of vegetation to fire behaviour.","author":[{"dropping-particle":"","family":"Loudermilk","given":"E Louise","non-dropping-particle":"","parse-names":false,"suffix":""},{"dropping-particle":"","family":"Brien","given":"Joseph J O","non-dropping-particle":"","parse-names":false,"suffix":""},{"dropping-particle":"","family":"Mitchell","given":"Robert J","non-dropping-particle":"","parse-names":false,"suffix":""},{"dropping-particle":"","family":"Cropper","given":"Wendell P","non-dropping-particle":"","parse-names":false,"suffix":""},{"dropping-particle":"","family":"Hiers","given":"J Kevin","non-dropping-particle":"","parse-names":false,"suffix":""},{"dropping-particle":"","family":"Grunwald","given":"Sabine","non-dropping-particle":"","parse-names":false,"suffix":""},{"dropping-particle":"","family":"Grego","given":"John","non-dropping-particle":"","parse-names":false,"suffix":""},{"dropping-particle":"","family":"Fernandez-diaz","given":"Juan C","non-dropping-particle":"","parse-names":false,"suffix":""}],"container-title":"International Journal of Wildland Fire","id":"ITEM-6","issue":"7","issued":{"date-parts":[["2012"]]},"page":"882-893","title":"Linking complex forest fuel structure and fire behaviour at fine scales","type":"article-journal","volume":"21"},"uris":["http://www.mendeley.com/documents/?uuid=f368bf89-604b-4b72-8f25-863a5026a6e1"]},{"id":"ITEM-7","itemData":{"DOI":"10.1071/WF13160","ISSN":"10498001","abstract":"In ecosystems with frequent surface fires, fire and fuel heterogeneity at relevant scales have been largely ignored. This could be because complete burns give an impression of homogeneity, or due to the difficulty in capturing fine-scale variation in fuel characteristics and fire behaviour. Fire movement between patches of fuel can have implications for modelling fire spread and understanding ecological effects. We collected high resolution (0.8×0.8-cm pixels) visual and thermal imaging data during fire passage over 4×4-m plots of mixed fuel beds consisting of pine litter and grass during two prescribed burns within the longleaf pine forests of Eglin Air Force Base, FL in February 2011. Fuel types were identified by passing multi-spectral digital images through a colour recognition algorithm in 'Rabbit Rules,' an experimental coupled fire-atmosphere fire spread model. Image fuel types were validated against field fuel types. Relationships between fuel characteristics and fire behaviour measurements at multiple resolutions (0.8×0.8cm to 33×33cm) were analysed using a regression tree approach. There were strong relationships between fire behaviour and fuels, especially at the 33×33-cm scale (R2≤0.40-0.69), where image-to-image overlap error was reduced and fuels were well characterised. Distinct signatures were found for individual and coupled fuel types for determining fire behaviour, illustrating the importance of understanding fire-fuel heterogeneity at fine-scales. Simulating fire spread at this fine-scale may be critical for understanding fire effects, such as understorey plant community assembly.","author":[{"dropping-particle":"","family":"Loudermilk","given":"E. Louise","non-dropping-particle":"","parse-names":false,"suffix":""},{"dropping-particle":"","family":"Achtemeier","given":"Gary L.","non-dropping-particle":"","parse-names":false,"suffix":""},{"dropping-particle":"","family":"O'brien","given":"Joseph J.","non-dropping-particle":"","parse-names":false,"suffix":""},{"dropping-particle":"","family":"Hiers","given":"J. Kevin","non-dropping-particle":"","parse-names":false,"suffix":""},{"dropping-particle":"","family":"Hornsby","given":"Benjamin S.","non-dropping-particle":"","parse-names":false,"suffix":""}],"container-title":"International Journal of Wildland Fire","id":"ITEM-7","issue":"7","issued":{"date-parts":[["2014"]]},"page":"1016-1026","title":"High-resolution observations of combustion in heterogeneous surface fuels","type":"article-journal","volume":"23"},"uris":["http://www.mendeley.com/documents/?uuid=b9181b0d-9ea6-46be-8ca6-50cf15d6433e"]}],"mendeley":{"formattedCitation":"(Hawley et al., 2018; J. K. Hiers et al., 2009; Q. A. Hiers et al., 2021; Loudermilk et al., 2009, 2014; Loudermilk, Brien, et al., 2012; O’Brien, Loudermilk, Hornsby, et al., 2016)","plainTextFormattedCitation":"(Hawley et al., 2018; J. K. Hiers et al., 2009; Q. A. Hiers et al., 2021; Loudermilk et al., 2009, 2014; Loudermilk, Brien, et al., 2012; O’Brien, Loudermilk, Hornsby, et al., 2016)","previouslyFormattedCitation":"(Hawley et al., 2018; J. K. Hiers et al., 2009; Q. A. Hiers et al., 2021; Loudermilk et al., 2009, 2014; Loudermilk, Brien, et al., 2012; O’Brien, Loudermilk, Hornsby, et al., 2016)"},"properties":{"noteIndex":0},"schema":"https://github.com/citation-style-language/schema/raw/master/csl-citation.json"}</w:instrText>
      </w:r>
      <w:r w:rsidR="00B257B9">
        <w:fldChar w:fldCharType="separate"/>
      </w:r>
      <w:r w:rsidR="00B257B9" w:rsidRPr="00B257B9">
        <w:rPr>
          <w:noProof/>
        </w:rPr>
        <w:t>(Hawley et al., 2018; J. K. Hiers et al., 2009; Q. A. Hiers et al., 2021; Loudermilk et al., 2009, 2014; Loudermilk, Brien, et al., 2012; O’Brien, Loudermilk, Hornsby, et al., 2016)</w:t>
      </w:r>
      <w:r w:rsidR="00B257B9">
        <w:fldChar w:fldCharType="end"/>
      </w:r>
      <w:r w:rsidR="00B257B9">
        <w:t>.</w:t>
      </w:r>
      <w:r w:rsidR="004609C7">
        <w:t xml:space="preserve"> However, the linkage between fuels and fire in this approach is statistical, rather than mechanistic, and it is unclear whether </w:t>
      </w:r>
      <w:r w:rsidR="004609C7">
        <w:lastRenderedPageBreak/>
        <w:t>this system (designed in frequently burned pine savannahs in the southern US) will b</w:t>
      </w:r>
      <w:r w:rsidR="002F765A">
        <w:t>e feasible in other ecosystems and fire regimes.</w:t>
      </w:r>
      <w:r w:rsidR="00786E78">
        <w:t xml:space="preserve"> </w:t>
      </w:r>
      <w:r w:rsidR="002F765A">
        <w:t xml:space="preserve">Another line of research has been to use </w:t>
      </w:r>
      <w:proofErr w:type="spellStart"/>
      <w:r w:rsidR="002F765A">
        <w:t>photoload</w:t>
      </w:r>
      <w:proofErr w:type="spellEnd"/>
      <w:r w:rsidR="002F765A">
        <w:t>-quantified surface fuels and variogram analysis to describe the structure of spatial autocorrelation within various fuel components across different ecosystem types and disturbance histories</w:t>
      </w:r>
      <w:r w:rsidR="00B257B9">
        <w:t xml:space="preserve"> </w:t>
      </w:r>
      <w:r w:rsidR="00B257B9">
        <w:fldChar w:fldCharType="begin" w:fldLock="1"/>
      </w:r>
      <w:r w:rsidR="00B257B9">
        <w:instrText>ADDIN CSL_CITATION {"citationItems":[{"id":"ITEM-1","itemData":{"DOI":"10.1071/WF16072","ISSN":"10498001","abstract":"There is growing consensus that spatial variability in fuel loading at scales down to 0.5m may govern fire behaviour and effects. However, there remains a lack of understanding of how fuels vary through space in wildland settings. This study quantifies surface fuel loading and its spatial variability in ponderosa pine sites before and after fuels treatment in the southern Rocky Mountains, USA. We found that spatial semivariance for 1- and 100-h fuels, litter and duff following thin-and-burn treatments differed from untreated sites, and was lower than thin-only sites for all fuel components except 1000-h fuels. Fuel component semivariance increased with mean fuel component loading. The scale of spatial autocorrelation for all fuel components and sites ranged from &lt;1 to 48m, with the shortest distances occurring for the finest fuel components (i.e. duff, litter). Component mean fuel particle diameter strongly predicted (R2≤0.88) the distance needed to achieve sample independence. Additional work should test if these scaling relationships hold true across forested ecosystems, and could reveal fundamental processes controlling surface fuel variability. Incorporating knowledge of spatial variability into fuel sampling protocols will enhance assessment of wildlife habitat, and fire behaviour and effects modelling, over singular stand-level means.","author":[{"dropping-particle":"","family":"Vakili","given":"Emma","non-dropping-particle":"","parse-names":false,"suffix":""},{"dropping-particle":"","family":"Hoffman","given":"Chad M.","non-dropping-particle":"","parse-names":false,"suffix":""},{"dropping-particle":"","family":"Keane","given":"Robert E.","non-dropping-particle":"","parse-names":false,"suffix":""},{"dropping-particle":"","family":"Tinkham","given":"Wade T.","non-dropping-particle":"","parse-names":false,"suffix":""},{"dropping-particle":"","family":"Dickinson","given":"Yvette","non-dropping-particle":"","parse-names":false,"suffix":""}],"container-title":"International Journal of Wildland Fire","id":"ITEM-1","issue":"11","issued":{"date-parts":[["2016"]]},"page":"1156-1168","title":"Spatial variability of surface fuels in treated and untreated ponderosa pine forests of the southern Rocky Mountains","type":"article-journal","volume":"25"},"uris":["http://www.mendeley.com/documents/?uuid=cfb10ea1-44b5-4fff-a379-6df1fcad2bc6"]},{"id":"ITEM-2","itemData":{"ISBN":"Res.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title":"Spatial Variability of Wildland Fuel Characteristics in Northern Rocky Mountain Ecosystems","type":"report"},"uris":["http://www.mendeley.com/documents/?uuid=251ab07e-5a63-4320-b1b3-291d66a82592"]},{"id":"ITEM-3","itemData":{"DOI":"10.1007/s10980-012-9773-9","ISBN":"0921-2973","ISSN":"09212973","abstract":"Wildland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Ecology","id":"ITEM-3","issue":"8","issued":{"date-parts":[["2012"]]},"page":"1213-1234","title":"Spatial scaling of wildland fuels for six forest and rangeland ecosystems of the northern Rocky Mountains, USA","type":"article-journal","volume":"27"},"uris":["http://www.mendeley.com/documents/?uuid=3609ff6d-b86c-4513-88c0-2b3d18842ba8"]}],"mendeley":{"formattedCitation":"(R. E. Keane, Gray, &amp; Bacciu, 2012; R. E. Keane, Gray, Bacciu, et al., 2012; Vakili et al., 2016)","plainTextFormattedCitation":"(R. E. Keane, Gray, &amp; Bacciu, 2012; R. E. Keane, Gray, Bacciu, et al., 2012; Vakili et al., 2016)","previouslyFormattedCitation":"(R. E. Keane, Gray, &amp; Bacciu, 2012; R. E. Keane, Gray, Bacciu, et al., 2012; Vakili et al., 2016)"},"properties":{"noteIndex":0},"schema":"https://github.com/citation-style-language/schema/raw/master/csl-citation.json"}</w:instrText>
      </w:r>
      <w:r w:rsidR="00B257B9">
        <w:fldChar w:fldCharType="separate"/>
      </w:r>
      <w:r w:rsidR="00B257B9" w:rsidRPr="00B257B9">
        <w:rPr>
          <w:noProof/>
        </w:rPr>
        <w:t>(R. E. Keane, Gray, &amp; Bacciu, 2012; R. E. Keane, Gray, Bacciu, et al., 2012; Vakili et al., 2016)</w:t>
      </w:r>
      <w:r w:rsidR="00B257B9">
        <w:fldChar w:fldCharType="end"/>
      </w:r>
      <w:r w:rsidR="002F765A">
        <w:t xml:space="preserve">. However, this variogram approach is purely descriptive and does not enable a connection between the spatial properties of </w:t>
      </w:r>
      <w:proofErr w:type="spellStart"/>
      <w:r w:rsidR="002F765A">
        <w:t>fuelbeds</w:t>
      </w:r>
      <w:proofErr w:type="spellEnd"/>
      <w:r w:rsidR="002F765A">
        <w:t xml:space="preserve"> and fire behavior models.</w:t>
      </w:r>
      <w:r w:rsidR="00786E78">
        <w:t xml:space="preserve"> </w:t>
      </w:r>
    </w:p>
    <w:p w14:paraId="169C8D5A" w14:textId="2943AB36" w:rsidR="002F765A" w:rsidRDefault="00786E78" w:rsidP="00786E78">
      <w:pPr>
        <w:ind w:firstLine="720"/>
      </w:pPr>
      <w:r>
        <w:t>A third line of research is based on coupled fire-atmosphere models, which</w:t>
      </w:r>
      <w:r w:rsidR="002F765A">
        <w:t xml:space="preserve"> are capable of </w:t>
      </w:r>
      <w:r w:rsidR="001479E7">
        <w:t xml:space="preserve">modelling fine-scale feedback between fire and the atmosphere and predicting wildfire behavior in heterogeneous </w:t>
      </w:r>
      <w:proofErr w:type="spellStart"/>
      <w:r w:rsidR="001479E7">
        <w:t>fuelbeds</w:t>
      </w:r>
      <w:proofErr w:type="spellEnd"/>
      <w:r>
        <w:t xml:space="preserve"> at the expense of being too computationally intensive to be helpful for predicting fire behavior in real time</w:t>
      </w:r>
      <w:r w:rsidR="00E106A6">
        <w:t xml:space="preserve"> </w:t>
      </w:r>
      <w:r w:rsidR="00B257B9">
        <w:fldChar w:fldCharType="begin" w:fldLock="1"/>
      </w:r>
      <w:r w:rsidR="000A0F03">
        <w:instrText>ADDIN CSL_CITATION {"citationItems":[{"id":"ITEM-1","itemData":{"DOI":"10.1016/j.foreco.2016.12.002","ISSN":"03781127","abstract":"Restoration treatments in dry forests of the western US often attempt silvicultural practices to restore the historical characteristics of forest structure and fire behavior. However, it is suggested that a reliance on non-spatial metrics of forest stand structure, along with the use of wildland fire behavior models that lack the ability to handle complex structures, may lead to uncharacteristically homogeneous rather than heterogeneous forest structures following restoration. In our study, we used spatially explicit forest inventory data and a physics based fire behavior model to investigate the effects of restoration driven, variable retention harvests on structural complexity, both of horizontal and vertical dimensions, and potential fire behavior. Structural complexity was assessed at stand and patch scales using a combination of point pattern analyses, a patch detection algorithm, and nearest-neighbor and tree patch indices of height variation. The potential fire behavior before and after treatment was simulated across a range of open wind speeds using a 3-D physics based fire behavior model, the Wildland-urban interface Fire Dynamics Simulator (WFDS). Our results show that treatments resulted in an aggregated spatial pattern of trees consisting of a matrix of individual trees, clumps and openings similar to descriptions of historical dry forests. Treatments had inconsistent effects on vertical complexity across sites likely due to differences in treatment of ladder fuels; lack of reference conditions hinder evaluation of this structural aspect. Simulation modeling using WFDS suggest that treatments moderated fire rate of spread, fireline intensity and canopy consumption across all wind speeds tested and shifted potential fire behavior towards historical ranges. Our findings suggest that current restoration-based variable retention harvests can simultaneously fulfill objectives of altering structural complexity and of reducing fire behavior, though we recommend further research on desired ranges of vertical complexity to inform treatment design.","author":[{"dropping-particle":"","family":"Ziegler","given":"Justin Paul","non-dropping-particle":"","parse-names":false,"suffix":""},{"dropping-particle":"","family":"Hoffman","given":"Chad","non-dropping-particle":"","parse-names":false,"suffix":""},{"dropping-particle":"","family":"Battaglia","given":"Mike","non-dropping-particle":"","parse-names":false,"suffix":""},{"dropping-particle":"","family":"Mell","given":"William","non-dropping-particle":"","parse-names":false,"suffix":""}],"container-title":"Forest Ecology and Management","id":"ITEM-1","issued":{"date-parts":[["2017"]]},"note":"Fine scale spatial variability of wildland fire spread&amp;amp; intensity: anderson 1982, cheney and gould 1995, fernandes et al 2000\n\nFine-scale variability in fire behavior -&amp;gt; non-uniform fire effects: thaxton &amp;amp; platt 2006\n\nWFDS: Mell et al 2007, mell et al 2009\n\nStudies using wFDS: Hoffman et al 2012, 2015; linn et al 2013; pimont et al 2011\n\nheight differentiation index: gadow and hui 2002; kint et al 200; saunders and wagner 2008\n\nWFDS verification &amp;amp; evaluation: hoffman et al 2015; mcgrattan et al 2016a 2016b; mell et al 2007, 2009; mueller et al 2015","page":"1-12","publisher":"Elsevier B.V.","title":"Spatially explicit measurements of forest structure and fire behavior following restoration treatments in dry forests","type":"article-journal","volume":"386"},"uris":["http://www.mendeley.com/documents/?uuid=9f903940-4b19-4560-adec-0875debcebbb"]},{"id":"ITEM-2","itemData":{"DOI":"10.1071/WF20096","author":[{"dropping-particle":"","family":"Atchley","given":"Adam L.","non-dropping-particle":"","parse-names":false,"suffix":""},{"dropping-particle":"","family":"Linn","given":"Rodman R.","non-dropping-particle":"","parse-names":false,"suffix":""},{"dropping-particle":"","family":"Jonko","given":"Alex","non-dropping-particle":"","parse-names":false,"suffix":""},{"dropping-particle":"","family":"Hoffman","given":"Chad M.","non-dropping-particle":"","parse-names":false,"suffix":""},{"dropping-particle":"","family":"Hyman","given":"Jeffrey D.","non-dropping-particle":"","parse-names":false,"suffix":""},{"dropping-particle":"","family":"Pimont","given":"François","non-dropping-particle":"","parse-names":false,"suffix":""},{"dropping-particle":"","family":"Sieg","given":"Carolyn","non-dropping-particle":"","parse-names":false,"suffix":""},{"dropping-particle":"","family":"Middleton","given":"Richard","non-dropping-particle":"","parse-names":false,"suffix":""}],"container-title":"International Journal of Wildland Fire","id":"ITEM-2","issue":"3","issued":{"date-parts":[["2021"]]},"note":"- importance of ensemble approach to capture the range of plausible behaviors/outcomes given a certain macro-scale characteristics (e.g. CBD, patchiness) but not assuming any specific realisation (e.g. location of individual trees)","page":"179-189;","title":"Effects of fuel spatial distribution on wildland fire behavior","type":"article-journal","volume":"30"},"uris":["http://www.mendeley.com/documents/?uuid=44ce2cda-693d-4bb3-8c96-92a1489c9fd1"]},{"id":"ITEM-3","itemData":{"DOI":"10.1071/WF04043","ISSN":"10498001","abstract":"In this text we describe an initial attempt to incorporate discrete porous element fuel beds into the coupled atmosphere-wildfire behavior model HIGRAD/FIRETEC. First we develop conceptual models for use in translating measured tree data (in this case a ponderosa pine forest) into discrete fuel elements. Then data collected at experimental sites near Flagstaff, Arizona are used to create a discontinuous canopy fuel representation in HIGRAD/FIRETEC. Four simulations are presented with different canopy and understory configurations as described in the text. The results are discussed in terms of the same two discrete locations within the canopy for each simulation. The canopy structure had significant effects on the balance between radiative and convective heating in driving the fire and indeed sometimes determined whether a specific tree burned or not. In our simulations the ground fuel density was the determining factor in the overall spread rate of the fire, even when the overstory was involved in the fire. This behavior is well known in the fire meteorology community. In the future, simulations of this type could help land managers to better understand the role of canopy and understory structure in determining fire behavior, and thus help them decide between the different thinning and fuel treatment strategies available to them. © IAWF 2005.","author":[{"dropping-particle":"","family":"Linn","given":"Rodman","non-dropping-particle":"","parse-names":false,"suffix":""},{"dropping-particle":"","family":"Winterkamp","given":"Judith","non-dropping-particle":"","parse-names":false,"suffix":""},{"dropping-particle":"","family":"Colman","given":"Jonah J.","non-dropping-particle":"","parse-names":false,"suffix":""},{"dropping-particle":"","family":"Edminster","given":"Carleton","non-dropping-particle":"","parse-names":false,"suffix":""},{"dropping-particle":"","family":"Bailey","given":"John D.","non-dropping-particle":"","parse-names":false,"suffix":""}],"container-title":"International Journal of Wildland Fire","id":"ITEM-3","issue":"1","issued":{"date-parts":[["2005"]]},"page":"37-48","title":"Modeling interactions between fire and atmosphere in discrete element fuel beds","type":"article-journal","volume":"14"},"uris":["http://www.mendeley.com/documents/?uuid=31a73fd1-8eb0-4d53-9057-3f76562464f2"]},{"id":"ITEM-4","itemData":{"DOI":"10.1016/j.firesaf.2020.103051","ISSN":"03797112","abstract":"Computational Fluid Dynamics (CFD) models are powerful research tools for studying fire dynamics. However, their application to wildland fire scenarios requires evaluation against relevant experimental data. To progress our current understanding of the fidelity of a CFD approach to simulating wildland fire dynamics, a dataset from an experimental fire was used as a test case. First, implications of the level of detail provided to the model, in the form of fuel structure and wind, are evaluated. Second, the predictions of both fire behavior (e.g. spread rate) and the driving combustion processes (e.g. heat flux) are compared to the experiment. It was found that both increasing the detail in canopy fuel structure and implementing turbulent boundary conditions had a minor impact. It was further found that the model reproduced fire behavior in the mid-range of experimental observations and that the representation of local combustion processes was qualitatively consistent. This work demonstrates the promising capabilities of the modeling approach used here, while showing that some of its aspects require further investigation and possibly more development.","author":[{"dropping-particle":"V.","family":"Mueller","given":"Eric","non-dropping-particle":"","parse-names":false,"suffix":""},{"dropping-particle":"","family":"Skowronski","given":"Nicholas S.","non-dropping-particle":"","parse-names":false,"suffix":""},{"dropping-particle":"","family":"Clark","given":"Kenneth L.","non-dropping-particle":"","parse-names":false,"suffix":""},{"dropping-particle":"","family":"Gallagher","given":"Michael R.","non-dropping-particle":"","parse-names":false,"suffix":""},{"dropping-particle":"","family":"Mell","given":"William E.","non-dropping-particle":"","parse-names":false,"suffix":""},{"dropping-particle":"","family":"Simeoni","given":"Albert","non-dropping-particle":"","parse-names":false,"suffix":""},{"dropping-particle":"","family":"Hadden","given":"Rory M.","non-dropping-particle":"","parse-names":false,"suffix":""}],"container-title":"Fire Safety Journal","id":"ITEM-4","issued":{"date-parts":[["2021"]]},"page":"103051","publisher":"Elsevier Ltd","title":"Detailed physical modeling of wildland fire dynamics at field scale - An experimentally informed evaluation","type":"article-journal","volume":"120"},"uris":["http://www.mendeley.com/documents/?uuid=8ecb5e64-5a4e-4313-b60f-b8ce57ce8ecd"]}],"mendeley":{"formattedCitation":"(Atchley et al., 2021; Linn et al., 2005; Mueller et al., 2021; Ziegler et al., 2017)","plainTextFormattedCitation":"(Atchley et al., 2021; Linn et al., 2005; Mueller et al., 2021; Ziegler et al., 2017)","previouslyFormattedCitation":"(Atchley et al., 2021; Linn et al., 2005; Mueller et al., 2021; Ziegler et al., 2017)"},"properties":{"noteIndex":0},"schema":"https://github.com/citation-style-language/schema/raw/master/csl-citation.json"}</w:instrText>
      </w:r>
      <w:r w:rsidR="00B257B9">
        <w:fldChar w:fldCharType="separate"/>
      </w:r>
      <w:r w:rsidR="00B257B9" w:rsidRPr="00B257B9">
        <w:rPr>
          <w:noProof/>
        </w:rPr>
        <w:t>(Atchley et al., 2021; Linn et al., 2005; Mueller et al., 2021; Ziegler et al., 2017)</w:t>
      </w:r>
      <w:r w:rsidR="00B257B9">
        <w:fldChar w:fldCharType="end"/>
      </w:r>
      <w:r w:rsidR="001479E7">
        <w:t xml:space="preserve">. </w:t>
      </w:r>
      <w:r w:rsidR="002F765A">
        <w:t xml:space="preserve">CFD </w:t>
      </w:r>
      <w:proofErr w:type="spellStart"/>
      <w:r w:rsidR="002F765A">
        <w:t>modellers</w:t>
      </w:r>
      <w:proofErr w:type="spellEnd"/>
      <w:r w:rsidR="002F765A">
        <w:t xml:space="preserve"> have been primarily focused on canopy fuels, </w:t>
      </w:r>
      <w:r w:rsidR="00325A36">
        <w:t xml:space="preserve">either using homogeneous surface fuels data or </w:t>
      </w:r>
      <w:proofErr w:type="gramStart"/>
      <w:r w:rsidR="00325A36">
        <w:t>assuming that</w:t>
      </w:r>
      <w:proofErr w:type="gramEnd"/>
      <w:r w:rsidR="00325A36">
        <w:t xml:space="preserve"> surface fuels mirror the local canopy</w:t>
      </w:r>
      <w:r w:rsidR="00B257B9">
        <w:t xml:space="preserve">, </w:t>
      </w:r>
      <w:r w:rsidR="002F765A">
        <w:t>though in reality various fuel components vary at different scales and the canopy is often a poor predictor of surface fuels.</w:t>
      </w:r>
    </w:p>
    <w:p w14:paraId="4C619DEC" w14:textId="649020B0" w:rsidR="00325A36" w:rsidRDefault="00325A36" w:rsidP="000A0F03">
      <w:pPr>
        <w:ind w:firstLine="720"/>
      </w:pPr>
      <w:r>
        <w:t xml:space="preserve">In this paper, </w:t>
      </w:r>
      <w:r w:rsidR="005D1FA6">
        <w:t>I</w:t>
      </w:r>
      <w:r>
        <w:t xml:space="preserve"> propose a novel approach for sampling and quantifying wildland fuels. This approach is designed to feed spatially explicit fuel loading data to coupled fire-atmosphere fire models and/or next-generation empirical models which are in development and will be able to incorporate information on fine-scale heterogeneity into predictions of wildfire behavior (Finney pers. comm.). </w:t>
      </w:r>
      <w:r w:rsidR="005D1FA6">
        <w:t xml:space="preserve">Specifically, I propose the use of </w:t>
      </w:r>
      <w:r w:rsidR="000A0F03">
        <w:t>generalized linear mixed effects</w:t>
      </w:r>
      <w:r w:rsidR="005D1FA6">
        <w:t xml:space="preserve"> models to describe fine-scale spatial patterns in the loading of a comprehensive suite of fuel components. </w:t>
      </w:r>
      <w:r w:rsidR="00CE0757">
        <w:t>Like variogram analysis, t</w:t>
      </w:r>
      <w:r w:rsidR="000A0F03">
        <w:t xml:space="preserve">hese models are capable </w:t>
      </w:r>
      <w:r w:rsidR="00CE0757">
        <w:t xml:space="preserve">of </w:t>
      </w:r>
      <w:r w:rsidR="000A0F03">
        <w:t>quantifying spatial patterns in fuel loading (facilitating study on the causes and effects of such patterns)</w:t>
      </w:r>
      <w:r w:rsidR="00CE0757">
        <w:t xml:space="preserve">. However, once model parameters have been determined, these models can be used </w:t>
      </w:r>
      <w:r w:rsidR="000A0F03">
        <w:t xml:space="preserve">to simulate new data with realistic spatial properties. In this way, sparse observations can be extrapolated to continuous </w:t>
      </w:r>
      <w:proofErr w:type="spellStart"/>
      <w:r w:rsidR="000A0F03">
        <w:t>fuelbeds</w:t>
      </w:r>
      <w:proofErr w:type="spellEnd"/>
      <w:r w:rsidR="000A0F03">
        <w:t xml:space="preserve">, and a limited number of observed locations can be mapped to an infinite array of realizations </w:t>
      </w:r>
      <w:r w:rsidR="00CE0757">
        <w:t xml:space="preserve">with realistic spatial properties </w:t>
      </w:r>
      <w:r w:rsidR="000A0F03">
        <w:t xml:space="preserve">which could then be studied using a coupled fire-atmosphere fire model. </w:t>
      </w:r>
      <w:r w:rsidR="005D1FA6">
        <w:t>I demonstrate the use of this sampling protocol and statistical approach in the context of a Sierra Nevadan mixed conifer forest which experienced extensive mortality during California’s 2012-201</w:t>
      </w:r>
      <w:r w:rsidR="00451983">
        <w:t>5</w:t>
      </w:r>
      <w:r w:rsidR="005D1FA6">
        <w:t xml:space="preserve"> drought</w:t>
      </w:r>
      <w:r w:rsidR="00B257B9">
        <w:t xml:space="preserve"> </w:t>
      </w:r>
      <w:r w:rsidR="000A0F03">
        <w:fldChar w:fldCharType="begin" w:fldLock="1"/>
      </w:r>
      <w:r w:rsidR="00E405DB">
        <w:instrText>ADDIN CSL_CITATION {"citationItems":[{"id":"ITEM-1","itemData":{"DOI":"10.1093/biosci/bix146","ISBN":"0006-3568","ISSN":"0006-3568","abstract":"Massive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B.","non-dropping-particle":"","parse-names":false,"suffix":""}],"container-title":"BioScience","id":"ITEM-1","issue":"X","issued":{"date-parts":[["2018"]]},"page":"1-12","title":"Drought, Tree Mortality, and Wildfire in Forests Adapted to Frequent Fire","type":"article-journal","volume":"XX"},"uris":["http://www.mendeley.com/documents/?uuid=83a571e8-0d79-4b5a-8bd3-aaef26a39cd2"]},{"id":"ITEM-2","itemData":{"DOI":"10.1111/1365-2745.13176","ISSN":"13652745","abstract":"During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Ecology","id":"ITEM-2","issue":"5","issued":{"date-parts":[["2019"]]},"note":"followup: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selection","type":"article-journal","volume":"107"},"uris":["http://www.mendeley.com/documents/?uuid=d8a6e281-c347-4611-b383-37213f77f42c"]},{"id":"ITEM-3","itemData":{"DOI":"10.1016/j.foreco.2018.09.006","ISSN":"03781127","abstract":"Much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Management","id":"ITEM-3","issue":"August 2018","issued":{"date-parts":[["2019"]]},"page":"164-178","title":"Tree mortality following drought in the central and southern Sierra Nevada, California, U.S.","type":"article-journal","volume":"432"},"uris":["http://www.mendeley.com/documents/?uuid=45dbf149-6ef3-4399-b560-f190b2178c40"]}],"mendeley":{"formattedCitation":"(Fettig et al., 2019; Stephens et al., 2018a; Stephenson et al., 2019)","plainTextFormattedCitation":"(Fettig et al., 2019; Stephens et al., 2018a; Stephenson et al., 2019)","previouslyFormattedCitation":"(Fettig et al., 2019; Stephens et al., 2018a; Stephenson et al., 2019)"},"properties":{"noteIndex":0},"schema":"https://github.com/citation-style-language/schema/raw/master/csl-citation.json"}</w:instrText>
      </w:r>
      <w:r w:rsidR="000A0F03">
        <w:fldChar w:fldCharType="separate"/>
      </w:r>
      <w:r w:rsidR="00451983" w:rsidRPr="00451983">
        <w:rPr>
          <w:noProof/>
        </w:rPr>
        <w:t>(Fettig et al., 2019; Stephens et al., 2018a; Stephenson et al., 2019)</w:t>
      </w:r>
      <w:r w:rsidR="000A0F03">
        <w:fldChar w:fldCharType="end"/>
      </w:r>
      <w:r w:rsidR="005D1FA6">
        <w:t>. To that end, this paper focuses on two questions:</w:t>
      </w:r>
    </w:p>
    <w:p w14:paraId="60DC56B4" w14:textId="0AAF9A12" w:rsidR="005D1FA6" w:rsidRDefault="005D1FA6" w:rsidP="005D1FA6">
      <w:pPr>
        <w:pStyle w:val="ListParagraph"/>
        <w:numPr>
          <w:ilvl w:val="0"/>
          <w:numId w:val="13"/>
        </w:numPr>
      </w:pPr>
      <w:r>
        <w:t xml:space="preserve">Can generative statistical models simulate realistic </w:t>
      </w:r>
      <w:proofErr w:type="spellStart"/>
      <w:r>
        <w:t>fuelbeds</w:t>
      </w:r>
      <w:proofErr w:type="spellEnd"/>
      <w:r>
        <w:t xml:space="preserve"> with continuous fine-grain information on fuel loading for a suite of wildland fuel components?</w:t>
      </w:r>
    </w:p>
    <w:p w14:paraId="5020A750" w14:textId="77777777" w:rsidR="005D1FA6" w:rsidRDefault="005D1FA6" w:rsidP="005D1FA6">
      <w:pPr>
        <w:pStyle w:val="ListParagraph"/>
        <w:numPr>
          <w:ilvl w:val="0"/>
          <w:numId w:val="13"/>
        </w:numPr>
      </w:pPr>
      <w:r>
        <w:t>Do the various parameters of these statistical models vary across different levels of drought mortality severity?</w:t>
      </w:r>
    </w:p>
    <w:p w14:paraId="3811C01F" w14:textId="54A170C0" w:rsidR="00DE2B66" w:rsidRDefault="00DE2B66" w:rsidP="00DE2B66">
      <w:pPr>
        <w:pStyle w:val="Heading1"/>
      </w:pPr>
      <w:r>
        <w:t>Methods</w:t>
      </w:r>
    </w:p>
    <w:p w14:paraId="5208D73A" w14:textId="1FE93026" w:rsidR="00DE2B66" w:rsidRDefault="00DE2B66" w:rsidP="00DE2B66">
      <w:pPr>
        <w:pStyle w:val="Heading2"/>
      </w:pPr>
      <w:r>
        <w:t>Site Description</w:t>
      </w:r>
    </w:p>
    <w:p w14:paraId="6B27CC4A" w14:textId="3314F1A5" w:rsidR="00B720FE" w:rsidRPr="00E405DB" w:rsidRDefault="00B720FE" w:rsidP="00E405DB">
      <w:pPr>
        <w:ind w:firstLine="720"/>
        <w:rPr>
          <w:rFonts w:cstheme="minorHAnsi"/>
        </w:rPr>
      </w:pPr>
      <w:r w:rsidRPr="00E405DB">
        <w:rPr>
          <w:rFonts w:cstheme="minorHAnsi"/>
        </w:rPr>
        <w:t>The area of interest</w:t>
      </w:r>
      <w:r w:rsidR="005A7A60" w:rsidRPr="00E405DB">
        <w:rPr>
          <w:rFonts w:cstheme="minorHAnsi"/>
        </w:rPr>
        <w:t xml:space="preserve"> (AOI)</w:t>
      </w:r>
      <w:r w:rsidRPr="00E405DB">
        <w:rPr>
          <w:rFonts w:cstheme="minorHAnsi"/>
        </w:rPr>
        <w:t xml:space="preserve"> for this study is </w:t>
      </w:r>
      <w:r w:rsidR="00451983" w:rsidRPr="00E405DB">
        <w:rPr>
          <w:rFonts w:cstheme="minorHAnsi"/>
        </w:rPr>
        <w:t xml:space="preserve">an area of previously-studied Sierra Nevada mixed conifer forest </w:t>
      </w:r>
      <w:r w:rsidRPr="00E405DB">
        <w:rPr>
          <w:rFonts w:cstheme="minorHAnsi"/>
        </w:rPr>
        <w:t xml:space="preserve">located in the Kaweah River watershed in Sequoia National Park </w:t>
      </w:r>
      <w:r>
        <w:t>(approximately 36.76</w:t>
      </w:r>
      <w:r w:rsidRPr="00E405DB">
        <w:rPr>
          <w:rFonts w:cstheme="minorHAnsi"/>
        </w:rPr>
        <w:t>° N by 118.80° W) between 1,500 m and 1,850 m elevation</w:t>
      </w:r>
      <w:r w:rsidR="00451983" w:rsidRPr="00E405DB">
        <w:rPr>
          <w:rFonts w:cstheme="minorHAnsi"/>
        </w:rPr>
        <w:t xml:space="preserve"> </w:t>
      </w:r>
      <w:r w:rsidR="00451983" w:rsidRPr="00E405DB">
        <w:rPr>
          <w:rFonts w:cstheme="minorHAnsi"/>
        </w:rPr>
        <w:fldChar w:fldCharType="begin" w:fldLock="1"/>
      </w:r>
      <w:r w:rsidR="00451983" w:rsidRPr="00E405DB">
        <w:rPr>
          <w:rFonts w:cstheme="minorHAnsi"/>
        </w:rPr>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et al., 2019)","plainTextFormattedCitation":"(Stephenson et al., 2019)","previouslyFormattedCitation":"(Stephenson et al., 2019)"},"properties":{"noteIndex":0},"schema":"https://github.com/citation-style-language/schema/raw/master/csl-citation.json"}</w:instrText>
      </w:r>
      <w:r w:rsidR="00451983" w:rsidRPr="00E405DB">
        <w:rPr>
          <w:rFonts w:cstheme="minorHAnsi"/>
        </w:rPr>
        <w:fldChar w:fldCharType="separate"/>
      </w:r>
      <w:r w:rsidR="00451983" w:rsidRPr="00E405DB">
        <w:rPr>
          <w:rFonts w:cstheme="minorHAnsi"/>
          <w:noProof/>
        </w:rPr>
        <w:t>(Stephenson et al., 2019)</w:t>
      </w:r>
      <w:r w:rsidR="00451983" w:rsidRPr="00E405DB">
        <w:rPr>
          <w:rFonts w:cstheme="minorHAnsi"/>
        </w:rPr>
        <w:fldChar w:fldCharType="end"/>
      </w:r>
      <w:r w:rsidRPr="00E405DB">
        <w:rPr>
          <w:rFonts w:cstheme="minorHAnsi"/>
        </w:rPr>
        <w:t>.</w:t>
      </w:r>
      <w:r w:rsidR="00AC13E1" w:rsidRPr="00E405DB">
        <w:rPr>
          <w:rFonts w:cstheme="minorHAnsi"/>
        </w:rPr>
        <w:t xml:space="preserve"> </w:t>
      </w:r>
      <w:r w:rsidRPr="00E405DB">
        <w:rPr>
          <w:rFonts w:cstheme="minorHAnsi"/>
        </w:rPr>
        <w:t>The climate is Mediterranean, with mean annual temperature approximately 10°</w:t>
      </w:r>
      <w:r w:rsidR="007C111F">
        <w:rPr>
          <w:rFonts w:cstheme="minorHAnsi"/>
        </w:rPr>
        <w:t xml:space="preserve"> </w:t>
      </w:r>
      <w:r w:rsidRPr="00E405DB">
        <w:rPr>
          <w:rFonts w:cstheme="minorHAnsi"/>
        </w:rPr>
        <w:t xml:space="preserve">C and annual precipitation of 110-140 cm falling approximately half as snow </w:t>
      </w:r>
      <w:r w:rsidRPr="00E405DB">
        <w:rPr>
          <w:rFonts w:cstheme="minorHAnsi"/>
        </w:rPr>
        <w:fldChar w:fldCharType="begin" w:fldLock="1"/>
      </w:r>
      <w:r w:rsidR="00410D8B" w:rsidRPr="00E405DB">
        <w:rPr>
          <w:rFonts w:cstheme="minorHAnsi"/>
        </w:rPr>
        <w:instrText>ADDIN CSL_CITATION {"citationItems":[{"id":"ITEM-1","itemData":{"DOI":"10.1111/1365-2745.13176","ISSN":"13652745","abstract":"During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Ecology","id":"ITEM-1","issue":"5","issued":{"date-parts":[["2019"]]},"note":"followup: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selection","type":"article-journal","volume":"107"},"uris":["http://www.mendeley.com/documents/?uuid=d8a6e281-c347-4611-b383-37213f77f42c"]}],"mendeley":{"formattedCitation":"(Stephenson et al., 2019)","plainTextFormattedCitation":"(Stephenson et al., 2019)","previouslyFormattedCitation":"(Stephenson et al., 2019)"},"properties":{"noteIndex":0},"schema":"https://github.com/citation-style-language/schema/raw/master/csl-citation.json"}</w:instrText>
      </w:r>
      <w:r w:rsidRPr="00E405DB">
        <w:rPr>
          <w:rFonts w:cstheme="minorHAnsi"/>
        </w:rPr>
        <w:fldChar w:fldCharType="separate"/>
      </w:r>
      <w:r w:rsidRPr="00E405DB">
        <w:rPr>
          <w:rFonts w:cstheme="minorHAnsi"/>
          <w:noProof/>
        </w:rPr>
        <w:t>(Stephenson et al., 2019)</w:t>
      </w:r>
      <w:r w:rsidRPr="00E405DB">
        <w:rPr>
          <w:rFonts w:cstheme="minorHAnsi"/>
        </w:rPr>
        <w:fldChar w:fldCharType="end"/>
      </w:r>
      <w:r w:rsidRPr="00E405DB">
        <w:rPr>
          <w:rFonts w:cstheme="minorHAnsi"/>
        </w:rPr>
        <w:t xml:space="preserve">. </w:t>
      </w:r>
      <w:r w:rsidR="005A7A60" w:rsidRPr="00E405DB">
        <w:rPr>
          <w:rFonts w:cstheme="minorHAnsi"/>
        </w:rPr>
        <w:t xml:space="preserve">The primary CALVEG </w:t>
      </w:r>
      <w:r w:rsidR="00410D8B" w:rsidRPr="00E405DB">
        <w:rPr>
          <w:rFonts w:cstheme="minorHAnsi"/>
        </w:rPr>
        <w:fldChar w:fldCharType="begin" w:fldLock="1"/>
      </w:r>
      <w:r w:rsidR="00410D8B" w:rsidRPr="00E405DB">
        <w:rPr>
          <w:rFonts w:cstheme="minorHAnsi"/>
        </w:rPr>
        <w:instrText>ADDIN CSL_CITATION {"citationItems":[{"id":"ITEM-1","itemData":{"URL":"https://www.fs.usda.gov/detail/r5/landmanagement/resourcemanagement/?cid=stelprdb5347192","accessed":{"date-parts":[["2022","2","11"]]},"container-title":"USDA Forest Service Region 5","id":"ITEM-1","issued":{"date-parts":[["2022"]]},"title":"Vegetation Classification and Mapping","type":"webpage"},"uris":["http://www.mendeley.com/documents/?uuid=f3909415-8700-471d-94f6-65898c98fb62"]}],"mendeley":{"formattedCitation":"(&lt;i&gt;Vegetation Classification and Mapping&lt;/i&gt;, 2022)","plainTextFormattedCitation":"(Vegetation Classification and Mapping, 2022)","previouslyFormattedCitation":"(&lt;i&gt;Vegetation Classification and Mapping&lt;/i&gt;, 2022)"},"properties":{"noteIndex":0},"schema":"https://github.com/citation-style-language/schema/raw/master/csl-citation.json"}</w:instrText>
      </w:r>
      <w:r w:rsidR="00410D8B" w:rsidRPr="00E405DB">
        <w:rPr>
          <w:rFonts w:cstheme="minorHAnsi"/>
        </w:rPr>
        <w:fldChar w:fldCharType="separate"/>
      </w:r>
      <w:r w:rsidR="00410D8B" w:rsidRPr="00E405DB">
        <w:rPr>
          <w:rFonts w:cstheme="minorHAnsi"/>
          <w:noProof/>
        </w:rPr>
        <w:t>(</w:t>
      </w:r>
      <w:r w:rsidR="00410D8B" w:rsidRPr="00E405DB">
        <w:rPr>
          <w:rFonts w:cstheme="minorHAnsi"/>
          <w:i/>
          <w:noProof/>
        </w:rPr>
        <w:t>Vegetation Classification and Mapping</w:t>
      </w:r>
      <w:r w:rsidR="00410D8B" w:rsidRPr="00E405DB">
        <w:rPr>
          <w:rFonts w:cstheme="minorHAnsi"/>
          <w:noProof/>
        </w:rPr>
        <w:t>, 2022)</w:t>
      </w:r>
      <w:r w:rsidR="00410D8B" w:rsidRPr="00E405DB">
        <w:rPr>
          <w:rFonts w:cstheme="minorHAnsi"/>
        </w:rPr>
        <w:fldChar w:fldCharType="end"/>
      </w:r>
      <w:r w:rsidR="00410D8B" w:rsidRPr="00E405DB">
        <w:rPr>
          <w:rFonts w:cstheme="minorHAnsi"/>
        </w:rPr>
        <w:t xml:space="preserve"> </w:t>
      </w:r>
      <w:r w:rsidR="005A7A60" w:rsidRPr="00E405DB">
        <w:rPr>
          <w:rFonts w:cstheme="minorHAnsi"/>
        </w:rPr>
        <w:t xml:space="preserve">vegetation types in the area of interest are “Mixed Conifer – Pine” </w:t>
      </w:r>
      <w:r w:rsidR="005A7A60" w:rsidRPr="00E405DB">
        <w:rPr>
          <w:rFonts w:cstheme="minorHAnsi"/>
        </w:rPr>
        <w:lastRenderedPageBreak/>
        <w:t>(1,160 ha, 68% of the AOI)</w:t>
      </w:r>
      <w:r w:rsidR="00AC13E1" w:rsidRPr="00E405DB">
        <w:rPr>
          <w:rFonts w:cstheme="minorHAnsi"/>
        </w:rPr>
        <w:t xml:space="preserve">, “Black Oak” (224 ha, 13%), and “Canyon Oak” (130 ha, 8%). For this study, we restricted sampling to the “Mixed Conifer – Pine” </w:t>
      </w:r>
      <w:r w:rsidR="00410D8B" w:rsidRPr="00E405DB">
        <w:rPr>
          <w:rFonts w:cstheme="minorHAnsi"/>
        </w:rPr>
        <w:t>alliance</w:t>
      </w:r>
      <w:r w:rsidR="00AC13E1" w:rsidRPr="00E405DB">
        <w:rPr>
          <w:rFonts w:cstheme="minorHAnsi"/>
        </w:rPr>
        <w:t xml:space="preserve">, </w:t>
      </w:r>
      <w:r w:rsidR="00410D8B" w:rsidRPr="00E405DB">
        <w:rPr>
          <w:rFonts w:cstheme="minorHAnsi"/>
        </w:rPr>
        <w:t xml:space="preserve">the most widespread conifer alliance in the southern Sierra Nevada mountains. Important components of this alliance are Ponderosa pine (Pinus ponderosa) and sugar pine (Pinus </w:t>
      </w:r>
      <w:proofErr w:type="spellStart"/>
      <w:r w:rsidR="00410D8B" w:rsidRPr="00E405DB">
        <w:rPr>
          <w:rFonts w:cstheme="minorHAnsi"/>
        </w:rPr>
        <w:t>lambertiana</w:t>
      </w:r>
      <w:proofErr w:type="spellEnd"/>
      <w:r w:rsidR="00410D8B" w:rsidRPr="00E405DB">
        <w:rPr>
          <w:rFonts w:cstheme="minorHAnsi"/>
        </w:rPr>
        <w:t>), alongside white fir (Abies concolor), incense-cedar (</w:t>
      </w:r>
      <w:proofErr w:type="spellStart"/>
      <w:r w:rsidR="00410D8B" w:rsidRPr="00E405DB">
        <w:rPr>
          <w:rFonts w:cstheme="minorHAnsi"/>
        </w:rPr>
        <w:t>Calocedrus</w:t>
      </w:r>
      <w:proofErr w:type="spellEnd"/>
      <w:r w:rsidR="00410D8B" w:rsidRPr="00E405DB">
        <w:rPr>
          <w:rFonts w:cstheme="minorHAnsi"/>
        </w:rPr>
        <w:t xml:space="preserve"> </w:t>
      </w:r>
      <w:proofErr w:type="spellStart"/>
      <w:r w:rsidR="00410D8B" w:rsidRPr="00E405DB">
        <w:rPr>
          <w:rFonts w:cstheme="minorHAnsi"/>
        </w:rPr>
        <w:t>decurrens</w:t>
      </w:r>
      <w:proofErr w:type="spellEnd"/>
      <w:r w:rsidR="00410D8B" w:rsidRPr="00E405DB">
        <w:rPr>
          <w:rFonts w:cstheme="minorHAnsi"/>
        </w:rPr>
        <w:t xml:space="preserve">), </w:t>
      </w:r>
      <w:proofErr w:type="spellStart"/>
      <w:r w:rsidR="00410D8B" w:rsidRPr="00E405DB">
        <w:rPr>
          <w:rFonts w:cstheme="minorHAnsi"/>
        </w:rPr>
        <w:t>knobcone</w:t>
      </w:r>
      <w:proofErr w:type="spellEnd"/>
      <w:r w:rsidR="00410D8B" w:rsidRPr="00E405DB">
        <w:rPr>
          <w:rFonts w:cstheme="minorHAnsi"/>
        </w:rPr>
        <w:t xml:space="preserve"> pine (Pinus attenuate), and various hardwoods such as black oak (Quercus </w:t>
      </w:r>
      <w:proofErr w:type="spellStart"/>
      <w:r w:rsidR="00410D8B" w:rsidRPr="00E405DB">
        <w:rPr>
          <w:rFonts w:cstheme="minorHAnsi"/>
        </w:rPr>
        <w:t>kelloggii</w:t>
      </w:r>
      <w:proofErr w:type="spellEnd"/>
      <w:r w:rsidR="00410D8B" w:rsidRPr="00E405DB">
        <w:rPr>
          <w:rFonts w:cstheme="minorHAnsi"/>
        </w:rPr>
        <w:t>). Mountain misery (</w:t>
      </w:r>
      <w:proofErr w:type="spellStart"/>
      <w:r w:rsidR="00410D8B" w:rsidRPr="00E405DB">
        <w:rPr>
          <w:rFonts w:cstheme="minorHAnsi"/>
        </w:rPr>
        <w:t>Chamaebatia</w:t>
      </w:r>
      <w:proofErr w:type="spellEnd"/>
      <w:r w:rsidR="00410D8B" w:rsidRPr="00E405DB">
        <w:rPr>
          <w:rFonts w:cstheme="minorHAnsi"/>
        </w:rPr>
        <w:t xml:space="preserve"> </w:t>
      </w:r>
      <w:proofErr w:type="spellStart"/>
      <w:r w:rsidR="00410D8B" w:rsidRPr="00E405DB">
        <w:rPr>
          <w:rFonts w:cstheme="minorHAnsi"/>
        </w:rPr>
        <w:t>foliosa</w:t>
      </w:r>
      <w:proofErr w:type="spellEnd"/>
      <w:r w:rsidR="00410D8B" w:rsidRPr="00E405DB">
        <w:rPr>
          <w:rFonts w:cstheme="minorHAnsi"/>
        </w:rPr>
        <w:t>), whitethorn ceanothus (</w:t>
      </w:r>
      <w:proofErr w:type="spellStart"/>
      <w:r w:rsidR="00410D8B" w:rsidRPr="00E405DB">
        <w:rPr>
          <w:rFonts w:cstheme="minorHAnsi"/>
        </w:rPr>
        <w:t>Ceanaothus</w:t>
      </w:r>
      <w:proofErr w:type="spellEnd"/>
      <w:r w:rsidR="00410D8B" w:rsidRPr="00E405DB">
        <w:rPr>
          <w:rFonts w:cstheme="minorHAnsi"/>
        </w:rPr>
        <w:t xml:space="preserve"> </w:t>
      </w:r>
      <w:proofErr w:type="spellStart"/>
      <w:r w:rsidR="00410D8B" w:rsidRPr="00E405DB">
        <w:rPr>
          <w:rFonts w:cstheme="minorHAnsi"/>
        </w:rPr>
        <w:t>cordulatus</w:t>
      </w:r>
      <w:proofErr w:type="spellEnd"/>
      <w:r w:rsidR="00410D8B" w:rsidRPr="00E405DB">
        <w:rPr>
          <w:rFonts w:cstheme="minorHAnsi"/>
        </w:rPr>
        <w:t xml:space="preserve">), </w:t>
      </w:r>
      <w:proofErr w:type="spellStart"/>
      <w:r w:rsidR="00410D8B" w:rsidRPr="00E405DB">
        <w:rPr>
          <w:rFonts w:cstheme="minorHAnsi"/>
        </w:rPr>
        <w:t>whiteleaf</w:t>
      </w:r>
      <w:proofErr w:type="spellEnd"/>
      <w:r w:rsidR="00410D8B" w:rsidRPr="00E405DB">
        <w:rPr>
          <w:rFonts w:cstheme="minorHAnsi"/>
        </w:rPr>
        <w:t xml:space="preserve"> manzanita (Arctostaphylos </w:t>
      </w:r>
      <w:proofErr w:type="spellStart"/>
      <w:r w:rsidR="00410D8B" w:rsidRPr="00E405DB">
        <w:rPr>
          <w:rFonts w:cstheme="minorHAnsi"/>
        </w:rPr>
        <w:t>viscida</w:t>
      </w:r>
      <w:proofErr w:type="spellEnd"/>
      <w:r w:rsidR="00410D8B" w:rsidRPr="00E405DB">
        <w:rPr>
          <w:rFonts w:cstheme="minorHAnsi"/>
        </w:rPr>
        <w:t xml:space="preserve"> </w:t>
      </w:r>
      <w:proofErr w:type="spellStart"/>
      <w:r w:rsidR="00410D8B" w:rsidRPr="00E405DB">
        <w:rPr>
          <w:rFonts w:cstheme="minorHAnsi"/>
        </w:rPr>
        <w:t>ssp</w:t>
      </w:r>
      <w:proofErr w:type="spellEnd"/>
      <w:r w:rsidR="00410D8B" w:rsidRPr="00E405DB">
        <w:rPr>
          <w:rFonts w:cstheme="minorHAnsi"/>
        </w:rPr>
        <w:t xml:space="preserve"> mariposa), and </w:t>
      </w:r>
      <w:proofErr w:type="spellStart"/>
      <w:r w:rsidR="00410D8B" w:rsidRPr="00E405DB">
        <w:rPr>
          <w:rFonts w:cstheme="minorHAnsi"/>
        </w:rPr>
        <w:t>greenleaf</w:t>
      </w:r>
      <w:proofErr w:type="spellEnd"/>
      <w:r w:rsidR="00410D8B" w:rsidRPr="00E405DB">
        <w:rPr>
          <w:rFonts w:cstheme="minorHAnsi"/>
        </w:rPr>
        <w:t xml:space="preserve"> manzanita (Arctostaphylos </w:t>
      </w:r>
      <w:proofErr w:type="spellStart"/>
      <w:r w:rsidR="00410D8B" w:rsidRPr="00E405DB">
        <w:rPr>
          <w:rFonts w:cstheme="minorHAnsi"/>
        </w:rPr>
        <w:t>patula</w:t>
      </w:r>
      <w:proofErr w:type="spellEnd"/>
      <w:r w:rsidR="00410D8B" w:rsidRPr="00E405DB">
        <w:rPr>
          <w:rFonts w:cstheme="minorHAnsi"/>
        </w:rPr>
        <w:t xml:space="preserve">) are among the important understory shrub species </w:t>
      </w:r>
      <w:r w:rsidR="00451983" w:rsidRPr="00E405DB">
        <w:rPr>
          <w:rFonts w:cstheme="minorHAnsi"/>
        </w:rPr>
        <w:fldChar w:fldCharType="begin" w:fldLock="1"/>
      </w:r>
      <w:r w:rsidR="00451983" w:rsidRPr="00E405DB">
        <w:rPr>
          <w:rFonts w:cstheme="minorHAnsi"/>
        </w:rPr>
        <w:instrText>ADDIN CSL_CITATION {"citationItems":[{"id":"ITEM-1","itemData":{"author":[{"dropping-particle":"","family":"USDA Forest Service","given":"","non-dropping-particle":"","parse-names":false,"suffix":""}],"id":"ITEM-1","issued":{"date-parts":[["2009"]]},"page":"1-24","title":"Vegetation Descriptions: South Sierran Ecological Province","type":"article"},"uris":["http://www.mendeley.com/documents/?uuid=5df3ccb2-7d5f-4c13-bc44-362f74c78ae5"]}],"mendeley":{"formattedCitation":"(USDA Forest Service, 2009)","plainTextFormattedCitation":"(USDA Forest Service, 2009)","previouslyFormattedCitation":"(USDA Forest Service, 2009)"},"properties":{"noteIndex":0},"schema":"https://github.com/citation-style-language/schema/raw/master/csl-citation.json"}</w:instrText>
      </w:r>
      <w:r w:rsidR="00451983" w:rsidRPr="00E405DB">
        <w:rPr>
          <w:rFonts w:cstheme="minorHAnsi"/>
        </w:rPr>
        <w:fldChar w:fldCharType="separate"/>
      </w:r>
      <w:r w:rsidR="00451983" w:rsidRPr="00E405DB">
        <w:rPr>
          <w:rFonts w:cstheme="minorHAnsi"/>
          <w:noProof/>
        </w:rPr>
        <w:t>(USDA Forest Service, 2009)</w:t>
      </w:r>
      <w:r w:rsidR="00451983" w:rsidRPr="00E405DB">
        <w:rPr>
          <w:rFonts w:cstheme="minorHAnsi"/>
        </w:rPr>
        <w:fldChar w:fldCharType="end"/>
      </w:r>
      <w:r w:rsidR="00410D8B" w:rsidRPr="00E405DB">
        <w:rPr>
          <w:rFonts w:cstheme="minorHAnsi"/>
        </w:rPr>
        <w:t xml:space="preserve">. </w:t>
      </w:r>
      <w:r w:rsidR="00451983" w:rsidRPr="00E405DB">
        <w:rPr>
          <w:rFonts w:cstheme="minorHAnsi"/>
        </w:rPr>
        <w:t xml:space="preserve">Mixed conifer forests across the southern Sierra Nevada mountains experienced extensive tree mortality following a severe drought from 2012-2015 </w:t>
      </w:r>
      <w:r w:rsidR="00451983" w:rsidRPr="00E405DB">
        <w:rPr>
          <w:rFonts w:cstheme="minorHAnsi"/>
        </w:rPr>
        <w:fldChar w:fldCharType="begin" w:fldLock="1"/>
      </w:r>
      <w:r w:rsidR="00E405DB">
        <w:rPr>
          <w:rFonts w:cstheme="minorHAnsi"/>
        </w:rPr>
        <w:instrText>ADDIN CSL_CITATION {"citationItems":[{"id":"ITEM-1","itemData":{"DOI":"10.1016/j.foreco.2018.09.006","ISSN":"03781127","abstract":"Much of California, U.S. experienced a severe drought in 2012–2015 inciting a large tree mortality event in the central and southern Sierra Nevada. We assessed causal agents and rates of tree mortality, and short-term impacts to forest structure and composition based on a network of 11.3-m fixed-radius plots installed within three elevation bands on the Eldorado, Stanislaus, Sierra and Sequoia National Forests (914–1219, 1219–1524 and 1524–1829 m on the Eldorado, Stanislaus, Sierra; 1219–1524, 1524–1829, and 1829–2134 m on the Sequoia), where tree mortality was most severe. About 48.9% of trees died between 2014 and 2017. Tree mortality ranged from 46.1 ± 3.3% on the Eldorado National Forest to 58.7 ± 3.7% on the Sierra National Forest. Significantly higher levels of tree mortality occurred in the low elevation band (60.4 ± 3.0%) compared to the high elevation band (46.1 ± 2.9%). Ponderosa pine, Pinus ponderosa Dougl. ex Laws., exhibited the highest levels of tree mortality (89.6%), with 39.4% of plots losing all P. ponderosa. Mortality of P. ponderosa was highest at the lowest elevations, concentrated in larger-diameter trees, and attributed primarily to colonization by western pine beetle, Dendroctonus brevicomis LeConte. About 89% of P. ponderosa in the three largest diameter classes were killed, representing loss of an important structural component of these forests with implications to wildlife species of conservation concern. Sugar pine, P. lambertiana Dougl., exhibited the second highest levels of tree mortality (48.1%). Mortality of P. lambertiana was concentrated in the mid-diameter classes and attributed primarily to colonization by mountain pine beetle, D. ponderosae Hopkins. White fir, Abies concolor (Gord. &amp; Glend.) Lindl. ex Hildebr., and incense cedar, Calocedrus decurrens (Torr.) Florin, exhibited 26.3% and 23.2% mortality, respectively. Only one Quercus died. Tree mortality (numbers of trees killed) was positively correlated with tree density and slope. A time lag was observed between the occurrence of drought and the majority of tree mortality. Tree regeneration (seedlings and saplings) was dominated by C. decurrens and Quercus spp., representing a potential long-term shift in composition from forests that were dominated by P. ponderosa. About 22.2% of plots contained plant species considered invasive, including cheatgrass, Bromus tectorum L., ripgut brome, Bromus diandrus Roth, bull thistle, Cirsium vulgare (Savi) Ten., and yellow sta…","author":[{"dropping-particle":"","family":"Fettig","given":"Christopher J.","non-dropping-particle":"","parse-names":false,"suffix":""},{"dropping-particle":"","family":"Mortenson","given":"Leif A.","non-dropping-particle":"","parse-names":false,"suffix":""},{"dropping-particle":"","family":"Bulaon","given":"Beverly M.","non-dropping-particle":"","parse-names":false,"suffix":""},{"dropping-particle":"","family":"Foulk","given":"Patra B.","non-dropping-particle":"","parse-names":false,"suffix":""}],"container-title":"Forest Ecology and Management","id":"ITEM-1","issue":"August 2018","issued":{"date-parts":[["2019"]]},"page":"164-178","title":"Tree mortality following drought in the central and southern Sierra Nevada, California, U.S.","type":"article-journal","volume":"432"},"uris":["http://www.mendeley.com/documents/?uuid=45dbf149-6ef3-4399-b560-f190b2178c40"]},{"id":"ITEM-2","itemData":{"DOI":"10.1093/biosci/bix146","ISBN":"0006-3568","ISSN":"15253244","abstract":"Massive tree mortality has occurred rapidly in frequent-fire-adapted forests of the Sierra Nevada, California. This mortality is a product of acute drought compounded by the long-established removal of a key ecosystem process: frequent, low- to moderate-intensity fire. The recent tree mortality has many implications for the future of these forests and the ecological goods and services they provide to society. Future wildfire hazard following this mortality can be generally characterized by decreased crown fire potential and increased surface fire intensity in the short to intermediate term. The scale of present tree mortality is so large that greater potential for “mass fire” exists in the coming decades, driven by the amount and continuity of dry, combustible, large woody material that could produce large, severe fires. For long-term adaptation to climate change, we highlight the importance of moving beyond triage of dead and dying trees to making “green” (live) forests more resilient.","author":[{"dropping-particle":"","family":"Stephens","given":"Scott L.","non-dropping-particle":"","parse-names":false,"suffix":""},{"dropping-particle":"","family":"Collins","given":"Brandon M.","non-dropping-particle":"","parse-names":false,"suffix":""},{"dropping-particle":"","family":"Fettig","given":"Christopher J.","non-dropping-particle":"","parse-names":false,"suffix":""},{"dropping-particle":"","family":"Finney","given":"Mark A.","non-dropping-particle":"","parse-names":false,"suffix":""},{"dropping-particle":"","family":"Hoffman","given":"Chad M.","non-dropping-particle":"","parse-names":false,"suffix":""},{"dropping-particle":"","family":"Knapp","given":"Eric E.","non-dropping-particle":"","parse-names":false,"suffix":""},{"dropping-particle":"","family":"North","given":"Malcolm P.","non-dropping-particle":"","parse-names":false,"suffix":""},{"dropping-particle":"","family":"Safford","given":"Hugh","non-dropping-particle":"","parse-names":false,"suffix":""},{"dropping-particle":"","family":"Wayman","given":"Rebecca B.","non-dropping-particle":"","parse-names":false,"suffix":""}],"container-title":"BioScience","id":"ITEM-2","issue":"2","issued":{"date-parts":[["2018"]]},"page":"77-88","title":"Drought, Tree Mortality, and Wildfire in Forests Adapted to Frequent Fire","type":"article-journal","volume":"68"},"uris":["http://www.mendeley.com/documents/?uuid=4ff363e4-56c2-486b-b4a5-b6290f14df92"]},{"id":"ITEM-3","itemData":{"DOI":"10.1111/1365-2745.13176","ISSN":"13652745","abstract":"During drought, the tree subpopulations (such as size or vigour classes) that suffer disproportionate mortality can be conceptually arrayed along a continuum defined by the actions of biotic agents, particularly insects. At one extreme, stress dominates: insects are absent or simply kill the most physiologically stressed trees. At the opposite extreme, host selection dominates: outbreaking insects kill trees independently of their stress, instead selecting trees based on size or other traits. Intermediate responses are also possible. Yet for mixed-species forests, we lack a broad understanding of the relative importance of insects in determining exactly which subpopulations of trees suffer disproportionate mortality during drought, and whether these subpopulations differ among co-occurring tree species. During an extreme drought, we documented the roles of native bark beetles in the mortality of five tree species in California’s Sierra Nevada. We analysed the patterns and agents of tree mortality in 12 permanent plots and the patterns of mortality in 89 temporary plots. Most tree mortality was associated with bark beetles. However, the growth rates (an indicator of chronic stress) and sizes of trees that suffered greatest bark beetle-related mortality differed sharply among tree taxa, variously conforming with domination by stress (Abies concolor), domination by host selection (Pinus lambertiana and P. ponderosa) or a mix of the two (Calocedrus decurrens). Quercus kelloggii mortality remained relatively low. Thus, even during extreme drought substantial proportions of stressed trees survived because they were of sizes that mostly avoided fatal insect attack. Conversely, substantial proportions of comparatively unstressed trees died because they were of sizes that were selectively killed by outbreaking insects. Synthesis. Native bark beetles were primarily responsible for determining which subpopulations of trees suffered greatest mortality during drought. However, idiosyncratic host-tree selection by the different bark beetle taxa meant that the tree subpopulations suffering greatest mortality differed strikingly among tree taxa—for example, high mortality of small trees of one species, but of large trees of another. If idiosyncratic host-tree selection by biotic mortality agents proves to be a generally common phenomenon, it could help explain weak broadscale correlations between tree traits and tree mortality during drought.","author":[{"dropping-particle":"","family":"Stephenson","given":"Nathan L.","non-dropping-particle":"","parse-names":false,"suffix":""},{"dropping-particle":"","family":"Das","given":"Adrian J.","non-dropping-particle":"","parse-names":false,"suffix":""},{"dropping-particle":"","family":"Ampersee","given":"Nicholas J.","non-dropping-particle":"","parse-names":false,"suffix":""},{"dropping-particle":"","family":"Bulaon","given":"Beverly M.","non-dropping-particle":"","parse-names":false,"suffix":""},{"dropping-particle":"","family":"Yee","given":"Julie L.","non-dropping-particle":"","parse-names":false,"suffix":""}],"container-title":"Journal of Ecology","id":"ITEM-3","issue":"5","issued":{"date-parts":[["2019"]]},"note":"followup: which trees die after Rx fire? still insect-selected (big trees) or stress selected (small trees)? Does the size of the average insect-killed tree increase or decrease with time since fire? does this vary by species?","page":"2383-2401","title":"Which trees die during drought? The key role of insect host-tree selection","type":"article-journal","volume":"107"},"uris":["http://www.mendeley.com/documents/?uuid=d8a6e281-c347-4611-b383-37213f77f42c"]}],"mendeley":{"formattedCitation":"(Fettig et al., 2019; Stephens et al., 2018b; Stephenson et al., 2019)","plainTextFormattedCitation":"(Fettig et al., 2019; Stephens et al., 2018b; Stephenson et al., 2019)","previouslyFormattedCitation":"(Fettig et al., 2019; Stephens et al., 2018b; Stephenson et al., 2019)"},"properties":{"noteIndex":0},"schema":"https://github.com/citation-style-language/schema/raw/master/csl-citation.json"}</w:instrText>
      </w:r>
      <w:r w:rsidR="00451983" w:rsidRPr="00E405DB">
        <w:rPr>
          <w:rFonts w:cstheme="minorHAnsi"/>
        </w:rPr>
        <w:fldChar w:fldCharType="separate"/>
      </w:r>
      <w:r w:rsidR="00451983" w:rsidRPr="00E405DB">
        <w:rPr>
          <w:rFonts w:cstheme="minorHAnsi"/>
          <w:noProof/>
        </w:rPr>
        <w:t>(Fettig et al., 2019; Stephens et al., 2018b; Stephenson et al., 2019)</w:t>
      </w:r>
      <w:r w:rsidR="00451983" w:rsidRPr="00E405DB">
        <w:rPr>
          <w:rFonts w:cstheme="minorHAnsi"/>
        </w:rPr>
        <w:fldChar w:fldCharType="end"/>
      </w:r>
      <w:r w:rsidR="00451983" w:rsidRPr="00E405DB">
        <w:rPr>
          <w:rFonts w:cstheme="minorHAnsi"/>
        </w:rPr>
        <w:t>.</w:t>
      </w:r>
    </w:p>
    <w:p w14:paraId="4AEF1F71" w14:textId="1118E986" w:rsidR="00DE2B66" w:rsidRDefault="00DE2B66" w:rsidP="00DE2B66">
      <w:pPr>
        <w:pStyle w:val="Heading2"/>
      </w:pPr>
      <w:r>
        <w:t>Drought Mortality Classification</w:t>
      </w:r>
      <w:r w:rsidR="00E405DB">
        <w:t xml:space="preserve"> and Plot Network</w:t>
      </w:r>
    </w:p>
    <w:p w14:paraId="68DD6279" w14:textId="56F421F0" w:rsidR="00E405DB" w:rsidRDefault="00E405DB" w:rsidP="00E405DB">
      <w:r>
        <w:tab/>
        <w:t xml:space="preserve">Within this established area of interest, we installed a new network of 21 inventory plots to describe fine-scale patterns in fuel loading across three levels of drought mortality severity. We used the magnitude of mortality index data product from the Ecosystem Disturbance and Recovery Tracker system, which uses a time series of LANDSAT data to detect and quantify mortality events of overstory vegetation </w:t>
      </w:r>
      <w:r>
        <w:fldChar w:fldCharType="begin" w:fldLock="1"/>
      </w:r>
      <w:r>
        <w:instrText>ADDIN CSL_CITATION {"citationItems":[{"id":"ITEM-1","itemData":{"DOI":"10.1016/j.rse.2019.111482","ISSN":"00344257","abstract":"The worldwide demand for timely and accurate information about ecosystem dynamics at Landsat spatial scale is growing and as of today still exceeds the availability of information. The diversity of required disturbance metrics and trade-offs between sensitivity, reliability, timelines of information generation, and flexibility toward potential customizations suggests that a single system is not likely to fill such demand in the near future. To address this challenge, the scientific community has been developing and improving various Landsat-based algorithms for land change monitoring. We describe the Ecosystem Disturbance and Recovery Tracker (eDaRT) version 2.9 — a highly automated prototype system in continuous development, which has been operated since 2012 by the USDA Forest Service Pacific Southwest Region to generate most current disturbance maps at Landsat scale and provide customized information services and inputs to science and land management applications in the Region. The eDaRT processing system utilizes all three dimensions of dense Landsat image time series: spectral, temporal, and spatial. Two anomaly detection algorithms are sequentially applied, one estimating pixels’ disturbance status metrics in every processed image and the other detecting disturbance events, the primary output of eDaRT. The first algorithm initially estimates change relative to a user-defined fixed baseline time period, using a stratified version of the Dynamic Detection Model (DDM; Koltunov et al., 2009) applied to Landsat bands and vegetation indexes that reflect canopy greenness, abundance, and moisture content. Using the model residuals and a probabilistic context analysis, the detected anomalies are further classified as disturbed, cloud/snow, or recovered. The resulting residuals, classification maps, and the associated disturbance confidence values provide the most rapid preliminary snapshot of the current cumulative effect of disturbance and regeneration. The second algorithm detects discrete disturbance events as regime changes in the dense time series of the residuals for each pixel. First, the residuals are compared against a recent baseline window and classified to find candidates for disturbance events. Next, candidate-events are accepted based on temporal consistency of their detection. The standard outputs from this algorithm include disturbance event timing (down to 8–16 day precision) and a detection confidence as a proxy for event magnitude. We in…","author":[{"dropping-particle":"","family":"Koltunov","given":"Alexander","non-dropping-particle":"","parse-names":false,"suffix":""},{"dropping-particle":"","family":"Ramirez","given":"Carlos M.","non-dropping-particle":"","parse-names":false,"suffix":""},{"dropping-particle":"","family":"Ustin","given":"Susan L.","non-dropping-particle":"","parse-names":false,"suffix":""},{"dropping-particle":"","family":"Slaton","given":"Michèle","non-dropping-particle":"","parse-names":false,"suffix":""},{"dropping-particle":"","family":"Haunreiter","given":"Erik","non-dropping-particle":"","parse-names":false,"suffix":""}],"container-title":"Remote Sensing of Environment","id":"ITEM-1","issue":"September 2019","issued":{"date-parts":[["2020"]]},"page":"111482","publisher":"Elsevier","title":"eDaRT: The Ecosystem Disturbance and Recovery Tracker system for monitoring landscape disturbances and their cumulative effects","type":"article-journal","volume":"238"},"uris":["http://www.mendeley.com/documents/?uuid=b7451df4-cf54-45c2-8459-d46308b71d63"]}],"mendeley":{"formattedCitation":"(Koltunov et al., 2020)","plainTextFormattedCitation":"(Koltunov et al., 2020)"},"properties":{"noteIndex":0},"schema":"https://github.com/citation-style-language/schema/raw/master/csl-citation.json"}</w:instrText>
      </w:r>
      <w:r>
        <w:fldChar w:fldCharType="separate"/>
      </w:r>
      <w:r w:rsidRPr="00E405DB">
        <w:rPr>
          <w:noProof/>
        </w:rPr>
        <w:t>(Koltunov et al., 2020)</w:t>
      </w:r>
      <w:r>
        <w:fldChar w:fldCharType="end"/>
      </w:r>
      <w:r>
        <w:t xml:space="preserve">. The magnitude of mortality index (MMI) provides an estimate of cumulative overstory percent-cover mortality at a 30 m resolution for a specific </w:t>
      </w:r>
      <w:proofErr w:type="gramStart"/>
      <w:r>
        <w:t>5 year</w:t>
      </w:r>
      <w:proofErr w:type="gramEnd"/>
      <w:r>
        <w:t xml:space="preserve"> period, which was 2012-2016 in this study. We smoothed the MMI raster by taking the mean over a 90 m by 90 m window, clipped it to just the Mixed Conifer – Pine vegetation alliance</w:t>
      </w:r>
      <w:r w:rsidR="007C111F">
        <w:t>, and binned the continuous MMI values into low (&lt;25</w:t>
      </w:r>
      <w:r w:rsidR="007C111F" w:rsidRPr="007C111F">
        <w:rPr>
          <w:vertAlign w:val="superscript"/>
        </w:rPr>
        <w:t>th</w:t>
      </w:r>
      <w:r w:rsidR="007C111F">
        <w:t xml:space="preserve"> percentile; 0-7% cumulative mortality), medium (25-75</w:t>
      </w:r>
      <w:r w:rsidR="007C111F" w:rsidRPr="007C111F">
        <w:rPr>
          <w:vertAlign w:val="superscript"/>
        </w:rPr>
        <w:t>th</w:t>
      </w:r>
      <w:r w:rsidR="007C111F">
        <w:t xml:space="preserve"> percentile, 7-18% cumulative mortality), and high (&gt;75</w:t>
      </w:r>
      <w:r w:rsidR="007C111F" w:rsidRPr="007C111F">
        <w:rPr>
          <w:vertAlign w:val="superscript"/>
        </w:rPr>
        <w:t>th</w:t>
      </w:r>
      <w:r w:rsidR="007C111F">
        <w:t xml:space="preserve"> percentile, 18-100% cumulative mortality) categories (</w:t>
      </w:r>
      <w:r w:rsidR="007C111F">
        <w:fldChar w:fldCharType="begin"/>
      </w:r>
      <w:r w:rsidR="007C111F">
        <w:instrText xml:space="preserve"> REF _Ref118278662 \h </w:instrText>
      </w:r>
      <w:r w:rsidR="007C111F">
        <w:fldChar w:fldCharType="separate"/>
      </w:r>
      <w:r w:rsidR="007C111F">
        <w:t xml:space="preserve">Figure </w:t>
      </w:r>
      <w:r w:rsidR="007C111F">
        <w:rPr>
          <w:noProof/>
        </w:rPr>
        <w:t>1</w:t>
      </w:r>
      <w:r w:rsidR="007C111F">
        <w:fldChar w:fldCharType="end"/>
      </w:r>
      <w:r w:rsidR="007C111F">
        <w:t>). We aggregated contiguous pixels of the same category into polygons and took a 30 m inward buffer on each polygon to identify core zones of each mortality class. To ensure safe and efficient access to remote field sites, we restricted plot placement to these core mortality zones with slopes less than 25</w:t>
      </w:r>
      <w:r w:rsidR="007C111F">
        <w:rPr>
          <w:rFonts w:cstheme="minorHAnsi"/>
        </w:rPr>
        <w:t>°</w:t>
      </w:r>
      <w:r w:rsidR="007C111F">
        <w:t xml:space="preserve"> and 50-600 m from a road or trail. </w:t>
      </w:r>
      <w:r w:rsidR="00F44589">
        <w:t xml:space="preserve">We determined that this restricted accessible area was representative of the wider area of interest (Mixed Conifer – Pine vegetation alliance from 1,500-1,850 m elevation) based on a comparison of the topographic makeup (slope, elevation, </w:t>
      </w:r>
      <w:proofErr w:type="spellStart"/>
      <w:r w:rsidR="00F44589">
        <w:t>southwestness</w:t>
      </w:r>
      <w:proofErr w:type="spellEnd"/>
      <w:r w:rsidR="00F44589">
        <w:t>) of the full AOI and the accessible area, with the accessible area having slightly lower slopes on average but generally being representative of the full AOI (</w:t>
      </w:r>
      <w:r w:rsidR="00F44589">
        <w:fldChar w:fldCharType="begin"/>
      </w:r>
      <w:r w:rsidR="00F44589">
        <w:instrText xml:space="preserve"> REF _Ref118279121 \h </w:instrText>
      </w:r>
      <w:r w:rsidR="00F44589">
        <w:fldChar w:fldCharType="separate"/>
      </w:r>
      <w:r w:rsidR="00F44589">
        <w:t xml:space="preserve">Supplementary Figure </w:t>
      </w:r>
      <w:r w:rsidR="00F44589">
        <w:rPr>
          <w:noProof/>
        </w:rPr>
        <w:t>1</w:t>
      </w:r>
      <w:r w:rsidR="00F44589">
        <w:fldChar w:fldCharType="end"/>
      </w:r>
      <w:r w:rsidR="00F44589">
        <w:t>). Seven plots per mortality class, for a total of 21 inventory plots, were randomly placed within the core mortality zones in the accessible area.</w:t>
      </w:r>
    </w:p>
    <w:p w14:paraId="1716C775" w14:textId="69E7A0C2" w:rsidR="00035A63" w:rsidRDefault="00DE2B66" w:rsidP="00035A63">
      <w:pPr>
        <w:pStyle w:val="Heading2"/>
      </w:pPr>
      <w:r>
        <w:t>Data Collection</w:t>
      </w:r>
    </w:p>
    <w:p w14:paraId="40E5D7EF" w14:textId="62180BA3" w:rsidR="007162FA" w:rsidRDefault="007162FA" w:rsidP="007162FA">
      <w:r>
        <w:tab/>
        <w:t xml:space="preserve">On each inventory plot, data were collected describing seven fuel components: Duff, litter, fine woody debris, coarse woody debris, understory vegetation, trees, and saplings. The depth of duff and litter was recorded to the nearest 0.5 cm at subsamples located at 2.0, 2.1, 2.2, 2.3, 2.4, 2.5, 3.0, 3.5, 4.0, 4.5, 5.5, 7.0, 7.5, 9.5, 19.5, and 29.5 meters along each of four transects arranged at cardinal directions from plot center. Tallies of fine woody debris particles </w:t>
      </w:r>
      <w:r w:rsidR="006E735B">
        <w:t xml:space="preserve">woody particles from 0 to 7.62 cm diameter at intersection) intersecting 1 meter </w:t>
      </w:r>
      <w:proofErr w:type="spellStart"/>
      <w:r w:rsidR="006E735B">
        <w:t>subtransects</w:t>
      </w:r>
      <w:proofErr w:type="spellEnd"/>
      <w:r w:rsidR="006E735B">
        <w:t xml:space="preserve"> were recorded by </w:t>
      </w:r>
      <w:proofErr w:type="spellStart"/>
      <w:r w:rsidR="006E735B">
        <w:t>timelag</w:t>
      </w:r>
      <w:proofErr w:type="spellEnd"/>
      <w:r w:rsidR="006E735B">
        <w:t xml:space="preserve"> classification (1-hour: 0-0.62 cm; 10-hour: 0.62-2.54 cm; 100-hour: 2.54-7.62 cm). 16 1 meter </w:t>
      </w:r>
      <w:proofErr w:type="spellStart"/>
      <w:r w:rsidR="006E735B">
        <w:t>subtransects</w:t>
      </w:r>
      <w:proofErr w:type="spellEnd"/>
      <w:r w:rsidR="006E735B">
        <w:t xml:space="preserve"> were observed on each transect, eight of which lay along the transect from 2-3, 3-4, 4-5, 5-6, 7-8, 9-10, 19-20, and 29-30 meters from plot center, and eight of which lay orthogonal to the main transect at 2.5, 3.5, 4.5, 5.5, 7.5, 9.5, 19.5, and 29.5 meters along the main transect. Individual diameters of fine woody </w:t>
      </w:r>
      <w:r w:rsidR="006E735B">
        <w:lastRenderedPageBreak/>
        <w:t xml:space="preserve">debris particles crossing the main transect from 9-10 meters from plot center were measured with calipers and recorded. Coarse woody debris particles (woody particles &gt;= 7.62 cm diameter) crossing the main transect anywhere from 0 to 30 meters from plot center were inventoried with diameter at intersection, decay class, and location along the transect. </w:t>
      </w:r>
      <w:r w:rsidR="00337C2C">
        <w:t xml:space="preserve">Understory vegetation (including seedlings, shrubs, forbs, and graminoids) was observed along the transects from 0 to 15 meters from plot center using the line-intercept method to record the dominant understory species, the average height for a continuous along-transect segment where that species was dominant, and the along-transect beginning and end points of a segment of continuous cover by a single species. Tree species were included in the understory sampling if they were shorter than breast height (1.37m) for conifers, or if there was no clear central stem for an individual for hardwoods. Saplings with a clear central stem and a diameter at breast height (DBH) &lt; 11.3 cm were inventoried (species, live/dead status, height, DBH, height to live crown, and decay class) and mapped within a </w:t>
      </w:r>
      <w:r w:rsidR="009F29BA">
        <w:t xml:space="preserve">cross-shaped fixed area plot extending out to 15 m from plot center at cardinal directions and out 1 meter from the transects on either side, for a total fixed area plot of </w:t>
      </w:r>
      <w:r w:rsidR="00C556FB">
        <w:t>116</w:t>
      </w:r>
      <w:r w:rsidR="009F29BA">
        <w:t xml:space="preserve"> m</w:t>
      </w:r>
      <w:r w:rsidR="009F29BA">
        <w:rPr>
          <w:vertAlign w:val="superscript"/>
        </w:rPr>
        <w:t>2</w:t>
      </w:r>
      <w:r w:rsidR="009F29BA">
        <w:t>. Likewise, trees (stems &gt; 11.3 cm DBH) were inventoried and mapped with the same information on a fixed area plot extending 15 m out from plot center at cardinal directions and in belts extending 5m on either side of the main transects, for a total plot area of 500 m</w:t>
      </w:r>
      <w:r w:rsidR="009F29BA">
        <w:rPr>
          <w:vertAlign w:val="superscript"/>
        </w:rPr>
        <w:t>2</w:t>
      </w:r>
      <w:r w:rsidR="009F29BA">
        <w:t>.</w:t>
      </w:r>
    </w:p>
    <w:p w14:paraId="71164657" w14:textId="0C558AEF" w:rsidR="009F29BA" w:rsidRPr="00C556FB" w:rsidRDefault="009F29BA" w:rsidP="007162FA">
      <w:r>
        <w:tab/>
        <w:t xml:space="preserve">For analysis of the fine-scale spatial patterns within each plot, every observation was assigned easting / northing coordinates relative to plot center. For the litter and duff depths, these coordinates were simply the location of the subsamples, with 16 subsamples per transect and four transects per plot giving 64 unique locations within each plot. For the fine woody debris tallies, each 1 m </w:t>
      </w:r>
      <w:proofErr w:type="spellStart"/>
      <w:r>
        <w:t>subtransect</w:t>
      </w:r>
      <w:proofErr w:type="spellEnd"/>
      <w:r>
        <w:t xml:space="preserve"> was assigned the coordinates of the center of the </w:t>
      </w:r>
      <w:proofErr w:type="spellStart"/>
      <w:r>
        <w:t>subtransect</w:t>
      </w:r>
      <w:proofErr w:type="spellEnd"/>
      <w:r>
        <w:t xml:space="preserve">, with 16 subsamples per transect and four transect per plot giving 32 unique locations within each plot (because the along-transect and orthogonal-to-transect </w:t>
      </w:r>
      <w:proofErr w:type="spellStart"/>
      <w:r>
        <w:t>subtransects</w:t>
      </w:r>
      <w:proofErr w:type="spellEnd"/>
      <w:r>
        <w:t xml:space="preserve"> share the same center point). For the coarse woody debris, the continuous locations of particles were converted into a 1 m resolution quadrature grid along each transect, yielding </w:t>
      </w:r>
      <w:r w:rsidR="00C556FB">
        <w:t>30 subsamples per transect on four transects for a total of 120 unique locations on each plot. Likewise, the continuous locations of vegetation were converted into a 1 m resolution quadrature grid, yielding 30 subsamples (each recording the presence or absence of understory vegetation at a location) on four transects for a total of 120 unique locations on each plot. The stem maps of trees and saplings were converted in a 2D grid of 1 m</w:t>
      </w:r>
      <w:r w:rsidR="00C556FB">
        <w:rPr>
          <w:vertAlign w:val="superscript"/>
        </w:rPr>
        <w:t>2</w:t>
      </w:r>
      <w:r w:rsidR="00C556FB">
        <w:t xml:space="preserve"> quadrats, yielding 116 unique locations for saplings and 500 unique locations for trees and a count of stems on each quadrat.</w:t>
      </w:r>
    </w:p>
    <w:p w14:paraId="110DDD79" w14:textId="7A053085" w:rsidR="007C0A29" w:rsidRDefault="007C0A29" w:rsidP="007C0A29">
      <w:pPr>
        <w:pStyle w:val="Heading2"/>
      </w:pPr>
      <w:r>
        <w:t>Exploratory Analysis</w:t>
      </w:r>
    </w:p>
    <w:p w14:paraId="389ED130" w14:textId="77777777" w:rsidR="00EC1F0E" w:rsidRDefault="007C0A29" w:rsidP="007C0A29">
      <w:pPr>
        <w:ind w:firstLine="720"/>
      </w:pPr>
      <w:r>
        <w:t>In order to better understand the relationships between fuel components (</w:t>
      </w:r>
      <w:proofErr w:type="gramStart"/>
      <w:r>
        <w:t>e.g.</w:t>
      </w:r>
      <w:proofErr w:type="gramEnd"/>
      <w:r>
        <w:t xml:space="preserve"> between duff and litter, or between 1-hour fuels and understory vegetation) we created variograms and (for co-located observations) calculated the coefficient of correlation between different components. The variograms were visually inspected for signs of spatially structured autocorrelation (between observations of the same fuel component) and spatially structured cross-correlation (between observations of different fuel components). Variograms were constructed separately for each drought severity class. </w:t>
      </w:r>
    </w:p>
    <w:p w14:paraId="32CEF4EB" w14:textId="265EE31E" w:rsidR="002E607F" w:rsidRDefault="00EE1A86" w:rsidP="007C0A29">
      <w:pPr>
        <w:ind w:firstLine="720"/>
      </w:pPr>
      <w:r>
        <w:t xml:space="preserve">Most fuel components showed strong evidence of spatial autocorrelation, with </w:t>
      </w:r>
      <w:proofErr w:type="spellStart"/>
      <w:r>
        <w:t>semivariance</w:t>
      </w:r>
      <w:proofErr w:type="spellEnd"/>
      <w:r>
        <w:t xml:space="preserve"> values being lower at shorter distances and increasing with distance before reaching the sill and levelling off. The exception was litter, which had ambiguous variograms at the 1m scale. Only a few pairs of components showed any evidence of cross-correlation. There was</w:t>
      </w:r>
      <w:r w:rsidR="002E607F">
        <w:t xml:space="preserve"> some</w:t>
      </w:r>
      <w:r>
        <w:t xml:space="preserve"> evidence of cross-correlation </w:t>
      </w:r>
      <w:r>
        <w:lastRenderedPageBreak/>
        <w:t xml:space="preserve">between </w:t>
      </w:r>
      <w:r w:rsidR="00AD0989">
        <w:t>duff and litter</w:t>
      </w:r>
      <w:r>
        <w:t>, between 1-hour and 10-hour fine woody debris, between 1-hour and 100-hour fine woody debris</w:t>
      </w:r>
      <w:r w:rsidR="00EC1F0E">
        <w:t>, and between 1-hour fine woody debris and the height of understory vegetation (CITE).</w:t>
      </w:r>
    </w:p>
    <w:p w14:paraId="34234D10" w14:textId="43ADB9D1" w:rsidR="007C0A29" w:rsidRDefault="00EE1A86" w:rsidP="002E607F">
      <w:pPr>
        <w:ind w:firstLine="720"/>
      </w:pPr>
      <w:r>
        <w:t xml:space="preserve">Across the entire dataset, the correlation coefficient between </w:t>
      </w:r>
      <w:r w:rsidR="00AD0989">
        <w:t>duff and litter</w:t>
      </w:r>
      <w:r>
        <w:t xml:space="preserve"> (which were co-located, enabling calculation of direct correlation) was </w:t>
      </w:r>
      <w:proofErr w:type="gramStart"/>
      <w:r>
        <w:t>fairly weak</w:t>
      </w:r>
      <w:proofErr w:type="gramEnd"/>
      <w:r>
        <w:t xml:space="preserve"> at </w:t>
      </w:r>
      <w:r w:rsidR="002E607F">
        <w:t>0.19. The correlation between 1-hour and 10-hour fine woody debris tallies was stronger, at 0.50. Correlation between 1-hour and 100-hour fuels was weaker (0.10)</w:t>
      </w:r>
      <w:r w:rsidR="00F82762">
        <w:t>,</w:t>
      </w:r>
      <w:r w:rsidR="002E607F">
        <w:t xml:space="preserve"> as was correlation between 10-hour and 100-hour fuels (0.30). </w:t>
      </w:r>
    </w:p>
    <w:p w14:paraId="0B157A83" w14:textId="14C5422E" w:rsidR="00DE2B66" w:rsidRDefault="00AA1241" w:rsidP="00DE2B66">
      <w:pPr>
        <w:pStyle w:val="Heading2"/>
      </w:pPr>
      <w:r>
        <w:t>Statistical Models</w:t>
      </w:r>
    </w:p>
    <w:p w14:paraId="6E889029" w14:textId="0284474B" w:rsidR="008B5AC9" w:rsidRPr="008B5AC9" w:rsidRDefault="008B5AC9" w:rsidP="00153D6B">
      <w:pPr>
        <w:ind w:firstLine="720"/>
      </w:pPr>
      <w:r>
        <w:t xml:space="preserve">Given the weakness of cross-correlation between </w:t>
      </w:r>
      <w:r w:rsidR="00AD0989">
        <w:t>duff and litter</w:t>
      </w:r>
      <w:r>
        <w:t xml:space="preserve">, and the poor convergence exhibited by a model which modeled </w:t>
      </w:r>
      <w:r w:rsidR="00AD0989">
        <w:t>duff and litter</w:t>
      </w:r>
      <w:r>
        <w:t xml:space="preserve"> simultaneously and included cross-correlation between them, we opted to model </w:t>
      </w:r>
      <w:r w:rsidR="00AD0989">
        <w:t>duff and litter</w:t>
      </w:r>
      <w:r>
        <w:t xml:space="preserve"> separately. We model 1-hour, 10-hour, and 100-hour fuels with two models. The first models the total tally of fine woody debris (including 1-hour, 10-hour, and 100-hour fuels) and the second models the size distribution of the individual particles. Coarse woody debris is modeled in a similar two-part fashion, with one model describing the distribution of </w:t>
      </w:r>
      <w:r w:rsidR="00EC1F0E">
        <w:t>CWD tallies across the transects and another model describing the size of the individual CWD particles. Understory vegetation is modeled using a hurdle approach, with one model describing the distribution of vegetation presence or absence and another describing the</w:t>
      </w:r>
      <w:r w:rsidR="00E76C57">
        <w:t xml:space="preserve"> distribution of vegetation</w:t>
      </w:r>
      <w:r w:rsidR="00EC1F0E">
        <w:t xml:space="preserve"> height</w:t>
      </w:r>
      <w:r w:rsidR="00E76C57">
        <w:t>s</w:t>
      </w:r>
      <w:r w:rsidR="00EC1F0E">
        <w:t xml:space="preserve"> </w:t>
      </w:r>
      <w:r w:rsidR="00E76C57">
        <w:t>where vegetation is</w:t>
      </w:r>
      <w:r w:rsidR="00EC1F0E">
        <w:t xml:space="preserve"> present. </w:t>
      </w:r>
      <w:r w:rsidR="00EC3419">
        <w:t xml:space="preserve">We did not attempt to jointly model 1-hour fine woody debris and understory vegetation height, despite the apparent cross-correlation between these fuel components, because of the difficulty of jointly modelling data with different response distributions for the observed data. </w:t>
      </w:r>
    </w:p>
    <w:p w14:paraId="48FA723A" w14:textId="2FF43A0D" w:rsidR="00AA1241" w:rsidRDefault="00AD0989" w:rsidP="00AA1241">
      <w:pPr>
        <w:pStyle w:val="Heading3"/>
      </w:pPr>
      <w:r>
        <w:t>Duff and litter</w:t>
      </w:r>
      <w:r w:rsidR="00AA1241">
        <w:t xml:space="preserve"> depths</w:t>
      </w:r>
    </w:p>
    <w:p w14:paraId="60F270D8" w14:textId="2B4834EA" w:rsidR="00C91B59" w:rsidRDefault="00AD0989" w:rsidP="00C91B59">
      <w:pPr>
        <w:ind w:firstLine="720"/>
        <w:rPr>
          <w:rFonts w:eastAsiaTheme="minorEastAsia"/>
        </w:rPr>
      </w:pPr>
      <w:r>
        <w:t>Duff and litter</w:t>
      </w:r>
      <w:r w:rsidR="00974B18">
        <w:t xml:space="preserve"> are modeled separately, though the structure of each model is identical. </w:t>
      </w:r>
      <w:r w:rsidR="00081612">
        <w:t xml:space="preserve">Each plot is assigned to a group </w:t>
      </w:r>
      <m:oMath>
        <m:r>
          <w:rPr>
            <w:rFonts w:ascii="Cambria Math" w:hAnsi="Cambria Math"/>
          </w:rPr>
          <m:t>g∈(1,2,…,G)</m:t>
        </m:r>
      </m:oMath>
      <w:r w:rsidR="00081612">
        <w:rPr>
          <w:rFonts w:eastAsiaTheme="minorEastAsia"/>
        </w:rPr>
        <w:t xml:space="preserve"> </w:t>
      </w:r>
      <w:r w:rsidR="00AF6E8E">
        <w:rPr>
          <w:rFonts w:eastAsiaTheme="minorEastAsia"/>
        </w:rPr>
        <w:t xml:space="preserve">(all observations within a plot share the same group) </w:t>
      </w:r>
      <w:r w:rsidR="00081612">
        <w:rPr>
          <w:rFonts w:eastAsiaTheme="minorEastAsia"/>
        </w:rPr>
        <w:t xml:space="preserve">and all model parameters are specific to each group. </w:t>
      </w:r>
      <w:r w:rsidR="00C91B59">
        <w:rPr>
          <w:rFonts w:eastAsiaTheme="minorEastAsia"/>
        </w:rPr>
        <w:t xml:space="preserve">This approach allows researchers to flexibly define and compare statistical models for various ecological contexts (“fuel models” in the </w:t>
      </w:r>
      <w:proofErr w:type="spellStart"/>
      <w:r w:rsidR="00217D86">
        <w:rPr>
          <w:rFonts w:eastAsiaTheme="minorEastAsia"/>
        </w:rPr>
        <w:t>sensu</w:t>
      </w:r>
      <w:proofErr w:type="spellEnd"/>
      <w:r w:rsidR="00217D86">
        <w:rPr>
          <w:rFonts w:eastAsiaTheme="minorEastAsia"/>
        </w:rPr>
        <w:t xml:space="preserve"> CITE</w:t>
      </w:r>
      <w:r w:rsidR="00C91B59">
        <w:rPr>
          <w:rFonts w:eastAsiaTheme="minorEastAsia"/>
        </w:rPr>
        <w:t xml:space="preserve">). </w:t>
      </w:r>
      <w:r w:rsidR="00081612">
        <w:rPr>
          <w:rFonts w:eastAsiaTheme="minorEastAsia"/>
        </w:rPr>
        <w:t xml:space="preserve">In this study, there are three groups for the three levels of drought severity. </w:t>
      </w:r>
      <w:r w:rsidR="00313F1C">
        <w:rPr>
          <w:rFonts w:eastAsiaTheme="minorEastAsia"/>
        </w:rPr>
        <w:t>We emphasize that, in general,</w:t>
      </w:r>
      <w:r w:rsidR="00081612">
        <w:rPr>
          <w:rFonts w:eastAsiaTheme="minorEastAsia"/>
        </w:rPr>
        <w:t xml:space="preserve"> </w:t>
      </w:r>
      <w:r w:rsidR="00AF6E8E">
        <w:rPr>
          <w:rFonts w:eastAsiaTheme="minorEastAsia"/>
        </w:rPr>
        <w:t>the approach is agnostic as to how groups are defined</w:t>
      </w:r>
      <w:r w:rsidR="00C91B59">
        <w:rPr>
          <w:rFonts w:eastAsiaTheme="minorEastAsia"/>
        </w:rPr>
        <w:t xml:space="preserve">. For example, </w:t>
      </w:r>
      <w:r w:rsidR="00313F1C">
        <w:rPr>
          <w:rFonts w:eastAsiaTheme="minorEastAsia"/>
        </w:rPr>
        <w:t xml:space="preserve">a landscape could be </w:t>
      </w:r>
      <w:proofErr w:type="gramStart"/>
      <w:r w:rsidR="00313F1C">
        <w:rPr>
          <w:rFonts w:eastAsiaTheme="minorEastAsia"/>
        </w:rPr>
        <w:t>stratified</w:t>
      </w:r>
      <w:proofErr w:type="gramEnd"/>
      <w:r w:rsidR="00313F1C">
        <w:rPr>
          <w:rFonts w:eastAsiaTheme="minorEastAsia"/>
        </w:rPr>
        <w:t xml:space="preserve"> and </w:t>
      </w:r>
      <w:r w:rsidR="00C91B59">
        <w:rPr>
          <w:rFonts w:eastAsiaTheme="minorEastAsia"/>
        </w:rPr>
        <w:t xml:space="preserve">different groups could be assigned </w:t>
      </w:r>
      <w:r w:rsidR="00313F1C">
        <w:rPr>
          <w:rFonts w:eastAsiaTheme="minorEastAsia"/>
        </w:rPr>
        <w:t xml:space="preserve">to each plot </w:t>
      </w:r>
      <w:r w:rsidR="00C91B59">
        <w:rPr>
          <w:rFonts w:eastAsiaTheme="minorEastAsia"/>
        </w:rPr>
        <w:t>based on vegetation type, disturbance history, or edaphic setting</w:t>
      </w:r>
      <w:r w:rsidR="00313F1C">
        <w:rPr>
          <w:rFonts w:eastAsiaTheme="minorEastAsia"/>
        </w:rPr>
        <w:t>, to name a few possibilities</w:t>
      </w:r>
      <w:r w:rsidR="00C91B59">
        <w:rPr>
          <w:rFonts w:eastAsiaTheme="minorEastAsia"/>
        </w:rPr>
        <w:t xml:space="preserve">. </w:t>
      </w:r>
      <w:r w:rsidR="00313F1C">
        <w:rPr>
          <w:rFonts w:eastAsiaTheme="minorEastAsia"/>
        </w:rPr>
        <w:t xml:space="preserve">Because the parameters for each group are independent (and the model likewise assumes that the data from different groups are independent), simultaneous estimation of all groups is equivalent to fitting a separate model for each group. We </w:t>
      </w:r>
      <w:r w:rsidR="00AF6E8E">
        <w:rPr>
          <w:rFonts w:eastAsiaTheme="minorEastAsia"/>
        </w:rPr>
        <w:t>describe and perform</w:t>
      </w:r>
      <w:r w:rsidR="00313F1C">
        <w:rPr>
          <w:rFonts w:eastAsiaTheme="minorEastAsia"/>
        </w:rPr>
        <w:t xml:space="preserve"> simultaneous estimation of parameters for different groups to facilitate cross-group comparisons</w:t>
      </w:r>
      <w:r w:rsidR="00AF6E8E">
        <w:rPr>
          <w:rFonts w:eastAsiaTheme="minorEastAsia"/>
        </w:rPr>
        <w:t>,</w:t>
      </w:r>
      <w:r w:rsidR="00313F1C">
        <w:rPr>
          <w:rFonts w:eastAsiaTheme="minorEastAsia"/>
        </w:rPr>
        <w:t xml:space="preserve"> which may provide useful insight to how the patterns of fine-scale heterogeneity vary across contexts.</w:t>
      </w:r>
    </w:p>
    <w:p w14:paraId="59FD2B97" w14:textId="28A857F0" w:rsidR="00974B18" w:rsidRDefault="00974B18" w:rsidP="00974B18">
      <w:pPr>
        <w:ind w:firstLine="720"/>
      </w:pPr>
      <w:r>
        <w:t xml:space="preserve">The </w:t>
      </w:r>
      <w:r w:rsidR="00AF6E8E">
        <w:t xml:space="preserve">generalized linear mixed effects </w:t>
      </w:r>
      <w:r>
        <w:t>model for the depth of litter or duff is:</w:t>
      </w:r>
    </w:p>
    <w:p w14:paraId="2772D23A" w14:textId="6499E28E" w:rsidR="00AD0989" w:rsidRDefault="00AD0989" w:rsidP="00AD0989">
      <w:pPr>
        <w:pStyle w:val="Caption"/>
        <w:keepNext/>
      </w:pPr>
      <w:r>
        <w:t xml:space="preserve">Equation </w:t>
      </w:r>
      <w:fldSimple w:instr=" SEQ Equation \* ARABIC ">
        <w:r w:rsidR="00A042A1">
          <w:rPr>
            <w:noProof/>
          </w:rPr>
          <w:t>1</w:t>
        </w:r>
      </w:fldSimple>
    </w:p>
    <w:p w14:paraId="00E129F1" w14:textId="174C440C" w:rsidR="00974B18" w:rsidRPr="00974B18" w:rsidRDefault="00000000" w:rsidP="00974B18">
      <w:pPr>
        <w:rPr>
          <w:rFonts w:eastAsiaTheme="minorEastAsia"/>
        </w:rPr>
      </w:pPr>
      <m:oMathPara>
        <m:oMath>
          <m:sSub>
            <m:sSubPr>
              <m:ctrlPr>
                <w:rPr>
                  <w:rFonts w:ascii="Cambria Math" w:hAnsi="Cambria Math"/>
                  <w:i/>
                </w:rPr>
              </m:ctrlPr>
            </m:sSubPr>
            <m:e>
              <m:r>
                <m:rPr>
                  <m:sty m:val="bi"/>
                </m:rP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Neg.Binomial</m:t>
          </m:r>
          <m:r>
            <w:rPr>
              <w:rFonts w:ascii="Cambria Math" w:hAnsi="Cambria Math"/>
            </w:rPr>
            <m:t>(</m:t>
          </m:r>
          <m:sSub>
            <m:sSubPr>
              <m:ctrlPr>
                <w:rPr>
                  <w:rFonts w:ascii="Cambria Math" w:hAnsi="Cambria Math"/>
                  <w:i/>
                </w:rPr>
              </m:ctrlPr>
            </m:sSubPr>
            <m:e>
              <m:r>
                <m:rPr>
                  <m:sty m:val="bi"/>
                </m:rP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g[i]</m:t>
              </m:r>
            </m:sub>
          </m:sSub>
          <m:r>
            <w:rPr>
              <w:rFonts w:ascii="Cambria Math" w:hAnsi="Cambria Math"/>
            </w:rPr>
            <m:t>)</m:t>
          </m:r>
        </m:oMath>
      </m:oMathPara>
    </w:p>
    <w:p w14:paraId="08E31E24" w14:textId="6A945398" w:rsidR="00974B18" w:rsidRDefault="00974B18" w:rsidP="00974B18">
      <w:pPr>
        <w:rPr>
          <w:rFonts w:eastAsiaTheme="minorEastAsia"/>
        </w:rPr>
      </w:pPr>
      <w:r>
        <w:rPr>
          <w:rFonts w:eastAsiaTheme="minorEastAsia"/>
        </w:rPr>
        <w:t xml:space="preserve">where </w:t>
      </w:r>
      <m:oMath>
        <m:sSub>
          <m:sSubPr>
            <m:ctrlPr>
              <w:rPr>
                <w:rFonts w:ascii="Cambria Math" w:eastAsiaTheme="minorEastAsia" w:hAnsi="Cambria Math"/>
                <w:i/>
              </w:rPr>
            </m:ctrlPr>
          </m:sSubPr>
          <m:e>
            <m:r>
              <m:rPr>
                <m:sty m:val="bi"/>
              </m:rP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is the </w:t>
      </w:r>
      <w:r w:rsidR="00FF7A37">
        <w:rPr>
          <w:rFonts w:eastAsiaTheme="minorEastAsia"/>
        </w:rPr>
        <w:t xml:space="preserve">observed </w:t>
      </w:r>
      <w:r>
        <w:rPr>
          <w:rFonts w:eastAsiaTheme="minorEastAsia"/>
        </w:rPr>
        <w:t xml:space="preserve">depth of duff (or litter) at observation </w:t>
      </w:r>
      <m:oMath>
        <m:r>
          <w:rPr>
            <w:rFonts w:ascii="Cambria Math" w:eastAsiaTheme="minorEastAsia" w:hAnsi="Cambria Math"/>
          </w:rPr>
          <m:t>i</m:t>
        </m:r>
      </m:oMath>
      <w:r w:rsidR="00FF7A37">
        <w:rPr>
          <w:rFonts w:eastAsiaTheme="minorEastAsia"/>
        </w:rPr>
        <w:t xml:space="preserve"> (rounded to the nearest whole cm), </w:t>
      </w:r>
      <m:oMath>
        <m:sSub>
          <m:sSubPr>
            <m:ctrlPr>
              <w:rPr>
                <w:rFonts w:ascii="Cambria Math" w:eastAsiaTheme="minorEastAsia" w:hAnsi="Cambria Math"/>
                <w:i/>
              </w:rPr>
            </m:ctrlPr>
          </m:sSubPr>
          <m:e>
            <m:r>
              <m:rPr>
                <m:sty m:val="bi"/>
              </m:rPr>
              <w:rPr>
                <w:rFonts w:ascii="Cambria Math" w:eastAsiaTheme="minorEastAsia" w:hAnsi="Cambria Math"/>
              </w:rPr>
              <m:t>μ</m:t>
            </m:r>
          </m:e>
          <m:sub>
            <m:r>
              <w:rPr>
                <w:rFonts w:ascii="Cambria Math" w:eastAsiaTheme="minorEastAsia" w:hAnsi="Cambria Math"/>
              </w:rPr>
              <m:t>i</m:t>
            </m:r>
          </m:sub>
        </m:sSub>
      </m:oMath>
      <w:r w:rsidR="00FF7A37">
        <w:rPr>
          <w:rFonts w:eastAsiaTheme="minorEastAsia"/>
        </w:rPr>
        <w:t xml:space="preserve"> is the unobserved mean depth of duff / litter at observation </w:t>
      </w:r>
      <m:oMath>
        <m:r>
          <w:rPr>
            <w:rFonts w:ascii="Cambria Math" w:eastAsiaTheme="minorEastAsia" w:hAnsi="Cambria Math"/>
          </w:rPr>
          <m:t>i</m:t>
        </m:r>
      </m:oMath>
      <w:r w:rsidR="00FF7A3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g[i]</m:t>
            </m:r>
          </m:sub>
        </m:sSub>
      </m:oMath>
      <w:r w:rsidR="00FF7A37">
        <w:rPr>
          <w:rFonts w:eastAsiaTheme="minorEastAsia"/>
        </w:rPr>
        <w:t xml:space="preserve"> is the dispersion parameter for </w:t>
      </w:r>
      <w:r w:rsidR="00FF7A37">
        <w:rPr>
          <w:rFonts w:eastAsiaTheme="minorEastAsia"/>
        </w:rPr>
        <w:lastRenderedPageBreak/>
        <w:t xml:space="preserve">the negative binomial distribution for group </w:t>
      </w:r>
      <m:oMath>
        <m:r>
          <w:rPr>
            <w:rFonts w:ascii="Cambria Math" w:eastAsiaTheme="minorEastAsia" w:hAnsi="Cambria Math"/>
          </w:rPr>
          <m:t>g[i]</m:t>
        </m:r>
      </m:oMath>
      <w:r w:rsidR="00FF7A37">
        <w:rPr>
          <w:rFonts w:eastAsiaTheme="minorEastAsia"/>
        </w:rPr>
        <w:t xml:space="preserve">, the group containing observation </w:t>
      </w:r>
      <m:oMath>
        <m:r>
          <w:rPr>
            <w:rFonts w:ascii="Cambria Math" w:eastAsiaTheme="minorEastAsia" w:hAnsi="Cambria Math"/>
          </w:rPr>
          <m:t>i</m:t>
        </m:r>
      </m:oMath>
      <w:r w:rsidR="00FF7A37">
        <w:rPr>
          <w:rFonts w:eastAsiaTheme="minorEastAsia"/>
        </w:rPr>
        <w:t xml:space="preserve">. </w:t>
      </w:r>
      <w:r w:rsidR="00AF6E8E">
        <w:rPr>
          <w:rFonts w:eastAsiaTheme="minorEastAsia"/>
        </w:rPr>
        <w:t xml:space="preserve">The mean  </w:t>
      </w:r>
      <m:oMath>
        <m:sSub>
          <m:sSubPr>
            <m:ctrlPr>
              <w:rPr>
                <w:rFonts w:ascii="Cambria Math" w:eastAsiaTheme="minorEastAsia" w:hAnsi="Cambria Math"/>
                <w:i/>
              </w:rPr>
            </m:ctrlPr>
          </m:sSubPr>
          <m:e>
            <m:r>
              <m:rPr>
                <m:sty m:val="bi"/>
              </m:rPr>
              <w:rPr>
                <w:rFonts w:ascii="Cambria Math" w:eastAsiaTheme="minorEastAsia" w:hAnsi="Cambria Math"/>
              </w:rPr>
              <m:t>μ</m:t>
            </m:r>
          </m:e>
          <m:sub>
            <m:r>
              <w:rPr>
                <w:rFonts w:ascii="Cambria Math" w:eastAsiaTheme="minorEastAsia" w:hAnsi="Cambria Math"/>
              </w:rPr>
              <m:t>i</m:t>
            </m:r>
          </m:sub>
        </m:sSub>
      </m:oMath>
      <w:r w:rsidR="00AF6E8E">
        <w:rPr>
          <w:rFonts w:eastAsiaTheme="minorEastAsia"/>
        </w:rPr>
        <w:t xml:space="preserve"> is log-linked to a linear predictor:</w:t>
      </w:r>
    </w:p>
    <w:p w14:paraId="77C7C07A" w14:textId="020063C6" w:rsidR="00AD0989" w:rsidRDefault="00AD0989" w:rsidP="00AD0989">
      <w:pPr>
        <w:pStyle w:val="Caption"/>
        <w:keepNext/>
      </w:pPr>
      <w:r>
        <w:t xml:space="preserve">Equation </w:t>
      </w:r>
      <w:fldSimple w:instr=" SEQ Equation \* ARABIC ">
        <w:r w:rsidR="00A042A1">
          <w:rPr>
            <w:noProof/>
          </w:rPr>
          <w:t>2</w:t>
        </w:r>
      </w:fldSimple>
    </w:p>
    <w:p w14:paraId="11CDCBEC" w14:textId="750B1E9B" w:rsidR="00AF6E8E" w:rsidRPr="00D14C7A" w:rsidRDefault="00000000" w:rsidP="00974B18">
      <w:pPr>
        <w:rPr>
          <w:rFonts w:eastAsiaTheme="minorEastAsia"/>
        </w:rPr>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m:rPr>
                      <m:sty m:val="bi"/>
                    </m:rP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m:rPr>
                      <m:sty m:val="bi"/>
                    </m:rP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e>
          </m:func>
        </m:oMath>
      </m:oMathPara>
    </w:p>
    <w:p w14:paraId="32A605E7" w14:textId="2FC7E236" w:rsidR="00D14C7A" w:rsidRDefault="00D14C7A" w:rsidP="00974B18">
      <w:pPr>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rPr>
          <w:rFonts w:eastAsiaTheme="minorEastAsia"/>
        </w:rPr>
        <w:t xml:space="preserve"> is the </w:t>
      </w:r>
      <w:r w:rsidR="00E95A53">
        <w:rPr>
          <w:rFonts w:eastAsiaTheme="minorEastAsia"/>
        </w:rPr>
        <w:t xml:space="preserve">overall </w:t>
      </w:r>
      <w:r>
        <w:rPr>
          <w:rFonts w:eastAsiaTheme="minorEastAsia"/>
        </w:rPr>
        <w:t xml:space="preserve">intercept for group </w:t>
      </w:r>
      <m:oMath>
        <m:r>
          <w:rPr>
            <w:rFonts w:ascii="Cambria Math" w:eastAsiaTheme="minorEastAsia" w:hAnsi="Cambria Math"/>
          </w:rPr>
          <m:t>g[i]</m:t>
        </m:r>
      </m:oMath>
      <w:r w:rsidR="00E95A53">
        <w:rPr>
          <w:rFonts w:eastAsiaTheme="minorEastAsia"/>
        </w:rPr>
        <w:t xml:space="preserve">. </w:t>
      </w:r>
      <m:oMath>
        <m:r>
          <m:rPr>
            <m:sty m:val="bi"/>
          </m:rPr>
          <w:rPr>
            <w:rFonts w:ascii="Cambria Math" w:eastAsiaTheme="minorEastAsia" w:hAnsi="Cambria Math"/>
          </w:rPr>
          <m:t>z</m:t>
        </m:r>
      </m:oMath>
      <w:r w:rsidR="00DB74D9">
        <w:rPr>
          <w:rFonts w:eastAsiaTheme="minorEastAsia"/>
          <w:b/>
          <w:bCs/>
        </w:rPr>
        <w:t xml:space="preserve"> </w:t>
      </w:r>
      <w:r w:rsidR="00DB74D9">
        <w:rPr>
          <w:rFonts w:eastAsiaTheme="minorEastAsia"/>
        </w:rPr>
        <w:t xml:space="preserve">is a </w:t>
      </w:r>
      <m:oMath>
        <m:r>
          <w:rPr>
            <w:rFonts w:ascii="Cambria Math" w:eastAsiaTheme="minorEastAsia" w:hAnsi="Cambria Math"/>
          </w:rPr>
          <m:t>1×P</m:t>
        </m:r>
      </m:oMath>
      <w:r w:rsidR="00DB74D9">
        <w:rPr>
          <w:rFonts w:eastAsiaTheme="minorEastAsia"/>
        </w:rPr>
        <w:t xml:space="preserve"> vector of normally distributed random plot intercepts </w:t>
      </w:r>
      <w:r w:rsidR="00EF5DF4">
        <w:rPr>
          <w:rFonts w:eastAsiaTheme="minorEastAsia"/>
        </w:rPr>
        <w:t xml:space="preserve">for each of the </w:t>
      </w:r>
      <m:oMath>
        <m:r>
          <w:rPr>
            <w:rFonts w:ascii="Cambria Math" w:eastAsiaTheme="minorEastAsia" w:hAnsi="Cambria Math"/>
          </w:rPr>
          <m:t>P</m:t>
        </m:r>
      </m:oMath>
      <w:r w:rsidR="00EF5DF4">
        <w:rPr>
          <w:rFonts w:eastAsiaTheme="minorEastAsia"/>
        </w:rPr>
        <w:t xml:space="preserve"> plots </w:t>
      </w:r>
      <w:r w:rsidR="00DB74D9">
        <w:rPr>
          <w:rFonts w:eastAsiaTheme="minorEastAsia"/>
        </w:rPr>
        <w:t>with</w:t>
      </w:r>
      <w:r w:rsidR="00E95A53">
        <w:rPr>
          <w:rFonts w:eastAsiaTheme="minorEastAsia"/>
        </w:rPr>
        <w:t xml:space="preserve"> </w:t>
      </w:r>
      <m:oMath>
        <m:sSub>
          <m:sSubPr>
            <m:ctrlPr>
              <w:rPr>
                <w:rFonts w:ascii="Cambria Math" w:hAnsi="Cambria Math"/>
                <w:i/>
              </w:rPr>
            </m:ctrlPr>
          </m:sSubPr>
          <m:e>
            <m:r>
              <m:rPr>
                <m:sty m:val="bi"/>
              </m:rPr>
              <w:rPr>
                <w:rFonts w:ascii="Cambria Math" w:hAnsi="Cambria Math"/>
              </w:rPr>
              <m:t>z</m:t>
            </m:r>
          </m:e>
          <m:sub>
            <m:r>
              <w:rPr>
                <w:rFonts w:ascii="Cambria Math" w:hAnsi="Cambria Math"/>
              </w:rPr>
              <m:t>p</m:t>
            </m:r>
          </m:sub>
        </m:sSub>
        <m:r>
          <m:rPr>
            <m:sty m:val="bi"/>
          </m:rPr>
          <w:rPr>
            <w:rFonts w:ascii="Cambria Math" w:eastAsiaTheme="minorEastAsia" w:hAnsi="Cambria Math"/>
          </w:rPr>
          <m:t>~</m:t>
        </m:r>
        <m:r>
          <m:rPr>
            <m:nor/>
          </m:rPr>
          <w:rPr>
            <w:rFonts w:ascii="Cambria Math" w:eastAsiaTheme="minorEastAsia" w:hAnsi="Cambria Math"/>
          </w:rPr>
          <m:t>Normal</m:t>
        </m:r>
        <m:r>
          <w:rPr>
            <w:rFonts w:ascii="Cambria Math" w:eastAsiaTheme="minorEastAsia" w:hAnsi="Cambria Math"/>
          </w:rPr>
          <m:t>(</m:t>
        </m:r>
        <m:r>
          <m:rPr>
            <m:nor/>
          </m:rP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g[p]</m:t>
            </m:r>
          </m:sub>
        </m:sSub>
        <m:r>
          <w:rPr>
            <w:rFonts w:ascii="Cambria Math" w:eastAsiaTheme="minorEastAsia" w:hAnsi="Cambria Math"/>
          </w:rPr>
          <m:t>)</m:t>
        </m:r>
      </m:oMath>
      <w:r w:rsidR="001E772A">
        <w:rPr>
          <w:rFonts w:eastAsiaTheme="minorEastAsia"/>
        </w:rPr>
        <w:t xml:space="preserve"> so that the standard deviation of the plot random effect</w:t>
      </w:r>
      <w:r w:rsidR="00EF5DF4">
        <w:rPr>
          <w:rFonts w:eastAsiaTheme="minorEastAsia"/>
        </w:rPr>
        <w:t xml:space="preserve"> for plot </w:t>
      </w:r>
      <m:oMath>
        <m:r>
          <w:rPr>
            <w:rFonts w:ascii="Cambria Math" w:eastAsiaTheme="minorEastAsia" w:hAnsi="Cambria Math"/>
          </w:rPr>
          <m:t>p</m:t>
        </m:r>
      </m:oMath>
      <w:r w:rsidR="00EF5DF4">
        <w:rPr>
          <w:rFonts w:eastAsiaTheme="minorEastAsia"/>
        </w:rPr>
        <w:t xml:space="preserve"> depends on which group it is in (</w:t>
      </w:r>
      <m:oMath>
        <m:r>
          <w:rPr>
            <w:rFonts w:ascii="Cambria Math" w:eastAsiaTheme="minorEastAsia" w:hAnsi="Cambria Math"/>
          </w:rPr>
          <m:t>g[p]</m:t>
        </m:r>
      </m:oMath>
      <w:r w:rsidR="00EF5DF4">
        <w:rPr>
          <w:rFonts w:eastAsiaTheme="minorEastAsia"/>
        </w:rPr>
        <w:t>)</w:t>
      </w:r>
      <w:r w:rsidR="001E772A">
        <w:rPr>
          <w:rFonts w:eastAsiaTheme="minorEastAsia"/>
        </w:rPr>
        <w:t>.</w:t>
      </w:r>
      <w:r w:rsidR="00E95A53">
        <w:rPr>
          <w:rFonts w:eastAsiaTheme="minorEastAsia"/>
        </w:rPr>
        <w:t xml:space="preserve"> </w:t>
      </w:r>
      <m:oMath>
        <m:r>
          <m:rPr>
            <m:sty m:val="bi"/>
          </m:rPr>
          <w:rPr>
            <w:rFonts w:ascii="Cambria Math" w:eastAsiaTheme="minorEastAsia" w:hAnsi="Cambria Math"/>
          </w:rPr>
          <m:t>S</m:t>
        </m:r>
      </m:oMath>
      <w:r w:rsidR="00EF5DF4">
        <w:rPr>
          <w:rFonts w:eastAsiaTheme="minorEastAsia"/>
        </w:rPr>
        <w:t xml:space="preserve"> is an </w:t>
      </w:r>
      <m:oMath>
        <m:r>
          <w:rPr>
            <w:rFonts w:ascii="Cambria Math" w:eastAsiaTheme="minorEastAsia" w:hAnsi="Cambria Math"/>
          </w:rPr>
          <m:t>L×P</m:t>
        </m:r>
      </m:oMath>
      <w:r w:rsidR="00EF5DF4">
        <w:rPr>
          <w:rFonts w:eastAsiaTheme="minorEastAsia"/>
        </w:rPr>
        <w:t xml:space="preserve"> of realized gaussian process random effects with a row for each of the </w:t>
      </w:r>
      <m:oMath>
        <m:r>
          <w:rPr>
            <w:rFonts w:ascii="Cambria Math" w:eastAsiaTheme="minorEastAsia" w:hAnsi="Cambria Math"/>
          </w:rPr>
          <m:t>L</m:t>
        </m:r>
      </m:oMath>
      <w:r w:rsidR="00EF5DF4">
        <w:rPr>
          <w:rFonts w:eastAsiaTheme="minorEastAsia"/>
        </w:rPr>
        <w:t xml:space="preserve"> within-plot spatial locations and a column for each of the </w:t>
      </w:r>
      <m:oMath>
        <m:r>
          <w:rPr>
            <w:rFonts w:ascii="Cambria Math" w:eastAsiaTheme="minorEastAsia" w:hAnsi="Cambria Math"/>
          </w:rPr>
          <m:t>P</m:t>
        </m:r>
      </m:oMath>
      <w:r w:rsidR="00EF5DF4">
        <w:rPr>
          <w:rFonts w:eastAsiaTheme="minorEastAsia"/>
        </w:rPr>
        <w:t xml:space="preserve"> plots. </w:t>
      </w:r>
      <m:oMath>
        <m:r>
          <w:rPr>
            <w:rFonts w:ascii="Cambria Math" w:eastAsiaTheme="minorEastAsia" w:hAnsi="Cambria Math"/>
          </w:rPr>
          <m:t>l[i]</m:t>
        </m:r>
      </m:oMath>
      <w:r w:rsidR="00CD6B02">
        <w:rPr>
          <w:rFonts w:eastAsiaTheme="minorEastAsia"/>
        </w:rPr>
        <w:t xml:space="preserve"> is the index for the location containing observation </w:t>
      </w:r>
      <m:oMath>
        <m:r>
          <w:rPr>
            <w:rFonts w:ascii="Cambria Math" w:eastAsiaTheme="minorEastAsia" w:hAnsi="Cambria Math"/>
          </w:rPr>
          <m:t>i</m:t>
        </m:r>
      </m:oMath>
      <w:r w:rsidR="00CD6B02">
        <w:rPr>
          <w:rFonts w:eastAsiaTheme="minorEastAsia"/>
        </w:rPr>
        <w:t xml:space="preserve"> and </w:t>
      </w:r>
      <m:oMath>
        <m:r>
          <w:rPr>
            <w:rFonts w:ascii="Cambria Math" w:eastAsiaTheme="minorEastAsia" w:hAnsi="Cambria Math"/>
          </w:rPr>
          <m:t>p[i]</m:t>
        </m:r>
      </m:oMath>
      <w:r w:rsidR="00CD6B02">
        <w:rPr>
          <w:rFonts w:eastAsiaTheme="minorEastAsia"/>
        </w:rPr>
        <w:t xml:space="preserve"> is the index for the plot containing observation </w:t>
      </w:r>
      <m:oMath>
        <m:r>
          <w:rPr>
            <w:rFonts w:ascii="Cambria Math" w:eastAsiaTheme="minorEastAsia" w:hAnsi="Cambria Math"/>
          </w:rPr>
          <m:t>i</m:t>
        </m:r>
      </m:oMath>
      <w:r w:rsidR="00CD6B02">
        <w:rPr>
          <w:rFonts w:eastAsiaTheme="minorEastAsia"/>
        </w:rPr>
        <w:t xml:space="preserve">. </w:t>
      </w:r>
      <w:r w:rsidR="00E95A53">
        <w:rPr>
          <w:rFonts w:eastAsiaTheme="minorEastAsia"/>
        </w:rPr>
        <w:t xml:space="preserve">The gaussian process random effect </w:t>
      </w:r>
      <m:oMath>
        <m:sSub>
          <m:sSubPr>
            <m:ctrlPr>
              <w:rPr>
                <w:rFonts w:ascii="Cambria Math" w:hAnsi="Cambria Math"/>
                <w:i/>
              </w:rPr>
            </m:ctrlPr>
          </m:sSubPr>
          <m:e>
            <m:r>
              <m:rPr>
                <m:sty m:val="bi"/>
              </m:rP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rsidR="00E95A53">
        <w:rPr>
          <w:rFonts w:eastAsiaTheme="minorEastAsia"/>
        </w:rPr>
        <w:t xml:space="preserve"> models fine-scale spatial correlation within a plot, while coarse-scale variation between plots within a group is modeled by the plot random effect </w:t>
      </w:r>
      <m:oMath>
        <m:sSub>
          <m:sSubPr>
            <m:ctrlPr>
              <w:rPr>
                <w:rFonts w:ascii="Cambria Math" w:hAnsi="Cambria Math"/>
                <w:i/>
              </w:rPr>
            </m:ctrlPr>
          </m:sSubPr>
          <m:e>
            <m:r>
              <m:rPr>
                <m:sty m:val="bi"/>
              </m:rPr>
              <w:rPr>
                <w:rFonts w:ascii="Cambria Math" w:hAnsi="Cambria Math"/>
              </w:rPr>
              <m:t>z</m:t>
            </m:r>
          </m:e>
          <m:sub>
            <m:r>
              <w:rPr>
                <w:rFonts w:ascii="Cambria Math" w:hAnsi="Cambria Math"/>
              </w:rPr>
              <m:t>p[i]</m:t>
            </m:r>
          </m:sub>
        </m:sSub>
      </m:oMath>
      <w:r w:rsidR="00E95A53">
        <w:rPr>
          <w:rFonts w:eastAsiaTheme="minorEastAsia"/>
        </w:rPr>
        <w:t>.</w:t>
      </w:r>
      <w:r w:rsidR="00C24FAE">
        <w:rPr>
          <w:rFonts w:eastAsiaTheme="minorEastAsia"/>
        </w:rPr>
        <w:t xml:space="preserve"> </w:t>
      </w:r>
    </w:p>
    <w:p w14:paraId="273663F9" w14:textId="42814368" w:rsidR="00C24FAE" w:rsidRDefault="00C24FAE" w:rsidP="00974B18">
      <w:pPr>
        <w:rPr>
          <w:rFonts w:eastAsiaTheme="minorEastAsia"/>
        </w:rPr>
      </w:pPr>
      <w:r>
        <w:rPr>
          <w:rFonts w:eastAsiaTheme="minorEastAsia"/>
        </w:rPr>
        <w:tab/>
      </w:r>
      <m:oMath>
        <m:sSub>
          <m:sSubPr>
            <m:ctrlPr>
              <w:rPr>
                <w:rFonts w:ascii="Cambria Math" w:hAnsi="Cambria Math"/>
                <w:i/>
              </w:rPr>
            </m:ctrlPr>
          </m:sSubPr>
          <m:e>
            <m:r>
              <m:rPr>
                <m:sty m:val="bi"/>
              </m:rP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rPr>
          <w:rFonts w:eastAsiaTheme="minorEastAsia"/>
        </w:rPr>
        <w:t xml:space="preserve"> is the result of a gaussian process modeling fine-scale spatial autocorrelation:</w:t>
      </w:r>
    </w:p>
    <w:p w14:paraId="7492612E" w14:textId="2B5B8390" w:rsidR="00AD0989" w:rsidRDefault="00AD0989" w:rsidP="00AD0989">
      <w:pPr>
        <w:pStyle w:val="Caption"/>
        <w:keepNext/>
      </w:pPr>
      <w:r>
        <w:t xml:space="preserve">Equation </w:t>
      </w:r>
      <w:fldSimple w:instr=" SEQ Equation \* ARABIC ">
        <w:r w:rsidR="00A042A1">
          <w:rPr>
            <w:noProof/>
          </w:rPr>
          <w:t>3</w:t>
        </w:r>
      </w:fldSimple>
    </w:p>
    <w:p w14:paraId="14D78C5B" w14:textId="4A0AF415" w:rsidR="00C24FAE" w:rsidRPr="00C24FAE" w:rsidRDefault="00000000" w:rsidP="00C24FAE">
      <w:pPr>
        <w:rPr>
          <w:rFonts w:eastAsiaTheme="minorEastAsia"/>
        </w:rPr>
      </w:pPr>
      <m:oMathPara>
        <m:oMath>
          <m:sSub>
            <m:sSubPr>
              <m:ctrlPr>
                <w:rPr>
                  <w:rFonts w:ascii="Cambria Math" w:hAnsi="Cambria Math"/>
                  <w:i/>
                </w:rPr>
              </m:ctrlPr>
            </m:sSubPr>
            <m:e>
              <m:r>
                <m:rPr>
                  <m:sty m:val="bi"/>
                </m:rPr>
                <w:rPr>
                  <w:rFonts w:ascii="Cambria Math" w:hAnsi="Cambria Math"/>
                </w:rPr>
                <m:t>S</m:t>
              </m:r>
            </m:e>
            <m:sub>
              <m:r>
                <w:rPr>
                  <w:rFonts w:ascii="Cambria Math" w:hAnsi="Cambria Math"/>
                </w:rPr>
                <m:t>*,p</m:t>
              </m:r>
            </m:sub>
          </m:sSub>
          <m:r>
            <m:rPr>
              <m:nor/>
            </m:rPr>
            <w:rPr>
              <w:rFonts w:ascii="Cambria Math" w:hAnsi="Cambria Math"/>
            </w:rPr>
            <m:t>~MVN(0,</m:t>
          </m:r>
          <m:sSub>
            <m:sSubPr>
              <m:ctrlPr>
                <w:rPr>
                  <w:rFonts w:ascii="Cambria Math" w:hAnsi="Cambria Math"/>
                  <w:i/>
                </w:rPr>
              </m:ctrlPr>
            </m:sSubPr>
            <m:e>
              <m:r>
                <m:rPr>
                  <m:sty m:val="b"/>
                </m:rPr>
                <w:rPr>
                  <w:rFonts w:ascii="Cambria Math" w:hAnsi="Cambria Math"/>
                </w:rPr>
                <m:t>Σ</m:t>
              </m:r>
            </m:e>
            <m:sub>
              <m:r>
                <w:rPr>
                  <w:rFonts w:ascii="Cambria Math" w:hAnsi="Cambria Math"/>
                </w:rPr>
                <m:t>g[p]</m:t>
              </m:r>
            </m:sub>
          </m:sSub>
          <m:r>
            <w:rPr>
              <w:rFonts w:ascii="Cambria Math" w:hAnsi="Cambria Math"/>
            </w:rPr>
            <m:t>)</m:t>
          </m:r>
        </m:oMath>
      </m:oMathPara>
    </w:p>
    <w:p w14:paraId="2E75C761" w14:textId="06B7A429" w:rsidR="00C24FAE" w:rsidRDefault="00C24FAE" w:rsidP="00C24FAE">
      <w:pPr>
        <w:rPr>
          <w:rFonts w:eastAsiaTheme="minorEastAsia"/>
        </w:rPr>
      </w:pPr>
      <w:r>
        <w:rPr>
          <w:rFonts w:eastAsiaTheme="minorEastAsia"/>
        </w:rP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rsidR="00CD6B02">
        <w:rPr>
          <w:rFonts w:eastAsiaTheme="minorEastAsia"/>
        </w:rPr>
        <w:t xml:space="preserve"> is the </w:t>
      </w:r>
      <m:oMath>
        <m:r>
          <w:rPr>
            <w:rFonts w:ascii="Cambria Math" w:eastAsiaTheme="minorEastAsia" w:hAnsi="Cambria Math"/>
          </w:rPr>
          <m:t>L×L</m:t>
        </m:r>
      </m:oMath>
      <w:r w:rsidR="00CD6B02">
        <w:rPr>
          <w:rFonts w:eastAsiaTheme="minorEastAsia"/>
        </w:rPr>
        <w:t xml:space="preserve"> covariance matrix for the </w:t>
      </w:r>
      <m:oMath>
        <m:r>
          <w:rPr>
            <w:rFonts w:ascii="Cambria Math" w:eastAsiaTheme="minorEastAsia" w:hAnsi="Cambria Math"/>
          </w:rPr>
          <m:t>L</m:t>
        </m:r>
      </m:oMath>
      <w:r w:rsidR="00CD6B02">
        <w:rPr>
          <w:rFonts w:eastAsiaTheme="minorEastAsia"/>
        </w:rPr>
        <w:t xml:space="preserve"> spatial locations within </w:t>
      </w:r>
      <w:r w:rsidR="00C64994">
        <w:rPr>
          <w:rFonts w:eastAsiaTheme="minorEastAsia"/>
        </w:rPr>
        <w:t xml:space="preserve">plots belonging to group </w:t>
      </w:r>
      <m:oMath>
        <m:r>
          <w:rPr>
            <w:rFonts w:ascii="Cambria Math" w:eastAsiaTheme="minorEastAsia" w:hAnsi="Cambria Math"/>
          </w:rPr>
          <m:t>g</m:t>
        </m:r>
      </m:oMath>
      <w:r w:rsidR="00C64994">
        <w:rPr>
          <w:rFonts w:eastAsiaTheme="minorEastAsia"/>
        </w:rPr>
        <w:t xml:space="preserve">, and </w:t>
      </w:r>
      <m:oMath>
        <m:r>
          <w:rPr>
            <w:rFonts w:ascii="Cambria Math" w:eastAsiaTheme="minorEastAsia" w:hAnsi="Cambria Math"/>
          </w:rPr>
          <m:t>g[p]</m:t>
        </m:r>
      </m:oMath>
      <w:r w:rsidR="00C64994">
        <w:rPr>
          <w:rFonts w:eastAsiaTheme="minorEastAsia"/>
        </w:rPr>
        <w:t xml:space="preserve"> is the index for the group containing plot </w:t>
      </w:r>
      <m:oMath>
        <m:r>
          <w:rPr>
            <w:rFonts w:ascii="Cambria Math" w:eastAsiaTheme="minorEastAsia" w:hAnsi="Cambria Math"/>
          </w:rPr>
          <m:t>p</m:t>
        </m:r>
      </m:oMath>
      <w:r w:rsidR="00C64994">
        <w:rPr>
          <w:rFonts w:eastAsiaTheme="minorEastAsia"/>
        </w:rPr>
        <w:t xml:space="preserve">. The gaussian process parameters, and thus the covariance matrix, are constant across plots within a group, but vary between groups. Each plot gets a separate draw from the multivariate normal distribution. Thus, the observations from within the same plot are spatially autocorrelated, but observations from separate plots do not share any autocorrelation. This assumption is sound given the distances between plots, which are substantially greater than the plausible range of spatial autocorrelation between samples </w:t>
      </w:r>
      <w:r w:rsidR="00C64994">
        <w:rPr>
          <w:rFonts w:eastAsiaTheme="minorEastAsia"/>
        </w:rPr>
        <w:fldChar w:fldCharType="begin" w:fldLock="1"/>
      </w:r>
      <w:r w:rsidR="005136FF">
        <w:rPr>
          <w:rFonts w:eastAsiaTheme="minorEastAsia"/>
        </w:rPr>
        <w:instrText>ADDIN CSL_CITATION {"citationItems":[{"id":"ITEM-1","itemData":{"DOI":"10.1007/s10980-012-9773-9","ISBN":"0921-2973","ISSN":"09212973","abstract":"Wildland fuels are important to fire managers because they can be manipulated to achieve management goals, such as restoring ecosystems, decreasing fire intensity, minimizing plant mortality, and reducing erosion. However, it is difficult to accurately measure, describe, and map wildland fuels because of the great variability of wildland fuelbed properties over space and time. Few have quantified the scale of this variability across space to understand its effect on fire spread, burning intensity, and ecological effects. This study investigated the spatial variability of loading (biomass) across major surface and canopy fuel components in low elevation northern Rocky Mountain forest and rangeland ecosystems to determine the inherent scale of surface fuel and canopy fuel distributions. Biomass loadings (kg m super(-2)) were measured for seven surface fuel components-four downed dead woody fuel size classes (0-6 mm, 6-25 mm, 25-75 mm, and 75 + mm), duff plus litter, shrub, and herb-using a spatially nested plot sampling design within a 1 km super(2) square sampling grid installed at six sites in the northern US Rocky Mountains. Bulk density, biomass, and cover of the forest canopy were also measured for each plot in the grid. Surface fuel loadings were estimated using a combination of photoload and destructive collection methods at many distances within the grid. We quantified spatial variability of fuel component loading using spatial variograms, and found that each fuel component had its own inherent scale with fine fuels varying at scales of 1-5 m, coarse fuels at 10-150 m, and canopy fuels from 100 to 500 m. Using regression analyses, we computed a scaling factor of 4.6 m for fuel particle diameter (4.6 m increase in scale with each cm increase in particle diameter). Findings from this study can be used to design fuel sampling projects, classify fuelbeds, and map fuel characteristics, such as loading, to account for the inherent scale of fuel distributions to get more accurate fuel loading estimations.","author":[{"dropping-particle":"","family":"Keane","given":"Robert E.","non-dropping-particle":"","parse-names":false,"suffix":""},{"dropping-particle":"","family":"Gray","given":"Kathy","non-dropping-particle":"","parse-names":false,"suffix":""},{"dropping-particle":"","family":"Bacciu","given":"Valentina","non-dropping-particle":"","parse-names":false,"suffix":""},{"dropping-particle":"","family":"Leirfallom","given":"Signe","non-dropping-particle":"","parse-names":false,"suffix":""}],"container-title":"Landscape Ecology","id":"ITEM-1","issue":"8","issued":{"date-parts":[["2012"]]},"page":"1213-1234","title":"Spatial scaling of wildland fuels for six forest and rangeland ecosystems of the northern Rocky Mountains, USA","type":"article-journal","volume":"27"},"uris":["http://www.mendeley.com/documents/?uuid=3609ff6d-b86c-4513-88c0-2b3d18842ba8"]},{"id":"ITEM-2","itemData":{"ISBN":"Res. Pap. RMRS-RP-98","ISSN":"05025001","abstract":"We investigated the spatial variability of a number of wildland fuel characteristics for the major fuel components found in six common northern Rocky Mountain ecosystems. Surface fuel characteristics of loading, particle density, bulk density, and mineral content were measured for eight fuel components - four downed dead woody fuel size classes (1, 10, 100, 1000 hr), duff, litter, shrub, and herb - on nested plots located within sampling grids to describe their variability across spatial scales. We also sampled canopy bulk density, biomass, and cover for each plot in the grid. The spatial distribution and variability of surface and canopy fuel characteristics are described using the variance, spatial autocorrelation, semi-variograms, and Moran's I. We found that all fuels had high variability in loading (two to three times the mean), and this variability increased with the size of fuel particle. We also found that fuel components varied at different scales, with fine fuels varying at scales of 1 to 5 m, coarse fuels at 10 to 150 m, and canopy fuels at 100 to 500 m. Findings and data from this study can be used to sample, describe, and map fuel characteristics, such as loading, at the appropriate spatial scales to accommodate the next generation of fire behavior prediction models","author":[{"dropping-particle":"","family":"Keane","given":"Robert E","non-dropping-particle":"","parse-names":false,"suffix":""},{"dropping-particle":"","family":"Gray","given":"Kathy","non-dropping-particle":"","parse-names":false,"suffix":""},{"dropping-particle":"","family":"Bacciu","given":"Valentina","non-dropping-particle":"","parse-names":false,"suffix":""}],"id":"ITEM-2","issued":{"date-parts":[["2012"]]},"number-of-pages":"56","title":"Spatial Variability of Wildland Fuel Characteristics in Northern Rocky Mountain Ecosystems","type":"report"},"uris":["http://www.mendeley.com/documents/?uuid=251ab07e-5a63-4320-b1b3-291d66a82592"]}],"mendeley":{"formattedCitation":"(R. E. Keane, Gray, &amp; Bacciu, 2012; R. E. Keane, Gray, Bacciu, et al., 2012)","plainTextFormattedCitation":"(R. E. Keane, Gray, &amp; Bacciu, 2012; R. E. Keane, Gray, Bacciu, et al., 2012)","previouslyFormattedCitation":"(R. E. Keane, Gray, &amp; Bacciu, 2012; R. E. Keane, Gray, Bacciu, et al., 2012)"},"properties":{"noteIndex":0},"schema":"https://github.com/citation-style-language/schema/raw/master/csl-citation.json"}</w:instrText>
      </w:r>
      <w:r w:rsidR="00C64994">
        <w:rPr>
          <w:rFonts w:eastAsiaTheme="minorEastAsia"/>
        </w:rPr>
        <w:fldChar w:fldCharType="separate"/>
      </w:r>
      <w:r w:rsidR="005136FF" w:rsidRPr="005136FF">
        <w:rPr>
          <w:rFonts w:eastAsiaTheme="minorEastAsia"/>
          <w:noProof/>
        </w:rPr>
        <w:t>(R. E. Keane, Gray, &amp; Bacciu, 2012; R. E. Keane, Gray, Bacciu, et al., 2012)</w:t>
      </w:r>
      <w:r w:rsidR="00C64994">
        <w:rPr>
          <w:rFonts w:eastAsiaTheme="minorEastAsia"/>
        </w:rPr>
        <w:fldChar w:fldCharType="end"/>
      </w:r>
      <w:r w:rsidR="00C64994">
        <w:rPr>
          <w:rFonts w:eastAsiaTheme="minorEastAsia"/>
        </w:rPr>
        <w:t>.</w:t>
      </w:r>
    </w:p>
    <w:p w14:paraId="11A27F6A" w14:textId="3E422BFE" w:rsidR="00770A82" w:rsidRDefault="00770A82" w:rsidP="00C24FAE">
      <w:pPr>
        <w:rPr>
          <w:rFonts w:eastAsiaTheme="minorEastAsia"/>
        </w:rPr>
      </w:pPr>
      <w:r>
        <w:rPr>
          <w:rFonts w:eastAsiaTheme="minorEastAsia"/>
        </w:rPr>
        <w:tab/>
        <w:t xml:space="preserve">The covariance matrix for each group </w:t>
      </w:r>
      <m:oMath>
        <m:r>
          <w:rPr>
            <w:rFonts w:ascii="Cambria Math" w:eastAsiaTheme="minorEastAsia" w:hAnsi="Cambria Math"/>
          </w:rPr>
          <m:t>g</m:t>
        </m:r>
      </m:oMath>
      <w:r>
        <w:rPr>
          <w:rFonts w:eastAsiaTheme="minorEastAsia"/>
        </w:rPr>
        <w:t xml:space="preserve"> is constructed using an exponentiated quadratic kernel:</w:t>
      </w:r>
    </w:p>
    <w:p w14:paraId="481F3D76" w14:textId="14D3D818" w:rsidR="00AD0989" w:rsidRDefault="00AD0989" w:rsidP="00AD0989">
      <w:pPr>
        <w:pStyle w:val="Caption"/>
        <w:keepNext/>
      </w:pPr>
      <w:bookmarkStart w:id="0" w:name="_Ref110938163"/>
      <w:r>
        <w:t xml:space="preserve">Equation </w:t>
      </w:r>
      <w:fldSimple w:instr=" SEQ Equation \* ARABIC ">
        <w:r w:rsidR="00A042A1">
          <w:rPr>
            <w:noProof/>
          </w:rPr>
          <w:t>4</w:t>
        </w:r>
      </w:fldSimple>
      <w:bookmarkEnd w:id="0"/>
    </w:p>
    <w:p w14:paraId="0B9E7470" w14:textId="2D7FD42E" w:rsidR="00770A82" w:rsidRPr="00650D9F" w:rsidRDefault="00000000" w:rsidP="00C24FAE">
      <w:pPr>
        <w:rPr>
          <w:rFonts w:eastAsiaTheme="minorEastAsia"/>
        </w:rPr>
      </w:pPr>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g</m:t>
              </m:r>
            </m:sub>
            <m:sup>
              <m:r>
                <w:rPr>
                  <w:rFonts w:ascii="Cambria Math" w:eastAsiaTheme="minorEastAsia" w:hAnsi="Cambria Math"/>
                </w:rPr>
                <m:t>2</m:t>
              </m:r>
            </m:sup>
          </m:sSubSup>
          <m:r>
            <w:rPr>
              <w:rFonts w:ascii="Cambria Math" w:eastAsiaTheme="minorEastAsia" w:hAnsi="Cambria Math"/>
            </w:rPr>
            <m:t>×</m:t>
          </m:r>
          <m:r>
            <m:rPr>
              <m:nor/>
            </m:rPr>
            <w:rPr>
              <w:rFonts w:ascii="Cambria Math" w:eastAsiaTheme="minorEastAsia" w:hAnsi="Cambria Math"/>
            </w:rPr>
            <m:t>exp(</m:t>
          </m:r>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g</m:t>
                  </m:r>
                </m:sub>
                <m:sup>
                  <m:r>
                    <w:rPr>
                      <w:rFonts w:ascii="Cambria Math" w:eastAsiaTheme="minorEastAsia" w:hAnsi="Cambria Math"/>
                    </w:rPr>
                    <m:t>2</m:t>
                  </m:r>
                </m:sup>
              </m:sSubSup>
            </m:den>
          </m:f>
          <m:r>
            <w:rPr>
              <w:rFonts w:ascii="Cambria Math" w:eastAsiaTheme="minorEastAsia" w:hAnsi="Cambria Math"/>
            </w:rPr>
            <m:t>)</m:t>
          </m:r>
        </m:oMath>
      </m:oMathPara>
    </w:p>
    <w:p w14:paraId="7D10EA58" w14:textId="19F42EB6" w:rsidR="00650D9F" w:rsidRPr="00650D9F" w:rsidRDefault="00650D9F" w:rsidP="00C24FAE">
      <w:pPr>
        <w:rPr>
          <w:rFonts w:eastAsiaTheme="minorEastAsia"/>
        </w:rPr>
      </w:pPr>
      <w:r>
        <w:rPr>
          <w:rFonts w:eastAsiaTheme="minorEastAsia"/>
        </w:rPr>
        <w:t xml:space="preserve">where </w:t>
      </w:r>
      <w:r w:rsidR="00EF05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g</m:t>
            </m:r>
          </m:sub>
        </m:sSub>
      </m:oMath>
      <w:r>
        <w:rPr>
          <w:rFonts w:eastAsiaTheme="minorEastAsia"/>
        </w:rPr>
        <w:t xml:space="preserve"> is the magnitude of the gaussian process random effect for group </w:t>
      </w:r>
      <m:oMath>
        <m:r>
          <w:rPr>
            <w:rFonts w:ascii="Cambria Math" w:eastAsiaTheme="minorEastAsia" w:hAnsi="Cambria Math"/>
          </w:rPr>
          <m:t>g</m:t>
        </m:r>
      </m:oMath>
      <w:r>
        <w:rPr>
          <w:rFonts w:eastAsiaTheme="minorEastAsia"/>
        </w:rPr>
        <w:t xml:space="preserve"> (equivalent to the sill in geostatistics), </w:t>
      </w:r>
      <m:oMath>
        <m:r>
          <m:rPr>
            <m:sty m:val="bi"/>
          </m:rPr>
          <w:rPr>
            <w:rFonts w:ascii="Cambria Math" w:eastAsiaTheme="minorEastAsia" w:hAnsi="Cambria Math"/>
          </w:rPr>
          <m:t>D</m:t>
        </m:r>
      </m:oMath>
      <w:r>
        <w:rPr>
          <w:rFonts w:eastAsiaTheme="minorEastAsia"/>
          <w:b/>
          <w:bCs/>
        </w:rPr>
        <w:t xml:space="preserve"> </w:t>
      </w:r>
      <w:r>
        <w:rPr>
          <w:rFonts w:eastAsiaTheme="minorEastAsia"/>
        </w:rPr>
        <w:t xml:space="preserve">is the </w:t>
      </w:r>
      <m:oMath>
        <m:r>
          <w:rPr>
            <w:rFonts w:ascii="Cambria Math" w:eastAsiaTheme="minorEastAsia" w:hAnsi="Cambria Math"/>
          </w:rPr>
          <m:t>L×L</m:t>
        </m:r>
      </m:oMath>
      <w:r>
        <w:rPr>
          <w:rFonts w:eastAsiaTheme="minorEastAsia"/>
        </w:rPr>
        <w:t xml:space="preserve"> matrix of pairwise distances between samples within a plot, and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g</m:t>
            </m:r>
          </m:sub>
        </m:sSub>
      </m:oMath>
      <w:r>
        <w:rPr>
          <w:rFonts w:eastAsiaTheme="minorEastAsia"/>
        </w:rPr>
        <w:t xml:space="preserve"> is the length-scale parameter of the gaussian process random effect for group </w:t>
      </w:r>
      <m:oMath>
        <m:r>
          <w:rPr>
            <w:rFonts w:ascii="Cambria Math" w:eastAsiaTheme="minorEastAsia" w:hAnsi="Cambria Math"/>
          </w:rPr>
          <m:t>g</m:t>
        </m:r>
      </m:oMath>
      <w:r>
        <w:rPr>
          <w:rFonts w:eastAsiaTheme="minorEastAsia"/>
        </w:rPr>
        <w:t xml:space="preserve"> (the range), which controls the rate at which the autocorrelation between observations decays as the distance between them increases. </w:t>
      </w:r>
    </w:p>
    <w:p w14:paraId="61BA2BB9" w14:textId="71CCA073" w:rsidR="00AA1241" w:rsidRDefault="00AA1241" w:rsidP="00AA1241">
      <w:pPr>
        <w:pStyle w:val="Heading3"/>
      </w:pPr>
      <w:r>
        <w:t>Fine woody debris tallies</w:t>
      </w:r>
    </w:p>
    <w:p w14:paraId="52346113" w14:textId="7817A333" w:rsidR="00AD0989" w:rsidRDefault="00AD0989" w:rsidP="00AD0989">
      <w:r>
        <w:tab/>
        <w:t>The model for fine woody debris tallies is nearly identical to the model for duff and litter depths, with one exception. Because we have multiple subsamples per spatial location in the fine woody debris tallies sampling design, there is an additional parameter used to construct the between-locations covariance matrix:</w:t>
      </w:r>
    </w:p>
    <w:p w14:paraId="404318C3" w14:textId="58DB8EBB" w:rsidR="00A042A1" w:rsidRDefault="00A042A1" w:rsidP="00A042A1">
      <w:pPr>
        <w:pStyle w:val="Caption"/>
        <w:keepNext/>
      </w:pPr>
      <w:r>
        <w:lastRenderedPageBreak/>
        <w:t xml:space="preserve">Equation </w:t>
      </w:r>
      <w:fldSimple w:instr=" SEQ Equation \* ARABIC ">
        <w:r>
          <w:rPr>
            <w:noProof/>
          </w:rPr>
          <w:t>5</w:t>
        </w:r>
      </w:fldSimple>
    </w:p>
    <w:p w14:paraId="04DE8790" w14:textId="0CCB16C8" w:rsidR="00AD0989" w:rsidRPr="00AD0989" w:rsidRDefault="00000000" w:rsidP="00AD0989">
      <w:pPr>
        <w:rPr>
          <w:rFonts w:eastAsiaTheme="minorEastAsia"/>
          <w:b/>
          <w:bCs/>
        </w:rPr>
      </w:pPr>
      <m:oMathPara>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g</m:t>
              </m:r>
            </m:sub>
            <m:sup>
              <m:r>
                <w:rPr>
                  <w:rFonts w:ascii="Cambria Math" w:eastAsiaTheme="minorEastAsia" w:hAnsi="Cambria Math"/>
                </w:rPr>
                <m:t>2</m:t>
              </m:r>
            </m:sup>
          </m:sSubSup>
          <m:r>
            <w:rPr>
              <w:rFonts w:ascii="Cambria Math" w:eastAsiaTheme="minorEastAsia" w:hAnsi="Cambria Math"/>
            </w:rPr>
            <m:t>×</m:t>
          </m:r>
          <m:r>
            <m:rPr>
              <m:nor/>
            </m:rPr>
            <w:rPr>
              <w:rFonts w:ascii="Cambria Math" w:eastAsiaTheme="minorEastAsia" w:hAnsi="Cambria Math"/>
            </w:rPr>
            <m:t>exp(</m:t>
          </m:r>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D</m:t>
                  </m:r>
                </m:e>
                <m:sup>
                  <m:r>
                    <w:rPr>
                      <w:rFonts w:ascii="Cambria Math" w:eastAsiaTheme="minorEastAsia" w:hAnsi="Cambria Math"/>
                    </w:rPr>
                    <m:t>2</m:t>
                  </m:r>
                </m:sup>
              </m:sSup>
            </m:num>
            <m:den>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g</m:t>
                  </m:r>
                </m:sub>
                <m:sup>
                  <m:r>
                    <w:rPr>
                      <w:rFonts w:ascii="Cambria Math" w:eastAsiaTheme="minorEastAsia" w:hAnsi="Cambria Math"/>
                    </w:rPr>
                    <m:t>2</m:t>
                  </m:r>
                </m:sup>
              </m:sSubSup>
            </m:den>
          </m:f>
          <m:r>
            <w:rPr>
              <w:rFonts w:ascii="Cambria Math" w:eastAsiaTheme="minorEastAsia" w:hAnsi="Cambria Math"/>
            </w:rPr>
            <m:t>)+(</m:t>
          </m:r>
          <m:r>
            <m:rPr>
              <m:sty m:val="bi"/>
            </m:rPr>
            <w:rPr>
              <w:rFonts w:ascii="Cambria Math" w:eastAsiaTheme="minorEastAsia" w:hAnsi="Cambria Math"/>
            </w:rPr>
            <m:t>I×</m:t>
          </m:r>
          <m:sSub>
            <m:sSubPr>
              <m:ctrlPr>
                <w:rPr>
                  <w:rFonts w:ascii="Cambria Math" w:eastAsiaTheme="minorEastAsia" w:hAnsi="Cambria Math"/>
                  <w:b/>
                  <w:bCs/>
                  <w:i/>
                </w:rPr>
              </m:ctrlPr>
            </m:sSubPr>
            <m:e>
              <m:r>
                <w:rPr>
                  <w:rFonts w:ascii="Cambria Math" w:eastAsiaTheme="minorEastAsia" w:hAnsi="Cambria Math"/>
                </w:rPr>
                <m:t>τ</m:t>
              </m:r>
            </m:e>
            <m:sub>
              <m:r>
                <w:rPr>
                  <w:rFonts w:ascii="Cambria Math" w:eastAsiaTheme="minorEastAsia" w:hAnsi="Cambria Math"/>
                </w:rPr>
                <m:t>g</m:t>
              </m:r>
            </m:sub>
          </m:sSub>
          <m:r>
            <m:rPr>
              <m:sty m:val="bi"/>
            </m:rPr>
            <w:rPr>
              <w:rFonts w:ascii="Cambria Math" w:eastAsiaTheme="minorEastAsia" w:hAnsi="Cambria Math"/>
            </w:rPr>
            <m:t>)</m:t>
          </m:r>
        </m:oMath>
      </m:oMathPara>
    </w:p>
    <w:p w14:paraId="3DDCC09B" w14:textId="70E79C12" w:rsidR="00AD0989" w:rsidRPr="00A042A1" w:rsidRDefault="00AD0989" w:rsidP="00AD0989">
      <w:r>
        <w:t xml:space="preserve">where </w:t>
      </w:r>
      <m:oMath>
        <m:sSub>
          <m:sSubPr>
            <m:ctrlPr>
              <w:rPr>
                <w:rFonts w:ascii="Cambria Math" w:hAnsi="Cambria Math"/>
                <w:i/>
              </w:rPr>
            </m:ctrlPr>
          </m:sSubPr>
          <m:e>
            <m:r>
              <m:rPr>
                <m:sty m:val="b"/>
              </m:rPr>
              <w:rPr>
                <w:rFonts w:ascii="Cambria Math" w:hAnsi="Cambria Math"/>
              </w:rPr>
              <m:t>Σ</m:t>
            </m:r>
          </m:e>
          <m:sub>
            <m:r>
              <w:rPr>
                <w:rFonts w:ascii="Cambria Math" w:hAnsi="Cambria Math"/>
              </w:rPr>
              <m:t>g</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g</m:t>
            </m:r>
          </m:sub>
        </m:sSub>
      </m:oMath>
      <w:r w:rsidR="00EF0580">
        <w:rPr>
          <w:rFonts w:eastAsiaTheme="minorEastAsia"/>
        </w:rPr>
        <w:t xml:space="preserve">, </w:t>
      </w:r>
      <m:oMath>
        <m:r>
          <m:rPr>
            <m:sty m:val="bi"/>
          </m:rPr>
          <w:rPr>
            <w:rFonts w:ascii="Cambria Math" w:eastAsiaTheme="minorEastAsia" w:hAnsi="Cambria Math"/>
          </w:rPr>
          <m:t>D</m:t>
        </m:r>
      </m:oMath>
      <w:r w:rsidR="00EF0580">
        <w:rPr>
          <w:rFonts w:eastAsiaTheme="minorEastAsia"/>
          <w:bCs/>
        </w:rPr>
        <w:t xml:space="preserve">, and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g</m:t>
            </m:r>
          </m:sub>
        </m:sSub>
      </m:oMath>
      <w:r w:rsidR="00EF0580">
        <w:rPr>
          <w:rFonts w:eastAsiaTheme="minorEastAsia"/>
        </w:rPr>
        <w:t xml:space="preserve"> are as defined for the duff and litter depths model (</w:t>
      </w:r>
      <w:r w:rsidR="00EF0580">
        <w:rPr>
          <w:rFonts w:eastAsiaTheme="minorEastAsia"/>
        </w:rPr>
        <w:fldChar w:fldCharType="begin"/>
      </w:r>
      <w:r w:rsidR="00EF0580">
        <w:rPr>
          <w:rFonts w:eastAsiaTheme="minorEastAsia"/>
        </w:rPr>
        <w:instrText xml:space="preserve"> REF _Ref110938163 \h </w:instrText>
      </w:r>
      <w:r w:rsidR="00EF0580">
        <w:rPr>
          <w:rFonts w:eastAsiaTheme="minorEastAsia"/>
        </w:rPr>
      </w:r>
      <w:r w:rsidR="00EF0580">
        <w:rPr>
          <w:rFonts w:eastAsiaTheme="minorEastAsia"/>
        </w:rPr>
        <w:fldChar w:fldCharType="separate"/>
      </w:r>
      <w:r w:rsidR="00EF0580">
        <w:t xml:space="preserve">Equation </w:t>
      </w:r>
      <w:r w:rsidR="00EF0580">
        <w:rPr>
          <w:noProof/>
        </w:rPr>
        <w:t>4</w:t>
      </w:r>
      <w:r w:rsidR="00EF0580">
        <w:rPr>
          <w:rFonts w:eastAsiaTheme="minorEastAsia"/>
        </w:rPr>
        <w:fldChar w:fldCharType="end"/>
      </w:r>
      <w:r w:rsidR="00EF0580">
        <w:rPr>
          <w:rFonts w:eastAsiaTheme="minorEastAsia"/>
        </w:rPr>
        <w:t xml:space="preserve">). </w:t>
      </w:r>
      <m:oMath>
        <m:r>
          <m:rPr>
            <m:sty m:val="bi"/>
          </m:rPr>
          <w:rPr>
            <w:rFonts w:ascii="Cambria Math" w:eastAsiaTheme="minorEastAsia" w:hAnsi="Cambria Math"/>
          </w:rPr>
          <m:t>I</m:t>
        </m:r>
      </m:oMath>
      <w:r w:rsidR="00EF0580">
        <w:rPr>
          <w:rFonts w:eastAsiaTheme="minorEastAsia"/>
        </w:rPr>
        <w:t xml:space="preserve"> is an </w:t>
      </w:r>
      <m:oMath>
        <m:r>
          <w:rPr>
            <w:rFonts w:ascii="Cambria Math" w:eastAsiaTheme="minorEastAsia" w:hAnsi="Cambria Math"/>
          </w:rPr>
          <m:t>L×L</m:t>
        </m:r>
      </m:oMath>
      <w:r w:rsidR="00EF0580">
        <w:rPr>
          <w:rFonts w:eastAsiaTheme="minorEastAsia"/>
        </w:rPr>
        <w:t xml:space="preserve"> matrix whose entries are 1 on the diagonal and 0 otherwise. The new parameter </w:t>
      </w:r>
      <m:oMath>
        <m:sSub>
          <m:sSubPr>
            <m:ctrlPr>
              <w:rPr>
                <w:rFonts w:ascii="Cambria Math" w:eastAsiaTheme="minorEastAsia" w:hAnsi="Cambria Math"/>
                <w:b/>
                <w:bCs/>
                <w:i/>
              </w:rPr>
            </m:ctrlPr>
          </m:sSubPr>
          <m:e>
            <m:r>
              <w:rPr>
                <w:rFonts w:ascii="Cambria Math" w:eastAsiaTheme="minorEastAsia" w:hAnsi="Cambria Math"/>
              </w:rPr>
              <m:t>τ</m:t>
            </m:r>
          </m:e>
          <m:sub>
            <m:r>
              <w:rPr>
                <w:rFonts w:ascii="Cambria Math" w:eastAsiaTheme="minorEastAsia" w:hAnsi="Cambria Math"/>
              </w:rPr>
              <m:t>g</m:t>
            </m:r>
          </m:sub>
        </m:sSub>
      </m:oMath>
      <w:r w:rsidR="00EF0580">
        <w:rPr>
          <w:rFonts w:eastAsiaTheme="minorEastAsia"/>
        </w:rPr>
        <w:t xml:space="preserve"> is the nugget parameter</w:t>
      </w:r>
      <w:r w:rsidR="00161553">
        <w:rPr>
          <w:rFonts w:eastAsiaTheme="minorEastAsia"/>
        </w:rPr>
        <w:t xml:space="preserve"> for group </w:t>
      </w:r>
      <m:oMath>
        <m:r>
          <w:rPr>
            <w:rFonts w:ascii="Cambria Math" w:eastAsiaTheme="minorEastAsia" w:hAnsi="Cambria Math"/>
          </w:rPr>
          <m:t>g</m:t>
        </m:r>
      </m:oMath>
      <w:r w:rsidR="00EF0580">
        <w:rPr>
          <w:rFonts w:eastAsiaTheme="minorEastAsia"/>
        </w:rPr>
        <w:t xml:space="preserve"> describing additional </w:t>
      </w:r>
      <w:r w:rsidR="00A042A1">
        <w:rPr>
          <w:rFonts w:eastAsiaTheme="minorEastAsia"/>
        </w:rPr>
        <w:t>covariance</w:t>
      </w:r>
      <w:r w:rsidR="00EF0580">
        <w:rPr>
          <w:rFonts w:eastAsiaTheme="minorEastAsia"/>
        </w:rPr>
        <w:t xml:space="preserve"> between samples from the same location, beyond that which would be expected between samples separated by </w:t>
      </w:r>
      <w:proofErr w:type="gramStart"/>
      <w:r w:rsidR="00EF0580">
        <w:rPr>
          <w:rFonts w:eastAsiaTheme="minorEastAsia"/>
        </w:rPr>
        <w:t>a distance of 0</w:t>
      </w:r>
      <w:proofErr w:type="gramEnd"/>
      <w:r w:rsidR="00EF0580">
        <w:rPr>
          <w:rFonts w:eastAsiaTheme="minorEastAsia"/>
        </w:rPr>
        <w:t xml:space="preserve"> m</w:t>
      </w:r>
      <w:r w:rsidR="00A042A1">
        <w:rPr>
          <w:rFonts w:eastAsiaTheme="minorEastAsia"/>
        </w:rPr>
        <w:t xml:space="preserve">. We do not attempt to estimate </w:t>
      </w:r>
      <m:oMath>
        <m:sSub>
          <m:sSubPr>
            <m:ctrlPr>
              <w:rPr>
                <w:rFonts w:ascii="Cambria Math" w:eastAsiaTheme="minorEastAsia" w:hAnsi="Cambria Math"/>
                <w:b/>
                <w:bCs/>
                <w:i/>
              </w:rPr>
            </m:ctrlPr>
          </m:sSubPr>
          <m:e>
            <m:r>
              <w:rPr>
                <w:rFonts w:ascii="Cambria Math" w:eastAsiaTheme="minorEastAsia" w:hAnsi="Cambria Math"/>
              </w:rPr>
              <m:t>τ</m:t>
            </m:r>
          </m:e>
          <m:sub>
            <m:r>
              <w:rPr>
                <w:rFonts w:ascii="Cambria Math" w:eastAsiaTheme="minorEastAsia" w:hAnsi="Cambria Math"/>
              </w:rPr>
              <m:t>g</m:t>
            </m:r>
          </m:sub>
        </m:sSub>
      </m:oMath>
      <w:r w:rsidR="00A042A1">
        <w:rPr>
          <w:rFonts w:eastAsiaTheme="minorEastAsia"/>
        </w:rPr>
        <w:t xml:space="preserve"> for duff and litter depths or coarse woody debris tallies because, with only a single observation per spatial location in those data, it is not possible to distinguish between variation explained by </w:t>
      </w:r>
      <m:oMath>
        <m:sSub>
          <m:sSubPr>
            <m:ctrlPr>
              <w:rPr>
                <w:rFonts w:ascii="Cambria Math" w:eastAsiaTheme="minorEastAsia" w:hAnsi="Cambria Math"/>
                <w:b/>
                <w:bCs/>
                <w:i/>
              </w:rPr>
            </m:ctrlPr>
          </m:sSubPr>
          <m:e>
            <m:r>
              <w:rPr>
                <w:rFonts w:ascii="Cambria Math" w:eastAsiaTheme="minorEastAsia" w:hAnsi="Cambria Math"/>
              </w:rPr>
              <m:t>τ</m:t>
            </m:r>
          </m:e>
          <m:sub>
            <m:r>
              <w:rPr>
                <w:rFonts w:ascii="Cambria Math" w:eastAsiaTheme="minorEastAsia" w:hAnsi="Cambria Math"/>
              </w:rPr>
              <m:t>g</m:t>
            </m:r>
          </m:sub>
        </m:sSub>
      </m:oMath>
      <w:r w:rsidR="00A042A1">
        <w:rPr>
          <w:rFonts w:eastAsiaTheme="minorEastAsia"/>
        </w:rPr>
        <w:t xml:space="preserve"> and residual variation</w:t>
      </w:r>
      <w:r w:rsidR="00161553">
        <w:rPr>
          <w:rFonts w:eastAsiaTheme="minorEastAsia"/>
        </w:rPr>
        <w:t xml:space="preserve"> explain</w:t>
      </w:r>
      <w:r w:rsidR="001B69FB">
        <w:rPr>
          <w:rFonts w:eastAsiaTheme="minorEastAsia"/>
        </w:rPr>
        <w:t xml:space="preserve">ed by the parameter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g</m:t>
            </m:r>
          </m:sub>
        </m:sSub>
      </m:oMath>
      <w:r w:rsidR="00A042A1">
        <w:rPr>
          <w:rFonts w:eastAsiaTheme="minorEastAsia"/>
        </w:rPr>
        <w:t xml:space="preserve">. </w:t>
      </w:r>
    </w:p>
    <w:p w14:paraId="12BE9DCF" w14:textId="3DE95D97" w:rsidR="00AA1241" w:rsidRDefault="00AA1241" w:rsidP="00AA1241">
      <w:pPr>
        <w:pStyle w:val="Heading3"/>
      </w:pPr>
      <w:r>
        <w:t>Fine woody debris diameters</w:t>
      </w:r>
    </w:p>
    <w:p w14:paraId="3CB8512F" w14:textId="1E5A3D93" w:rsidR="001A78DE" w:rsidRDefault="001A78DE" w:rsidP="001A78DE">
      <w:r>
        <w:tab/>
        <w:t>The diameters of individual particles of fine woody debris are modeled using a</w:t>
      </w:r>
      <w:r w:rsidR="00681705">
        <w:t xml:space="preserve"> truncated</w:t>
      </w:r>
      <w:r>
        <w:t xml:space="preserve"> inverse gamma distribution:</w:t>
      </w:r>
    </w:p>
    <w:p w14:paraId="228DEBED" w14:textId="788BB828" w:rsidR="001A78DE" w:rsidRPr="001A78DE" w:rsidRDefault="00000000" w:rsidP="001A78DE">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eastAsiaTheme="minorEastAsia" w:hAnsi="Cambria Math"/>
            </w:rPr>
            <m:t>T[,7.55]</m:t>
          </m:r>
        </m:oMath>
      </m:oMathPara>
    </w:p>
    <w:p w14:paraId="71A25F0C" w14:textId="64D25253" w:rsidR="001A78DE" w:rsidRDefault="001A78DE" w:rsidP="001A78DE">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is the diameter (in centimeters) of particle </w:t>
      </w:r>
      <m:oMath>
        <m:r>
          <w:rPr>
            <w:rFonts w:ascii="Cambria Math" w:eastAsiaTheme="minorEastAsia" w:hAnsi="Cambria Math"/>
          </w:rPr>
          <m:t>i</m:t>
        </m:r>
      </m:oMath>
      <w:r w:rsidR="00681705">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&lt;7.55</m:t>
        </m:r>
      </m:oMath>
      <w:r w:rsidR="00681705">
        <w:rPr>
          <w:rFonts w:eastAsiaTheme="minorEastAsia"/>
        </w:rPr>
        <w:t xml:space="preserve"> </w:t>
      </w:r>
      <w:r w:rsidR="00142EE8">
        <w:rPr>
          <w:rFonts w:eastAsiaTheme="minorEastAsia"/>
        </w:rPr>
        <w:t xml:space="preserve">cm </w:t>
      </w:r>
      <w:r w:rsidR="00681705">
        <w:rPr>
          <w:rFonts w:eastAsiaTheme="minorEastAsia"/>
        </w:rPr>
        <w:t>per the definition of fine woody debris)</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m:t>
            </m:r>
          </m:sub>
        </m:sSub>
      </m:oMath>
      <w:r w:rsidR="00681705">
        <w:rPr>
          <w:rFonts w:eastAsiaTheme="minorEastAsia"/>
        </w:rPr>
        <w:t xml:space="preserve"> is the shape parameter for the inverse gamma distribution for observation </w:t>
      </w:r>
      <m:oMath>
        <m:r>
          <w:rPr>
            <w:rFonts w:ascii="Cambria Math" w:eastAsiaTheme="minorEastAsia" w:hAnsi="Cambria Math"/>
          </w:rPr>
          <m:t>i</m:t>
        </m:r>
      </m:oMath>
      <w:r w:rsidR="00681705">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oMath>
      <w:r w:rsidR="00261A72">
        <w:rPr>
          <w:rFonts w:eastAsiaTheme="minorEastAsia"/>
        </w:rPr>
        <w:t xml:space="preserve"> is the rate parameter for the inverse gamma distribution for observation </w:t>
      </w:r>
      <m:oMath>
        <m:r>
          <w:rPr>
            <w:rFonts w:ascii="Cambria Math" w:eastAsiaTheme="minorEastAsia" w:hAnsi="Cambria Math"/>
          </w:rPr>
          <m:t>i</m:t>
        </m:r>
      </m:oMath>
      <w:r w:rsidR="00261A72">
        <w:rPr>
          <w:rFonts w:eastAsiaTheme="minorEastAsia"/>
        </w:rPr>
        <w:t xml:space="preserve">. </w:t>
      </w:r>
      <w:r w:rsidR="00C6244B">
        <w:rPr>
          <w:rFonts w:eastAsiaTheme="minorEastAsia"/>
        </w:rPr>
        <w:t xml:space="preserve">Initial testing revealed that the HMC algorithm used for parameter estimation performed better when we modeled group effects on particle size distribution using the mean/precision parameterization for the inverse gamma described by Bourguignon (2020), which gives a mean parameter </w:t>
      </w:r>
      <m:oMath>
        <m:r>
          <w:rPr>
            <w:rFonts w:ascii="Cambria Math" w:eastAsiaTheme="minorEastAsia" w:hAnsi="Cambria Math"/>
          </w:rPr>
          <m:t>μ</m:t>
        </m:r>
      </m:oMath>
      <w:r w:rsidR="00C6244B">
        <w:rPr>
          <w:rFonts w:eastAsiaTheme="minorEastAsia"/>
        </w:rPr>
        <w:t xml:space="preserve"> and a precision parameter </w:t>
      </w:r>
      <m:oMath>
        <m:r>
          <w:rPr>
            <w:rFonts w:ascii="Cambria Math" w:eastAsiaTheme="minorEastAsia" w:hAnsi="Cambria Math"/>
          </w:rPr>
          <m:t>ϕ</m:t>
        </m:r>
      </m:oMath>
      <w:r w:rsidR="00430D67">
        <w:rPr>
          <w:rFonts w:eastAsiaTheme="minorEastAsia"/>
        </w:rPr>
        <w:t>. These</w:t>
      </w:r>
      <w:r w:rsidR="00C6244B">
        <w:rPr>
          <w:rFonts w:eastAsiaTheme="minorEastAsia"/>
        </w:rPr>
        <w:t xml:space="preserve"> are related to </w:t>
      </w:r>
      <m:oMath>
        <m:r>
          <w:rPr>
            <w:rFonts w:ascii="Cambria Math" w:eastAsiaTheme="minorEastAsia" w:hAnsi="Cambria Math"/>
          </w:rPr>
          <m:t>γ</m:t>
        </m:r>
      </m:oMath>
      <w:r w:rsidR="00430D67">
        <w:rPr>
          <w:rFonts w:eastAsiaTheme="minorEastAsia"/>
        </w:rPr>
        <w:t xml:space="preserve"> and </w:t>
      </w:r>
      <m:oMath>
        <m:r>
          <w:rPr>
            <w:rFonts w:ascii="Cambria Math" w:eastAsiaTheme="minorEastAsia" w:hAnsi="Cambria Math"/>
          </w:rPr>
          <m:t>δ</m:t>
        </m:r>
      </m:oMath>
      <w:r w:rsidR="00430D67">
        <w:rPr>
          <w:rFonts w:eastAsiaTheme="minorEastAsia"/>
        </w:rPr>
        <w:t xml:space="preserve"> by the equations</w:t>
      </w:r>
    </w:p>
    <w:p w14:paraId="42CB1366" w14:textId="1F65325F" w:rsidR="00430D67" w:rsidRPr="00430D67" w:rsidRDefault="00000000" w:rsidP="001A78DE">
      <w:pPr>
        <w:rPr>
          <w:rFonts w:eastAsiaTheme="minorEastAsia"/>
        </w:rPr>
      </w:pPr>
      <m:oMathPara>
        <m:oMath>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+2</m:t>
          </m:r>
        </m:oMath>
      </m:oMathPara>
    </w:p>
    <w:p w14:paraId="3EBD0598" w14:textId="267321D7" w:rsidR="00430D67" w:rsidRDefault="00430D67" w:rsidP="001A78DE">
      <w:pPr>
        <w:rPr>
          <w:rFonts w:eastAsiaTheme="minorEastAsia"/>
        </w:rPr>
      </w:pPr>
      <w:r>
        <w:rPr>
          <w:rFonts w:eastAsiaTheme="minorEastAsia"/>
        </w:rPr>
        <w:t>and</w:t>
      </w:r>
    </w:p>
    <w:p w14:paraId="3C89DFA2" w14:textId="4D6D58EC" w:rsidR="00430D67" w:rsidRPr="00430D67" w:rsidRDefault="00000000" w:rsidP="001A78D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i</m:t>
              </m:r>
            </m:sub>
          </m:sSub>
          <m:r>
            <w:rPr>
              <w:rFonts w:ascii="Cambria Math" w:eastAsiaTheme="minorEastAsia" w:hAnsi="Cambria Math"/>
            </w:rPr>
            <m:t>)</m:t>
          </m:r>
        </m:oMath>
      </m:oMathPara>
    </w:p>
    <w:p w14:paraId="674CFE5B" w14:textId="45DB35A6" w:rsidR="00430D67" w:rsidRDefault="00430D67" w:rsidP="001A78DE">
      <w:pPr>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Pr>
          <w:rFonts w:eastAsiaTheme="minorEastAsia"/>
        </w:rPr>
        <w:t xml:space="preserve"> is the mean of the inverse gamma distribution for observation </w:t>
      </w:r>
      <m:oMath>
        <m:r>
          <w:rPr>
            <w:rFonts w:ascii="Cambria Math" w:eastAsiaTheme="minorEastAsia" w:hAnsi="Cambria Math"/>
          </w:rPr>
          <m:t>i</m:t>
        </m:r>
      </m:oMath>
      <w:r w:rsidR="002A6CD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i</m:t>
            </m:r>
          </m:sub>
        </m:sSub>
      </m:oMath>
      <w:r w:rsidR="002A6CDF">
        <w:rPr>
          <w:rFonts w:eastAsiaTheme="minorEastAsia"/>
        </w:rPr>
        <w:t xml:space="preserve"> is the precision for observation </w:t>
      </w:r>
      <m:oMath>
        <m:r>
          <w:rPr>
            <w:rFonts w:ascii="Cambria Math" w:eastAsiaTheme="minorEastAsia" w:hAnsi="Cambria Math"/>
          </w:rPr>
          <m:t>i</m:t>
        </m:r>
      </m:oMath>
      <w:r w:rsidR="002A6CDF">
        <w:rPr>
          <w:rFonts w:eastAsiaTheme="minorEastAsia"/>
        </w:rPr>
        <w:t xml:space="preserve">, with </w:t>
      </w:r>
      <w:proofErr w:type="gramStart"/>
      <m:oMath>
        <m:r>
          <m:rPr>
            <m:nor/>
          </m:rPr>
          <w:rPr>
            <w:rFonts w:ascii="Cambria Math" w:eastAsiaTheme="minorEastAsia" w:hAnsi="Cambria Math"/>
          </w:rPr>
          <m:t>E[</m:t>
        </m:r>
        <w:proofErr w:type="gramEnd"/>
        <m:r>
          <w:rPr>
            <w:rFonts w:ascii="Cambria Math" w:eastAsiaTheme="minorEastAsia" w:hAnsi="Cambria Math"/>
          </w:rPr>
          <m:t>Y</m:t>
        </m:r>
        <m:r>
          <m:rPr>
            <m:nor/>
          </m:rPr>
          <w:rPr>
            <w:rFonts w:ascii="Cambria Math" w:eastAsiaTheme="minorEastAsia" w:hAnsi="Cambria Math"/>
          </w:rPr>
          <m:t>]</m:t>
        </m:r>
        <m:r>
          <w:rPr>
            <w:rFonts w:ascii="Cambria Math" w:eastAsiaTheme="minorEastAsia" w:hAnsi="Cambria Math"/>
          </w:rPr>
          <m:t>= μ</m:t>
        </m:r>
      </m:oMath>
      <w:r w:rsidR="002A6CDF">
        <w:rPr>
          <w:rFonts w:eastAsiaTheme="minorEastAsia"/>
        </w:rPr>
        <w:t xml:space="preserve"> and </w:t>
      </w:r>
      <m:oMath>
        <m:r>
          <m:rPr>
            <m:nor/>
          </m:rPr>
          <w:rPr>
            <w:rFonts w:ascii="Cambria Math" w:eastAsiaTheme="minorEastAsia" w:hAnsi="Cambria Math"/>
          </w:rPr>
          <m:t>Var[</m:t>
        </m:r>
        <m:r>
          <w:rPr>
            <w:rFonts w:ascii="Cambria Math" w:eastAsiaTheme="minorEastAsia" w:hAnsi="Cambria Math"/>
          </w:rPr>
          <m:t xml:space="preserve">Y]=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2</m:t>
                </m:r>
              </m:sup>
            </m:sSup>
          </m:num>
          <m:den>
            <m:r>
              <w:rPr>
                <w:rFonts w:ascii="Cambria Math" w:eastAsiaTheme="minorEastAsia" w:hAnsi="Cambria Math"/>
              </w:rPr>
              <m:t>ϕ</m:t>
            </m:r>
          </m:den>
        </m:f>
      </m:oMath>
      <w:r w:rsidR="002A6CDF">
        <w:rPr>
          <w:rFonts w:eastAsiaTheme="minorEastAsia"/>
        </w:rPr>
        <w:t xml:space="preserve">. </w:t>
      </w:r>
    </w:p>
    <w:p w14:paraId="05A601F7" w14:textId="36932840" w:rsidR="002A6CDF" w:rsidRDefault="002A6CDF" w:rsidP="001A78DE">
      <w:pPr>
        <w:rPr>
          <w:rFonts w:eastAsiaTheme="minorEastAsia"/>
        </w:rPr>
      </w:pPr>
      <w:r>
        <w:rPr>
          <w:rFonts w:eastAsiaTheme="minorEastAsia"/>
        </w:rPr>
        <w:tab/>
        <w:t xml:space="preserve">The mean for observation </w:t>
      </w:r>
      <m:oMath>
        <m:r>
          <w:rPr>
            <w:rFonts w:ascii="Cambria Math" w:eastAsiaTheme="minorEastAsia" w:hAnsi="Cambria Math"/>
          </w:rPr>
          <m:t>i</m:t>
        </m:r>
      </m:oMath>
      <w:r>
        <w:rPr>
          <w:rFonts w:eastAsiaTheme="minorEastAsia"/>
        </w:rPr>
        <w:t xml:space="preserve"> is given by a linear function with a log link:</w:t>
      </w:r>
    </w:p>
    <w:p w14:paraId="5EA55E5B" w14:textId="1CA71995" w:rsidR="002A6CDF" w:rsidRPr="00B66F82" w:rsidRDefault="002A6CDF" w:rsidP="001A78DE">
      <w:pPr>
        <w:rPr>
          <w:rFonts w:eastAsiaTheme="minorEastAsia"/>
        </w:rPr>
      </w:pPr>
      <m:oMathPara>
        <m:oMath>
          <m:r>
            <m:rPr>
              <m:nor/>
            </m:rPr>
            <w:rPr>
              <w:rFonts w:ascii="Cambria Math" w:hAnsi="Cambria Math"/>
            </w:rPr>
            <m:t>log(</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t[i]</m:t>
              </m:r>
            </m:sub>
          </m:sSub>
        </m:oMath>
      </m:oMathPara>
    </w:p>
    <w:p w14:paraId="555FB972" w14:textId="263E24E5" w:rsidR="002A54C6" w:rsidRPr="00EC56FC" w:rsidRDefault="00B66F82" w:rsidP="001A78DE">
      <w:pPr>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rPr>
          <w:rFonts w:eastAsiaTheme="minorEastAsia"/>
        </w:rPr>
        <w:t xml:space="preserve"> is the intercept for group </w:t>
      </w:r>
      <m:oMath>
        <m:r>
          <w:rPr>
            <w:rFonts w:ascii="Cambria Math" w:eastAsiaTheme="minorEastAsia" w:hAnsi="Cambria Math"/>
          </w:rPr>
          <m:t>g[i]</m:t>
        </m:r>
      </m:oMath>
      <w:r>
        <w:rPr>
          <w:rFonts w:eastAsiaTheme="minor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rPr>
          <w:rFonts w:eastAsiaTheme="minorEastAsia"/>
        </w:rPr>
        <w:t xml:space="preserve"> is a normally distributed plot random effect for plot </w:t>
      </w:r>
      <m:oMath>
        <m:r>
          <w:rPr>
            <w:rFonts w:ascii="Cambria Math" w:eastAsiaTheme="minorEastAsia" w:hAnsi="Cambria Math"/>
          </w:rPr>
          <m:t>p[i]</m:t>
        </m:r>
      </m:oMath>
      <w:r>
        <w:rPr>
          <w:rFonts w:eastAsiaTheme="minorEastAsia"/>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t[i]</m:t>
            </m:r>
          </m:sub>
        </m:sSub>
      </m:oMath>
      <w:r>
        <w:rPr>
          <w:rFonts w:eastAsiaTheme="minorEastAsia"/>
        </w:rPr>
        <w:t xml:space="preserve"> is a normally distributed transect random effect for transect </w:t>
      </w:r>
      <m:oMath>
        <m:r>
          <w:rPr>
            <w:rFonts w:ascii="Cambria Math" w:eastAsiaTheme="minorEastAsia" w:hAnsi="Cambria Math"/>
          </w:rPr>
          <m:t>t[i]</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r>
          <m:rPr>
            <m:nor/>
          </m:rPr>
          <w:rPr>
            <w:rFonts w:ascii="Cambria Math" w:eastAsiaTheme="minorEastAsia" w:hAnsi="Cambria Math"/>
          </w:rPr>
          <m:t>Normal(</m:t>
        </m:r>
        <m:r>
          <w:rPr>
            <w:rFonts w:ascii="Cambria Math" w:eastAsiaTheme="minorEastAsia" w:hAnsi="Cambria Math"/>
          </w:rPr>
          <m:t xml:space="preserve">0, </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g[p]</m:t>
            </m:r>
          </m:sub>
          <m:sup>
            <m:r>
              <w:rPr>
                <w:rFonts w:ascii="Cambria Math" w:eastAsiaTheme="minorEastAsia" w:hAnsi="Cambria Math"/>
              </w:rPr>
              <m:t>PLOT</m:t>
            </m:r>
          </m:sup>
        </m:sSubSup>
        <m:r>
          <w:rPr>
            <w:rFonts w:ascii="Cambria Math" w:eastAsiaTheme="minorEastAsia" w:hAnsi="Cambria Math"/>
          </w:rPr>
          <m:t>)</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m:t>
            </m:r>
          </m:sub>
        </m:sSub>
        <m:r>
          <w:rPr>
            <w:rFonts w:ascii="Cambria Math" w:eastAsiaTheme="minorEastAsia" w:hAnsi="Cambria Math"/>
          </w:rPr>
          <m:t>~</m:t>
        </m:r>
        <m:r>
          <m:rPr>
            <m:nor/>
          </m:rPr>
          <w:rPr>
            <w:rFonts w:ascii="Cambria Math" w:eastAsiaTheme="minorEastAsia" w:hAnsi="Cambria Math"/>
          </w:rPr>
          <m:t>Normal</m:t>
        </m:r>
        <m:r>
          <w:rPr>
            <w:rFonts w:ascii="Cambria Math" w:eastAsiaTheme="minorEastAsia" w:hAnsi="Cambria Math"/>
          </w:rPr>
          <m:t xml:space="preserve">(0, </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g</m:t>
            </m:r>
            <m:d>
              <m:dPr>
                <m:begChr m:val="["/>
                <m:endChr m:val="]"/>
                <m:ctrlPr>
                  <w:rPr>
                    <w:rFonts w:ascii="Cambria Math" w:eastAsiaTheme="minorEastAsia" w:hAnsi="Cambria Math"/>
                    <w:i/>
                  </w:rPr>
                </m:ctrlPr>
              </m:dPr>
              <m:e>
                <m:r>
                  <w:rPr>
                    <w:rFonts w:ascii="Cambria Math" w:eastAsiaTheme="minorEastAsia" w:hAnsi="Cambria Math"/>
                  </w:rPr>
                  <m:t>t</m:t>
                </m:r>
              </m:e>
            </m:d>
          </m:sub>
          <m:sup>
            <m:r>
              <w:rPr>
                <w:rFonts w:ascii="Cambria Math" w:eastAsiaTheme="minorEastAsia" w:hAnsi="Cambria Math"/>
              </w:rPr>
              <m:t>TRANSECT</m:t>
            </m:r>
          </m:sup>
        </m:sSubSup>
        <m:r>
          <w:rPr>
            <w:rFonts w:ascii="Cambria Math" w:eastAsiaTheme="minorEastAsia" w:hAnsi="Cambria Math"/>
          </w:rPr>
          <m:t>)</m:t>
        </m:r>
      </m:oMath>
      <w:r w:rsidR="007F310A">
        <w:rPr>
          <w:rFonts w:eastAsiaTheme="minorEastAsia"/>
        </w:rPr>
        <w:t xml:space="preserve">. </w:t>
      </w:r>
      <w:r w:rsidR="00C94DF5">
        <w:rPr>
          <w:rFonts w:eastAsiaTheme="minorEastAsia"/>
        </w:rPr>
        <w:t xml:space="preserve">The precision for observation </w:t>
      </w:r>
      <m:oMath>
        <m:r>
          <w:rPr>
            <w:rFonts w:ascii="Cambria Math" w:eastAsiaTheme="minorEastAsia" w:hAnsi="Cambria Math"/>
          </w:rPr>
          <m:t>i</m:t>
        </m:r>
      </m:oMath>
      <w:r w:rsidR="00C94DF5">
        <w:rPr>
          <w:rFonts w:eastAsiaTheme="minorEastAsia"/>
        </w:rPr>
        <w:t xml:space="preserve"> </w:t>
      </w:r>
      <w:r w:rsidR="002A54C6">
        <w:rPr>
          <w:rFonts w:eastAsiaTheme="minorEastAsia"/>
        </w:rPr>
        <w:t xml:space="preserve">simply varies according to the group </w:t>
      </w:r>
      <m:oMath>
        <m:r>
          <w:rPr>
            <w:rFonts w:ascii="Cambria Math" w:eastAsiaTheme="minorEastAsia" w:hAnsi="Cambria Math"/>
          </w:rPr>
          <m:t>g[i]</m:t>
        </m:r>
      </m:oMath>
      <w:r w:rsidR="002A54C6">
        <w:rPr>
          <w:rFonts w:eastAsiaTheme="minorEastAsia"/>
        </w:rPr>
        <w:t xml:space="preserve"> containing observation </w:t>
      </w:r>
      <m:oMath>
        <m:r>
          <w:rPr>
            <w:rFonts w:ascii="Cambria Math" w:eastAsiaTheme="minorEastAsia" w:hAnsi="Cambria Math"/>
          </w:rPr>
          <m:t>i</m:t>
        </m:r>
      </m:oMath>
      <w:r w:rsidR="00C94DF5">
        <w:rPr>
          <w:rFonts w:eastAsiaTheme="minorEastAsia"/>
        </w:rPr>
        <w:t>:</w:t>
      </w:r>
      <w:r w:rsidR="002A54C6">
        <w:rPr>
          <w:rFonts w:eastAsiaTheme="minorEastAsia"/>
        </w:rPr>
        <w:t xml:space="preserve">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g[i]</m:t>
            </m:r>
          </m:sub>
        </m:sSub>
      </m:oMath>
      <w:r w:rsidR="002A54C6">
        <w:rPr>
          <w:rFonts w:eastAsiaTheme="minorEastAsia"/>
        </w:rPr>
        <w:t xml:space="preserve">. </w:t>
      </w:r>
    </w:p>
    <w:p w14:paraId="0070D3E1" w14:textId="3027B28B" w:rsidR="00AA1241" w:rsidRDefault="00AA1241" w:rsidP="00AA1241">
      <w:pPr>
        <w:pStyle w:val="Heading3"/>
      </w:pPr>
      <w:r>
        <w:t>Coarse woody debris tallies</w:t>
      </w:r>
    </w:p>
    <w:p w14:paraId="08AB8D4B" w14:textId="391A2CF9" w:rsidR="00CC1A44" w:rsidRDefault="00CC1A44" w:rsidP="00C64994">
      <w:r>
        <w:tab/>
        <w:t xml:space="preserve">Existing literature describing the spatial pattern of coarse woody debris loading both assumed (by the sampling design) and found a coarser scale of spatial autocorrelation for this fuel component, with range values from 22-157 m (CITE KEANE 2012). </w:t>
      </w:r>
      <w:r w:rsidR="00EC56FC">
        <w:t xml:space="preserve">The objective for this study is to understand fine </w:t>
      </w:r>
      <w:r w:rsidR="00EC56FC">
        <w:lastRenderedPageBreak/>
        <w:t xml:space="preserve">scale autocorrelation, so both the sampling design and the statistical analysis were designed to detect spatial autocorrelation in the number of coarse woody debris particles at ranges from 1-60 </w:t>
      </w:r>
      <w:proofErr w:type="gramStart"/>
      <w:r w:rsidR="00EC56FC">
        <w:t>m .</w:t>
      </w:r>
      <w:proofErr w:type="gramEnd"/>
      <w:r w:rsidR="00EC56FC">
        <w:t xml:space="preserve"> Coarser scale heterogeneity within a drought mortality level is captured by a plot random effect, which is aspatial. The sampling design used here (with only seven plots per group and no explicit spatial consideration in the location of plots on the landscape) is not conducive to analysis of </w:t>
      </w:r>
      <w:proofErr w:type="gramStart"/>
      <w:r w:rsidR="00EC56FC">
        <w:t>coarser</w:t>
      </w:r>
      <w:proofErr w:type="gramEnd"/>
      <w:r w:rsidR="00EC56FC">
        <w:t xml:space="preserve"> (between-plot) spatial variation, though this is an important topic for future research. </w:t>
      </w:r>
    </w:p>
    <w:p w14:paraId="3C3C26BF" w14:textId="19D7A7F9" w:rsidR="00EC56FC" w:rsidRDefault="00EC56FC" w:rsidP="00C64994">
      <w:r>
        <w:tab/>
        <w:t xml:space="preserve">The model for coarse woody debris tallies is </w:t>
      </w:r>
      <w:proofErr w:type="gramStart"/>
      <w:r>
        <w:t>similar to</w:t>
      </w:r>
      <w:proofErr w:type="gramEnd"/>
      <w:r>
        <w:t xml:space="preserve"> the model for duff or litter depths, with two main exceptions</w:t>
      </w:r>
      <w:r w:rsidR="00502747">
        <w:t>. First, the response variable is Poisson distributed:</w:t>
      </w:r>
    </w:p>
    <w:p w14:paraId="0EF57620" w14:textId="0812E5F0" w:rsidR="00502747" w:rsidRPr="00974B18" w:rsidRDefault="00000000" w:rsidP="00502747">
      <w:pPr>
        <w:rPr>
          <w:rFonts w:eastAsiaTheme="minorEastAsia"/>
        </w:rPr>
      </w:pPr>
      <m:oMathPara>
        <m:oMath>
          <m:sSub>
            <m:sSubPr>
              <m:ctrlPr>
                <w:rPr>
                  <w:rFonts w:ascii="Cambria Math" w:hAnsi="Cambria Math"/>
                  <w:i/>
                </w:rPr>
              </m:ctrlPr>
            </m:sSubPr>
            <m:e>
              <m:r>
                <m:rPr>
                  <m:sty m:val="bi"/>
                </m:rP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Poisson</m:t>
          </m:r>
          <m:r>
            <w:rPr>
              <w:rFonts w:ascii="Cambria Math" w:hAnsi="Cambria Math"/>
            </w:rPr>
            <m:t>(</m:t>
          </m:r>
          <m:sSub>
            <m:sSubPr>
              <m:ctrlPr>
                <w:rPr>
                  <w:rFonts w:ascii="Cambria Math" w:hAnsi="Cambria Math"/>
                  <w:i/>
                </w:rPr>
              </m:ctrlPr>
            </m:sSubPr>
            <m:e>
              <m:r>
                <m:rPr>
                  <m:sty m:val="bi"/>
                </m:rPr>
                <w:rPr>
                  <w:rFonts w:ascii="Cambria Math" w:hAnsi="Cambria Math"/>
                </w:rPr>
                <m:t>μ</m:t>
              </m:r>
            </m:e>
            <m:sub>
              <m:r>
                <w:rPr>
                  <w:rFonts w:ascii="Cambria Math" w:hAnsi="Cambria Math"/>
                </w:rPr>
                <m:t>i</m:t>
              </m:r>
            </m:sub>
          </m:sSub>
          <m:r>
            <w:rPr>
              <w:rFonts w:ascii="Cambria Math" w:hAnsi="Cambria Math"/>
            </w:rPr>
            <m:t>)</m:t>
          </m:r>
        </m:oMath>
      </m:oMathPara>
    </w:p>
    <w:p w14:paraId="3652F519" w14:textId="77777777" w:rsidR="004C1BA1" w:rsidRDefault="00502747" w:rsidP="00C64994">
      <w:pPr>
        <w:rPr>
          <w:rFonts w:eastAsiaTheme="minorEastAsia"/>
        </w:rPr>
      </w:pPr>
      <w:r>
        <w:t xml:space="preserve">where </w:t>
      </w:r>
      <m:oMath>
        <m:sSub>
          <m:sSubPr>
            <m:ctrlPr>
              <w:rPr>
                <w:rFonts w:ascii="Cambria Math" w:hAnsi="Cambria Math"/>
                <w:i/>
              </w:rPr>
            </m:ctrlPr>
          </m:sSubPr>
          <m:e>
            <m:r>
              <m:rPr>
                <m:sty m:val="bi"/>
              </m:rPr>
              <w:rPr>
                <w:rFonts w:ascii="Cambria Math" w:hAnsi="Cambria Math"/>
              </w:rPr>
              <m:t>Y</m:t>
            </m:r>
          </m:e>
          <m:sub>
            <m:r>
              <w:rPr>
                <w:rFonts w:ascii="Cambria Math" w:hAnsi="Cambria Math"/>
              </w:rPr>
              <m:t>i</m:t>
            </m:r>
          </m:sub>
        </m:sSub>
      </m:oMath>
      <w:r>
        <w:rPr>
          <w:rFonts w:eastAsiaTheme="minorEastAsia"/>
        </w:rPr>
        <w:t xml:space="preserve"> is the count of coarse woody debris particles on the </w:t>
      </w:r>
      <m:oMath>
        <m:r>
          <w:rPr>
            <w:rFonts w:ascii="Cambria Math" w:eastAsiaTheme="minorEastAsia" w:hAnsi="Cambria Math"/>
          </w:rPr>
          <m:t>i</m:t>
        </m:r>
      </m:oMath>
      <w:r>
        <w:rPr>
          <w:rFonts w:eastAsiaTheme="minorEastAsia"/>
        </w:rPr>
        <w:t xml:space="preserve">th 1 m subtransect and </w:t>
      </w:r>
      <m:oMath>
        <m:sSub>
          <m:sSubPr>
            <m:ctrlPr>
              <w:rPr>
                <w:rFonts w:ascii="Cambria Math" w:hAnsi="Cambria Math"/>
                <w:i/>
              </w:rPr>
            </m:ctrlPr>
          </m:sSubPr>
          <m:e>
            <m:r>
              <m:rPr>
                <m:sty m:val="bi"/>
              </m:rPr>
              <w:rPr>
                <w:rFonts w:ascii="Cambria Math" w:hAnsi="Cambria Math"/>
              </w:rPr>
              <m:t>μ</m:t>
            </m:r>
          </m:e>
          <m:sub>
            <m:r>
              <w:rPr>
                <w:rFonts w:ascii="Cambria Math" w:hAnsi="Cambria Math"/>
              </w:rPr>
              <m:t>i</m:t>
            </m:r>
          </m:sub>
        </m:sSub>
      </m:oMath>
      <w:r>
        <w:rPr>
          <w:rFonts w:eastAsiaTheme="minorEastAsia"/>
        </w:rPr>
        <w:t xml:space="preserve"> is the mean density of coarse woody debris particles for that obse</w:t>
      </w:r>
      <w:proofErr w:type="spellStart"/>
      <w:r>
        <w:rPr>
          <w:rFonts w:eastAsiaTheme="minorEastAsia"/>
        </w:rPr>
        <w:t>rvation</w:t>
      </w:r>
      <w:proofErr w:type="spellEnd"/>
      <w:r>
        <w:rPr>
          <w:rFonts w:eastAsiaTheme="minorEastAsia"/>
        </w:rPr>
        <w:t xml:space="preserve">. The Poisson distribution was selected as the response distribution because a negative binomial distribution consistently resulted in divergent transitions when estimating parameters using HMC. </w:t>
      </w:r>
    </w:p>
    <w:p w14:paraId="4BBA52B5" w14:textId="51AEB497" w:rsidR="00502747" w:rsidRDefault="00C866A6" w:rsidP="004C1BA1">
      <w:pPr>
        <w:ind w:firstLine="720"/>
        <w:rPr>
          <w:rFonts w:eastAsiaTheme="minorEastAsia"/>
        </w:rPr>
      </w:pPr>
      <w:r>
        <w:rPr>
          <w:rFonts w:eastAsiaTheme="minorEastAsia"/>
        </w:rPr>
        <w:t>The second difference is the inclusion of a transect random effect in the linear predictor:</w:t>
      </w:r>
    </w:p>
    <w:p w14:paraId="2B9B1023" w14:textId="67C336AF" w:rsidR="00C866A6" w:rsidRPr="00D14C7A" w:rsidRDefault="00000000" w:rsidP="00C866A6">
      <w:pPr>
        <w:rPr>
          <w:rFonts w:eastAsiaTheme="minorEastAsia"/>
        </w:rPr>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m:rPr>
                      <m:sty m:val="bi"/>
                    </m:rP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m:rPr>
                      <m:sty m:val="bi"/>
                    </m:rP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t[i]</m:t>
                  </m:r>
                </m:sub>
              </m:sSub>
            </m:e>
          </m:func>
        </m:oMath>
      </m:oMathPara>
    </w:p>
    <w:p w14:paraId="0F6F2EB5" w14:textId="105616A0" w:rsidR="00C866A6" w:rsidRPr="004C1BA1" w:rsidRDefault="00C866A6" w:rsidP="004C1BA1">
      <w:pPr>
        <w:rPr>
          <w:rFonts w:eastAsiaTheme="minorEastAsia"/>
        </w:rPr>
      </w:pPr>
      <w:r>
        <w:t xml:space="preserve">where </w:t>
      </w:r>
      <m:oMath>
        <m:sSub>
          <m:sSubPr>
            <m:ctrlPr>
              <w:rPr>
                <w:rFonts w:ascii="Cambria Math" w:hAnsi="Cambria Math"/>
                <w:i/>
              </w:rPr>
            </m:ctrlPr>
          </m:sSubPr>
          <m:e>
            <m:r>
              <m:rPr>
                <m:sty m:val="bi"/>
              </m:rPr>
              <w:rPr>
                <w:rFonts w:ascii="Cambria Math" w:hAnsi="Cambria Math"/>
              </w:rPr>
              <m:t>μ</m:t>
            </m:r>
          </m:e>
          <m:sub>
            <m:r>
              <w:rPr>
                <w:rFonts w:ascii="Cambria Math" w:hAnsi="Cambria Math"/>
              </w:rPr>
              <m:t>i</m:t>
            </m:r>
          </m:sub>
        </m:sSub>
      </m:oMath>
      <w:r w:rsidR="005D0423">
        <w:rPr>
          <w:rFonts w:eastAsiaTheme="minorEastAsia"/>
        </w:rPr>
        <w:t xml:space="preserve"> is the mean density of coarse woody debris particles on observation </w:t>
      </w:r>
      <m:oMath>
        <m:r>
          <w:rPr>
            <w:rFonts w:ascii="Cambria Math" w:eastAsiaTheme="minorEastAsia" w:hAnsi="Cambria Math"/>
          </w:rPr>
          <m:t>i</m:t>
        </m:r>
      </m:oMath>
      <w:r>
        <w:rPr>
          <w:rFonts w:eastAsiaTheme="minor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rsidR="005D0423">
        <w:rPr>
          <w:rFonts w:eastAsiaTheme="minorEastAsia"/>
        </w:rPr>
        <w:t xml:space="preserve"> is the intercept for group </w:t>
      </w:r>
      <m:oMath>
        <m:r>
          <w:rPr>
            <w:rFonts w:ascii="Cambria Math" w:eastAsiaTheme="minorEastAsia" w:hAnsi="Cambria Math"/>
          </w:rPr>
          <m:t>g[i]</m:t>
        </m:r>
      </m:oMath>
      <w:r>
        <w:rPr>
          <w:rFonts w:eastAsiaTheme="minorEastAsia"/>
        </w:rPr>
        <w:t xml:space="preserve">, </w:t>
      </w:r>
      <m:oMath>
        <m:sSub>
          <m:sSubPr>
            <m:ctrlPr>
              <w:rPr>
                <w:rFonts w:ascii="Cambria Math" w:hAnsi="Cambria Math"/>
                <w:i/>
              </w:rPr>
            </m:ctrlPr>
          </m:sSubPr>
          <m:e>
            <m:r>
              <m:rPr>
                <m:sty m:val="bi"/>
              </m:rPr>
              <w:rPr>
                <w:rFonts w:ascii="Cambria Math" w:hAnsi="Cambria Math"/>
              </w:rPr>
              <m:t>z</m:t>
            </m:r>
          </m:e>
          <m:sub>
            <m:r>
              <w:rPr>
                <w:rFonts w:ascii="Cambria Math" w:hAnsi="Cambria Math"/>
              </w:rPr>
              <m:t>p[i]</m:t>
            </m:r>
          </m:sub>
        </m:sSub>
      </m:oMath>
      <w:r w:rsidR="005D0423">
        <w:rPr>
          <w:rFonts w:eastAsiaTheme="minorEastAsia"/>
        </w:rPr>
        <w:t xml:space="preserve"> is a plot random effect with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r>
          <m:rPr>
            <m:nor/>
          </m:rPr>
          <w:rPr>
            <w:rFonts w:ascii="Cambria Math" w:eastAsiaTheme="minorEastAsia" w:hAnsi="Cambria Math"/>
          </w:rPr>
          <m:t>Normal</m:t>
        </m:r>
        <m:r>
          <w:rPr>
            <w:rFonts w:ascii="Cambria Math" w:eastAsiaTheme="minorEastAsia" w:hAnsi="Cambria Math"/>
          </w:rPr>
          <m:t>(0,</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g</m:t>
            </m:r>
            <m:d>
              <m:dPr>
                <m:begChr m:val="["/>
                <m:endChr m:val="]"/>
                <m:ctrlPr>
                  <w:rPr>
                    <w:rFonts w:ascii="Cambria Math" w:eastAsiaTheme="minorEastAsia" w:hAnsi="Cambria Math"/>
                    <w:i/>
                  </w:rPr>
                </m:ctrlPr>
              </m:dPr>
              <m:e>
                <m:r>
                  <w:rPr>
                    <w:rFonts w:ascii="Cambria Math" w:eastAsiaTheme="minorEastAsia" w:hAnsi="Cambria Math"/>
                  </w:rPr>
                  <m:t>p</m:t>
                </m:r>
              </m:e>
            </m:d>
          </m:sub>
          <m:sup>
            <m:r>
              <w:rPr>
                <w:rFonts w:ascii="Cambria Math" w:eastAsiaTheme="minorEastAsia" w:hAnsi="Cambria Math"/>
              </w:rPr>
              <m:t>PLOT</m:t>
            </m:r>
          </m:sup>
        </m:sSubSup>
        <m:r>
          <w:rPr>
            <w:rFonts w:ascii="Cambria Math" w:eastAsiaTheme="minorEastAsia" w:hAnsi="Cambria Math"/>
          </w:rPr>
          <m:t>)</m:t>
        </m:r>
      </m:oMath>
      <w:r>
        <w:rPr>
          <w:rFonts w:eastAsiaTheme="minorEastAsia"/>
        </w:rPr>
        <w:t xml:space="preserve">, and </w:t>
      </w:r>
      <m:oMath>
        <m:sSub>
          <m:sSubPr>
            <m:ctrlPr>
              <w:rPr>
                <w:rFonts w:ascii="Cambria Math" w:hAnsi="Cambria Math"/>
                <w:i/>
              </w:rPr>
            </m:ctrlPr>
          </m:sSubPr>
          <m:e>
            <m:r>
              <m:rPr>
                <m:sty m:val="bi"/>
              </m:rP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sub>
        </m:sSub>
      </m:oMath>
      <w:r w:rsidR="005D0423">
        <w:rPr>
          <w:rFonts w:eastAsiaTheme="minorEastAsia"/>
        </w:rPr>
        <w:t xml:space="preserve"> is a gaussian process random effect, all as defined for the litter and duff models. The new term, </w:t>
      </w:r>
      <m:oMath>
        <m:sSub>
          <m:sSubPr>
            <m:ctrlPr>
              <w:rPr>
                <w:rFonts w:ascii="Cambria Math" w:hAnsi="Cambria Math"/>
                <w:i/>
              </w:rPr>
            </m:ctrlPr>
          </m:sSubPr>
          <m:e>
            <m:r>
              <w:rPr>
                <w:rFonts w:ascii="Cambria Math" w:hAnsi="Cambria Math"/>
              </w:rPr>
              <m:t>b</m:t>
            </m:r>
          </m:e>
          <m:sub>
            <m:r>
              <w:rPr>
                <w:rFonts w:ascii="Cambria Math" w:hAnsi="Cambria Math"/>
              </w:rPr>
              <m:t>t[i]</m:t>
            </m:r>
          </m:sub>
        </m:sSub>
      </m:oMath>
      <w:r w:rsidR="005D0423">
        <w:rPr>
          <w:rFonts w:eastAsiaTheme="minorEastAsia"/>
        </w:rPr>
        <w:t xml:space="preserve">, is a normally distributed random effect for observations from the same transect (where there are two transects on a plot, one running North/South and the other running East/West), with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m:t>
            </m:r>
          </m:sub>
        </m:sSub>
        <m:r>
          <w:rPr>
            <w:rFonts w:ascii="Cambria Math" w:eastAsiaTheme="minorEastAsia" w:hAnsi="Cambria Math"/>
          </w:rPr>
          <m:t>~</m:t>
        </m:r>
        <m:r>
          <m:rPr>
            <m:nor/>
          </m:rPr>
          <w:rPr>
            <w:rFonts w:ascii="Cambria Math" w:eastAsiaTheme="minorEastAsia" w:hAnsi="Cambria Math"/>
          </w:rPr>
          <m:t>Normal</m:t>
        </m:r>
        <m:r>
          <w:rPr>
            <w:rFonts w:ascii="Cambria Math" w:eastAsiaTheme="minorEastAsia" w:hAnsi="Cambria Math"/>
          </w:rPr>
          <m:t>(0,</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g</m:t>
            </m:r>
            <m:d>
              <m:dPr>
                <m:begChr m:val="["/>
                <m:endChr m:val="]"/>
                <m:ctrlPr>
                  <w:rPr>
                    <w:rFonts w:ascii="Cambria Math" w:eastAsiaTheme="minorEastAsia" w:hAnsi="Cambria Math"/>
                    <w:i/>
                  </w:rPr>
                </m:ctrlPr>
              </m:dPr>
              <m:e>
                <m:r>
                  <w:rPr>
                    <w:rFonts w:ascii="Cambria Math" w:eastAsiaTheme="minorEastAsia" w:hAnsi="Cambria Math"/>
                  </w:rPr>
                  <m:t>t</m:t>
                </m:r>
              </m:e>
            </m:d>
          </m:sub>
          <m:sup>
            <m:r>
              <w:rPr>
                <w:rFonts w:ascii="Cambria Math" w:eastAsiaTheme="minorEastAsia" w:hAnsi="Cambria Math"/>
              </w:rPr>
              <m:t>TRANSECT</m:t>
            </m:r>
          </m:sup>
        </m:sSubSup>
        <m:r>
          <w:rPr>
            <w:rFonts w:ascii="Cambria Math" w:eastAsiaTheme="minorEastAsia" w:hAnsi="Cambria Math"/>
          </w:rPr>
          <m:t>)</m:t>
        </m:r>
      </m:oMath>
      <w:r w:rsidR="005D0423">
        <w:rPr>
          <w:rFonts w:eastAsiaTheme="minorEastAsia"/>
        </w:rPr>
        <w:t>.</w:t>
      </w:r>
      <w:r w:rsidR="00A9504B">
        <w:rPr>
          <w:rFonts w:eastAsiaTheme="minorEastAsia"/>
        </w:rPr>
        <w:t xml:space="preserve"> We include the transect random effect to capture the potential effect of non-random </w:t>
      </w:r>
      <w:r w:rsidR="004C1BA1">
        <w:rPr>
          <w:rFonts w:eastAsiaTheme="minorEastAsia"/>
        </w:rPr>
        <w:t>orientation of CWD particles (</w:t>
      </w:r>
      <w:proofErr w:type="spellStart"/>
      <w:r w:rsidR="004C1BA1">
        <w:rPr>
          <w:rFonts w:eastAsiaTheme="minorEastAsia"/>
        </w:rPr>
        <w:t>e.g</w:t>
      </w:r>
      <w:proofErr w:type="spellEnd"/>
      <w:r w:rsidR="004C1BA1">
        <w:rPr>
          <w:rFonts w:eastAsiaTheme="minorEastAsia"/>
        </w:rPr>
        <w:t xml:space="preserve"> due to slope), which could induce correlation between subsamples (1 m </w:t>
      </w:r>
      <w:proofErr w:type="spellStart"/>
      <w:r w:rsidR="004C1BA1">
        <w:rPr>
          <w:rFonts w:eastAsiaTheme="minorEastAsia"/>
        </w:rPr>
        <w:t>subtransects</w:t>
      </w:r>
      <w:proofErr w:type="spellEnd"/>
      <w:r w:rsidR="004C1BA1">
        <w:rPr>
          <w:rFonts w:eastAsiaTheme="minorEastAsia"/>
        </w:rPr>
        <w:t xml:space="preserve">) which share the same orientation (either North/South or East/West). A transect effect was not necessary with the FWD tallies model because the two orthogonal subsamples at each spatial location give an unbiased estimate of the particle density at that location, even if the particles are nonrandomly oriented. </w:t>
      </w:r>
    </w:p>
    <w:p w14:paraId="1A3067EC" w14:textId="6A965BC3" w:rsidR="00AA1241" w:rsidRDefault="00AA1241" w:rsidP="00AA1241">
      <w:pPr>
        <w:pStyle w:val="Heading3"/>
      </w:pPr>
      <w:r>
        <w:t>Coarse woody debris diameters</w:t>
      </w:r>
    </w:p>
    <w:p w14:paraId="254B3370" w14:textId="6FD0B519" w:rsidR="00681705" w:rsidRDefault="00681705" w:rsidP="009002E9">
      <w:pPr>
        <w:ind w:firstLine="720"/>
      </w:pPr>
      <w:r>
        <w:t>We chose to model fine woody debris and coarse woody debris diameters separately because initial testing showed that a unified model performed poorly in capturing the</w:t>
      </w:r>
      <w:r w:rsidR="009002E9">
        <w:t xml:space="preserve"> frequency and size of coarse woody debris</w:t>
      </w:r>
      <w:r>
        <w:t>, which occur</w:t>
      </w:r>
      <w:r w:rsidR="009002E9">
        <w:t>s</w:t>
      </w:r>
      <w:r>
        <w:t xml:space="preserve"> as rare tail</w:t>
      </w:r>
      <w:r w:rsidR="009002E9">
        <w:t xml:space="preserve"> events</w:t>
      </w:r>
      <w:r>
        <w:t xml:space="preserve"> in a unified diameter distribution. </w:t>
      </w:r>
      <w:r w:rsidR="009002E9">
        <w:t>Instead, we model fine woody debris diameters and coarse woody debris diameters separately, though with nearly identical model structure. The only difference is that the truncation for the coarse woody debris diameters response distribution is different:</w:t>
      </w:r>
    </w:p>
    <w:p w14:paraId="5265A265" w14:textId="40F167E8" w:rsidR="009002E9" w:rsidRPr="00EC3D9A" w:rsidRDefault="00000000" w:rsidP="009002E9">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Inv-gamma</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r>
            <m:rPr>
              <m:nor/>
            </m:rPr>
            <w:rPr>
              <w:rFonts w:ascii="Cambria Math" w:eastAsiaTheme="minorEastAsia" w:hAnsi="Cambria Math"/>
            </w:rPr>
            <m:t>T[7.55,110.1]</m:t>
          </m:r>
        </m:oMath>
      </m:oMathPara>
    </w:p>
    <w:p w14:paraId="34C06D8E" w14:textId="4B58212D" w:rsidR="009002E9" w:rsidRPr="00217D86" w:rsidRDefault="00EC3D9A" w:rsidP="00217D86">
      <w:pPr>
        <w:rPr>
          <w:rFonts w:eastAsiaTheme="minorEastAsia"/>
        </w:rPr>
      </w:pPr>
      <w:r>
        <w:rPr>
          <w:rFonts w:eastAsiaTheme="minorEastAsia"/>
        </w:rPr>
        <w:t xml:space="preserve">with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&gt;7.55</m:t>
        </m:r>
      </m:oMath>
      <w:r>
        <w:rPr>
          <w:rFonts w:eastAsiaTheme="minorEastAsia"/>
        </w:rPr>
        <w:t xml:space="preserve"> cm per the definition of coarse woody debris and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&lt;110.1</m:t>
        </m:r>
      </m:oMath>
      <w:r>
        <w:rPr>
          <w:rFonts w:eastAsiaTheme="minorEastAsia"/>
        </w:rPr>
        <w:t xml:space="preserve"> with 110.</w:t>
      </w:r>
      <w:r w:rsidR="00387331">
        <w:rPr>
          <w:rFonts w:eastAsiaTheme="minorEastAsia"/>
        </w:rPr>
        <w:t>0</w:t>
      </w:r>
      <w:r>
        <w:rPr>
          <w:rFonts w:eastAsiaTheme="minorEastAsia"/>
        </w:rPr>
        <w:t xml:space="preserve"> </w:t>
      </w:r>
      <w:r w:rsidR="00387331">
        <w:rPr>
          <w:rFonts w:eastAsiaTheme="minorEastAsia"/>
        </w:rPr>
        <w:t xml:space="preserve">cm </w:t>
      </w:r>
      <w:r>
        <w:rPr>
          <w:rFonts w:eastAsiaTheme="minorEastAsia"/>
        </w:rPr>
        <w:t xml:space="preserve">the maximum diameter observed in the data, to prevent simulation of unrealistically large diameter particles. </w:t>
      </w:r>
      <w:r w:rsidR="00B86787">
        <w:rPr>
          <w:rFonts w:eastAsiaTheme="minorEastAsia"/>
        </w:rPr>
        <w:t xml:space="preserve">As with the fine woody debris diameters model, we </w:t>
      </w:r>
      <w:proofErr w:type="spellStart"/>
      <w:r w:rsidR="00B86787">
        <w:rPr>
          <w:rFonts w:eastAsiaTheme="minorEastAsia"/>
        </w:rPr>
        <w:t>reparameterize</w:t>
      </w:r>
      <w:proofErr w:type="spellEnd"/>
      <w:r w:rsidR="00B86787">
        <w:rPr>
          <w:rFonts w:eastAsiaTheme="minorEastAsia"/>
        </w:rPr>
        <w:t xml:space="preserve"> to u</w:t>
      </w:r>
      <w:r w:rsidR="005F4EF9">
        <w:rPr>
          <w:rFonts w:eastAsiaTheme="minorEastAsia"/>
        </w:rPr>
        <w:t>se a distinct</w:t>
      </w:r>
      <w:r w:rsidR="00B86787">
        <w:rPr>
          <w:rFonts w:eastAsiaTheme="minorEastAsia"/>
        </w:rPr>
        <w:t xml:space="preserve"> mean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g[i]</m:t>
            </m:r>
          </m:sub>
        </m:sSub>
      </m:oMath>
      <w:r w:rsidR="00B86787">
        <w:rPr>
          <w:rFonts w:eastAsiaTheme="minorEastAsia"/>
        </w:rPr>
        <w:t xml:space="preserve"> and </w:t>
      </w:r>
      <w:r w:rsidR="001008A6">
        <w:rPr>
          <w:rFonts w:eastAsiaTheme="minorEastAsia"/>
        </w:rPr>
        <w:t xml:space="preserve">precision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g[i]</m:t>
            </m:r>
          </m:sub>
        </m:sSub>
      </m:oMath>
      <w:r w:rsidR="005F4EF9">
        <w:rPr>
          <w:rFonts w:eastAsiaTheme="minorEastAsia"/>
        </w:rPr>
        <w:t xml:space="preserve"> for each group. However, for the coarse woody debris model we model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g[i]</m:t>
            </m:r>
          </m:sub>
        </m:sSub>
      </m:oMath>
      <w:r w:rsidR="005F4EF9">
        <w:rPr>
          <w:rFonts w:eastAsiaTheme="minorEastAsia"/>
        </w:rPr>
        <w:t xml:space="preserve"> directly, without random effects, and impose the constraint that </w:t>
      </w:r>
      <m:oMath>
        <m:r>
          <w:rPr>
            <w:rFonts w:ascii="Cambria Math" w:eastAsiaTheme="minorEastAsia" w:hAnsi="Cambria Math"/>
          </w:rPr>
          <m:t>7.55&lt;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g[i]</m:t>
            </m:r>
          </m:sub>
        </m:sSub>
        <m:r>
          <w:rPr>
            <w:rFonts w:ascii="Cambria Math" w:eastAsiaTheme="minorEastAsia" w:hAnsi="Cambria Math"/>
          </w:rPr>
          <m:t>&lt;110.1</m:t>
        </m:r>
      </m:oMath>
      <w:r w:rsidR="005F4EF9">
        <w:rPr>
          <w:rFonts w:eastAsiaTheme="minorEastAsia"/>
        </w:rPr>
        <w:t xml:space="preserve">. We adopted this approach because a more flexible model, with an unconstrained (log-scale) intercept and plot-level </w:t>
      </w:r>
      <w:r w:rsidR="005F4EF9">
        <w:rPr>
          <w:rFonts w:eastAsiaTheme="minorEastAsia"/>
        </w:rPr>
        <w:lastRenderedPageBreak/>
        <w:t xml:space="preserve">random effect, resulted in occasional </w:t>
      </w:r>
      <w:r w:rsidR="004B79FD">
        <w:rPr>
          <w:rFonts w:eastAsiaTheme="minorEastAsia"/>
        </w:rPr>
        <w:t>problematic</w:t>
      </w:r>
      <w:r w:rsidR="005F4EF9">
        <w:rPr>
          <w:rFonts w:eastAsiaTheme="minorEastAsia"/>
        </w:rPr>
        <w:t xml:space="preserve"> posterior samples</w:t>
      </w:r>
      <w:r w:rsidR="004B79FD">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g[i]</m:t>
            </m:r>
          </m:sub>
        </m:sSub>
        <m:r>
          <w:rPr>
            <w:rFonts w:ascii="Cambria Math" w:eastAsiaTheme="minorEastAsia" w:hAnsi="Cambria Math"/>
          </w:rPr>
          <m:t>≪7.55</m:t>
        </m:r>
      </m:oMath>
      <w:r w:rsidR="004B79FD">
        <w:rPr>
          <w:rFonts w:eastAsiaTheme="minorEastAsia"/>
        </w:rPr>
        <w:t>, which meant that particles meeting the definition of coarse woody debris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&gt;7.55</m:t>
        </m:r>
      </m:oMath>
      <w:r w:rsidR="004B79FD">
        <w:rPr>
          <w:rFonts w:eastAsiaTheme="minorEastAsia"/>
        </w:rPr>
        <w:t xml:space="preserve"> cm) extremely implausible.</w:t>
      </w:r>
    </w:p>
    <w:p w14:paraId="1199B160" w14:textId="0EFDA500" w:rsidR="00AA1241" w:rsidRDefault="00AA1241" w:rsidP="00AA1241">
      <w:pPr>
        <w:pStyle w:val="Heading3"/>
      </w:pPr>
      <w:r>
        <w:t>Understory vegetation presences</w:t>
      </w:r>
    </w:p>
    <w:p w14:paraId="33AFA8D3" w14:textId="146CDD13" w:rsidR="00217D86" w:rsidRDefault="00217D86" w:rsidP="00217D86">
      <w:r>
        <w:tab/>
        <w:t xml:space="preserve">The model for understory vegetation presences is </w:t>
      </w:r>
      <w:proofErr w:type="gramStart"/>
      <w:r>
        <w:t>similar to</w:t>
      </w:r>
      <w:proofErr w:type="gramEnd"/>
      <w:r>
        <w:t xml:space="preserve"> the model used for duff and litter depths, though with a Bernoulli response:</w:t>
      </w:r>
    </w:p>
    <w:p w14:paraId="6C111248" w14:textId="2F69E424" w:rsidR="00217D86" w:rsidRPr="00217D86" w:rsidRDefault="00000000" w:rsidP="00217D86">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Bernoulli(</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0C620270" w14:textId="54429B9E" w:rsidR="00217D86" w:rsidRDefault="00217D86" w:rsidP="00217D86">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w:t>
      </w:r>
      <w:r w:rsidR="0026069F">
        <w:rPr>
          <w:rFonts w:eastAsiaTheme="minorEastAsia"/>
        </w:rPr>
        <w:t xml:space="preserve">is the presence (1) or absence (0) of understory vegetation at observation </w:t>
      </w:r>
      <m:oMath>
        <m:r>
          <w:rPr>
            <w:rFonts w:ascii="Cambria Math" w:eastAsiaTheme="minorEastAsia" w:hAnsi="Cambria Math"/>
          </w:rPr>
          <m:t>i</m:t>
        </m:r>
      </m:oMath>
      <w:r w:rsidR="0026069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oMath>
      <w:r w:rsidR="0026069F">
        <w:rPr>
          <w:rFonts w:eastAsiaTheme="minorEastAsia"/>
        </w:rPr>
        <w:t xml:space="preserve"> is the probability of presen</w:t>
      </w:r>
      <w:proofErr w:type="spellStart"/>
      <w:r w:rsidR="0026069F">
        <w:rPr>
          <w:rFonts w:eastAsiaTheme="minorEastAsia"/>
        </w:rPr>
        <w:t>ce</w:t>
      </w:r>
      <w:proofErr w:type="spellEnd"/>
      <w:r w:rsidR="0026069F">
        <w:rPr>
          <w:rFonts w:eastAsiaTheme="minorEastAsia"/>
        </w:rPr>
        <w:t xml:space="preserve"> at location </w:t>
      </w:r>
      <m:oMath>
        <m:r>
          <w:rPr>
            <w:rFonts w:ascii="Cambria Math" w:eastAsiaTheme="minorEastAsia" w:hAnsi="Cambria Math"/>
          </w:rPr>
          <m:t>i</m:t>
        </m:r>
      </m:oMath>
      <w:r w:rsidR="0026069F">
        <w:rPr>
          <w:rFonts w:eastAsiaTheme="minorEastAsia"/>
        </w:rPr>
        <w:t xml:space="preserve">. </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oMath>
      <w:r w:rsidR="0026069F">
        <w:rPr>
          <w:rFonts w:eastAsiaTheme="minorEastAsia"/>
        </w:rPr>
        <w:t xml:space="preserve"> is linked to a linear predictor by a logit link:</w:t>
      </w:r>
    </w:p>
    <w:p w14:paraId="2244D91F" w14:textId="21A0E214" w:rsidR="0026069F" w:rsidRPr="00D14C7A" w:rsidRDefault="00000000" w:rsidP="0026069F">
      <w:pPr>
        <w:rPr>
          <w:rFonts w:eastAsiaTheme="minorEastAsia"/>
        </w:rPr>
      </w:pPr>
      <m:oMathPara>
        <m:oMath>
          <m:func>
            <m:funcPr>
              <m:ctrlPr>
                <w:rPr>
                  <w:rFonts w:ascii="Cambria Math" w:hAnsi="Cambria Math"/>
                  <w:i/>
                </w:rPr>
              </m:ctrlPr>
            </m:funcPr>
            <m:fName>
              <m:r>
                <m:rPr>
                  <m:sty m:val="p"/>
                </m:rPr>
                <w:rPr>
                  <w:rFonts w:ascii="Cambria Math" w:hAnsi="Cambria Math"/>
                </w:rPr>
                <m:t>logit</m:t>
              </m:r>
            </m:fName>
            <m:e>
              <m:sSub>
                <m:sSubPr>
                  <m:ctrlPr>
                    <w:rPr>
                      <w:rFonts w:ascii="Cambria Math" w:hAnsi="Cambria Math"/>
                      <w:i/>
                    </w:rPr>
                  </m:ctrlPr>
                </m:sSubPr>
                <m:e>
                  <m:r>
                    <m:rPr>
                      <m:sty m:val="bi"/>
                    </m:rP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m:rPr>
                      <m:sty m:val="bi"/>
                    </m:rP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e>
          </m:func>
        </m:oMath>
      </m:oMathPara>
    </w:p>
    <w:p w14:paraId="12018660" w14:textId="36D82808" w:rsidR="00AA1241" w:rsidRDefault="0026069F" w:rsidP="00C06595">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rPr>
          <w:rFonts w:eastAsiaTheme="minorEastAsia"/>
        </w:rPr>
        <w:t xml:space="preserve"> is the intercept for group </w:t>
      </w:r>
      <m:oMath>
        <m:r>
          <w:rPr>
            <w:rFonts w:ascii="Cambria Math" w:eastAsiaTheme="minorEastAsia" w:hAnsi="Cambria Math"/>
          </w:rPr>
          <m:t>g[i]</m:t>
        </m:r>
      </m:oMath>
      <w:r>
        <w:rPr>
          <w:rFonts w:eastAsiaTheme="minor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rPr>
          <w:rFonts w:eastAsiaTheme="minorEastAsia"/>
        </w:rPr>
        <w:t xml:space="preserve"> is the normally distributed plot random effect for plot </w:t>
      </w:r>
      <m:oMath>
        <m:r>
          <w:rPr>
            <w:rFonts w:ascii="Cambria Math" w:eastAsiaTheme="minorEastAsia" w:hAnsi="Cambria Math"/>
          </w:rPr>
          <m:t>p[i]</m:t>
        </m:r>
      </m:oMath>
      <w:r>
        <w:rPr>
          <w:rFonts w:eastAsiaTheme="minorEastAsia"/>
        </w:rPr>
        <w:t xml:space="preserve">, and </w:t>
      </w:r>
      <m:oMath>
        <m:sSub>
          <m:sSubPr>
            <m:ctrlPr>
              <w:rPr>
                <w:rFonts w:ascii="Cambria Math" w:hAnsi="Cambria Math"/>
                <w:i/>
              </w:rPr>
            </m:ctrlPr>
          </m:sSubPr>
          <m:e>
            <m:r>
              <m:rPr>
                <m:sty m:val="bi"/>
              </m:rP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rPr>
          <w:rFonts w:eastAsiaTheme="minorEastAsia"/>
        </w:rPr>
        <w:t xml:space="preserve"> is a gaussian process random effect for location </w:t>
      </w:r>
      <m:oMath>
        <m:r>
          <w:rPr>
            <w:rFonts w:ascii="Cambria Math" w:eastAsiaTheme="minorEastAsia" w:hAnsi="Cambria Math"/>
          </w:rPr>
          <m:t>l[i]</m:t>
        </m:r>
      </m:oMath>
      <w:r>
        <w:rPr>
          <w:rFonts w:eastAsiaTheme="minorEastAsia"/>
        </w:rPr>
        <w:t xml:space="preserve"> on plot </w:t>
      </w:r>
      <m:oMath>
        <m:r>
          <w:rPr>
            <w:rFonts w:ascii="Cambria Math" w:eastAsiaTheme="minorEastAsia" w:hAnsi="Cambria Math"/>
          </w:rPr>
          <m:t>p[i]</m:t>
        </m:r>
      </m:oMath>
      <w:r>
        <w:rPr>
          <w:rFonts w:eastAsiaTheme="minorEastAsia"/>
        </w:rPr>
        <w:t xml:space="preserve">, all as defined for the duff and litter </w:t>
      </w:r>
      <w:r w:rsidR="00F43F7A">
        <w:rPr>
          <w:rFonts w:eastAsiaTheme="minorEastAsia"/>
        </w:rPr>
        <w:t>depths model</w:t>
      </w:r>
      <w:r>
        <w:rPr>
          <w:rFonts w:eastAsiaTheme="minorEastAsia"/>
        </w:rPr>
        <w:t xml:space="preserve"> above.</w:t>
      </w:r>
    </w:p>
    <w:p w14:paraId="723134CC" w14:textId="1D849306" w:rsidR="00AA1241" w:rsidRDefault="00AA1241" w:rsidP="00AA1241">
      <w:pPr>
        <w:pStyle w:val="Heading3"/>
      </w:pPr>
      <w:r>
        <w:t>Tree and sapling stem counts</w:t>
      </w:r>
    </w:p>
    <w:p w14:paraId="0209180A" w14:textId="61787EF5" w:rsidR="00C06595" w:rsidRDefault="00C06595" w:rsidP="00C06595">
      <w:r>
        <w:tab/>
        <w:t xml:space="preserve">The density of trees and of saplings was modeled identically but separately in a model </w:t>
      </w:r>
      <w:proofErr w:type="gramStart"/>
      <w:r>
        <w:t>similar to</w:t>
      </w:r>
      <w:proofErr w:type="gramEnd"/>
      <w:r>
        <w:t xml:space="preserve"> the model for duff and litter depths, though with a Poisson response:</w:t>
      </w:r>
    </w:p>
    <w:p w14:paraId="0E8F4EE3" w14:textId="79D20AEE" w:rsidR="00C06595" w:rsidRPr="00217D86" w:rsidRDefault="00000000" w:rsidP="00C06595">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Cambria Math" w:hAnsi="Cambria Math"/>
            </w:rPr>
            <m:t>Poisson(</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2794126C" w14:textId="543C18FA" w:rsidR="00C06595" w:rsidRDefault="00C06595" w:rsidP="00C06595">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is the number of trees (or saplings) in the </w:t>
      </w:r>
      <m:oMath>
        <m:r>
          <w:rPr>
            <w:rFonts w:ascii="Cambria Math" w:eastAsiaTheme="minorEastAsia" w:hAnsi="Cambria Math"/>
          </w:rPr>
          <m:t>i</m:t>
        </m:r>
      </m:oMath>
      <w:r>
        <w:rPr>
          <w:rFonts w:eastAsiaTheme="minorEastAsia"/>
        </w:rPr>
        <w:t>th 1 m</w:t>
      </w:r>
      <w:r>
        <w:rPr>
          <w:rFonts w:eastAsiaTheme="minorEastAsia"/>
          <w:vertAlign w:val="superscript"/>
        </w:rPr>
        <w:t xml:space="preserve">2 </w:t>
      </w:r>
      <w:r>
        <w:rPr>
          <w:rFonts w:eastAsiaTheme="minorEastAsia"/>
        </w:rPr>
        <w:t xml:space="preserve">quadrat and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oMath>
      <w:r>
        <w:rPr>
          <w:rFonts w:eastAsiaTheme="minorEastAsia"/>
        </w:rPr>
        <w:t xml:space="preserve"> is the latent intensity of the inhomogeneous Poisson point process at location </w:t>
      </w:r>
      <m:oMath>
        <m:r>
          <w:rPr>
            <w:rFonts w:ascii="Cambria Math" w:eastAsiaTheme="minorEastAsia" w:hAnsi="Cambria Math"/>
          </w:rPr>
          <m:t>i</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oMath>
      <w:r>
        <w:rPr>
          <w:rFonts w:eastAsiaTheme="minorEastAsia"/>
        </w:rPr>
        <w:t xml:space="preserve"> is linked to a linear predictor by a log link:</w:t>
      </w:r>
    </w:p>
    <w:p w14:paraId="76939339" w14:textId="5D312D32" w:rsidR="00C06595" w:rsidRPr="00D14C7A" w:rsidRDefault="00000000" w:rsidP="00C06595">
      <w:pPr>
        <w:rPr>
          <w:rFonts w:eastAsiaTheme="minorEastAsia"/>
        </w:rPr>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m:rPr>
                      <m:sty m:val="bi"/>
                    </m:rP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g[i]</m:t>
                  </m:r>
                </m:sub>
              </m:sSub>
              <m:r>
                <w:rPr>
                  <w:rFonts w:ascii="Cambria Math" w:hAnsi="Cambria Math"/>
                </w:rPr>
                <m:t>+</m:t>
              </m:r>
              <m:sSub>
                <m:sSubPr>
                  <m:ctrlPr>
                    <w:rPr>
                      <w:rFonts w:ascii="Cambria Math" w:hAnsi="Cambria Math"/>
                      <w:i/>
                    </w:rPr>
                  </m:ctrlPr>
                </m:sSubPr>
                <m:e>
                  <m:r>
                    <m:rPr>
                      <m:sty m:val="bi"/>
                    </m:rPr>
                    <w:rPr>
                      <w:rFonts w:ascii="Cambria Math" w:hAnsi="Cambria Math"/>
                    </w:rPr>
                    <m:t>z</m:t>
                  </m:r>
                </m:e>
                <m:sub>
                  <m:r>
                    <w:rPr>
                      <w:rFonts w:ascii="Cambria Math" w:hAnsi="Cambria Math"/>
                    </w:rPr>
                    <m:t>p[i]</m:t>
                  </m:r>
                </m:sub>
              </m:sSub>
              <m:r>
                <w:rPr>
                  <w:rFonts w:ascii="Cambria Math" w:hAnsi="Cambria Math"/>
                </w:rPr>
                <m:t>+</m:t>
              </m:r>
              <m:sSub>
                <m:sSubPr>
                  <m:ctrlPr>
                    <w:rPr>
                      <w:rFonts w:ascii="Cambria Math" w:hAnsi="Cambria Math"/>
                      <w:i/>
                    </w:rPr>
                  </m:ctrlPr>
                </m:sSubPr>
                <m:e>
                  <m:r>
                    <m:rPr>
                      <m:sty m:val="bi"/>
                    </m:rP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e>
          </m:func>
        </m:oMath>
      </m:oMathPara>
    </w:p>
    <w:p w14:paraId="1683E852" w14:textId="5E66A309" w:rsidR="00C06595" w:rsidRDefault="00C06595" w:rsidP="00C06595">
      <w:r>
        <w:t xml:space="preserve">where </w:t>
      </w:r>
      <m:oMath>
        <m:sSub>
          <m:sSubPr>
            <m:ctrlPr>
              <w:rPr>
                <w:rFonts w:ascii="Cambria Math" w:hAnsi="Cambria Math"/>
                <w:i/>
              </w:rPr>
            </m:ctrlPr>
          </m:sSubPr>
          <m:e>
            <m:r>
              <w:rPr>
                <w:rFonts w:ascii="Cambria Math" w:hAnsi="Cambria Math"/>
              </w:rPr>
              <m:t>β</m:t>
            </m:r>
          </m:e>
          <m:sub>
            <m:r>
              <w:rPr>
                <w:rFonts w:ascii="Cambria Math" w:hAnsi="Cambria Math"/>
              </w:rPr>
              <m:t>g[i]</m:t>
            </m:r>
          </m:sub>
        </m:sSub>
      </m:oMath>
      <w:r>
        <w:rPr>
          <w:rFonts w:eastAsiaTheme="minorEastAsia"/>
        </w:rPr>
        <w:t xml:space="preserve"> is the intercept for group </w:t>
      </w:r>
      <m:oMath>
        <m:r>
          <w:rPr>
            <w:rFonts w:ascii="Cambria Math" w:eastAsiaTheme="minorEastAsia" w:hAnsi="Cambria Math"/>
          </w:rPr>
          <m:t>g[i]</m:t>
        </m:r>
      </m:oMath>
      <w:r>
        <w:rPr>
          <w:rFonts w:eastAsiaTheme="minor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p[i]</m:t>
            </m:r>
          </m:sub>
        </m:sSub>
      </m:oMath>
      <w:r>
        <w:rPr>
          <w:rFonts w:eastAsiaTheme="minorEastAsia"/>
        </w:rPr>
        <w:t xml:space="preserve"> is the normally distributed plot random effect for plot </w:t>
      </w:r>
      <m:oMath>
        <m:r>
          <w:rPr>
            <w:rFonts w:ascii="Cambria Math" w:eastAsiaTheme="minorEastAsia" w:hAnsi="Cambria Math"/>
          </w:rPr>
          <m:t>p[i]</m:t>
        </m:r>
      </m:oMath>
      <w:r>
        <w:rPr>
          <w:rFonts w:eastAsiaTheme="minorEastAsia"/>
        </w:rPr>
        <w:t xml:space="preserve">, and </w:t>
      </w:r>
      <m:oMath>
        <m:sSub>
          <m:sSubPr>
            <m:ctrlPr>
              <w:rPr>
                <w:rFonts w:ascii="Cambria Math" w:hAnsi="Cambria Math"/>
                <w:i/>
              </w:rPr>
            </m:ctrlPr>
          </m:sSubPr>
          <m:e>
            <m:r>
              <m:rPr>
                <m:sty m:val="bi"/>
              </m:rPr>
              <w:rPr>
                <w:rFonts w:ascii="Cambria Math" w:hAnsi="Cambria Math"/>
              </w:rPr>
              <m:t>S</m:t>
            </m:r>
          </m:e>
          <m:sub>
            <m:r>
              <w:rPr>
                <w:rFonts w:ascii="Cambria Math" w:hAnsi="Cambria Math"/>
              </w:rPr>
              <m:t>l</m:t>
            </m:r>
            <m:d>
              <m:dPr>
                <m:begChr m:val="["/>
                <m:endChr m:val="]"/>
                <m:ctrlPr>
                  <w:rPr>
                    <w:rFonts w:ascii="Cambria Math" w:hAnsi="Cambria Math"/>
                    <w:i/>
                  </w:rPr>
                </m:ctrlPr>
              </m:dPr>
              <m:e>
                <m:r>
                  <w:rPr>
                    <w:rFonts w:ascii="Cambria Math" w:hAnsi="Cambria Math"/>
                  </w:rPr>
                  <m:t>i</m:t>
                </m:r>
              </m:e>
            </m:d>
            <m:r>
              <w:rPr>
                <w:rFonts w:ascii="Cambria Math" w:hAnsi="Cambria Math"/>
              </w:rPr>
              <m:t>,p[i]</m:t>
            </m:r>
          </m:sub>
        </m:sSub>
      </m:oMath>
      <w:r>
        <w:rPr>
          <w:rFonts w:eastAsiaTheme="minorEastAsia"/>
        </w:rPr>
        <w:t xml:space="preserve"> is a gaussian process random effect for location </w:t>
      </w:r>
      <m:oMath>
        <m:r>
          <w:rPr>
            <w:rFonts w:ascii="Cambria Math" w:eastAsiaTheme="minorEastAsia" w:hAnsi="Cambria Math"/>
          </w:rPr>
          <m:t>l[i]</m:t>
        </m:r>
      </m:oMath>
      <w:r>
        <w:rPr>
          <w:rFonts w:eastAsiaTheme="minorEastAsia"/>
        </w:rPr>
        <w:t xml:space="preserve"> on plot </w:t>
      </w:r>
      <m:oMath>
        <m:r>
          <w:rPr>
            <w:rFonts w:ascii="Cambria Math" w:eastAsiaTheme="minorEastAsia" w:hAnsi="Cambria Math"/>
          </w:rPr>
          <m:t>p[i]</m:t>
        </m:r>
      </m:oMath>
      <w:r>
        <w:rPr>
          <w:rFonts w:eastAsiaTheme="minorEastAsia"/>
        </w:rPr>
        <w:t>, all as defined for the duff and litter depths model above.</w:t>
      </w:r>
      <w:r w:rsidR="00B92028">
        <w:rPr>
          <w:rFonts w:eastAsiaTheme="minorEastAsia"/>
        </w:rPr>
        <w:t xml:space="preserve"> This model </w:t>
      </w:r>
      <w:proofErr w:type="gramStart"/>
      <w:r w:rsidR="00B92028">
        <w:rPr>
          <w:rFonts w:eastAsiaTheme="minorEastAsia"/>
        </w:rPr>
        <w:t>is capable of representing</w:t>
      </w:r>
      <w:proofErr w:type="gramEnd"/>
      <w:r w:rsidR="00B92028">
        <w:rPr>
          <w:rFonts w:eastAsiaTheme="minorEastAsia"/>
        </w:rPr>
        <w:t xml:space="preserve"> the spatial pattern of trees (or saplings) as the result of a spatially inhomogeneous latent field of intensity, which gives rise to clumps (areas with more than the average density of stems) and gaps (areas with less than the average density of stems). However, it is not capable of modelling true inter-stem interactions such as dispersal and competition. We opted to include this relatively simple model for tree and sapling spatial patterns to maintain consistency with the framework for modelling surface fuels, which are the focus of this effort.</w:t>
      </w:r>
    </w:p>
    <w:p w14:paraId="5DDE4DD5" w14:textId="50B77EE2" w:rsidR="00AA1241" w:rsidRDefault="00AA1241" w:rsidP="00AA1241">
      <w:pPr>
        <w:pStyle w:val="Heading2"/>
      </w:pPr>
      <w:r>
        <w:t>Parameter estimation and model validation</w:t>
      </w:r>
    </w:p>
    <w:p w14:paraId="1F37283F" w14:textId="68BC55E4" w:rsidR="009C78A3" w:rsidRDefault="006142D4" w:rsidP="00B5213F">
      <w:pPr>
        <w:ind w:firstLine="720"/>
      </w:pPr>
      <w:r>
        <w:t xml:space="preserve">For each model, priors were defined for each parameter using prior predictive sampling to define plausible prior distributions. Priors were held constant across the drought mortality levels (groups). For all models including a gaussian process, the prior for the length-scale parameters </w:t>
      </w:r>
      <w:r w:rsidR="00B5213F">
        <w:rPr>
          <w:rFonts w:eastAsiaTheme="minorEastAsia"/>
        </w:rPr>
        <w:t xml:space="preserve">was </w:t>
      </w:r>
      <m:oMath>
        <m:r>
          <m:rPr>
            <m:nor/>
          </m:rPr>
          <w:rPr>
            <w:rFonts w:ascii="Cambria Math" w:hAnsi="Cambria Math"/>
          </w:rPr>
          <m:t>Inv-</m:t>
        </m:r>
        <w:proofErr w:type="gramStart"/>
        <m:r>
          <m:rPr>
            <m:nor/>
          </m:rPr>
          <w:rPr>
            <w:rFonts w:ascii="Cambria Math" w:hAnsi="Cambria Math"/>
          </w:rPr>
          <m:t>Gamma(</m:t>
        </m:r>
        <w:proofErr w:type="gramEnd"/>
        <m:r>
          <m:rPr>
            <m:nor/>
          </m:rPr>
          <w:rPr>
            <w:rFonts w:ascii="Cambria Math" w:hAnsi="Cambria Math"/>
          </w:rPr>
          <m:t>5,40)</m:t>
        </m:r>
      </m:oMath>
      <w:r w:rsidR="00B5213F">
        <w:rPr>
          <w:rFonts w:eastAsiaTheme="minorEastAsia"/>
        </w:rPr>
        <w:t xml:space="preserve">, giving a prior probability distribution whose bulk lay in the interval 0.1 – 60.0 m, the range of within-plot pairwise distances sampled according to our study design (CITE </w:t>
      </w:r>
      <w:proofErr w:type="spellStart"/>
      <w:r w:rsidR="00B5213F">
        <w:rPr>
          <w:rFonts w:eastAsiaTheme="minorEastAsia"/>
        </w:rPr>
        <w:t>betanalpha</w:t>
      </w:r>
      <w:proofErr w:type="spellEnd"/>
      <w:r w:rsidR="00B5213F">
        <w:rPr>
          <w:rFonts w:eastAsiaTheme="minorEastAsia"/>
        </w:rPr>
        <w:t xml:space="preserve">). </w:t>
      </w:r>
      <w:r>
        <w:t>Posterior p</w:t>
      </w:r>
      <w:r w:rsidR="0028092C">
        <w:t xml:space="preserve">arameter values were estimated using Hamiltonian Monte Carlo as implemented in the stan software language version </w:t>
      </w:r>
      <w:proofErr w:type="spellStart"/>
      <w:r w:rsidR="0028092C">
        <w:t>VERSION</w:t>
      </w:r>
      <w:proofErr w:type="spellEnd"/>
      <w:r w:rsidR="0028092C">
        <w:t>.</w:t>
      </w:r>
      <w:r w:rsidR="003901F1">
        <w:t xml:space="preserve"> All models were run with four chains, each running for 2,000 samples and discarding the first 1,000 samples as a </w:t>
      </w:r>
      <w:proofErr w:type="gramStart"/>
      <w:r w:rsidR="003901F1">
        <w:t>warm up</w:t>
      </w:r>
      <w:proofErr w:type="gramEnd"/>
      <w:r w:rsidR="003901F1">
        <w:t xml:space="preserve">. </w:t>
      </w:r>
    </w:p>
    <w:p w14:paraId="2A8B93AC" w14:textId="0379418F" w:rsidR="0028092C" w:rsidRDefault="00194757" w:rsidP="009C78A3">
      <w:pPr>
        <w:ind w:firstLine="720"/>
      </w:pPr>
      <w:r>
        <w:lastRenderedPageBreak/>
        <w:t xml:space="preserve">For each model, performance of the Hamiltonian Monte Carlo algorithm was assessed by inspecting standard diagnostics (divergences and R-hat values) for signs of poor performance and by inspecting pair plots showing the relationships between parameter values for each draw for signs of difficulty estimating some parameters. 10% of observations </w:t>
      </w:r>
      <w:r w:rsidR="009A5190">
        <w:t xml:space="preserve">for each model </w:t>
      </w:r>
      <w:r>
        <w:t>were held out from the training dataset and only used to validate model performance via posterior predictions. We also created posterior predictions using the training data. Both sets of posterior predictions</w:t>
      </w:r>
      <w:r w:rsidR="00A01213">
        <w:t xml:space="preserve"> utilized posterior values for fixed effect parameters and random effect realizations</w:t>
      </w:r>
      <w:r w:rsidR="009A5190">
        <w:t>, and these predictions</w:t>
      </w:r>
      <w:r>
        <w:t xml:space="preserve"> were plotted in several ways to understand the relationships between the behavior of observed data versus model predictions.</w:t>
      </w:r>
      <w:r w:rsidR="00A01213">
        <w:t xml:space="preserve"> W</w:t>
      </w:r>
      <w:r w:rsidR="00106C0D">
        <w:t>e plotted posterior parameter distributions against the distribution of data simulated from the prior for each parameter</w:t>
      </w:r>
      <w:r w:rsidR="009A5190">
        <w:t xml:space="preserve"> to evaluate</w:t>
      </w:r>
      <w:r w:rsidR="00106C0D">
        <w:t xml:space="preserve"> the extent to which the posterior distributions were informed by the data rather than the prior assumptions. </w:t>
      </w:r>
      <w:r w:rsidR="00A01213">
        <w:t xml:space="preserve">Finally, we simulated new datasets using posterior parameter </w:t>
      </w:r>
      <w:r w:rsidR="009A5190">
        <w:t xml:space="preserve">values </w:t>
      </w:r>
      <w:r w:rsidR="00A01213">
        <w:t>but drawing new random effect realizations, converted simulated values to biomass estimates</w:t>
      </w:r>
      <w:r w:rsidR="00A5149E">
        <w:t xml:space="preserve"> using the methods described in Foster et al. (2020)</w:t>
      </w:r>
      <w:r w:rsidR="00A01213">
        <w:t>, and aggregated the subsamples to the plot level. By comparing these simulated plot-level biomass estimates to plot-level biomass estimates generated from the observed data, we assess the realism of the emergent coarse-scale behaviors implied by the fine-scale models.</w:t>
      </w:r>
    </w:p>
    <w:p w14:paraId="1938E604" w14:textId="6B8E2B31" w:rsidR="00DE2B66" w:rsidRDefault="00DE2B66" w:rsidP="00DE2B66">
      <w:pPr>
        <w:pStyle w:val="Heading1"/>
      </w:pPr>
      <w:r>
        <w:t>Results</w:t>
      </w:r>
    </w:p>
    <w:p w14:paraId="2D84F83A" w14:textId="3A79E2D6" w:rsidR="00A72DBD" w:rsidRDefault="00A72DBD" w:rsidP="00A72DBD">
      <w:pPr>
        <w:pStyle w:val="Heading2"/>
      </w:pPr>
      <w:r>
        <w:t>Duff</w:t>
      </w:r>
      <w:r w:rsidR="00B3555A">
        <w:t xml:space="preserve"> depths</w:t>
      </w:r>
    </w:p>
    <w:p w14:paraId="3110BA7C" w14:textId="02837525" w:rsidR="00A72DBD" w:rsidRDefault="00A72DBD" w:rsidP="00A72DBD">
      <w:r>
        <w:tab/>
        <w:t xml:space="preserve">R-hat values, lack of divergences, and effective sample sizes indicated satisfactory performance of the HMC algorithm in estimating the parameters for the duff model. </w:t>
      </w:r>
      <w:r w:rsidR="009809B5">
        <w:t xml:space="preserve">Posterior predictions generated using the posterior samples for parameter values and random effect realizations indicated satisfactory, though not perfect, model performance. The relationship between observed depth and mean model-predicted depth was somewhat noisy, and the model slightly overpredicted depth values for samples &lt; 5 cm depth and underpredicted depth values for samples &gt; 5 cm depth for all three drought mortality classes </w:t>
      </w:r>
      <w:r w:rsidR="006A36C2">
        <w:t>(</w:t>
      </w:r>
      <w:r w:rsidR="006A36C2">
        <w:fldChar w:fldCharType="begin"/>
      </w:r>
      <w:r w:rsidR="006A36C2">
        <w:instrText xml:space="preserve"> REF _Ref110846355 \h </w:instrText>
      </w:r>
      <w:r w:rsidR="006A36C2">
        <w:fldChar w:fldCharType="separate"/>
      </w:r>
      <w:r w:rsidR="00D64BB6">
        <w:t xml:space="preserve">Supplementary Figure </w:t>
      </w:r>
      <w:r w:rsidR="00D64BB6">
        <w:rPr>
          <w:noProof/>
        </w:rPr>
        <w:t>5</w:t>
      </w:r>
      <w:r w:rsidR="006A36C2">
        <w:fldChar w:fldCharType="end"/>
      </w:r>
      <w:r w:rsidR="006A36C2">
        <w:t>)</w:t>
      </w:r>
      <w:r w:rsidR="009809B5">
        <w:t>.</w:t>
      </w:r>
      <w:r w:rsidR="006A36C2">
        <w:t xml:space="preserve"> Density plots comparing the observed proportion of training data having each depth value with the distribution of simulated proportions revealed that the while the model-predicted behavior was broadly consistent with the </w:t>
      </w:r>
      <w:r w:rsidR="00506832">
        <w:t>observed data, the model tended to under-predict the proportion of 0 cm duff depths, over-predict the proportion of 1 cm duff depths, and under-predict the proportion of 3 cm duff depths (</w:t>
      </w:r>
      <w:r w:rsidR="00506832">
        <w:fldChar w:fldCharType="begin"/>
      </w:r>
      <w:r w:rsidR="00506832">
        <w:instrText xml:space="preserve"> REF _Ref110846762 \h </w:instrText>
      </w:r>
      <w:r w:rsidR="00506832">
        <w:fldChar w:fldCharType="separate"/>
      </w:r>
      <w:r w:rsidR="00D64BB6">
        <w:t xml:space="preserve">Supplementary Figure </w:t>
      </w:r>
      <w:r w:rsidR="00D64BB6">
        <w:rPr>
          <w:noProof/>
        </w:rPr>
        <w:t>6</w:t>
      </w:r>
      <w:r w:rsidR="00506832">
        <w:fldChar w:fldCharType="end"/>
      </w:r>
      <w:r w:rsidR="00506832">
        <w:t xml:space="preserve">). </w:t>
      </w:r>
      <w:r w:rsidR="00C11811">
        <w:t>The cumulative density function of the observed duff depths in the training data fell within the range of cumulative density functions generated from simulated observations, indicating consistency between the model and reality (</w:t>
      </w:r>
      <w:r w:rsidR="00C11811">
        <w:fldChar w:fldCharType="begin"/>
      </w:r>
      <w:r w:rsidR="00C11811">
        <w:instrText xml:space="preserve"> REF _Ref110847264 \h </w:instrText>
      </w:r>
      <w:r w:rsidR="00C11811">
        <w:fldChar w:fldCharType="separate"/>
      </w:r>
      <w:r w:rsidR="00D64BB6">
        <w:t xml:space="preserve">Supplementary Figure </w:t>
      </w:r>
      <w:r w:rsidR="00D64BB6">
        <w:rPr>
          <w:noProof/>
        </w:rPr>
        <w:t>7</w:t>
      </w:r>
      <w:r w:rsidR="00C11811">
        <w:fldChar w:fldCharType="end"/>
      </w:r>
      <w:r w:rsidR="00C11811">
        <w:t>).</w:t>
      </w:r>
      <w:r w:rsidR="00FF3751">
        <w:t xml:space="preserve"> </w:t>
      </w:r>
    </w:p>
    <w:p w14:paraId="0BF291E3" w14:textId="448FB51A" w:rsidR="00FF3751" w:rsidRDefault="00FF3751" w:rsidP="00A72DBD">
      <w:r>
        <w:tab/>
        <w:t>Similar comparison between observed and model-predicted depths for the held-out validation data</w:t>
      </w:r>
      <w:r w:rsidR="0048769F">
        <w:t xml:space="preserve"> indicated that the model gives realistic predictions for validation data</w:t>
      </w:r>
      <w:r>
        <w:t xml:space="preserve">. </w:t>
      </w:r>
      <w:r w:rsidR="00AF2732">
        <w:t>There was good agreement between the mean simulated depths and observed depths in the validation data (</w:t>
      </w:r>
      <w:r w:rsidR="00AF2732">
        <w:fldChar w:fldCharType="begin"/>
      </w:r>
      <w:r w:rsidR="00AF2732">
        <w:instrText xml:space="preserve"> REF _Ref110850025 \h </w:instrText>
      </w:r>
      <w:r w:rsidR="00AF2732">
        <w:fldChar w:fldCharType="separate"/>
      </w:r>
      <w:r w:rsidR="00D64BB6">
        <w:t xml:space="preserve">Supplementary Figure </w:t>
      </w:r>
      <w:r w:rsidR="00D64BB6">
        <w:rPr>
          <w:noProof/>
        </w:rPr>
        <w:t>8</w:t>
      </w:r>
      <w:r w:rsidR="00AF2732">
        <w:fldChar w:fldCharType="end"/>
      </w:r>
      <w:r w:rsidR="00AF2732">
        <w:t xml:space="preserve">). </w:t>
      </w:r>
      <w:r w:rsidR="00E723C4">
        <w:t>There was likewise consistency between the observed and simulated depth distributions, though with only 124 validation data points there was lots of variation in the simulated distributions, making this comparison less helpful (</w:t>
      </w:r>
      <w:r w:rsidR="00E723C4">
        <w:fldChar w:fldCharType="begin"/>
      </w:r>
      <w:r w:rsidR="00E723C4">
        <w:instrText xml:space="preserve"> REF _Ref110850432 \h </w:instrText>
      </w:r>
      <w:r w:rsidR="00E723C4">
        <w:fldChar w:fldCharType="separate"/>
      </w:r>
      <w:r w:rsidR="00D64BB6">
        <w:t xml:space="preserve">Supplementary Figure </w:t>
      </w:r>
      <w:r w:rsidR="00D64BB6">
        <w:rPr>
          <w:noProof/>
        </w:rPr>
        <w:t>9</w:t>
      </w:r>
      <w:r w:rsidR="00E723C4">
        <w:fldChar w:fldCharType="end"/>
      </w:r>
      <w:r w:rsidR="00E723C4">
        <w:t xml:space="preserve">). </w:t>
      </w:r>
      <w:r w:rsidR="0048769F">
        <w:t>The cumulative density functions of the observed duff depths in the validation data fell within the range of cumulative density functions generated from simulated observations, again indicating that the observed behavior is within the range of behaviors predicted by the model (</w:t>
      </w:r>
      <w:r w:rsidR="0048769F">
        <w:fldChar w:fldCharType="begin"/>
      </w:r>
      <w:r w:rsidR="0048769F">
        <w:instrText xml:space="preserve"> REF _Ref110851508 \h </w:instrText>
      </w:r>
      <w:r w:rsidR="0048769F">
        <w:fldChar w:fldCharType="separate"/>
      </w:r>
      <w:r w:rsidR="00D64BB6">
        <w:t xml:space="preserve">Supplementary Figure </w:t>
      </w:r>
      <w:r w:rsidR="00D64BB6">
        <w:rPr>
          <w:noProof/>
        </w:rPr>
        <w:t>10</w:t>
      </w:r>
      <w:r w:rsidR="0048769F">
        <w:fldChar w:fldCharType="end"/>
      </w:r>
      <w:r w:rsidR="0048769F">
        <w:t>).</w:t>
      </w:r>
      <w:r w:rsidR="00ED59AB">
        <w:t xml:space="preserve"> </w:t>
      </w:r>
      <w:r w:rsidR="006C771F">
        <w:t>When simulating p</w:t>
      </w:r>
      <w:r w:rsidR="00ED59AB">
        <w:t xml:space="preserve">lot-level fuel loads </w:t>
      </w:r>
      <w:r w:rsidR="006C771F">
        <w:t xml:space="preserve">using posterior parameter values and drawing new random effect realizations, the observed distribution of plot-level </w:t>
      </w:r>
      <w:r w:rsidR="006C771F">
        <w:lastRenderedPageBreak/>
        <w:t>fuel loads was within the range of behaviors predicted by the model</w:t>
      </w:r>
      <w:r w:rsidR="008425B8">
        <w:t xml:space="preserve"> </w:t>
      </w:r>
      <w:r w:rsidR="00292694">
        <w:t>(</w:t>
      </w:r>
      <w:r w:rsidR="00292694">
        <w:fldChar w:fldCharType="begin"/>
      </w:r>
      <w:r w:rsidR="00292694">
        <w:instrText xml:space="preserve"> REF _Ref110932446 \h </w:instrText>
      </w:r>
      <w:r w:rsidR="00292694">
        <w:fldChar w:fldCharType="separate"/>
      </w:r>
      <w:r w:rsidR="00D64BB6">
        <w:t xml:space="preserve">Supplementary Figure </w:t>
      </w:r>
      <w:r w:rsidR="00D64BB6">
        <w:rPr>
          <w:noProof/>
        </w:rPr>
        <w:t>11</w:t>
      </w:r>
      <w:r w:rsidR="00292694">
        <w:fldChar w:fldCharType="end"/>
      </w:r>
      <w:r w:rsidR="00292694">
        <w:t>)</w:t>
      </w:r>
      <w:r w:rsidR="006C771F">
        <w:t xml:space="preserve">. However, the model simulations included rare outcomes with extreme plot-level fuel loads greater than 1,000 Mg/ha or less than 1 Mg/ha which </w:t>
      </w:r>
      <w:r w:rsidR="007162FA">
        <w:t>are</w:t>
      </w:r>
      <w:r w:rsidR="006C771F">
        <w:t xml:space="preserve"> ecologically implausible. </w:t>
      </w:r>
    </w:p>
    <w:p w14:paraId="6E505973" w14:textId="33BAE377" w:rsidR="00F173F9" w:rsidRDefault="00F173F9" w:rsidP="00A72DBD">
      <w:r>
        <w:tab/>
      </w:r>
      <w:r w:rsidR="005203F0">
        <w:t>Comparison between the posterior distributions and the prior distribution for each model parameter indicated that the posterior distributions for all parameters were strongly informed by the data, rather than the prior, for all parameters except the negative binomial dispersion parameter (which was only moderately informed by the data</w:t>
      </w:r>
      <w:r w:rsidR="005C6F38">
        <w:t xml:space="preserve">; </w:t>
      </w:r>
      <w:r w:rsidR="005C6F38">
        <w:fldChar w:fldCharType="begin"/>
      </w:r>
      <w:r w:rsidR="005C6F38">
        <w:instrText xml:space="preserve"> REF _Ref110853041 \h </w:instrText>
      </w:r>
      <w:r w:rsidR="005C6F38">
        <w:fldChar w:fldCharType="separate"/>
      </w:r>
      <w:r w:rsidR="00D64BB6">
        <w:t xml:space="preserve">Supplementary Figure </w:t>
      </w:r>
      <w:r w:rsidR="00D64BB6">
        <w:rPr>
          <w:noProof/>
        </w:rPr>
        <w:t>12</w:t>
      </w:r>
      <w:r w:rsidR="005C6F38">
        <w:fldChar w:fldCharType="end"/>
      </w:r>
      <w:r w:rsidR="005203F0">
        <w:t xml:space="preserve">). </w:t>
      </w:r>
      <w:r w:rsidR="005C6F38">
        <w:t>However, uncertainty in each parameter was wide relative to any differences in the location of the posterior distribution across the drought mortality classes</w:t>
      </w:r>
      <w:r w:rsidR="003C673E">
        <w:t xml:space="preserve"> and there is substantial overlap among the 95% credible intervals for each parameter among the drought mortality classes (</w:t>
      </w:r>
      <w:r w:rsidR="003C673E">
        <w:fldChar w:fldCharType="begin"/>
      </w:r>
      <w:r w:rsidR="003C673E">
        <w:instrText xml:space="preserve"> REF _Ref110853247 \h </w:instrText>
      </w:r>
      <w:r w:rsidR="003C673E">
        <w:fldChar w:fldCharType="separate"/>
      </w:r>
      <w:r w:rsidR="00D64BB6">
        <w:t xml:space="preserve">Figure </w:t>
      </w:r>
      <w:r w:rsidR="00D64BB6">
        <w:rPr>
          <w:noProof/>
        </w:rPr>
        <w:t>3</w:t>
      </w:r>
      <w:r w:rsidR="003C673E">
        <w:fldChar w:fldCharType="end"/>
      </w:r>
      <w:r w:rsidR="003C673E">
        <w:t xml:space="preserve"> and </w:t>
      </w:r>
      <w:r w:rsidR="003C673E">
        <w:fldChar w:fldCharType="begin"/>
      </w:r>
      <w:r w:rsidR="003C673E">
        <w:instrText xml:space="preserve"> REF _Ref110853261 \h </w:instrText>
      </w:r>
      <w:r w:rsidR="003C673E">
        <w:fldChar w:fldCharType="separate"/>
      </w:r>
      <w:r w:rsidR="00D64BB6">
        <w:t xml:space="preserve">Table </w:t>
      </w:r>
      <w:r w:rsidR="00D64BB6">
        <w:rPr>
          <w:noProof/>
        </w:rPr>
        <w:t>1</w:t>
      </w:r>
      <w:r w:rsidR="003C673E">
        <w:fldChar w:fldCharType="end"/>
      </w:r>
      <w:r w:rsidR="003C673E">
        <w:t>)</w:t>
      </w:r>
      <w:r w:rsidR="005C6F38">
        <w:t xml:space="preserve">. These results suggest </w:t>
      </w:r>
      <w:r w:rsidR="003C673E">
        <w:t xml:space="preserve">that there were weak or no effects of the different drought mortality levels on the spatial pattern of duff depths, including on the overall mean depth. </w:t>
      </w:r>
    </w:p>
    <w:p w14:paraId="6247100C" w14:textId="421B63D5" w:rsidR="00677E79" w:rsidRDefault="00677E79" w:rsidP="00677E79">
      <w:pPr>
        <w:pStyle w:val="Heading2"/>
      </w:pPr>
      <w:r>
        <w:t>Litter</w:t>
      </w:r>
      <w:r w:rsidR="00B3555A">
        <w:t xml:space="preserve"> depths</w:t>
      </w:r>
    </w:p>
    <w:p w14:paraId="4B2B2900" w14:textId="21FB9DC9" w:rsidR="00404A22" w:rsidRDefault="00677E79" w:rsidP="00677E79">
      <w:r>
        <w:tab/>
        <w:t>Diagnostics for parameter estimation (R-hat values, divergences, and effective sample sizes) indicated good convergence of the HMC algorithm for the litter model</w:t>
      </w:r>
      <w:r w:rsidR="00B5213F">
        <w:t>,</w:t>
      </w:r>
      <w:r w:rsidR="00B5213F" w:rsidRPr="00B5213F">
        <w:t xml:space="preserve"> though a rather extreme setting of the </w:t>
      </w:r>
      <w:proofErr w:type="spellStart"/>
      <w:r w:rsidR="00B5213F">
        <w:rPr>
          <w:i/>
          <w:iCs/>
        </w:rPr>
        <w:t>adapt_delta</w:t>
      </w:r>
      <w:proofErr w:type="spellEnd"/>
      <w:r w:rsidR="00B5213F" w:rsidRPr="00B5213F">
        <w:t xml:space="preserve"> algorithm tuning parameter of 0.99 was required to avoid divergent transitions in the HMC algorithm</w:t>
      </w:r>
      <w:r>
        <w:t xml:space="preserve">. There was a positive correlation between the posterior mean </w:t>
      </w:r>
      <w:r w:rsidR="002C00A7">
        <w:t>predicted values and the observed values for the training dataset, though with a bias towards overprediction of depths greater than approximately 5 cm and a bias towards underprediction for lower values which was more severe than the similar tendency for the duff model (</w:t>
      </w:r>
      <w:r w:rsidR="002C00A7">
        <w:fldChar w:fldCharType="begin"/>
      </w:r>
      <w:r w:rsidR="002C00A7">
        <w:instrText xml:space="preserve"> REF _Ref110856567 \h </w:instrText>
      </w:r>
      <w:r w:rsidR="002C00A7">
        <w:fldChar w:fldCharType="separate"/>
      </w:r>
      <w:r w:rsidR="00D64BB6">
        <w:t xml:space="preserve">Supplementary Figure </w:t>
      </w:r>
      <w:r w:rsidR="00D64BB6">
        <w:rPr>
          <w:noProof/>
        </w:rPr>
        <w:t>13</w:t>
      </w:r>
      <w:r w:rsidR="002C00A7">
        <w:fldChar w:fldCharType="end"/>
      </w:r>
      <w:r w:rsidR="002C00A7">
        <w:t xml:space="preserve">). </w:t>
      </w:r>
      <w:r w:rsidR="00286633">
        <w:t>There was generally good agreement between the depth distribution of observations from the training dataset and the depth distribution of simulated datasets, except that again the model tended to overpredict the proportion of 1 cm depths while slightly underpredicting the proportion of 2 cm depths (</w:t>
      </w:r>
      <w:r w:rsidR="00286633">
        <w:fldChar w:fldCharType="begin"/>
      </w:r>
      <w:r w:rsidR="00286633">
        <w:instrText xml:space="preserve"> REF _Ref110857256 \h </w:instrText>
      </w:r>
      <w:r w:rsidR="00286633">
        <w:fldChar w:fldCharType="separate"/>
      </w:r>
      <w:r w:rsidR="00D64BB6">
        <w:t xml:space="preserve">Supplementary Figure </w:t>
      </w:r>
      <w:r w:rsidR="00D64BB6">
        <w:rPr>
          <w:noProof/>
        </w:rPr>
        <w:t>14</w:t>
      </w:r>
      <w:r w:rsidR="00286633">
        <w:fldChar w:fldCharType="end"/>
      </w:r>
      <w:r w:rsidR="00286633">
        <w:t xml:space="preserve">). However, the observed cumulative density function for training data depths was within the envelope of cumulative density functions </w:t>
      </w:r>
      <w:r w:rsidR="00404A22">
        <w:t>found in the posterior predictions, indicating that the true behavior was within the range of possibilities predicted by the model (</w:t>
      </w:r>
      <w:r w:rsidR="00404A22">
        <w:fldChar w:fldCharType="begin"/>
      </w:r>
      <w:r w:rsidR="00404A22">
        <w:instrText xml:space="preserve"> REF _Ref110857449 \h </w:instrText>
      </w:r>
      <w:r w:rsidR="00404A22">
        <w:fldChar w:fldCharType="separate"/>
      </w:r>
      <w:r w:rsidR="00D64BB6">
        <w:t xml:space="preserve">Supplementary Figure </w:t>
      </w:r>
      <w:r w:rsidR="00D64BB6">
        <w:rPr>
          <w:noProof/>
        </w:rPr>
        <w:t>15</w:t>
      </w:r>
      <w:r w:rsidR="00404A22">
        <w:fldChar w:fldCharType="end"/>
      </w:r>
      <w:r w:rsidR="00404A22">
        <w:t>).</w:t>
      </w:r>
      <w:r w:rsidR="009F5CEB">
        <w:t xml:space="preserve"> </w:t>
      </w:r>
      <w:r w:rsidR="00404A22">
        <w:t xml:space="preserve">Posterior predictions generated from the held-out validation dataset for the litter model </w:t>
      </w:r>
      <w:r w:rsidR="009F5CEB">
        <w:t>exhibited similar patterns, with the model revealing a tendency to underpredict for high observed depth values and overpredict for low observed depths, but the observed behavior generally falling within the range of outcomes predicted by the model (</w:t>
      </w:r>
      <w:r w:rsidR="009F5CEB">
        <w:fldChar w:fldCharType="begin"/>
      </w:r>
      <w:r w:rsidR="009F5CEB">
        <w:instrText xml:space="preserve"> REF _Ref110858255 \h </w:instrText>
      </w:r>
      <w:r w:rsidR="009F5CEB">
        <w:fldChar w:fldCharType="separate"/>
      </w:r>
      <w:r w:rsidR="00D64BB6">
        <w:t xml:space="preserve">Supplementary Figure </w:t>
      </w:r>
      <w:r w:rsidR="00D64BB6">
        <w:rPr>
          <w:noProof/>
        </w:rPr>
        <w:t>16</w:t>
      </w:r>
      <w:r w:rsidR="009F5CEB">
        <w:fldChar w:fldCharType="end"/>
      </w:r>
      <w:r w:rsidR="009F5CEB">
        <w:t xml:space="preserve">, </w:t>
      </w:r>
      <w:r w:rsidR="009F5CEB">
        <w:fldChar w:fldCharType="begin"/>
      </w:r>
      <w:r w:rsidR="009F5CEB">
        <w:instrText xml:space="preserve"> REF _Ref110858258 \h </w:instrText>
      </w:r>
      <w:r w:rsidR="009F5CEB">
        <w:fldChar w:fldCharType="separate"/>
      </w:r>
      <w:r w:rsidR="00D64BB6">
        <w:t xml:space="preserve">Supplementary Figure </w:t>
      </w:r>
      <w:r w:rsidR="00D64BB6">
        <w:rPr>
          <w:noProof/>
        </w:rPr>
        <w:t>17</w:t>
      </w:r>
      <w:r w:rsidR="009F5CEB">
        <w:fldChar w:fldCharType="end"/>
      </w:r>
      <w:r w:rsidR="009F5CEB">
        <w:t xml:space="preserve">, and </w:t>
      </w:r>
      <w:r w:rsidR="008D0C60">
        <w:fldChar w:fldCharType="begin"/>
      </w:r>
      <w:r w:rsidR="008D0C60">
        <w:instrText xml:space="preserve"> REF _Ref110858980 \h </w:instrText>
      </w:r>
      <w:r w:rsidR="008D0C60">
        <w:fldChar w:fldCharType="separate"/>
      </w:r>
      <w:r w:rsidR="00D64BB6">
        <w:t xml:space="preserve">Supplementary Figure </w:t>
      </w:r>
      <w:r w:rsidR="00D64BB6">
        <w:rPr>
          <w:noProof/>
        </w:rPr>
        <w:t>18</w:t>
      </w:r>
      <w:r w:rsidR="008D0C60">
        <w:fldChar w:fldCharType="end"/>
      </w:r>
      <w:r w:rsidR="009F5CEB">
        <w:t>)</w:t>
      </w:r>
      <w:r w:rsidR="00404A22">
        <w:t>.</w:t>
      </w:r>
      <w:r w:rsidR="008425B8">
        <w:t xml:space="preserve"> </w:t>
      </w:r>
      <w:r w:rsidR="00292694">
        <w:t>The observed cumulative density function of plot-level fuel loads fell within the range of behaviors simulated using posterior parameter values and drawing new random effects realizations, though again the model occasionally simulated plot-level fuel loads with extremely high or extremely low fuel loads (</w:t>
      </w:r>
      <w:r w:rsidR="00292694">
        <w:fldChar w:fldCharType="begin"/>
      </w:r>
      <w:r w:rsidR="00292694">
        <w:instrText xml:space="preserve"> REF _Ref110932637 \h </w:instrText>
      </w:r>
      <w:r w:rsidR="00292694">
        <w:fldChar w:fldCharType="separate"/>
      </w:r>
      <w:r w:rsidR="00D64BB6">
        <w:t xml:space="preserve">Supplementary Figure </w:t>
      </w:r>
      <w:r w:rsidR="00D64BB6">
        <w:rPr>
          <w:noProof/>
        </w:rPr>
        <w:t>19</w:t>
      </w:r>
      <w:r w:rsidR="00292694">
        <w:fldChar w:fldCharType="end"/>
      </w:r>
      <w:r w:rsidR="00292694">
        <w:t xml:space="preserve">). </w:t>
      </w:r>
    </w:p>
    <w:p w14:paraId="5B8A12D1" w14:textId="34292F38" w:rsidR="008D0C60" w:rsidRDefault="008D0C60" w:rsidP="00677E79">
      <w:r>
        <w:tab/>
      </w:r>
      <w:r w:rsidR="002F1A86">
        <w:t>The posterior distributions for the group intercept, the gaussian process magnitude, and the plot random effect standard deviation were all very constrained relative to the prior distribution, indicating that the posterior estimates for those parameters were well informed by the data rather than the prior</w:t>
      </w:r>
      <w:r w:rsidR="003B47BF">
        <w:t xml:space="preserve"> (</w:t>
      </w:r>
      <w:r w:rsidR="003B47BF">
        <w:fldChar w:fldCharType="begin"/>
      </w:r>
      <w:r w:rsidR="003B47BF">
        <w:instrText xml:space="preserve"> REF _Ref110859548 \h </w:instrText>
      </w:r>
      <w:r w:rsidR="003B47BF">
        <w:fldChar w:fldCharType="separate"/>
      </w:r>
      <w:r w:rsidR="00D64BB6">
        <w:t xml:space="preserve">Supplementary Figure </w:t>
      </w:r>
      <w:r w:rsidR="00D64BB6">
        <w:rPr>
          <w:noProof/>
        </w:rPr>
        <w:t>20</w:t>
      </w:r>
      <w:r w:rsidR="003B47BF">
        <w:fldChar w:fldCharType="end"/>
      </w:r>
      <w:r w:rsidR="003B47BF">
        <w:t>)</w:t>
      </w:r>
      <w:r w:rsidR="002F1A86">
        <w:t xml:space="preserve">. By contrast, </w:t>
      </w:r>
      <w:r w:rsidR="003B47BF">
        <w:t>the data were less informative about the length-scale and negative binomial dispersion parameters: T</w:t>
      </w:r>
      <w:r w:rsidR="002F1A86">
        <w:t xml:space="preserve">here was extensive overlap between the posterior and prior distributions for the length-scale parameters for the medium and high drought mortality </w:t>
      </w:r>
      <w:r w:rsidR="003B47BF">
        <w:t xml:space="preserve">sub-models and between the posterior and prior distributions for the negative binomial dispersion parameters for the litter model. The posterior distributions suggest that increasing levels of drought </w:t>
      </w:r>
      <w:r w:rsidR="003B47BF">
        <w:lastRenderedPageBreak/>
        <w:t>mortality may have resulted in increased values for the group-level intercept and decreased values for the gaussian process magnitude</w:t>
      </w:r>
      <w:r w:rsidR="00794AEC">
        <w:t xml:space="preserve"> (</w:t>
      </w:r>
      <w:r w:rsidR="00794AEC">
        <w:fldChar w:fldCharType="begin"/>
      </w:r>
      <w:r w:rsidR="00794AEC">
        <w:instrText xml:space="preserve"> REF _Ref110859880 \h </w:instrText>
      </w:r>
      <w:r w:rsidR="00794AEC">
        <w:fldChar w:fldCharType="separate"/>
      </w:r>
      <w:r w:rsidR="00D64BB6">
        <w:t xml:space="preserve">Figure </w:t>
      </w:r>
      <w:r w:rsidR="00D64BB6">
        <w:rPr>
          <w:noProof/>
        </w:rPr>
        <w:t>4</w:t>
      </w:r>
      <w:r w:rsidR="00794AEC">
        <w:fldChar w:fldCharType="end"/>
      </w:r>
      <w:r w:rsidR="00794AEC">
        <w:t>). The 95% credible intervals for the gaussian process magnitude overlap between the low and medium levels of drought mortality and between the medium and high levels of drought mortality, but not between the low and high levels</w:t>
      </w:r>
      <w:r w:rsidR="00C270A5">
        <w:t xml:space="preserve"> of drought mortality: The relative strength of the fine-scale spatial random effect was higher for areas with low levels of drought mortality than it was for areas experiencing high levels of drought mortality (). For the group-level intercept parameter, representing (log) average litter depths within a drought mortality class,</w:t>
      </w:r>
      <w:r w:rsidR="00794AEC">
        <w:t xml:space="preserve"> uncertainty is wide relative to any differences and the 95% credible intervals across the different levels of drought mortality overlap.</w:t>
      </w:r>
    </w:p>
    <w:p w14:paraId="2B0536A9" w14:textId="0BD1FC48" w:rsidR="003653EF" w:rsidRDefault="003653EF" w:rsidP="003653EF">
      <w:pPr>
        <w:pStyle w:val="Heading2"/>
      </w:pPr>
      <w:r>
        <w:t>Fine woody debris tallies</w:t>
      </w:r>
    </w:p>
    <w:p w14:paraId="11C80357" w14:textId="02C2DF9D" w:rsidR="003653EF" w:rsidRDefault="003653EF" w:rsidP="003653EF">
      <w:pPr>
        <w:rPr>
          <w:rFonts w:eastAsiaTheme="minorEastAsia"/>
        </w:rPr>
      </w:pPr>
      <w:r>
        <w:tab/>
        <w:t>Model diagnostics for the fine woody debris tallies model ultimately indicated good convergence,</w:t>
      </w:r>
      <w:r w:rsidR="00B5213F">
        <w:t xml:space="preserve"> again requiring an </w:t>
      </w:r>
      <w:proofErr w:type="spellStart"/>
      <w:r w:rsidR="00B5213F" w:rsidRPr="00B5213F">
        <w:rPr>
          <w:i/>
          <w:iCs/>
        </w:rPr>
        <w:t>adapt_delta</w:t>
      </w:r>
      <w:proofErr w:type="spellEnd"/>
      <w:r w:rsidR="00B5213F" w:rsidRPr="00B5213F">
        <w:rPr>
          <w:i/>
          <w:iCs/>
        </w:rPr>
        <w:t xml:space="preserve"> </w:t>
      </w:r>
      <w:r w:rsidR="00B5213F">
        <w:t>of 0.99</w:t>
      </w:r>
      <w:r>
        <w:t xml:space="preserve">. Posterior pair plots indicated a strong correlation between the length-scale parameter and the nugget parameter for all three sub-models, where samples with larger values of </w:t>
      </w:r>
      <m:oMath>
        <m:r>
          <w:rPr>
            <w:rFonts w:ascii="Cambria Math" w:hAnsi="Cambria Math"/>
          </w:rPr>
          <m:t>ρ</m:t>
        </m:r>
      </m:oMath>
      <w:r>
        <w:rPr>
          <w:rFonts w:eastAsiaTheme="minorEastAsia"/>
        </w:rPr>
        <w:t xml:space="preserve"> tended to also have larger values for </w:t>
      </w:r>
      <m:oMath>
        <m:r>
          <w:rPr>
            <w:rFonts w:ascii="Cambria Math" w:eastAsiaTheme="minorEastAsia" w:hAnsi="Cambria Math"/>
          </w:rPr>
          <m:t>τ</m:t>
        </m:r>
      </m:oMath>
      <w:r>
        <w:rPr>
          <w:rFonts w:eastAsiaTheme="minorEastAsia"/>
        </w:rPr>
        <w:t xml:space="preserve">. </w:t>
      </w:r>
      <w:r w:rsidR="000A5E0B">
        <w:rPr>
          <w:rFonts w:eastAsiaTheme="minorEastAsia"/>
        </w:rPr>
        <w:t>Posterior predictions generated using the training data showed good agreement with the observations (</w:t>
      </w:r>
      <w:r w:rsidR="000A5E0B">
        <w:rPr>
          <w:rFonts w:eastAsiaTheme="minorEastAsia"/>
        </w:rPr>
        <w:fldChar w:fldCharType="begin"/>
      </w:r>
      <w:r w:rsidR="000A5E0B">
        <w:rPr>
          <w:rFonts w:eastAsiaTheme="minorEastAsia"/>
        </w:rPr>
        <w:instrText xml:space="preserve"> REF _Ref110940709 \h </w:instrText>
      </w:r>
      <w:r w:rsidR="000A5E0B">
        <w:rPr>
          <w:rFonts w:eastAsiaTheme="minorEastAsia"/>
        </w:rPr>
      </w:r>
      <w:r w:rsidR="000A5E0B">
        <w:rPr>
          <w:rFonts w:eastAsiaTheme="minorEastAsia"/>
        </w:rPr>
        <w:fldChar w:fldCharType="separate"/>
      </w:r>
      <w:r w:rsidR="000A5E0B">
        <w:t xml:space="preserve">Supplementary Figure </w:t>
      </w:r>
      <w:r w:rsidR="000A5E0B">
        <w:rPr>
          <w:noProof/>
        </w:rPr>
        <w:t>21</w:t>
      </w:r>
      <w:r w:rsidR="000A5E0B">
        <w:rPr>
          <w:rFonts w:eastAsiaTheme="minorEastAsia"/>
        </w:rPr>
        <w:fldChar w:fldCharType="end"/>
      </w:r>
      <w:r w:rsidR="000A5E0B">
        <w:rPr>
          <w:rFonts w:eastAsiaTheme="minorEastAsia"/>
        </w:rPr>
        <w:t xml:space="preserve">, </w:t>
      </w:r>
      <w:r w:rsidR="000A5E0B">
        <w:rPr>
          <w:rFonts w:eastAsiaTheme="minorEastAsia"/>
        </w:rPr>
        <w:fldChar w:fldCharType="begin"/>
      </w:r>
      <w:r w:rsidR="000A5E0B">
        <w:rPr>
          <w:rFonts w:eastAsiaTheme="minorEastAsia"/>
        </w:rPr>
        <w:instrText xml:space="preserve"> REF _Ref110940711 \h </w:instrText>
      </w:r>
      <w:r w:rsidR="000A5E0B">
        <w:rPr>
          <w:rFonts w:eastAsiaTheme="minorEastAsia"/>
        </w:rPr>
      </w:r>
      <w:r w:rsidR="000A5E0B">
        <w:rPr>
          <w:rFonts w:eastAsiaTheme="minorEastAsia"/>
        </w:rPr>
        <w:fldChar w:fldCharType="separate"/>
      </w:r>
      <w:r w:rsidR="000A5E0B">
        <w:t xml:space="preserve">Supplementary Figure </w:t>
      </w:r>
      <w:r w:rsidR="000A5E0B">
        <w:rPr>
          <w:noProof/>
        </w:rPr>
        <w:t>22</w:t>
      </w:r>
      <w:r w:rsidR="000A5E0B">
        <w:rPr>
          <w:rFonts w:eastAsiaTheme="minorEastAsia"/>
        </w:rPr>
        <w:fldChar w:fldCharType="end"/>
      </w:r>
      <w:r w:rsidR="000A5E0B">
        <w:rPr>
          <w:rFonts w:eastAsiaTheme="minorEastAsia"/>
        </w:rPr>
        <w:t xml:space="preserve">, and </w:t>
      </w:r>
      <w:r w:rsidR="000A5E0B">
        <w:rPr>
          <w:rFonts w:eastAsiaTheme="minorEastAsia"/>
        </w:rPr>
        <w:fldChar w:fldCharType="begin"/>
      </w:r>
      <w:r w:rsidR="000A5E0B">
        <w:rPr>
          <w:rFonts w:eastAsiaTheme="minorEastAsia"/>
        </w:rPr>
        <w:instrText xml:space="preserve"> REF _Ref110940713 \h </w:instrText>
      </w:r>
      <w:r w:rsidR="000A5E0B">
        <w:rPr>
          <w:rFonts w:eastAsiaTheme="minorEastAsia"/>
        </w:rPr>
      </w:r>
      <w:r w:rsidR="000A5E0B">
        <w:rPr>
          <w:rFonts w:eastAsiaTheme="minorEastAsia"/>
        </w:rPr>
        <w:fldChar w:fldCharType="separate"/>
      </w:r>
      <w:r w:rsidR="000A5E0B">
        <w:t xml:space="preserve">Supplementary Figure </w:t>
      </w:r>
      <w:r w:rsidR="000A5E0B">
        <w:rPr>
          <w:noProof/>
        </w:rPr>
        <w:t>23</w:t>
      </w:r>
      <w:r w:rsidR="000A5E0B">
        <w:rPr>
          <w:rFonts w:eastAsiaTheme="minorEastAsia"/>
        </w:rPr>
        <w:fldChar w:fldCharType="end"/>
      </w:r>
      <w:r w:rsidR="000A5E0B">
        <w:rPr>
          <w:rFonts w:eastAsiaTheme="minorEastAsia"/>
        </w:rPr>
        <w:t>). Posterior predictions generated using the validation dataset</w:t>
      </w:r>
      <w:r w:rsidR="00CF3B4D">
        <w:rPr>
          <w:rFonts w:eastAsiaTheme="minorEastAsia"/>
        </w:rPr>
        <w:t xml:space="preserve"> tended to overpredict observed tallies for counts above approximately 25 for both medium and high drought mortality sub-models (</w:t>
      </w:r>
      <w:r w:rsidR="007022B5">
        <w:rPr>
          <w:rFonts w:eastAsiaTheme="minorEastAsia"/>
        </w:rPr>
        <w:fldChar w:fldCharType="begin"/>
      </w:r>
      <w:r w:rsidR="007022B5">
        <w:rPr>
          <w:rFonts w:eastAsiaTheme="minorEastAsia"/>
        </w:rPr>
        <w:instrText xml:space="preserve"> REF _Ref110941465 \h </w:instrText>
      </w:r>
      <w:r w:rsidR="007022B5">
        <w:rPr>
          <w:rFonts w:eastAsiaTheme="minorEastAsia"/>
        </w:rPr>
      </w:r>
      <w:r w:rsidR="007022B5">
        <w:rPr>
          <w:rFonts w:eastAsiaTheme="minorEastAsia"/>
        </w:rPr>
        <w:fldChar w:fldCharType="separate"/>
      </w:r>
      <w:r w:rsidR="007022B5">
        <w:t xml:space="preserve">Supplementary Figure </w:t>
      </w:r>
      <w:r w:rsidR="007022B5">
        <w:rPr>
          <w:noProof/>
        </w:rPr>
        <w:t>24</w:t>
      </w:r>
      <w:r w:rsidR="007022B5">
        <w:rPr>
          <w:rFonts w:eastAsiaTheme="minorEastAsia"/>
        </w:rPr>
        <w:fldChar w:fldCharType="end"/>
      </w:r>
      <w:r w:rsidR="00CF3B4D">
        <w:rPr>
          <w:rFonts w:eastAsiaTheme="minorEastAsia"/>
        </w:rPr>
        <w:t>), though the observed data otherwise fell within the range of behaviors predicted by the model (</w:t>
      </w:r>
      <w:r w:rsidR="007022B5">
        <w:rPr>
          <w:rFonts w:eastAsiaTheme="minorEastAsia"/>
        </w:rPr>
        <w:fldChar w:fldCharType="begin"/>
      </w:r>
      <w:r w:rsidR="007022B5">
        <w:rPr>
          <w:rFonts w:eastAsiaTheme="minorEastAsia"/>
        </w:rPr>
        <w:instrText xml:space="preserve"> REF _Ref110941489 \h </w:instrText>
      </w:r>
      <w:r w:rsidR="007022B5">
        <w:rPr>
          <w:rFonts w:eastAsiaTheme="minorEastAsia"/>
        </w:rPr>
      </w:r>
      <w:r w:rsidR="007022B5">
        <w:rPr>
          <w:rFonts w:eastAsiaTheme="minorEastAsia"/>
        </w:rPr>
        <w:fldChar w:fldCharType="separate"/>
      </w:r>
      <w:r w:rsidR="007022B5">
        <w:t xml:space="preserve">Supplementary Figure </w:t>
      </w:r>
      <w:r w:rsidR="007022B5">
        <w:rPr>
          <w:noProof/>
        </w:rPr>
        <w:t>25</w:t>
      </w:r>
      <w:r w:rsidR="007022B5">
        <w:rPr>
          <w:rFonts w:eastAsiaTheme="minorEastAsia"/>
        </w:rPr>
        <w:fldChar w:fldCharType="end"/>
      </w:r>
      <w:r w:rsidR="00291E0E">
        <w:rPr>
          <w:rFonts w:eastAsiaTheme="minorEastAsia"/>
        </w:rPr>
        <w:t xml:space="preserve"> and </w:t>
      </w:r>
      <w:r w:rsidR="007022B5">
        <w:rPr>
          <w:rFonts w:eastAsiaTheme="minorEastAsia"/>
        </w:rPr>
        <w:t xml:space="preserve"> </w:t>
      </w:r>
      <w:r w:rsidR="007022B5">
        <w:rPr>
          <w:rFonts w:eastAsiaTheme="minorEastAsia"/>
        </w:rPr>
        <w:fldChar w:fldCharType="begin"/>
      </w:r>
      <w:r w:rsidR="007022B5">
        <w:rPr>
          <w:rFonts w:eastAsiaTheme="minorEastAsia"/>
        </w:rPr>
        <w:instrText xml:space="preserve"> REF _Ref110941491 \h </w:instrText>
      </w:r>
      <w:r w:rsidR="007022B5">
        <w:rPr>
          <w:rFonts w:eastAsiaTheme="minorEastAsia"/>
        </w:rPr>
      </w:r>
      <w:r w:rsidR="007022B5">
        <w:rPr>
          <w:rFonts w:eastAsiaTheme="minorEastAsia"/>
        </w:rPr>
        <w:fldChar w:fldCharType="separate"/>
      </w:r>
      <w:r w:rsidR="007022B5">
        <w:t xml:space="preserve">Supplementary Figure </w:t>
      </w:r>
      <w:r w:rsidR="007022B5">
        <w:rPr>
          <w:noProof/>
        </w:rPr>
        <w:t>26</w:t>
      </w:r>
      <w:r w:rsidR="007022B5">
        <w:rPr>
          <w:rFonts w:eastAsiaTheme="minorEastAsia"/>
        </w:rPr>
        <w:fldChar w:fldCharType="end"/>
      </w:r>
      <w:r w:rsidR="00CF3B4D">
        <w:rPr>
          <w:rFonts w:eastAsiaTheme="minorEastAsia"/>
        </w:rPr>
        <w:t>).</w:t>
      </w:r>
      <w:r w:rsidR="00291E0E">
        <w:rPr>
          <w:rFonts w:eastAsiaTheme="minorEastAsia"/>
        </w:rPr>
        <w:t xml:space="preserve"> </w:t>
      </w:r>
    </w:p>
    <w:p w14:paraId="51909159" w14:textId="735E9C38" w:rsidR="00B00582" w:rsidRDefault="00B00582" w:rsidP="003653EF">
      <w:pPr>
        <w:rPr>
          <w:rFonts w:eastAsiaTheme="minorEastAsia"/>
        </w:rPr>
      </w:pPr>
      <w:r>
        <w:rPr>
          <w:rFonts w:eastAsiaTheme="minorEastAsia"/>
        </w:rPr>
        <w:tab/>
        <w:t xml:space="preserve">Comparison of posterior distributions for each model parameter with the prior distributions indicated that posterior estimates for most parameters were strongly informed by the data, rather than the prior distribution. The exceptions were the negative binomial dispersion parameters for all three drought mortality classes and the gaussian process length-scale parameters for the low and medium drought mortality classes, which were only moderately well informed by the data. Varying levels of drought mortality did not have strong effects on the </w:t>
      </w:r>
      <w:r w:rsidR="0086685D">
        <w:rPr>
          <w:rFonts w:eastAsiaTheme="minorEastAsia"/>
        </w:rPr>
        <w:t>parameters describing the fine-scale distribution of fine woody debris tallies relative to the uncertainty in those parameters: 95% credible intervals overlapped among all levels of drought mortality for all parameters.</w:t>
      </w:r>
    </w:p>
    <w:p w14:paraId="214A6D27" w14:textId="77777777" w:rsidR="003E4933" w:rsidRDefault="003E4933" w:rsidP="003E4933">
      <w:pPr>
        <w:pStyle w:val="Heading2"/>
        <w:rPr>
          <w:rFonts w:eastAsiaTheme="minorEastAsia"/>
        </w:rPr>
      </w:pPr>
      <w:r>
        <w:rPr>
          <w:rFonts w:eastAsiaTheme="minorEastAsia"/>
        </w:rPr>
        <w:t>Fine woody debris diameters</w:t>
      </w:r>
    </w:p>
    <w:p w14:paraId="687F56A1" w14:textId="2E42C95C" w:rsidR="000D47C2" w:rsidRDefault="003E4933" w:rsidP="003E4933">
      <w:r>
        <w:tab/>
        <w:t xml:space="preserve">As with fine woody debris tallies, </w:t>
      </w:r>
      <w:r w:rsidR="005D5FEA">
        <w:t xml:space="preserve">model diagnostics for the fine woody debris diameters model were satisfactory, but only after setting </w:t>
      </w:r>
      <w:proofErr w:type="spellStart"/>
      <w:r w:rsidR="005D5FEA">
        <w:t>adapt_delta</w:t>
      </w:r>
      <w:proofErr w:type="spellEnd"/>
      <w:r w:rsidR="005D5FEA">
        <w:t xml:space="preserve"> to 0.99</w:t>
      </w:r>
      <w:r w:rsidR="00374305">
        <w:t xml:space="preserve">. Posterior pair plots exhibited a mild funnel pattern between posterior estimates of the intercept parameter and the standard deviation of the plot random effect, where there was greater variability in estimates of the intercept </w:t>
      </w:r>
      <w:r w:rsidR="006B3C5F">
        <w:t>as estimates of the standard deviation increased</w:t>
      </w:r>
      <w:r w:rsidR="00550E1B">
        <w:t>. Posterior predictive plots generated using the training data showed broad agreement between the model predictions and the observed data</w:t>
      </w:r>
      <w:r w:rsidR="00B93FDE">
        <w:t>. However,</w:t>
      </w:r>
      <w:r w:rsidR="00550E1B">
        <w:t xml:space="preserve"> the observed cumulative density function for the training data exhibits a stepwise pattern</w:t>
      </w:r>
      <w:r w:rsidR="00B93FDE">
        <w:t xml:space="preserve"> (corresponding to the rounding of diameters to the nearest 0.1 cm) which pushes the empirical cumulative density function to the edges of the envelope of cumulative density functions generated using model predictions (which include truly continuous diameters). This is likely a minor issue because the rounding of diameters to the nearest 0.1 cm was a result of the data generating process – in this case, the model predictions are likely closer to </w:t>
      </w:r>
      <w:r w:rsidR="0089713F">
        <w:t xml:space="preserve">the underlying physical </w:t>
      </w:r>
      <w:r w:rsidR="00B93FDE">
        <w:t xml:space="preserve">reality (diameters are </w:t>
      </w:r>
      <w:r w:rsidR="0007190B">
        <w:t>continuously</w:t>
      </w:r>
      <w:r w:rsidR="00B93FDE">
        <w:t xml:space="preserve"> distributed) </w:t>
      </w:r>
      <w:r w:rsidR="0089713F">
        <w:t xml:space="preserve">than the observed data are. The probability density function and cumulative density function constructed from the validation data fell </w:t>
      </w:r>
      <w:r w:rsidR="0089713F">
        <w:lastRenderedPageBreak/>
        <w:t xml:space="preserve">within the envelope of posterior predictions for those observations, with the exception that there was a smaller proportion of 0.1 cm diameters in the observed data than the model predicted. Again, this is likely an artifact of the way </w:t>
      </w:r>
      <w:r w:rsidR="0007190B">
        <w:t>physically continuous</w:t>
      </w:r>
      <w:r w:rsidR="0089713F">
        <w:t xml:space="preserve"> diameters </w:t>
      </w:r>
      <w:proofErr w:type="gramStart"/>
      <w:r w:rsidR="0089713F">
        <w:t>were</w:t>
      </w:r>
      <w:proofErr w:type="gramEnd"/>
      <w:r w:rsidR="0089713F">
        <w:t xml:space="preserve"> rounded to the nearest 0.1 cm in the validation data. </w:t>
      </w:r>
    </w:p>
    <w:p w14:paraId="3E2C5B32" w14:textId="75AB7834" w:rsidR="00974A79" w:rsidRDefault="00974A79" w:rsidP="003E4933">
      <w:r>
        <w:tab/>
        <w:t xml:space="preserve">Comparison of the posterior probability density functions with the prior probability density functions indicated that all parameters of the fine woody debris diameters model were strongly informed by the data. Again, the 95% credible intervals for all levels of drought mortality overlapped for all parameters, indicating that any effect of drought mortality level on the distribution of fine woody debris diameters was minor relative to parameter uncertainty. </w:t>
      </w:r>
      <w:r w:rsidR="006B1DAD">
        <w:t xml:space="preserve">Median posterior values for the standard deviations of the plot random effect and the transect random effect were comparable to the differences in median intercept values across the three levels of drought mortality, indicating that there is as much variation in the mean fine woody debris particle diameter between different locations within a level of drought mortality as there is between levels of drought mortality. </w:t>
      </w:r>
    </w:p>
    <w:p w14:paraId="3F32060C" w14:textId="6909CBD2" w:rsidR="00F44B7E" w:rsidRDefault="00F44B7E" w:rsidP="00F44B7E">
      <w:pPr>
        <w:pStyle w:val="Heading2"/>
      </w:pPr>
      <w:r>
        <w:t>Coarse woody debris tallies</w:t>
      </w:r>
    </w:p>
    <w:p w14:paraId="37DD2788" w14:textId="0FED9330" w:rsidR="00F44B7E" w:rsidRDefault="00F44B7E" w:rsidP="00F44B7E">
      <w:r>
        <w:tab/>
        <w:t xml:space="preserve">After setting the </w:t>
      </w:r>
      <w:proofErr w:type="spellStart"/>
      <w:r>
        <w:t>adapt_delta</w:t>
      </w:r>
      <w:proofErr w:type="spellEnd"/>
      <w:r>
        <w:t xml:space="preserve"> to 0.99, the coarse woody debris tallies model estimated parameters without divergent transitions, and with good convergence shown by R-hat and effective sample size. </w:t>
      </w:r>
      <w:r w:rsidR="00101741">
        <w:t xml:space="preserve">Posterior pair plots did not show any problematic patterns. Posterior predictions generated using the training data showed that the overall distribution of observed coarse woody debris tallies was consistent with model predictions, but that for any specific location </w:t>
      </w:r>
      <w:r w:rsidR="003D0FCC">
        <w:t>the mean simulated values tended to overpredict (for observed 0s) or underpredict (for counts above 0) the observed count. Posterior predictions generated using validation data likewise showed that the overall distribution of tallies was consistent with model predictions, but that for any specific location there was little relationship between the mean simulated values and the observed values. However, interpretation of the posterior prediction plots was complicated by the very low mean tallies in both the training and validation datasets.</w:t>
      </w:r>
    </w:p>
    <w:p w14:paraId="283461DF" w14:textId="72B7D367" w:rsidR="003D0FCC" w:rsidRDefault="003D0FCC" w:rsidP="00F44B7E">
      <w:r>
        <w:tab/>
      </w:r>
      <w:r w:rsidR="0062557D">
        <w:t xml:space="preserve">For most model parameters in all three </w:t>
      </w:r>
      <w:proofErr w:type="spellStart"/>
      <w:r w:rsidR="0062557D">
        <w:t>submodels</w:t>
      </w:r>
      <w:proofErr w:type="spellEnd"/>
      <w:r w:rsidR="0062557D">
        <w:t xml:space="preserve">, the posterior distribution was distinctly narrower than the prior distribution, indicating that the posterior estimates were well informed by the data. However, for the length-scale parameter in all three </w:t>
      </w:r>
      <w:proofErr w:type="spellStart"/>
      <w:r w:rsidR="0062557D">
        <w:t>submodels</w:t>
      </w:r>
      <w:proofErr w:type="spellEnd"/>
      <w:r w:rsidR="0062557D">
        <w:t xml:space="preserve">, the posterior distribution substantially overlapped with the prior distribution, indicating that the posterior estimates primarily reflected the prior assumptions. There was substantial overlap across the 95% credible intervals of all three drought mortality levels for all model parameters: Any effects of the severity of drought mortality on the model parameters were minor relative to the uncertainty in those parameters.  </w:t>
      </w:r>
    </w:p>
    <w:p w14:paraId="11360CF5" w14:textId="03B080BE" w:rsidR="00F26BDF" w:rsidRDefault="00F26BDF" w:rsidP="00F26BDF">
      <w:pPr>
        <w:pStyle w:val="Heading2"/>
      </w:pPr>
      <w:r>
        <w:t>Coarse woody debris diameters</w:t>
      </w:r>
    </w:p>
    <w:p w14:paraId="446C0A1C" w14:textId="77777777" w:rsidR="004815A4" w:rsidRDefault="00F26BDF" w:rsidP="004815A4">
      <w:r>
        <w:tab/>
        <w:t xml:space="preserve">Model diagnostics (R-hat values, effective </w:t>
      </w:r>
      <w:r w:rsidR="00955C8C">
        <w:t xml:space="preserve">sample sizes, and lack of divergent transitions) indicated that </w:t>
      </w:r>
      <w:r w:rsidR="00D30714">
        <w:t xml:space="preserve">HMC algorithm performed well in estimating the parameters for the coarse woody debris diameters model. Posterior predictions generated using the training data indicated that the distribution of coarse woody debris diameters observed in the training data were consistent with model predictions. Posterior predictions generated using the validation data </w:t>
      </w:r>
      <w:r w:rsidR="00DB3B3C">
        <w:t xml:space="preserve">likewise showed generally good agreement between model predictions and observed data, though the dearth of coarse woody debris particles between 5 and 25 cm in diameter in the medium drought mortality group was on the edge of the model-simulated envelope. </w:t>
      </w:r>
    </w:p>
    <w:p w14:paraId="25479952" w14:textId="4E26DFFF" w:rsidR="00F26BDF" w:rsidRDefault="00DB3B3C" w:rsidP="004815A4">
      <w:pPr>
        <w:ind w:firstLine="720"/>
      </w:pPr>
      <w:r>
        <w:lastRenderedPageBreak/>
        <w:t xml:space="preserve">Posterior distributions for both the mean and precision parameters were distinctly different from the prior distributions for all three sub models, indicating that the posterior estimates were primarily informed by the data, rather than the prior. </w:t>
      </w:r>
      <w:r w:rsidR="008F0238">
        <w:t xml:space="preserve">Again, parameter uncertainty was large relative to any differences across the drought mortality </w:t>
      </w:r>
      <w:proofErr w:type="gramStart"/>
      <w:r w:rsidR="008F0238">
        <w:t>groups:</w:t>
      </w:r>
      <w:proofErr w:type="gramEnd"/>
      <w:r w:rsidR="008F0238">
        <w:t xml:space="preserve"> t</w:t>
      </w:r>
      <w:r>
        <w:t>here was a large degree of overlap across the 95% credible intervals of all through drought mortality groups for both model parameters</w:t>
      </w:r>
      <w:r w:rsidR="008F0238">
        <w:t>.</w:t>
      </w:r>
    </w:p>
    <w:p w14:paraId="17DDE385" w14:textId="53493F0F" w:rsidR="00DB3B3C" w:rsidRDefault="004815A4" w:rsidP="004815A4">
      <w:pPr>
        <w:pStyle w:val="Heading2"/>
      </w:pPr>
      <w:r>
        <w:t>Understory vegetation presences</w:t>
      </w:r>
    </w:p>
    <w:p w14:paraId="4EA2414A" w14:textId="5EA8B2BD" w:rsidR="000E4EE4" w:rsidRDefault="004815A4" w:rsidP="004815A4">
      <w:r>
        <w:tab/>
        <w:t>Model diagnostics for the understory vegetation presences model indicated good performance of the HMC algorithm</w:t>
      </w:r>
      <w:r w:rsidR="000E4EE4">
        <w:t xml:space="preserve"> in estimating parameter values. Both posterior predictions generated using the training data and posterior predictions generated using held-out validation data showed good agreement between the predicted presence probabilities and the observed presence probabilities for binned groups of observations. Posterior distributions were sharply different from the prior distributions for the GP magnitude and GP length-scale parameters for all three groups, but posterior distributions were </w:t>
      </w:r>
      <w:proofErr w:type="gramStart"/>
      <w:r w:rsidR="000E4EE4">
        <w:t>similar to</w:t>
      </w:r>
      <w:proofErr w:type="gramEnd"/>
      <w:r w:rsidR="000E4EE4">
        <w:t xml:space="preserve"> the prior distributions for both the intercept and the standard deviation of the plot random effect, indicating that the posterior estimates for those parameters were primarily informed by the prior, rather than by the data. The 95% credible intervals for the posterior distributions of the three groups overlapped for all parameters</w:t>
      </w:r>
      <w:r w:rsidR="00D8637D">
        <w:t xml:space="preserve"> (</w:t>
      </w:r>
      <w:r w:rsidR="00D8637D">
        <w:fldChar w:fldCharType="begin"/>
      </w:r>
      <w:r w:rsidR="00D8637D">
        <w:instrText xml:space="preserve"> REF _Ref110853261 \h </w:instrText>
      </w:r>
      <w:r w:rsidR="00D8637D">
        <w:fldChar w:fldCharType="separate"/>
      </w:r>
      <w:r w:rsidR="00D8637D">
        <w:t xml:space="preserve">Table </w:t>
      </w:r>
      <w:r w:rsidR="00D8637D">
        <w:rPr>
          <w:noProof/>
        </w:rPr>
        <w:t>1</w:t>
      </w:r>
      <w:r w:rsidR="00D8637D">
        <w:fldChar w:fldCharType="end"/>
      </w:r>
      <w:r w:rsidR="00D8637D">
        <w:t>)</w:t>
      </w:r>
      <w:r w:rsidR="000E4EE4">
        <w:t xml:space="preserve">, though only barely for the GP length-scale parameters </w:t>
      </w:r>
      <w:r w:rsidR="00D8637D">
        <w:t>of the medium and high drought mortality levels (</w:t>
      </w:r>
      <w:r w:rsidR="00D8637D">
        <w:fldChar w:fldCharType="begin"/>
      </w:r>
      <w:r w:rsidR="00D8637D">
        <w:instrText xml:space="preserve"> REF _Ref115172796 \h </w:instrText>
      </w:r>
      <w:r w:rsidR="00D8637D">
        <w:fldChar w:fldCharType="separate"/>
      </w:r>
      <w:r w:rsidR="00D8637D">
        <w:t xml:space="preserve">Figure </w:t>
      </w:r>
      <w:r w:rsidR="00D8637D">
        <w:rPr>
          <w:noProof/>
        </w:rPr>
        <w:t>9</w:t>
      </w:r>
      <w:r w:rsidR="00D8637D">
        <w:fldChar w:fldCharType="end"/>
      </w:r>
      <w:r w:rsidR="00D8637D">
        <w:t>).</w:t>
      </w:r>
    </w:p>
    <w:p w14:paraId="08DDF3E0" w14:textId="39066022" w:rsidR="00E472F8" w:rsidRDefault="00E472F8" w:rsidP="00E472F8">
      <w:pPr>
        <w:pStyle w:val="Heading2"/>
      </w:pPr>
      <w:r>
        <w:t>Tree</w:t>
      </w:r>
      <w:r w:rsidR="00DE375F">
        <w:t xml:space="preserve"> tallies</w:t>
      </w:r>
    </w:p>
    <w:p w14:paraId="4739A2D5" w14:textId="3E3C2C4E" w:rsidR="00E472F8" w:rsidRDefault="00E472F8" w:rsidP="00E472F8">
      <w:r>
        <w:tab/>
        <w:t>Model diagnostics for the tree</w:t>
      </w:r>
      <w:r w:rsidR="00DE375F">
        <w:t xml:space="preserve"> tallies model indicated good performance of the HMC algorithm in estimating parameter values. The very high proportion of zeros in the training dataset (95% of quadrats had zero stems) made evaluating the ability of the model to predict individual observations from either the training or validation datasets difficult. However, the model appeared to perform reasonably well on the training data (with a positive relationship near the 1:1 line between mean predicted tallies and observed tallies)</w:t>
      </w:r>
      <w:r w:rsidR="00965317">
        <w:t>, but poorly on the validation data (with no or even a negative relationship between mean predicted tallies and observed tallies). The observed distribution of plot-level mean stem densities was consistent with the envelope of distributions for plot-level mean stem densities generated using new draws for the random effects, but barely so. In particular, the model appears to mildly overpredict the frequency of plots with more than 600 stems per hectare.</w:t>
      </w:r>
    </w:p>
    <w:p w14:paraId="257C8F05" w14:textId="6E516F6F" w:rsidR="00965317" w:rsidRDefault="00965317" w:rsidP="00E472F8">
      <w:r>
        <w:tab/>
        <w:t>Comparison of the posterior and prior distributions for the tree tallies model revealed that the posterior estimates for the gaussian process magnitudes, gaussian process ranges, and plot random intercept standard deviations were all primarily informed by the prior, rather than the data. Only the intercept estimates appeared to be well informed by the data, and for the intercepts there were no clear differences across the levels of drought mortality, with all 89% CIs overlapping.</w:t>
      </w:r>
    </w:p>
    <w:p w14:paraId="452CF514" w14:textId="5990B3CC" w:rsidR="00965317" w:rsidRDefault="00965317" w:rsidP="00965317">
      <w:pPr>
        <w:pStyle w:val="Heading2"/>
      </w:pPr>
      <w:r>
        <w:t>Sapling tallies</w:t>
      </w:r>
    </w:p>
    <w:p w14:paraId="1F4E8BC1" w14:textId="0B582F7E" w:rsidR="00965317" w:rsidRPr="00965317" w:rsidRDefault="00965317" w:rsidP="00965317">
      <w:r>
        <w:tab/>
        <w:t>The HMC algorithm performed well in estimating the parameters for the sapling tallies model</w:t>
      </w:r>
      <w:r w:rsidR="00012581">
        <w:t xml:space="preserve">, as indicated by model diagnostics. The saplings model performed similarly to the trees model in its ability to predict the counts of training quadrats and the proportion of quadrats with zero stems and its poor performance in predicted the tallies on held-out validation quadrats. The saplings model performed well in simulating realistic distributions of plot-level mean stem densities using new draws for the random effects. As with the trees model, only the estimates for the intercept terms appeared to be well informed by the data, and there were no clear differences across the levels of drought mortality in the intercept parameter. </w:t>
      </w:r>
    </w:p>
    <w:p w14:paraId="17401290" w14:textId="34B3FD01" w:rsidR="00DE2B66" w:rsidRDefault="00DE2B66" w:rsidP="00DE2B66">
      <w:pPr>
        <w:pStyle w:val="Heading1"/>
      </w:pPr>
      <w:r>
        <w:lastRenderedPageBreak/>
        <w:t>Discussion</w:t>
      </w:r>
    </w:p>
    <w:p w14:paraId="6787012F" w14:textId="29931331" w:rsidR="009B5D2E" w:rsidRDefault="009B5D2E" w:rsidP="00035A63">
      <w:pPr>
        <w:pStyle w:val="ListParagraph"/>
        <w:numPr>
          <w:ilvl w:val="0"/>
          <w:numId w:val="7"/>
        </w:numPr>
      </w:pPr>
      <w:r>
        <w:t>Many models performed better when evaluating their bulk behavior (</w:t>
      </w:r>
      <w:proofErr w:type="gramStart"/>
      <w:r>
        <w:t>e.g.</w:t>
      </w:r>
      <w:proofErr w:type="gramEnd"/>
      <w:r>
        <w:t xml:space="preserve"> </w:t>
      </w:r>
      <w:r w:rsidR="00693C17">
        <w:t xml:space="preserve">overall distribution of observations, </w:t>
      </w:r>
      <w:proofErr w:type="spellStart"/>
      <w:r w:rsidR="00693C17">
        <w:t>distributoion</w:t>
      </w:r>
      <w:proofErr w:type="spellEnd"/>
      <w:r w:rsidR="00693C17">
        <w:t xml:space="preserve"> of plot-level means) than in trying to predict individual observations. Purpose of this effort is to generate realistic bulk behavior (realistic </w:t>
      </w:r>
      <w:proofErr w:type="spellStart"/>
      <w:r w:rsidR="00693C17">
        <w:t>fuelbeds</w:t>
      </w:r>
      <w:proofErr w:type="spellEnd"/>
      <w:r w:rsidR="00693C17">
        <w:t xml:space="preserve">), rather than make precise/accurate point estimates given dense data. </w:t>
      </w:r>
    </w:p>
    <w:p w14:paraId="77FDCC47" w14:textId="504E5105" w:rsidR="00DE2B66" w:rsidRDefault="00035A63" w:rsidP="00035A63">
      <w:pPr>
        <w:pStyle w:val="ListParagraph"/>
        <w:numPr>
          <w:ilvl w:val="0"/>
          <w:numId w:val="7"/>
        </w:numPr>
      </w:pPr>
      <w:r>
        <w:t>Gaps in the protocol</w:t>
      </w:r>
    </w:p>
    <w:p w14:paraId="5BEB2CF6" w14:textId="74ECD4F7" w:rsidR="00035A63" w:rsidRDefault="00035A63" w:rsidP="00035A63">
      <w:pPr>
        <w:pStyle w:val="ListParagraph"/>
        <w:numPr>
          <w:ilvl w:val="1"/>
          <w:numId w:val="7"/>
        </w:numPr>
      </w:pPr>
      <w:r>
        <w:t>How to sample dead vegetation?</w:t>
      </w:r>
    </w:p>
    <w:p w14:paraId="3CB2FE1E" w14:textId="4CECF52C" w:rsidR="00035A63" w:rsidRDefault="00035A63" w:rsidP="00035A63">
      <w:pPr>
        <w:pStyle w:val="ListParagraph"/>
        <w:numPr>
          <w:ilvl w:val="1"/>
          <w:numId w:val="7"/>
        </w:numPr>
      </w:pPr>
      <w:r>
        <w:t xml:space="preserve">How to sample </w:t>
      </w:r>
      <w:proofErr w:type="gramStart"/>
      <w:r>
        <w:t>pine cones</w:t>
      </w:r>
      <w:proofErr w:type="gramEnd"/>
      <w:r>
        <w:t>?</w:t>
      </w:r>
    </w:p>
    <w:p w14:paraId="39866616" w14:textId="564C1B57" w:rsidR="00106C0D" w:rsidRDefault="00106C0D" w:rsidP="00035A63">
      <w:pPr>
        <w:pStyle w:val="ListParagraph"/>
        <w:numPr>
          <w:ilvl w:val="1"/>
          <w:numId w:val="7"/>
        </w:numPr>
      </w:pPr>
      <w:r>
        <w:t>Veg biomass vs P/A and height</w:t>
      </w:r>
    </w:p>
    <w:p w14:paraId="46BC508F" w14:textId="6B8B62E2" w:rsidR="002E607F" w:rsidRDefault="002E607F" w:rsidP="002E607F">
      <w:pPr>
        <w:pStyle w:val="ListParagraph"/>
        <w:numPr>
          <w:ilvl w:val="0"/>
          <w:numId w:val="7"/>
        </w:numPr>
      </w:pPr>
      <w:r>
        <w:t>Weaknesses of statistical approach</w:t>
      </w:r>
    </w:p>
    <w:p w14:paraId="2C79733A" w14:textId="0B3459C8" w:rsidR="000B3E59" w:rsidRDefault="000B3E59" w:rsidP="008B5AC9">
      <w:pPr>
        <w:pStyle w:val="ListParagraph"/>
        <w:numPr>
          <w:ilvl w:val="1"/>
          <w:numId w:val="7"/>
        </w:numPr>
      </w:pPr>
      <w:r>
        <w:t>Common problems:</w:t>
      </w:r>
    </w:p>
    <w:p w14:paraId="72651343" w14:textId="516576F8" w:rsidR="000B3E59" w:rsidRDefault="000B3E59" w:rsidP="000B3E59">
      <w:pPr>
        <w:pStyle w:val="ListParagraph"/>
        <w:numPr>
          <w:ilvl w:val="2"/>
          <w:numId w:val="7"/>
        </w:numPr>
      </w:pPr>
      <w:r>
        <w:t>Models predict rare instances of extreme emergent behaviors (plots with very low or very high fuel loads) which don’t appear in reality</w:t>
      </w:r>
    </w:p>
    <w:p w14:paraId="3C91ED9F" w14:textId="0BF7CFB5" w:rsidR="000B3E59" w:rsidRDefault="000B3E59" w:rsidP="000B3E59">
      <w:pPr>
        <w:pStyle w:val="ListParagraph"/>
        <w:numPr>
          <w:ilvl w:val="2"/>
          <w:numId w:val="7"/>
        </w:numPr>
      </w:pPr>
      <w:r>
        <w:t>Difficulty estimating NB dispersion parameter</w:t>
      </w:r>
    </w:p>
    <w:p w14:paraId="3CE7FB5E" w14:textId="2C608A71" w:rsidR="000B3E59" w:rsidRDefault="000B3E59" w:rsidP="000B3E59">
      <w:pPr>
        <w:pStyle w:val="ListParagraph"/>
        <w:numPr>
          <w:ilvl w:val="2"/>
          <w:numId w:val="7"/>
        </w:numPr>
      </w:pPr>
      <w:r>
        <w:t xml:space="preserve">Difficulty estimating rho </w:t>
      </w:r>
    </w:p>
    <w:p w14:paraId="2E50522D" w14:textId="6743BB68" w:rsidR="008B5AC9" w:rsidRDefault="002E607F" w:rsidP="008B5AC9">
      <w:pPr>
        <w:pStyle w:val="ListParagraph"/>
        <w:numPr>
          <w:ilvl w:val="1"/>
          <w:numId w:val="7"/>
        </w:numPr>
      </w:pPr>
      <w:r>
        <w:t xml:space="preserve">Subtle or complex relationships may exist </w:t>
      </w:r>
      <w:proofErr w:type="gramStart"/>
      <w:r>
        <w:t>in reality but</w:t>
      </w:r>
      <w:proofErr w:type="gramEnd"/>
      <w:r>
        <w:t xml:space="preserve"> difficult</w:t>
      </w:r>
      <w:r w:rsidR="008B5AC9">
        <w:t>/impossible to represent in a statistical model.</w:t>
      </w:r>
    </w:p>
    <w:p w14:paraId="3E3D733D" w14:textId="07B88B0C" w:rsidR="008B5AC9" w:rsidRDefault="008B5AC9" w:rsidP="008B5AC9">
      <w:pPr>
        <w:pStyle w:val="ListParagraph"/>
        <w:numPr>
          <w:ilvl w:val="2"/>
          <w:numId w:val="7"/>
        </w:numPr>
      </w:pPr>
      <w:proofErr w:type="gramStart"/>
      <w:r>
        <w:t>E.g.</w:t>
      </w:r>
      <w:proofErr w:type="gramEnd"/>
      <w:r>
        <w:t xml:space="preserve"> cross correlation between </w:t>
      </w:r>
      <w:r w:rsidR="00AD0989">
        <w:t>duff and litter</w:t>
      </w:r>
      <w:r>
        <w:t xml:space="preserve"> depths, which was relatively weak but present in the observed data, but which was excluded from statistical modelling because the Hamiltonian monte </w:t>
      </w:r>
      <w:proofErr w:type="spellStart"/>
      <w:r>
        <w:t>carlo</w:t>
      </w:r>
      <w:proofErr w:type="spellEnd"/>
      <w:r>
        <w:t xml:space="preserve"> algorithm had difficulty estimating the parameters for such a flexible model. </w:t>
      </w:r>
    </w:p>
    <w:p w14:paraId="5E347745" w14:textId="6C721B18" w:rsidR="00EC1F0E" w:rsidRDefault="00EC1F0E" w:rsidP="008B5AC9">
      <w:pPr>
        <w:pStyle w:val="ListParagraph"/>
        <w:numPr>
          <w:ilvl w:val="2"/>
          <w:numId w:val="7"/>
        </w:numPr>
      </w:pPr>
      <w:proofErr w:type="gramStart"/>
      <w:r>
        <w:t>E.g.</w:t>
      </w:r>
      <w:proofErr w:type="gramEnd"/>
      <w:r>
        <w:t xml:space="preserve"> also cross correlation between 1-hour FWD and understory veg, which was difficult to model because </w:t>
      </w:r>
      <w:r w:rsidR="0028092C">
        <w:t xml:space="preserve">hard to represent cross correlation between components with different response distributions/scales. </w:t>
      </w:r>
    </w:p>
    <w:p w14:paraId="70866213" w14:textId="11F1332D" w:rsidR="00505252" w:rsidRDefault="00505252" w:rsidP="00505252">
      <w:pPr>
        <w:pStyle w:val="ListParagraph"/>
        <w:numPr>
          <w:ilvl w:val="1"/>
          <w:numId w:val="7"/>
        </w:numPr>
      </w:pPr>
      <w:r>
        <w:t>Mismatches may not be a problem:</w:t>
      </w:r>
    </w:p>
    <w:p w14:paraId="6D44EF15" w14:textId="1BFE5742" w:rsidR="00505252" w:rsidRDefault="00505252" w:rsidP="00505252">
      <w:pPr>
        <w:pStyle w:val="ListParagraph"/>
        <w:numPr>
          <w:ilvl w:val="2"/>
          <w:numId w:val="7"/>
        </w:numPr>
      </w:pPr>
      <w:r>
        <w:t xml:space="preserve">Pattern in </w:t>
      </w:r>
      <w:r w:rsidR="00AD0989">
        <w:t>duff and litter</w:t>
      </w:r>
      <w:r>
        <w:t xml:space="preserve"> data of overpredicting proportion of 1 cm samples: could be un-modeled observer bias against observing a depth of 1 cm (so a mismatch with the data generating process, but not necessarily a mismatch with the true distribution of duff/litter depths). </w:t>
      </w:r>
    </w:p>
    <w:p w14:paraId="3D65A28A" w14:textId="6968F7A2" w:rsidR="002E607F" w:rsidRDefault="002E607F" w:rsidP="002E607F">
      <w:pPr>
        <w:pStyle w:val="ListParagraph"/>
        <w:numPr>
          <w:ilvl w:val="0"/>
          <w:numId w:val="7"/>
        </w:numPr>
      </w:pPr>
      <w:r>
        <w:t>Advantages of statistical approach</w:t>
      </w:r>
    </w:p>
    <w:p w14:paraId="7AF0F96F" w14:textId="306594EE" w:rsidR="002E607F" w:rsidRDefault="002E607F" w:rsidP="002E607F">
      <w:pPr>
        <w:pStyle w:val="ListParagraph"/>
        <w:numPr>
          <w:ilvl w:val="1"/>
          <w:numId w:val="7"/>
        </w:numPr>
      </w:pPr>
      <w:r>
        <w:t>Enables going from sparse to continuous data</w:t>
      </w:r>
    </w:p>
    <w:p w14:paraId="440F38DD" w14:textId="5A77A493" w:rsidR="0048769F" w:rsidRDefault="0048769F" w:rsidP="0048769F">
      <w:pPr>
        <w:pStyle w:val="ListParagraph"/>
        <w:numPr>
          <w:ilvl w:val="0"/>
          <w:numId w:val="7"/>
        </w:numPr>
      </w:pPr>
      <w:r>
        <w:t>How to evaluate models?</w:t>
      </w:r>
    </w:p>
    <w:p w14:paraId="2A1E55B8" w14:textId="677E9CF6" w:rsidR="0048769F" w:rsidRDefault="0048769F" w:rsidP="0048769F">
      <w:pPr>
        <w:pStyle w:val="ListParagraph"/>
        <w:numPr>
          <w:ilvl w:val="1"/>
          <w:numId w:val="7"/>
        </w:numPr>
      </w:pPr>
      <w:r>
        <w:t>“</w:t>
      </w:r>
      <w:proofErr w:type="gramStart"/>
      <w:r>
        <w:t>within</w:t>
      </w:r>
      <w:proofErr w:type="gramEnd"/>
      <w:r>
        <w:t xml:space="preserve"> the range of behaviors predicted by the model” is kind of a low bar to clear. Shouldn’t we be </w:t>
      </w:r>
      <w:r w:rsidR="0007190B">
        <w:t>explicitly evaluating the central tendencies for bias?</w:t>
      </w:r>
    </w:p>
    <w:p w14:paraId="07131AB7" w14:textId="006D5ECF" w:rsidR="006C771F" w:rsidRDefault="006C771F" w:rsidP="006C771F">
      <w:pPr>
        <w:pStyle w:val="ListParagraph"/>
        <w:numPr>
          <w:ilvl w:val="0"/>
          <w:numId w:val="7"/>
        </w:numPr>
      </w:pPr>
      <w:r>
        <w:t>Recommendations for generating data to feed into fire models</w:t>
      </w:r>
    </w:p>
    <w:p w14:paraId="7EDACF29" w14:textId="71FCD15D" w:rsidR="006C771F" w:rsidRDefault="006C771F" w:rsidP="006C771F">
      <w:pPr>
        <w:pStyle w:val="ListParagraph"/>
        <w:numPr>
          <w:ilvl w:val="1"/>
          <w:numId w:val="7"/>
        </w:numPr>
      </w:pPr>
      <w:r>
        <w:t>Collect continuous data wherever possible</w:t>
      </w:r>
    </w:p>
    <w:p w14:paraId="0AF8D679" w14:textId="765CA820" w:rsidR="006C771F" w:rsidRDefault="006C771F" w:rsidP="006C771F">
      <w:pPr>
        <w:pStyle w:val="ListParagraph"/>
        <w:numPr>
          <w:ilvl w:val="1"/>
          <w:numId w:val="7"/>
        </w:numPr>
      </w:pPr>
      <w:r>
        <w:t xml:space="preserve">If using the statistical approach, include some filtering of simulated </w:t>
      </w:r>
      <w:proofErr w:type="spellStart"/>
      <w:r>
        <w:t>fuelbeds</w:t>
      </w:r>
      <w:proofErr w:type="spellEnd"/>
      <w:r>
        <w:t xml:space="preserve"> to constrain selection to realistic </w:t>
      </w:r>
      <w:proofErr w:type="spellStart"/>
      <w:r>
        <w:t>fuelbeds</w:t>
      </w:r>
      <w:proofErr w:type="spellEnd"/>
      <w:r>
        <w:t>.</w:t>
      </w:r>
    </w:p>
    <w:p w14:paraId="5BAAD673" w14:textId="1A36B64C" w:rsidR="006C771F" w:rsidRDefault="006C771F" w:rsidP="006C771F">
      <w:pPr>
        <w:pStyle w:val="ListParagraph"/>
        <w:numPr>
          <w:ilvl w:val="2"/>
          <w:numId w:val="7"/>
        </w:numPr>
      </w:pPr>
      <w:proofErr w:type="gramStart"/>
      <w:r>
        <w:t>E.g.</w:t>
      </w:r>
      <w:proofErr w:type="gramEnd"/>
      <w:r>
        <w:t xml:space="preserve"> simulations with plot-level fuel loads greater than 1,000 Mg/ha of duff or less than 1 Mg/ha of duff should probably be excluded. </w:t>
      </w:r>
    </w:p>
    <w:p w14:paraId="3FFC4053" w14:textId="5BD25D7D" w:rsidR="000D47C2" w:rsidRDefault="000D47C2" w:rsidP="000D47C2">
      <w:pPr>
        <w:pStyle w:val="ListParagraph"/>
        <w:numPr>
          <w:ilvl w:val="0"/>
          <w:numId w:val="7"/>
        </w:numPr>
      </w:pPr>
      <w:r>
        <w:t>Comparison of within-plot, between-plot, and between-group heterogeneity</w:t>
      </w:r>
    </w:p>
    <w:p w14:paraId="30595A34" w14:textId="51896000" w:rsidR="000D47C2" w:rsidRDefault="000D47C2" w:rsidP="000D47C2">
      <w:pPr>
        <w:pStyle w:val="ListParagraph"/>
        <w:numPr>
          <w:ilvl w:val="0"/>
          <w:numId w:val="7"/>
        </w:numPr>
      </w:pPr>
      <w:r>
        <w:t>Weak or no differences across levels of drought mortality</w:t>
      </w:r>
    </w:p>
    <w:p w14:paraId="3CFC60E8" w14:textId="54DADD46" w:rsidR="00DE2B66" w:rsidRDefault="00DE2B66" w:rsidP="00DE2B66">
      <w:pPr>
        <w:pStyle w:val="Heading1"/>
      </w:pPr>
      <w:r>
        <w:lastRenderedPageBreak/>
        <w:t>Conclusions</w:t>
      </w:r>
    </w:p>
    <w:p w14:paraId="10C05308" w14:textId="3D3E200A" w:rsidR="00DE2B66" w:rsidRDefault="00DE2B66" w:rsidP="00DE2B66"/>
    <w:p w14:paraId="40869695" w14:textId="77777777" w:rsidR="008A1950" w:rsidRDefault="008A1950">
      <w:pPr>
        <w:rPr>
          <w:rFonts w:asciiTheme="majorHAnsi" w:eastAsiaTheme="majorEastAsia" w:hAnsiTheme="majorHAnsi" w:cstheme="majorBidi"/>
          <w:color w:val="2F5496" w:themeColor="accent1" w:themeShade="BF"/>
          <w:sz w:val="32"/>
          <w:szCs w:val="32"/>
        </w:rPr>
      </w:pPr>
      <w:r>
        <w:br w:type="page"/>
      </w:r>
    </w:p>
    <w:p w14:paraId="135FFA13" w14:textId="539CC6E1" w:rsidR="00DE2B66" w:rsidRDefault="00DE2B66" w:rsidP="00DE2B66">
      <w:pPr>
        <w:pStyle w:val="Heading1"/>
      </w:pPr>
      <w:r>
        <w:lastRenderedPageBreak/>
        <w:t>Tables</w:t>
      </w:r>
    </w:p>
    <w:p w14:paraId="33F4EAD2" w14:textId="55E14059" w:rsidR="00DE2B66" w:rsidRDefault="00DE2B66" w:rsidP="00DE2B66"/>
    <w:tbl>
      <w:tblPr>
        <w:tblStyle w:val="TableGrid"/>
        <w:tblW w:w="0" w:type="auto"/>
        <w:tblLook w:val="04A0" w:firstRow="1" w:lastRow="0" w:firstColumn="1" w:lastColumn="0" w:noHBand="0" w:noVBand="1"/>
      </w:tblPr>
      <w:tblGrid>
        <w:gridCol w:w="2245"/>
        <w:gridCol w:w="2160"/>
        <w:gridCol w:w="2070"/>
        <w:gridCol w:w="2250"/>
      </w:tblGrid>
      <w:tr w:rsidR="005C6F38" w:rsidRPr="008A1950" w14:paraId="4B395EF0" w14:textId="77777777" w:rsidTr="005C6F38">
        <w:trPr>
          <w:trHeight w:val="288"/>
        </w:trPr>
        <w:tc>
          <w:tcPr>
            <w:tcW w:w="2245" w:type="dxa"/>
            <w:noWrap/>
            <w:hideMark/>
          </w:tcPr>
          <w:p w14:paraId="6C7BE701" w14:textId="3420A475" w:rsidR="008A1950" w:rsidRPr="0088321D" w:rsidRDefault="008A1950">
            <w:pPr>
              <w:rPr>
                <w:b/>
                <w:bCs/>
              </w:rPr>
            </w:pPr>
            <w:r w:rsidRPr="0088321D">
              <w:rPr>
                <w:b/>
                <w:bCs/>
              </w:rPr>
              <w:t>Parameter</w:t>
            </w:r>
          </w:p>
        </w:tc>
        <w:tc>
          <w:tcPr>
            <w:tcW w:w="2160" w:type="dxa"/>
            <w:noWrap/>
            <w:hideMark/>
          </w:tcPr>
          <w:p w14:paraId="6859F9D0" w14:textId="09771714" w:rsidR="008A1950" w:rsidRPr="0088321D" w:rsidRDefault="008A1950">
            <w:pPr>
              <w:rPr>
                <w:b/>
                <w:bCs/>
              </w:rPr>
            </w:pPr>
            <w:r w:rsidRPr="0088321D">
              <w:rPr>
                <w:b/>
                <w:bCs/>
              </w:rPr>
              <w:t>Low drought mortality</w:t>
            </w:r>
          </w:p>
        </w:tc>
        <w:tc>
          <w:tcPr>
            <w:tcW w:w="2070" w:type="dxa"/>
            <w:noWrap/>
            <w:hideMark/>
          </w:tcPr>
          <w:p w14:paraId="5ED1827E" w14:textId="041C7F1A" w:rsidR="008A1950" w:rsidRPr="0088321D" w:rsidRDefault="008A1950">
            <w:pPr>
              <w:rPr>
                <w:b/>
                <w:bCs/>
              </w:rPr>
            </w:pPr>
            <w:r w:rsidRPr="0088321D">
              <w:rPr>
                <w:b/>
                <w:bCs/>
              </w:rPr>
              <w:t>Medium drought mortality</w:t>
            </w:r>
          </w:p>
        </w:tc>
        <w:tc>
          <w:tcPr>
            <w:tcW w:w="2250" w:type="dxa"/>
            <w:noWrap/>
            <w:hideMark/>
          </w:tcPr>
          <w:p w14:paraId="26880520" w14:textId="0EF25AE5" w:rsidR="008A1950" w:rsidRPr="0088321D" w:rsidRDefault="008A1950">
            <w:pPr>
              <w:rPr>
                <w:b/>
                <w:bCs/>
              </w:rPr>
            </w:pPr>
            <w:r w:rsidRPr="0088321D">
              <w:rPr>
                <w:b/>
                <w:bCs/>
              </w:rPr>
              <w:t>High drought mortality</w:t>
            </w:r>
          </w:p>
        </w:tc>
      </w:tr>
      <w:tr w:rsidR="00696563" w:rsidRPr="008A1950" w14:paraId="11485E72" w14:textId="77777777" w:rsidTr="00852E6A">
        <w:trPr>
          <w:trHeight w:val="288"/>
        </w:trPr>
        <w:tc>
          <w:tcPr>
            <w:tcW w:w="2245" w:type="dxa"/>
            <w:noWrap/>
          </w:tcPr>
          <w:p w14:paraId="72FBED82" w14:textId="2C67DFD6" w:rsidR="00696563" w:rsidRPr="0088321D" w:rsidRDefault="00696563" w:rsidP="00696563">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45D389A4" w14:textId="33F0634A" w:rsidR="00696563" w:rsidRPr="008A1950" w:rsidRDefault="00696563" w:rsidP="00696563">
            <w:r>
              <w:rPr>
                <w:rFonts w:ascii="Calibri" w:hAnsi="Calibri" w:cs="Calibri"/>
                <w:color w:val="000000"/>
              </w:rPr>
              <w:t>1.33 (0.98, 1.69)</w:t>
            </w:r>
          </w:p>
        </w:tc>
        <w:tc>
          <w:tcPr>
            <w:tcW w:w="2070" w:type="dxa"/>
            <w:noWrap/>
            <w:vAlign w:val="bottom"/>
            <w:hideMark/>
          </w:tcPr>
          <w:p w14:paraId="5F542454" w14:textId="1E8EB309" w:rsidR="00696563" w:rsidRPr="008A1950" w:rsidRDefault="00696563" w:rsidP="00696563">
            <w:r>
              <w:rPr>
                <w:rFonts w:ascii="Calibri" w:hAnsi="Calibri" w:cs="Calibri"/>
                <w:color w:val="000000"/>
              </w:rPr>
              <w:t>1.22 (0.81, 1.61)</w:t>
            </w:r>
          </w:p>
        </w:tc>
        <w:tc>
          <w:tcPr>
            <w:tcW w:w="2250" w:type="dxa"/>
            <w:noWrap/>
            <w:vAlign w:val="bottom"/>
            <w:hideMark/>
          </w:tcPr>
          <w:p w14:paraId="3A029CDB" w14:textId="6DD52EAC" w:rsidR="00696563" w:rsidRPr="008A1950" w:rsidRDefault="00696563" w:rsidP="00696563">
            <w:r>
              <w:rPr>
                <w:rFonts w:ascii="Calibri" w:hAnsi="Calibri" w:cs="Calibri"/>
                <w:color w:val="000000"/>
              </w:rPr>
              <w:t>1.31 (1.11, 1.51)</w:t>
            </w:r>
          </w:p>
        </w:tc>
      </w:tr>
      <w:tr w:rsidR="00696563" w:rsidRPr="008A1950" w14:paraId="6064631A" w14:textId="77777777" w:rsidTr="00852E6A">
        <w:trPr>
          <w:trHeight w:val="288"/>
        </w:trPr>
        <w:tc>
          <w:tcPr>
            <w:tcW w:w="2245" w:type="dxa"/>
            <w:noWrap/>
            <w:hideMark/>
          </w:tcPr>
          <w:p w14:paraId="205BE992" w14:textId="2802DCE6" w:rsidR="00696563" w:rsidRPr="0088321D" w:rsidRDefault="00696563" w:rsidP="00696563">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011C5BB0" w14:textId="28BF174B" w:rsidR="00696563" w:rsidRPr="008A1950" w:rsidRDefault="00696563" w:rsidP="00696563">
            <w:r>
              <w:rPr>
                <w:rFonts w:ascii="Calibri" w:hAnsi="Calibri" w:cs="Calibri"/>
                <w:color w:val="000000"/>
              </w:rPr>
              <w:t>0.62 (0.52, 0.76)</w:t>
            </w:r>
          </w:p>
        </w:tc>
        <w:tc>
          <w:tcPr>
            <w:tcW w:w="2070" w:type="dxa"/>
            <w:noWrap/>
            <w:vAlign w:val="bottom"/>
            <w:hideMark/>
          </w:tcPr>
          <w:p w14:paraId="37F613A7" w14:textId="3E058CC8" w:rsidR="00696563" w:rsidRPr="008A1950" w:rsidRDefault="00696563" w:rsidP="00696563">
            <w:r>
              <w:rPr>
                <w:rFonts w:ascii="Calibri" w:hAnsi="Calibri" w:cs="Calibri"/>
                <w:color w:val="000000"/>
              </w:rPr>
              <w:t>0.74 (0.6, 0.88)</w:t>
            </w:r>
          </w:p>
        </w:tc>
        <w:tc>
          <w:tcPr>
            <w:tcW w:w="2250" w:type="dxa"/>
            <w:noWrap/>
            <w:vAlign w:val="bottom"/>
            <w:hideMark/>
          </w:tcPr>
          <w:p w14:paraId="765CC7A8" w14:textId="1285BBD7" w:rsidR="00696563" w:rsidRPr="008A1950" w:rsidRDefault="00696563" w:rsidP="00696563">
            <w:r>
              <w:rPr>
                <w:rFonts w:ascii="Calibri" w:hAnsi="Calibri" w:cs="Calibri"/>
                <w:color w:val="000000"/>
              </w:rPr>
              <w:t>0.57 (0.48, 0.67)</w:t>
            </w:r>
          </w:p>
        </w:tc>
      </w:tr>
      <w:tr w:rsidR="00696563" w:rsidRPr="008A1950" w14:paraId="1D6E7875" w14:textId="77777777" w:rsidTr="00852E6A">
        <w:trPr>
          <w:trHeight w:val="288"/>
        </w:trPr>
        <w:tc>
          <w:tcPr>
            <w:tcW w:w="2245" w:type="dxa"/>
            <w:noWrap/>
            <w:hideMark/>
          </w:tcPr>
          <w:p w14:paraId="063ACC04" w14:textId="10E13A53" w:rsidR="00696563" w:rsidRPr="0088321D" w:rsidRDefault="00696563" w:rsidP="00696563">
            <w:pPr>
              <w:rPr>
                <w:b/>
                <w:bCs/>
              </w:rPr>
            </w:pPr>
            <w:r w:rsidRPr="0088321D">
              <w:rPr>
                <w:b/>
                <w:bCs/>
              </w:rPr>
              <w:t>GP length-scale</w:t>
            </w:r>
            <w:r>
              <w:rPr>
                <w:b/>
                <w:bCs/>
              </w:rPr>
              <w:t xml:space="preserve"> (</w:t>
            </w:r>
            <w:r>
              <w:rPr>
                <w:rFonts w:cstheme="minorHAnsi"/>
                <w:b/>
                <w:bCs/>
              </w:rPr>
              <w:t>ρ</w:t>
            </w:r>
            <w:r>
              <w:rPr>
                <w:b/>
                <w:bCs/>
              </w:rPr>
              <w:t>)</w:t>
            </w:r>
          </w:p>
        </w:tc>
        <w:tc>
          <w:tcPr>
            <w:tcW w:w="2160" w:type="dxa"/>
            <w:noWrap/>
            <w:vAlign w:val="bottom"/>
            <w:hideMark/>
          </w:tcPr>
          <w:p w14:paraId="18B17AB1" w14:textId="70489917" w:rsidR="00696563" w:rsidRPr="008A1950" w:rsidRDefault="00696563" w:rsidP="00696563">
            <w:r>
              <w:rPr>
                <w:rFonts w:ascii="Calibri" w:hAnsi="Calibri" w:cs="Calibri"/>
                <w:color w:val="000000"/>
              </w:rPr>
              <w:t>2.86 (2.2, 3.48)</w:t>
            </w:r>
          </w:p>
        </w:tc>
        <w:tc>
          <w:tcPr>
            <w:tcW w:w="2070" w:type="dxa"/>
            <w:noWrap/>
            <w:vAlign w:val="bottom"/>
            <w:hideMark/>
          </w:tcPr>
          <w:p w14:paraId="6BBC857B" w14:textId="4A58C68F" w:rsidR="00696563" w:rsidRPr="008A1950" w:rsidRDefault="00696563" w:rsidP="00696563">
            <w:r>
              <w:rPr>
                <w:rFonts w:ascii="Calibri" w:hAnsi="Calibri" w:cs="Calibri"/>
                <w:color w:val="000000"/>
              </w:rPr>
              <w:t>3.39 (2.39, 4.7)</w:t>
            </w:r>
          </w:p>
        </w:tc>
        <w:tc>
          <w:tcPr>
            <w:tcW w:w="2250" w:type="dxa"/>
            <w:noWrap/>
            <w:vAlign w:val="bottom"/>
            <w:hideMark/>
          </w:tcPr>
          <w:p w14:paraId="3A59ADD4" w14:textId="2F8089C6" w:rsidR="00696563" w:rsidRPr="008A1950" w:rsidRDefault="00696563" w:rsidP="00696563">
            <w:r>
              <w:rPr>
                <w:rFonts w:ascii="Calibri" w:hAnsi="Calibri" w:cs="Calibri"/>
                <w:color w:val="000000"/>
              </w:rPr>
              <w:t>2.16 (1.77, 2.61)</w:t>
            </w:r>
          </w:p>
        </w:tc>
      </w:tr>
      <w:tr w:rsidR="00696563" w:rsidRPr="008A1950" w14:paraId="11B1D601" w14:textId="77777777" w:rsidTr="00852E6A">
        <w:trPr>
          <w:trHeight w:val="288"/>
        </w:trPr>
        <w:tc>
          <w:tcPr>
            <w:tcW w:w="2245" w:type="dxa"/>
            <w:noWrap/>
            <w:hideMark/>
          </w:tcPr>
          <w:p w14:paraId="320FDD32" w14:textId="2B8742AB" w:rsidR="00696563" w:rsidRPr="0088321D" w:rsidRDefault="00696563" w:rsidP="00696563">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25A5A5F3" w14:textId="2FB92CC5" w:rsidR="00696563" w:rsidRPr="008A1950" w:rsidRDefault="00696563" w:rsidP="00696563">
            <w:r>
              <w:rPr>
                <w:rFonts w:ascii="Calibri" w:hAnsi="Calibri" w:cs="Calibri"/>
                <w:color w:val="000000"/>
              </w:rPr>
              <w:t>0.47 (0.18, 0.86)</w:t>
            </w:r>
          </w:p>
        </w:tc>
        <w:tc>
          <w:tcPr>
            <w:tcW w:w="2070" w:type="dxa"/>
            <w:noWrap/>
            <w:vAlign w:val="bottom"/>
            <w:hideMark/>
          </w:tcPr>
          <w:p w14:paraId="5EDC2C80" w14:textId="40F12AB3" w:rsidR="00696563" w:rsidRPr="008A1950" w:rsidRDefault="00696563" w:rsidP="00696563">
            <w:r>
              <w:rPr>
                <w:rFonts w:ascii="Calibri" w:hAnsi="Calibri" w:cs="Calibri"/>
                <w:color w:val="000000"/>
              </w:rPr>
              <w:t>0.54 (0.2, 0.97)</w:t>
            </w:r>
          </w:p>
        </w:tc>
        <w:tc>
          <w:tcPr>
            <w:tcW w:w="2250" w:type="dxa"/>
            <w:noWrap/>
            <w:vAlign w:val="bottom"/>
            <w:hideMark/>
          </w:tcPr>
          <w:p w14:paraId="3FA40071" w14:textId="3DBA7275" w:rsidR="00696563" w:rsidRPr="008A1950" w:rsidRDefault="00696563" w:rsidP="00696563">
            <w:r>
              <w:rPr>
                <w:rFonts w:ascii="Calibri" w:hAnsi="Calibri" w:cs="Calibri"/>
                <w:color w:val="000000"/>
              </w:rPr>
              <w:t>0.22 (0, 0.44)</w:t>
            </w:r>
          </w:p>
        </w:tc>
      </w:tr>
      <w:tr w:rsidR="00696563" w:rsidRPr="008A1950" w14:paraId="3B5A1CB6" w14:textId="77777777" w:rsidTr="00852E6A">
        <w:trPr>
          <w:trHeight w:val="288"/>
        </w:trPr>
        <w:tc>
          <w:tcPr>
            <w:tcW w:w="2245" w:type="dxa"/>
            <w:noWrap/>
            <w:hideMark/>
          </w:tcPr>
          <w:p w14:paraId="6E6BADDE" w14:textId="7F155CA7" w:rsidR="00696563" w:rsidRPr="0088321D" w:rsidRDefault="00696563" w:rsidP="00696563">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33F9FEC2" w14:textId="2068BE3C" w:rsidR="00696563" w:rsidRPr="008A1950" w:rsidRDefault="00696563" w:rsidP="00696563">
            <w:r>
              <w:rPr>
                <w:rFonts w:ascii="Calibri" w:hAnsi="Calibri" w:cs="Calibri"/>
                <w:color w:val="000000"/>
              </w:rPr>
              <w:t>7.22 (5.56, 8.88)</w:t>
            </w:r>
          </w:p>
        </w:tc>
        <w:tc>
          <w:tcPr>
            <w:tcW w:w="2070" w:type="dxa"/>
            <w:noWrap/>
            <w:vAlign w:val="bottom"/>
            <w:hideMark/>
          </w:tcPr>
          <w:p w14:paraId="18AF1B8A" w14:textId="33180639" w:rsidR="00696563" w:rsidRPr="008A1950" w:rsidRDefault="00696563" w:rsidP="00696563">
            <w:r>
              <w:rPr>
                <w:rFonts w:ascii="Calibri" w:hAnsi="Calibri" w:cs="Calibri"/>
                <w:color w:val="000000"/>
              </w:rPr>
              <w:t>7.05 (5.36, 8.8)</w:t>
            </w:r>
          </w:p>
        </w:tc>
        <w:tc>
          <w:tcPr>
            <w:tcW w:w="2250" w:type="dxa"/>
            <w:noWrap/>
            <w:vAlign w:val="bottom"/>
            <w:hideMark/>
          </w:tcPr>
          <w:p w14:paraId="10C0466A" w14:textId="71B0E60C" w:rsidR="00696563" w:rsidRPr="008A1950" w:rsidRDefault="00696563" w:rsidP="00696563">
            <w:pPr>
              <w:keepNext/>
            </w:pPr>
            <w:r>
              <w:rPr>
                <w:rFonts w:ascii="Calibri" w:hAnsi="Calibri" w:cs="Calibri"/>
                <w:color w:val="000000"/>
              </w:rPr>
              <w:t>8.1 (6.36, 9.88)</w:t>
            </w:r>
          </w:p>
        </w:tc>
      </w:tr>
    </w:tbl>
    <w:p w14:paraId="4D2A6755" w14:textId="3BF854FA" w:rsidR="0088321D" w:rsidRDefault="0088321D">
      <w:pPr>
        <w:pStyle w:val="Caption"/>
      </w:pPr>
      <w:bookmarkStart w:id="1" w:name="_Ref110853261"/>
      <w:r>
        <w:t xml:space="preserve">Table </w:t>
      </w:r>
      <w:fldSimple w:instr=" SEQ Table \* ARABIC ">
        <w:r w:rsidR="00696563">
          <w:rPr>
            <w:noProof/>
          </w:rPr>
          <w:t>1</w:t>
        </w:r>
      </w:fldSimple>
      <w:bookmarkEnd w:id="1"/>
      <w:r>
        <w:t>: Posterior parameter values for duff depths model. Posterior median values for each parameter are given alongside a</w:t>
      </w:r>
      <w:r w:rsidR="00696563">
        <w:t>n</w:t>
      </w:r>
      <w:r>
        <w:t xml:space="preserve"> </w:t>
      </w:r>
      <w:r w:rsidR="00696563">
        <w:t>89</w:t>
      </w:r>
      <w:r>
        <w:t>% credible interval in parenthes</w:t>
      </w:r>
      <w:r w:rsidR="00C270A5">
        <w:t>e</w:t>
      </w:r>
      <w:r>
        <w:t xml:space="preserve">s. </w:t>
      </w:r>
    </w:p>
    <w:p w14:paraId="28676C2B" w14:textId="77777777" w:rsidR="00794AEC" w:rsidRDefault="00794AEC" w:rsidP="00794AEC"/>
    <w:tbl>
      <w:tblPr>
        <w:tblStyle w:val="TableGrid"/>
        <w:tblW w:w="0" w:type="auto"/>
        <w:tblLook w:val="04A0" w:firstRow="1" w:lastRow="0" w:firstColumn="1" w:lastColumn="0" w:noHBand="0" w:noVBand="1"/>
      </w:tblPr>
      <w:tblGrid>
        <w:gridCol w:w="2245"/>
        <w:gridCol w:w="2160"/>
        <w:gridCol w:w="2070"/>
        <w:gridCol w:w="2250"/>
      </w:tblGrid>
      <w:tr w:rsidR="00794AEC" w:rsidRPr="008A1950" w14:paraId="579E3BAB" w14:textId="77777777" w:rsidTr="002F2881">
        <w:trPr>
          <w:trHeight w:val="288"/>
        </w:trPr>
        <w:tc>
          <w:tcPr>
            <w:tcW w:w="2245" w:type="dxa"/>
            <w:noWrap/>
            <w:hideMark/>
          </w:tcPr>
          <w:p w14:paraId="22AD842A" w14:textId="77777777" w:rsidR="00794AEC" w:rsidRPr="0088321D" w:rsidRDefault="00794AEC" w:rsidP="002F2881">
            <w:pPr>
              <w:rPr>
                <w:b/>
                <w:bCs/>
              </w:rPr>
            </w:pPr>
            <w:r w:rsidRPr="0088321D">
              <w:rPr>
                <w:b/>
                <w:bCs/>
              </w:rPr>
              <w:t>Parameter</w:t>
            </w:r>
          </w:p>
        </w:tc>
        <w:tc>
          <w:tcPr>
            <w:tcW w:w="2160" w:type="dxa"/>
            <w:noWrap/>
            <w:hideMark/>
          </w:tcPr>
          <w:p w14:paraId="75B4113A" w14:textId="77777777" w:rsidR="00794AEC" w:rsidRPr="0088321D" w:rsidRDefault="00794AEC" w:rsidP="002F2881">
            <w:pPr>
              <w:rPr>
                <w:b/>
                <w:bCs/>
              </w:rPr>
            </w:pPr>
            <w:r w:rsidRPr="0088321D">
              <w:rPr>
                <w:b/>
                <w:bCs/>
              </w:rPr>
              <w:t>Low drought mortality</w:t>
            </w:r>
          </w:p>
        </w:tc>
        <w:tc>
          <w:tcPr>
            <w:tcW w:w="2070" w:type="dxa"/>
            <w:noWrap/>
            <w:hideMark/>
          </w:tcPr>
          <w:p w14:paraId="1805D356" w14:textId="77777777" w:rsidR="00794AEC" w:rsidRPr="0088321D" w:rsidRDefault="00794AEC" w:rsidP="002F2881">
            <w:pPr>
              <w:rPr>
                <w:b/>
                <w:bCs/>
              </w:rPr>
            </w:pPr>
            <w:r w:rsidRPr="0088321D">
              <w:rPr>
                <w:b/>
                <w:bCs/>
              </w:rPr>
              <w:t>Medium drought mortality</w:t>
            </w:r>
          </w:p>
        </w:tc>
        <w:tc>
          <w:tcPr>
            <w:tcW w:w="2250" w:type="dxa"/>
            <w:noWrap/>
            <w:hideMark/>
          </w:tcPr>
          <w:p w14:paraId="3289480F" w14:textId="77777777" w:rsidR="00794AEC" w:rsidRPr="0088321D" w:rsidRDefault="00794AEC" w:rsidP="002F2881">
            <w:pPr>
              <w:rPr>
                <w:b/>
                <w:bCs/>
              </w:rPr>
            </w:pPr>
            <w:r w:rsidRPr="0088321D">
              <w:rPr>
                <w:b/>
                <w:bCs/>
              </w:rPr>
              <w:t>High drought mortality</w:t>
            </w:r>
          </w:p>
        </w:tc>
      </w:tr>
      <w:tr w:rsidR="00696563" w:rsidRPr="008A1950" w14:paraId="03B3F877" w14:textId="77777777" w:rsidTr="00D1701F">
        <w:trPr>
          <w:trHeight w:val="288"/>
        </w:trPr>
        <w:tc>
          <w:tcPr>
            <w:tcW w:w="2245" w:type="dxa"/>
            <w:noWrap/>
            <w:hideMark/>
          </w:tcPr>
          <w:p w14:paraId="6C63EF40" w14:textId="117D8A85" w:rsidR="00696563" w:rsidRPr="0088321D" w:rsidRDefault="00696563" w:rsidP="00696563">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50DE6C2D" w14:textId="3D522BDF" w:rsidR="00696563" w:rsidRPr="008A1950" w:rsidRDefault="00696563" w:rsidP="00696563">
            <w:r>
              <w:rPr>
                <w:rFonts w:ascii="Calibri" w:hAnsi="Calibri" w:cs="Calibri"/>
                <w:color w:val="000000"/>
              </w:rPr>
              <w:t>1.31 (1.11, 1.53)</w:t>
            </w:r>
          </w:p>
        </w:tc>
        <w:tc>
          <w:tcPr>
            <w:tcW w:w="2070" w:type="dxa"/>
            <w:noWrap/>
            <w:vAlign w:val="bottom"/>
            <w:hideMark/>
          </w:tcPr>
          <w:p w14:paraId="7FE8D2FC" w14:textId="3DC70ED3" w:rsidR="00696563" w:rsidRPr="008A1950" w:rsidRDefault="00696563" w:rsidP="00696563">
            <w:r>
              <w:rPr>
                <w:rFonts w:ascii="Calibri" w:hAnsi="Calibri" w:cs="Calibri"/>
                <w:color w:val="000000"/>
              </w:rPr>
              <w:t>1.42 (1.2, 1.65)</w:t>
            </w:r>
          </w:p>
        </w:tc>
        <w:tc>
          <w:tcPr>
            <w:tcW w:w="2250" w:type="dxa"/>
            <w:noWrap/>
            <w:vAlign w:val="bottom"/>
            <w:hideMark/>
          </w:tcPr>
          <w:p w14:paraId="21F3092E" w14:textId="7B8F36C3" w:rsidR="00696563" w:rsidRPr="008A1950" w:rsidRDefault="00696563" w:rsidP="00696563">
            <w:r>
              <w:rPr>
                <w:rFonts w:ascii="Calibri" w:hAnsi="Calibri" w:cs="Calibri"/>
                <w:color w:val="000000"/>
              </w:rPr>
              <w:t>1.61 (1.4, 1.83)</w:t>
            </w:r>
          </w:p>
        </w:tc>
      </w:tr>
      <w:tr w:rsidR="00696563" w:rsidRPr="008A1950" w14:paraId="59561C63" w14:textId="77777777" w:rsidTr="00D1701F">
        <w:trPr>
          <w:trHeight w:val="288"/>
        </w:trPr>
        <w:tc>
          <w:tcPr>
            <w:tcW w:w="2245" w:type="dxa"/>
            <w:noWrap/>
            <w:hideMark/>
          </w:tcPr>
          <w:p w14:paraId="2A4F9D09" w14:textId="2DB29C2E" w:rsidR="00696563" w:rsidRPr="0088321D" w:rsidRDefault="00696563" w:rsidP="00696563">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4B4837C3" w14:textId="46782F53" w:rsidR="00696563" w:rsidRPr="008A1950" w:rsidRDefault="00696563" w:rsidP="00696563">
            <w:r>
              <w:rPr>
                <w:rFonts w:ascii="Calibri" w:hAnsi="Calibri" w:cs="Calibri"/>
                <w:color w:val="000000"/>
              </w:rPr>
              <w:t>0.51 (0.41, 0.62)</w:t>
            </w:r>
          </w:p>
        </w:tc>
        <w:tc>
          <w:tcPr>
            <w:tcW w:w="2070" w:type="dxa"/>
            <w:noWrap/>
            <w:vAlign w:val="bottom"/>
            <w:hideMark/>
          </w:tcPr>
          <w:p w14:paraId="2C901759" w14:textId="56E05012" w:rsidR="00696563" w:rsidRPr="008A1950" w:rsidRDefault="00696563" w:rsidP="00696563">
            <w:r>
              <w:rPr>
                <w:rFonts w:ascii="Calibri" w:hAnsi="Calibri" w:cs="Calibri"/>
                <w:color w:val="000000"/>
              </w:rPr>
              <w:t>0.44 (0.32, 0.57)</w:t>
            </w:r>
          </w:p>
        </w:tc>
        <w:tc>
          <w:tcPr>
            <w:tcW w:w="2250" w:type="dxa"/>
            <w:noWrap/>
            <w:vAlign w:val="bottom"/>
            <w:hideMark/>
          </w:tcPr>
          <w:p w14:paraId="2EDC6D33" w14:textId="40B7DB67" w:rsidR="00696563" w:rsidRPr="008A1950" w:rsidRDefault="00696563" w:rsidP="00696563">
            <w:r>
              <w:rPr>
                <w:rFonts w:ascii="Calibri" w:hAnsi="Calibri" w:cs="Calibri"/>
                <w:color w:val="000000"/>
              </w:rPr>
              <w:t>0.23 (0.11, 0.35)</w:t>
            </w:r>
          </w:p>
        </w:tc>
      </w:tr>
      <w:tr w:rsidR="00696563" w:rsidRPr="008A1950" w14:paraId="7DE021C2" w14:textId="77777777" w:rsidTr="00D1701F">
        <w:trPr>
          <w:trHeight w:val="288"/>
        </w:trPr>
        <w:tc>
          <w:tcPr>
            <w:tcW w:w="2245" w:type="dxa"/>
            <w:noWrap/>
            <w:hideMark/>
          </w:tcPr>
          <w:p w14:paraId="578BDA28" w14:textId="7EA8DA65" w:rsidR="00696563" w:rsidRPr="0088321D" w:rsidRDefault="00696563" w:rsidP="00696563">
            <w:pPr>
              <w:rPr>
                <w:b/>
                <w:bCs/>
              </w:rPr>
            </w:pPr>
            <w:r w:rsidRPr="0088321D">
              <w:rPr>
                <w:b/>
                <w:bCs/>
              </w:rPr>
              <w:t>GP length-scale</w:t>
            </w:r>
            <w:r>
              <w:rPr>
                <w:b/>
                <w:bCs/>
              </w:rPr>
              <w:t xml:space="preserve"> (</w:t>
            </w:r>
            <w:r>
              <w:rPr>
                <w:rFonts w:cstheme="minorHAnsi"/>
                <w:b/>
                <w:bCs/>
              </w:rPr>
              <w:t>ρ</w:t>
            </w:r>
            <w:r>
              <w:rPr>
                <w:b/>
                <w:bCs/>
              </w:rPr>
              <w:t>)</w:t>
            </w:r>
          </w:p>
        </w:tc>
        <w:tc>
          <w:tcPr>
            <w:tcW w:w="2160" w:type="dxa"/>
            <w:noWrap/>
            <w:vAlign w:val="bottom"/>
            <w:hideMark/>
          </w:tcPr>
          <w:p w14:paraId="2B3D025B" w14:textId="15F5D36A" w:rsidR="00696563" w:rsidRPr="008A1950" w:rsidRDefault="00696563" w:rsidP="00696563">
            <w:r>
              <w:rPr>
                <w:rFonts w:ascii="Calibri" w:hAnsi="Calibri" w:cs="Calibri"/>
                <w:color w:val="000000"/>
              </w:rPr>
              <w:t>2.38 (1.88, 2.95)</w:t>
            </w:r>
          </w:p>
        </w:tc>
        <w:tc>
          <w:tcPr>
            <w:tcW w:w="2070" w:type="dxa"/>
            <w:noWrap/>
            <w:vAlign w:val="bottom"/>
            <w:hideMark/>
          </w:tcPr>
          <w:p w14:paraId="5E901E05" w14:textId="5C8789AE" w:rsidR="00696563" w:rsidRPr="008A1950" w:rsidRDefault="00696563" w:rsidP="00696563">
            <w:r>
              <w:rPr>
                <w:rFonts w:ascii="Calibri" w:hAnsi="Calibri" w:cs="Calibri"/>
                <w:color w:val="000000"/>
              </w:rPr>
              <w:t>7.47 (3.91, 12.85)</w:t>
            </w:r>
          </w:p>
        </w:tc>
        <w:tc>
          <w:tcPr>
            <w:tcW w:w="2250" w:type="dxa"/>
            <w:noWrap/>
            <w:vAlign w:val="bottom"/>
            <w:hideMark/>
          </w:tcPr>
          <w:p w14:paraId="59DC9229" w14:textId="2F74516D" w:rsidR="00696563" w:rsidRPr="008A1950" w:rsidRDefault="00696563" w:rsidP="00696563">
            <w:r>
              <w:rPr>
                <w:rFonts w:ascii="Calibri" w:hAnsi="Calibri" w:cs="Calibri"/>
                <w:color w:val="000000"/>
              </w:rPr>
              <w:t>6.37 (2.88, 11.2)</w:t>
            </w:r>
          </w:p>
        </w:tc>
      </w:tr>
      <w:tr w:rsidR="00696563" w:rsidRPr="008A1950" w14:paraId="0D6165CE" w14:textId="77777777" w:rsidTr="00D1701F">
        <w:trPr>
          <w:trHeight w:val="288"/>
        </w:trPr>
        <w:tc>
          <w:tcPr>
            <w:tcW w:w="2245" w:type="dxa"/>
            <w:noWrap/>
            <w:hideMark/>
          </w:tcPr>
          <w:p w14:paraId="1A7BFAC7" w14:textId="63C79DA0" w:rsidR="00696563" w:rsidRPr="0088321D" w:rsidRDefault="00696563" w:rsidP="00696563">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21505BF8" w14:textId="5A650B46" w:rsidR="00696563" w:rsidRPr="008A1950" w:rsidRDefault="00696563" w:rsidP="00696563">
            <w:r>
              <w:rPr>
                <w:rFonts w:ascii="Calibri" w:hAnsi="Calibri" w:cs="Calibri"/>
                <w:color w:val="000000"/>
              </w:rPr>
              <w:t>0.22 (0, 0.41)</w:t>
            </w:r>
          </w:p>
        </w:tc>
        <w:tc>
          <w:tcPr>
            <w:tcW w:w="2070" w:type="dxa"/>
            <w:noWrap/>
            <w:vAlign w:val="bottom"/>
            <w:hideMark/>
          </w:tcPr>
          <w:p w14:paraId="22E4EB00" w14:textId="3157E215" w:rsidR="00696563" w:rsidRPr="008A1950" w:rsidRDefault="00696563" w:rsidP="00696563">
            <w:r>
              <w:rPr>
                <w:rFonts w:ascii="Calibri" w:hAnsi="Calibri" w:cs="Calibri"/>
                <w:color w:val="000000"/>
              </w:rPr>
              <w:t>0.2 (0, 0.42)</w:t>
            </w:r>
          </w:p>
        </w:tc>
        <w:tc>
          <w:tcPr>
            <w:tcW w:w="2250" w:type="dxa"/>
            <w:noWrap/>
            <w:vAlign w:val="bottom"/>
            <w:hideMark/>
          </w:tcPr>
          <w:p w14:paraId="4318116D" w14:textId="0E5AD9FE" w:rsidR="00696563" w:rsidRPr="008A1950" w:rsidRDefault="00696563" w:rsidP="00696563">
            <w:r>
              <w:rPr>
                <w:rFonts w:ascii="Calibri" w:hAnsi="Calibri" w:cs="Calibri"/>
                <w:color w:val="000000"/>
              </w:rPr>
              <w:t>0.29 (0.1, 0.53)</w:t>
            </w:r>
          </w:p>
        </w:tc>
      </w:tr>
      <w:tr w:rsidR="00696563" w:rsidRPr="008A1950" w14:paraId="3AFC47C7" w14:textId="77777777" w:rsidTr="00D1701F">
        <w:trPr>
          <w:trHeight w:val="288"/>
        </w:trPr>
        <w:tc>
          <w:tcPr>
            <w:tcW w:w="2245" w:type="dxa"/>
            <w:noWrap/>
            <w:hideMark/>
          </w:tcPr>
          <w:p w14:paraId="6C8B5631" w14:textId="4B08C490" w:rsidR="00696563" w:rsidRPr="0088321D" w:rsidRDefault="00696563" w:rsidP="00696563">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hideMark/>
          </w:tcPr>
          <w:p w14:paraId="38768525" w14:textId="44BC87EC" w:rsidR="00696563" w:rsidRPr="008A1950" w:rsidRDefault="00696563" w:rsidP="00696563">
            <w:r>
              <w:rPr>
                <w:rFonts w:ascii="Calibri" w:hAnsi="Calibri" w:cs="Calibri"/>
                <w:color w:val="000000"/>
              </w:rPr>
              <w:t>7.26 (5.6, 8.87)</w:t>
            </w:r>
          </w:p>
        </w:tc>
        <w:tc>
          <w:tcPr>
            <w:tcW w:w="2070" w:type="dxa"/>
            <w:noWrap/>
            <w:vAlign w:val="bottom"/>
            <w:hideMark/>
          </w:tcPr>
          <w:p w14:paraId="35DEB349" w14:textId="031D631D" w:rsidR="00696563" w:rsidRPr="008A1950" w:rsidRDefault="00696563" w:rsidP="00696563">
            <w:r>
              <w:rPr>
                <w:rFonts w:ascii="Calibri" w:hAnsi="Calibri" w:cs="Calibri"/>
                <w:color w:val="000000"/>
              </w:rPr>
              <w:t>7.99 (6.36, 9.69)</w:t>
            </w:r>
          </w:p>
        </w:tc>
        <w:tc>
          <w:tcPr>
            <w:tcW w:w="2250" w:type="dxa"/>
            <w:noWrap/>
            <w:vAlign w:val="bottom"/>
            <w:hideMark/>
          </w:tcPr>
          <w:p w14:paraId="3B90BF00" w14:textId="7AF68754" w:rsidR="00696563" w:rsidRPr="008A1950" w:rsidRDefault="00696563" w:rsidP="00696563">
            <w:pPr>
              <w:keepNext/>
            </w:pPr>
            <w:r>
              <w:rPr>
                <w:rFonts w:ascii="Calibri" w:hAnsi="Calibri" w:cs="Calibri"/>
                <w:color w:val="000000"/>
              </w:rPr>
              <w:t>7.57 (6.04, 9.17)</w:t>
            </w:r>
          </w:p>
        </w:tc>
      </w:tr>
    </w:tbl>
    <w:p w14:paraId="2A2EA608" w14:textId="0A4B2BC1" w:rsidR="00C270A5" w:rsidRDefault="00C270A5">
      <w:pPr>
        <w:pStyle w:val="Caption"/>
      </w:pPr>
      <w:r>
        <w:t xml:space="preserve">Table </w:t>
      </w:r>
      <w:fldSimple w:instr=" SEQ Table \* ARABIC ">
        <w:r w:rsidR="00696563">
          <w:rPr>
            <w:noProof/>
          </w:rPr>
          <w:t>2</w:t>
        </w:r>
      </w:fldSimple>
      <w:r>
        <w:t>: Posterior parameter values for the litter depths model. Posterior median values for each parameter are given alongside a</w:t>
      </w:r>
      <w:r w:rsidR="00696563">
        <w:t>n 89</w:t>
      </w:r>
      <w:r>
        <w:t>% credible interval in parentheses.</w:t>
      </w:r>
    </w:p>
    <w:p w14:paraId="691A6785" w14:textId="5636A62B" w:rsidR="007531D5" w:rsidRDefault="007531D5">
      <w:pPr>
        <w:rPr>
          <w:rFonts w:asciiTheme="majorHAnsi" w:eastAsiaTheme="majorEastAsia" w:hAnsiTheme="majorHAnsi" w:cstheme="majorBidi"/>
          <w:color w:val="2F5496" w:themeColor="accent1" w:themeShade="BF"/>
          <w:sz w:val="32"/>
          <w:szCs w:val="32"/>
        </w:rPr>
      </w:pPr>
    </w:p>
    <w:tbl>
      <w:tblPr>
        <w:tblStyle w:val="TableGrid"/>
        <w:tblW w:w="0" w:type="auto"/>
        <w:tblLook w:val="04A0" w:firstRow="1" w:lastRow="0" w:firstColumn="1" w:lastColumn="0" w:noHBand="0" w:noVBand="1"/>
      </w:tblPr>
      <w:tblGrid>
        <w:gridCol w:w="2245"/>
        <w:gridCol w:w="2160"/>
        <w:gridCol w:w="2070"/>
        <w:gridCol w:w="2250"/>
      </w:tblGrid>
      <w:tr w:rsidR="007927CC" w:rsidRPr="008A1950" w14:paraId="4921720B" w14:textId="77777777" w:rsidTr="0080782F">
        <w:trPr>
          <w:trHeight w:val="288"/>
        </w:trPr>
        <w:tc>
          <w:tcPr>
            <w:tcW w:w="2245" w:type="dxa"/>
            <w:noWrap/>
            <w:hideMark/>
          </w:tcPr>
          <w:p w14:paraId="35963F8A" w14:textId="77777777" w:rsidR="007927CC" w:rsidRPr="0088321D" w:rsidRDefault="007927CC" w:rsidP="0080782F">
            <w:pPr>
              <w:rPr>
                <w:b/>
                <w:bCs/>
              </w:rPr>
            </w:pPr>
            <w:r w:rsidRPr="0088321D">
              <w:rPr>
                <w:b/>
                <w:bCs/>
              </w:rPr>
              <w:t>Parameter</w:t>
            </w:r>
          </w:p>
        </w:tc>
        <w:tc>
          <w:tcPr>
            <w:tcW w:w="2160" w:type="dxa"/>
            <w:noWrap/>
            <w:hideMark/>
          </w:tcPr>
          <w:p w14:paraId="60105611" w14:textId="77777777" w:rsidR="007927CC" w:rsidRPr="0088321D" w:rsidRDefault="007927CC" w:rsidP="0080782F">
            <w:pPr>
              <w:rPr>
                <w:b/>
                <w:bCs/>
              </w:rPr>
            </w:pPr>
            <w:r w:rsidRPr="0088321D">
              <w:rPr>
                <w:b/>
                <w:bCs/>
              </w:rPr>
              <w:t>Low drought mortality</w:t>
            </w:r>
          </w:p>
        </w:tc>
        <w:tc>
          <w:tcPr>
            <w:tcW w:w="2070" w:type="dxa"/>
            <w:noWrap/>
            <w:hideMark/>
          </w:tcPr>
          <w:p w14:paraId="6DC2A835" w14:textId="77777777" w:rsidR="007927CC" w:rsidRPr="0088321D" w:rsidRDefault="007927CC" w:rsidP="0080782F">
            <w:pPr>
              <w:rPr>
                <w:b/>
                <w:bCs/>
              </w:rPr>
            </w:pPr>
            <w:r w:rsidRPr="0088321D">
              <w:rPr>
                <w:b/>
                <w:bCs/>
              </w:rPr>
              <w:t>Medium drought mortality</w:t>
            </w:r>
          </w:p>
        </w:tc>
        <w:tc>
          <w:tcPr>
            <w:tcW w:w="2250" w:type="dxa"/>
            <w:noWrap/>
            <w:hideMark/>
          </w:tcPr>
          <w:p w14:paraId="5FBBF7E2" w14:textId="77777777" w:rsidR="007927CC" w:rsidRPr="0088321D" w:rsidRDefault="007927CC" w:rsidP="0080782F">
            <w:pPr>
              <w:rPr>
                <w:b/>
                <w:bCs/>
              </w:rPr>
            </w:pPr>
            <w:r w:rsidRPr="0088321D">
              <w:rPr>
                <w:b/>
                <w:bCs/>
              </w:rPr>
              <w:t>High drought mortality</w:t>
            </w:r>
          </w:p>
        </w:tc>
      </w:tr>
      <w:tr w:rsidR="00696563" w:rsidRPr="008A1950" w14:paraId="0DBF373E" w14:textId="77777777" w:rsidTr="006A0196">
        <w:trPr>
          <w:trHeight w:val="288"/>
        </w:trPr>
        <w:tc>
          <w:tcPr>
            <w:tcW w:w="2245" w:type="dxa"/>
            <w:noWrap/>
            <w:hideMark/>
          </w:tcPr>
          <w:p w14:paraId="2320DAC7" w14:textId="77777777" w:rsidR="00696563" w:rsidRPr="0088321D" w:rsidRDefault="00696563" w:rsidP="00696563">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3E75C269" w14:textId="20BF21D4" w:rsidR="00696563" w:rsidRPr="008A1950" w:rsidRDefault="00696563" w:rsidP="00696563">
            <w:r>
              <w:rPr>
                <w:rFonts w:ascii="Calibri" w:hAnsi="Calibri" w:cs="Calibri"/>
                <w:color w:val="000000"/>
              </w:rPr>
              <w:t>2.61 (2.29, 2.93)</w:t>
            </w:r>
          </w:p>
        </w:tc>
        <w:tc>
          <w:tcPr>
            <w:tcW w:w="2070" w:type="dxa"/>
            <w:noWrap/>
            <w:vAlign w:val="bottom"/>
            <w:hideMark/>
          </w:tcPr>
          <w:p w14:paraId="46AFFFE0" w14:textId="08048529" w:rsidR="00696563" w:rsidRPr="008A1950" w:rsidRDefault="00696563" w:rsidP="00696563">
            <w:r>
              <w:rPr>
                <w:rFonts w:ascii="Calibri" w:hAnsi="Calibri" w:cs="Calibri"/>
                <w:color w:val="000000"/>
              </w:rPr>
              <w:t>2.87 (2.57, 3.13)</w:t>
            </w:r>
          </w:p>
        </w:tc>
        <w:tc>
          <w:tcPr>
            <w:tcW w:w="2250" w:type="dxa"/>
            <w:noWrap/>
            <w:vAlign w:val="bottom"/>
            <w:hideMark/>
          </w:tcPr>
          <w:p w14:paraId="68F80406" w14:textId="1B4501BA" w:rsidR="00696563" w:rsidRPr="008A1950" w:rsidRDefault="00696563" w:rsidP="00696563">
            <w:r>
              <w:rPr>
                <w:rFonts w:ascii="Calibri" w:hAnsi="Calibri" w:cs="Calibri"/>
                <w:color w:val="000000"/>
              </w:rPr>
              <w:t>2.34 (1.77, 2.91)</w:t>
            </w:r>
          </w:p>
        </w:tc>
      </w:tr>
      <w:tr w:rsidR="00696563" w:rsidRPr="008A1950" w14:paraId="4B26069C" w14:textId="77777777" w:rsidTr="006A0196">
        <w:trPr>
          <w:trHeight w:val="288"/>
        </w:trPr>
        <w:tc>
          <w:tcPr>
            <w:tcW w:w="2245" w:type="dxa"/>
            <w:noWrap/>
            <w:hideMark/>
          </w:tcPr>
          <w:p w14:paraId="7BB70FED" w14:textId="77777777" w:rsidR="00696563" w:rsidRPr="0088321D" w:rsidRDefault="00696563" w:rsidP="00696563">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38EADF19" w14:textId="1B548DD5" w:rsidR="00696563" w:rsidRPr="008A1950" w:rsidRDefault="00696563" w:rsidP="00696563">
            <w:r>
              <w:rPr>
                <w:rFonts w:ascii="Calibri" w:hAnsi="Calibri" w:cs="Calibri"/>
                <w:color w:val="000000"/>
              </w:rPr>
              <w:t>0.63 (0.48, 0.76)</w:t>
            </w:r>
          </w:p>
        </w:tc>
        <w:tc>
          <w:tcPr>
            <w:tcW w:w="2070" w:type="dxa"/>
            <w:noWrap/>
            <w:vAlign w:val="bottom"/>
            <w:hideMark/>
          </w:tcPr>
          <w:p w14:paraId="257DA06B" w14:textId="2FB44E53" w:rsidR="00696563" w:rsidRPr="008A1950" w:rsidRDefault="00696563" w:rsidP="00696563">
            <w:r>
              <w:rPr>
                <w:rFonts w:ascii="Calibri" w:hAnsi="Calibri" w:cs="Calibri"/>
                <w:color w:val="000000"/>
              </w:rPr>
              <w:t>0.56 (0.46, 0.68)</w:t>
            </w:r>
          </w:p>
        </w:tc>
        <w:tc>
          <w:tcPr>
            <w:tcW w:w="2250" w:type="dxa"/>
            <w:noWrap/>
            <w:vAlign w:val="bottom"/>
            <w:hideMark/>
          </w:tcPr>
          <w:p w14:paraId="5F7FF6A5" w14:textId="771513D1" w:rsidR="00696563" w:rsidRPr="008A1950" w:rsidRDefault="00696563" w:rsidP="00696563">
            <w:r>
              <w:rPr>
                <w:rFonts w:ascii="Calibri" w:hAnsi="Calibri" w:cs="Calibri"/>
                <w:color w:val="000000"/>
              </w:rPr>
              <w:t>0.69 (0.58, 0.81)</w:t>
            </w:r>
          </w:p>
        </w:tc>
      </w:tr>
      <w:tr w:rsidR="00696563" w:rsidRPr="008A1950" w14:paraId="0A085328" w14:textId="77777777" w:rsidTr="006A0196">
        <w:trPr>
          <w:trHeight w:val="288"/>
        </w:trPr>
        <w:tc>
          <w:tcPr>
            <w:tcW w:w="2245" w:type="dxa"/>
            <w:noWrap/>
            <w:hideMark/>
          </w:tcPr>
          <w:p w14:paraId="0CD87361" w14:textId="77777777" w:rsidR="00696563" w:rsidRPr="0088321D" w:rsidRDefault="00696563" w:rsidP="00696563">
            <w:pPr>
              <w:rPr>
                <w:b/>
                <w:bCs/>
              </w:rPr>
            </w:pPr>
            <w:r w:rsidRPr="0088321D">
              <w:rPr>
                <w:b/>
                <w:bCs/>
              </w:rPr>
              <w:t>GP length-scale</w:t>
            </w:r>
            <w:r>
              <w:rPr>
                <w:b/>
                <w:bCs/>
              </w:rPr>
              <w:t xml:space="preserve"> (</w:t>
            </w:r>
            <w:r>
              <w:rPr>
                <w:rFonts w:cstheme="minorHAnsi"/>
                <w:b/>
                <w:bCs/>
              </w:rPr>
              <w:t>ρ</w:t>
            </w:r>
            <w:r>
              <w:rPr>
                <w:b/>
                <w:bCs/>
              </w:rPr>
              <w:t>)</w:t>
            </w:r>
          </w:p>
        </w:tc>
        <w:tc>
          <w:tcPr>
            <w:tcW w:w="2160" w:type="dxa"/>
            <w:noWrap/>
            <w:vAlign w:val="bottom"/>
            <w:hideMark/>
          </w:tcPr>
          <w:p w14:paraId="66CF0882" w14:textId="4621C465" w:rsidR="00696563" w:rsidRPr="008A1950" w:rsidRDefault="00696563" w:rsidP="00696563">
            <w:r>
              <w:rPr>
                <w:rFonts w:ascii="Calibri" w:hAnsi="Calibri" w:cs="Calibri"/>
                <w:color w:val="000000"/>
              </w:rPr>
              <w:t>4.46 (2.62, 7.45)</w:t>
            </w:r>
          </w:p>
        </w:tc>
        <w:tc>
          <w:tcPr>
            <w:tcW w:w="2070" w:type="dxa"/>
            <w:noWrap/>
            <w:vAlign w:val="bottom"/>
            <w:hideMark/>
          </w:tcPr>
          <w:p w14:paraId="2F864CE0" w14:textId="535B4090" w:rsidR="00696563" w:rsidRPr="008A1950" w:rsidRDefault="00696563" w:rsidP="00696563">
            <w:r>
              <w:rPr>
                <w:rFonts w:ascii="Calibri" w:hAnsi="Calibri" w:cs="Calibri"/>
                <w:color w:val="000000"/>
              </w:rPr>
              <w:t>4.64 (2.58, 6.47)</w:t>
            </w:r>
          </w:p>
        </w:tc>
        <w:tc>
          <w:tcPr>
            <w:tcW w:w="2250" w:type="dxa"/>
            <w:noWrap/>
            <w:vAlign w:val="bottom"/>
            <w:hideMark/>
          </w:tcPr>
          <w:p w14:paraId="4E400B8F" w14:textId="26910007" w:rsidR="00696563" w:rsidRPr="008A1950" w:rsidRDefault="00696563" w:rsidP="00696563">
            <w:r>
              <w:rPr>
                <w:rFonts w:ascii="Calibri" w:hAnsi="Calibri" w:cs="Calibri"/>
                <w:color w:val="000000"/>
              </w:rPr>
              <w:t>3.78 (2.96, 4.61)</w:t>
            </w:r>
          </w:p>
        </w:tc>
      </w:tr>
      <w:tr w:rsidR="00696563" w:rsidRPr="008A1950" w14:paraId="28C3C982" w14:textId="77777777" w:rsidTr="006A0196">
        <w:trPr>
          <w:trHeight w:val="288"/>
        </w:trPr>
        <w:tc>
          <w:tcPr>
            <w:tcW w:w="2245" w:type="dxa"/>
            <w:noWrap/>
          </w:tcPr>
          <w:p w14:paraId="7C6ACFB6" w14:textId="3513A45E" w:rsidR="00696563" w:rsidRPr="0088321D" w:rsidRDefault="00696563" w:rsidP="00696563">
            <w:pPr>
              <w:rPr>
                <w:b/>
                <w:bCs/>
              </w:rPr>
            </w:pPr>
            <w:r>
              <w:rPr>
                <w:b/>
                <w:bCs/>
              </w:rPr>
              <w:t>GP nugget (</w:t>
            </w:r>
            <w:r>
              <w:rPr>
                <w:rFonts w:cstheme="minorHAnsi"/>
                <w:b/>
                <w:bCs/>
              </w:rPr>
              <w:t>τ</w:t>
            </w:r>
            <w:r>
              <w:rPr>
                <w:b/>
                <w:bCs/>
              </w:rPr>
              <w:t>)</w:t>
            </w:r>
          </w:p>
        </w:tc>
        <w:tc>
          <w:tcPr>
            <w:tcW w:w="2160" w:type="dxa"/>
            <w:noWrap/>
            <w:vAlign w:val="bottom"/>
            <w:hideMark/>
          </w:tcPr>
          <w:p w14:paraId="28AF8370" w14:textId="51A12C3E" w:rsidR="00696563" w:rsidRPr="008A1950" w:rsidRDefault="00696563" w:rsidP="00696563">
            <w:r>
              <w:rPr>
                <w:rFonts w:ascii="Calibri" w:hAnsi="Calibri" w:cs="Calibri"/>
                <w:color w:val="000000"/>
              </w:rPr>
              <w:t>0.15 (0.07, 0.25)</w:t>
            </w:r>
          </w:p>
        </w:tc>
        <w:tc>
          <w:tcPr>
            <w:tcW w:w="2070" w:type="dxa"/>
            <w:noWrap/>
            <w:vAlign w:val="bottom"/>
            <w:hideMark/>
          </w:tcPr>
          <w:p w14:paraId="70521F26" w14:textId="24D01E19" w:rsidR="00696563" w:rsidRPr="008A1950" w:rsidRDefault="00696563" w:rsidP="00696563">
            <w:r>
              <w:rPr>
                <w:rFonts w:ascii="Calibri" w:hAnsi="Calibri" w:cs="Calibri"/>
                <w:color w:val="000000"/>
              </w:rPr>
              <w:t>0.11 (0.05, 0.18)</w:t>
            </w:r>
          </w:p>
        </w:tc>
        <w:tc>
          <w:tcPr>
            <w:tcW w:w="2250" w:type="dxa"/>
            <w:noWrap/>
            <w:vAlign w:val="bottom"/>
            <w:hideMark/>
          </w:tcPr>
          <w:p w14:paraId="1981EF3D" w14:textId="51B4AAB0" w:rsidR="00696563" w:rsidRPr="008A1950" w:rsidRDefault="00696563" w:rsidP="00696563">
            <w:r>
              <w:rPr>
                <w:rFonts w:ascii="Calibri" w:hAnsi="Calibri" w:cs="Calibri"/>
                <w:color w:val="000000"/>
              </w:rPr>
              <w:t>0.11 (0.06, 0.17)</w:t>
            </w:r>
          </w:p>
        </w:tc>
      </w:tr>
      <w:tr w:rsidR="00696563" w:rsidRPr="008A1950" w14:paraId="1C74B941" w14:textId="77777777" w:rsidTr="006A0196">
        <w:trPr>
          <w:trHeight w:val="288"/>
        </w:trPr>
        <w:tc>
          <w:tcPr>
            <w:tcW w:w="2245" w:type="dxa"/>
            <w:noWrap/>
          </w:tcPr>
          <w:p w14:paraId="7A164B9A" w14:textId="24D1C18E" w:rsidR="00696563" w:rsidRPr="0088321D" w:rsidRDefault="00696563" w:rsidP="00696563">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445F48CF" w14:textId="2AA602AC" w:rsidR="00696563" w:rsidRPr="008A1950" w:rsidRDefault="00696563" w:rsidP="00696563">
            <w:r>
              <w:rPr>
                <w:rFonts w:ascii="Calibri" w:hAnsi="Calibri" w:cs="Calibri"/>
                <w:color w:val="000000"/>
              </w:rPr>
              <w:t>0.41 (0.14, 0.75)</w:t>
            </w:r>
          </w:p>
        </w:tc>
        <w:tc>
          <w:tcPr>
            <w:tcW w:w="2070" w:type="dxa"/>
            <w:noWrap/>
            <w:vAlign w:val="bottom"/>
            <w:hideMark/>
          </w:tcPr>
          <w:p w14:paraId="1678FC67" w14:textId="3A8E1809" w:rsidR="00696563" w:rsidRPr="008A1950" w:rsidRDefault="00696563" w:rsidP="00696563">
            <w:r>
              <w:rPr>
                <w:rFonts w:ascii="Calibri" w:hAnsi="Calibri" w:cs="Calibri"/>
                <w:color w:val="000000"/>
              </w:rPr>
              <w:t>0.36 (0.07, 0.68)</w:t>
            </w:r>
          </w:p>
        </w:tc>
        <w:tc>
          <w:tcPr>
            <w:tcW w:w="2250" w:type="dxa"/>
            <w:noWrap/>
            <w:vAlign w:val="bottom"/>
            <w:hideMark/>
          </w:tcPr>
          <w:p w14:paraId="3A77AEAB" w14:textId="54761E72" w:rsidR="00696563" w:rsidRPr="008A1950" w:rsidRDefault="00696563" w:rsidP="00696563">
            <w:pPr>
              <w:keepNext/>
            </w:pPr>
            <w:r>
              <w:rPr>
                <w:rFonts w:ascii="Calibri" w:hAnsi="Calibri" w:cs="Calibri"/>
                <w:color w:val="000000"/>
              </w:rPr>
              <w:t>0.84 (0.47, 1.4)</w:t>
            </w:r>
          </w:p>
        </w:tc>
      </w:tr>
      <w:tr w:rsidR="00696563" w:rsidRPr="008A1950" w14:paraId="081B5AD3" w14:textId="77777777" w:rsidTr="006A0196">
        <w:trPr>
          <w:trHeight w:val="288"/>
        </w:trPr>
        <w:tc>
          <w:tcPr>
            <w:tcW w:w="2245" w:type="dxa"/>
            <w:noWrap/>
          </w:tcPr>
          <w:p w14:paraId="0757EC26" w14:textId="1DFB204E" w:rsidR="00696563" w:rsidRPr="0088321D" w:rsidRDefault="00696563" w:rsidP="00696563">
            <w:pPr>
              <w:rPr>
                <w:b/>
                <w:bCs/>
              </w:rPr>
            </w:pPr>
            <w:r w:rsidRPr="0088321D">
              <w:rPr>
                <w:b/>
                <w:bCs/>
              </w:rPr>
              <w:t>NB Dispersion</w:t>
            </w:r>
            <w:r>
              <w:rPr>
                <w:b/>
                <w:bCs/>
              </w:rPr>
              <w:t xml:space="preserve"> (</w:t>
            </w:r>
            <w:r>
              <w:rPr>
                <w:rFonts w:cstheme="minorHAnsi"/>
                <w:b/>
                <w:bCs/>
              </w:rPr>
              <w:t>κ</w:t>
            </w:r>
            <w:r>
              <w:rPr>
                <w:b/>
                <w:bCs/>
              </w:rPr>
              <w:t>)</w:t>
            </w:r>
          </w:p>
        </w:tc>
        <w:tc>
          <w:tcPr>
            <w:tcW w:w="2160" w:type="dxa"/>
            <w:noWrap/>
            <w:vAlign w:val="bottom"/>
          </w:tcPr>
          <w:p w14:paraId="530B2A6C" w14:textId="4F425A0A" w:rsidR="00696563" w:rsidRDefault="00696563" w:rsidP="00696563">
            <w:pPr>
              <w:rPr>
                <w:rFonts w:ascii="Calibri" w:hAnsi="Calibri" w:cs="Calibri"/>
                <w:color w:val="000000"/>
              </w:rPr>
            </w:pPr>
            <w:r>
              <w:rPr>
                <w:rFonts w:ascii="Calibri" w:hAnsi="Calibri" w:cs="Calibri"/>
                <w:color w:val="000000"/>
              </w:rPr>
              <w:t>9.18 (7.39, 11.03)</w:t>
            </w:r>
          </w:p>
        </w:tc>
        <w:tc>
          <w:tcPr>
            <w:tcW w:w="2070" w:type="dxa"/>
            <w:noWrap/>
            <w:vAlign w:val="bottom"/>
          </w:tcPr>
          <w:p w14:paraId="6E67490C" w14:textId="710710BE" w:rsidR="00696563" w:rsidRDefault="00696563" w:rsidP="00696563">
            <w:pPr>
              <w:rPr>
                <w:rFonts w:ascii="Calibri" w:hAnsi="Calibri" w:cs="Calibri"/>
                <w:color w:val="000000"/>
              </w:rPr>
            </w:pPr>
            <w:r>
              <w:rPr>
                <w:rFonts w:ascii="Calibri" w:hAnsi="Calibri" w:cs="Calibri"/>
                <w:color w:val="000000"/>
              </w:rPr>
              <w:t>8.99 (7.23, 10.84)</w:t>
            </w:r>
          </w:p>
        </w:tc>
        <w:tc>
          <w:tcPr>
            <w:tcW w:w="2250" w:type="dxa"/>
            <w:noWrap/>
            <w:vAlign w:val="bottom"/>
          </w:tcPr>
          <w:p w14:paraId="0B6A4D12" w14:textId="0592122B" w:rsidR="00696563" w:rsidRDefault="00696563" w:rsidP="00696563">
            <w:pPr>
              <w:keepNext/>
              <w:rPr>
                <w:rFonts w:ascii="Calibri" w:hAnsi="Calibri" w:cs="Calibri"/>
                <w:color w:val="000000"/>
              </w:rPr>
            </w:pPr>
            <w:r>
              <w:rPr>
                <w:rFonts w:ascii="Calibri" w:hAnsi="Calibri" w:cs="Calibri"/>
                <w:color w:val="000000"/>
              </w:rPr>
              <w:t>9.32 (7.44, 11.11)</w:t>
            </w:r>
          </w:p>
        </w:tc>
      </w:tr>
    </w:tbl>
    <w:p w14:paraId="63F4413A" w14:textId="24156E7C" w:rsidR="00C4162B" w:rsidRDefault="007927CC" w:rsidP="007927CC">
      <w:pPr>
        <w:pStyle w:val="Caption"/>
      </w:pPr>
      <w:r>
        <w:t xml:space="preserve">Table </w:t>
      </w:r>
      <w:fldSimple w:instr=" SEQ Table \* ARABIC ">
        <w:r w:rsidR="00696563">
          <w:rPr>
            <w:noProof/>
          </w:rPr>
          <w:t>3</w:t>
        </w:r>
      </w:fldSimple>
      <w:r>
        <w:t>: Posterior parameter values for the fine woody debris tallies model. Posterior median values for each parameter are given alongside a</w:t>
      </w:r>
      <w:r w:rsidR="00696563">
        <w:t>n 89</w:t>
      </w:r>
      <w:r>
        <w:t>% credible interval in parentheses.</w:t>
      </w:r>
    </w:p>
    <w:p w14:paraId="77956A03" w14:textId="77777777" w:rsidR="00C4162B" w:rsidRDefault="00C4162B">
      <w:pPr>
        <w:rPr>
          <w:i/>
          <w:iCs/>
          <w:color w:val="44546A" w:themeColor="text2"/>
          <w:sz w:val="18"/>
          <w:szCs w:val="18"/>
        </w:rPr>
      </w:pPr>
      <w:r>
        <w:br w:type="page"/>
      </w:r>
    </w:p>
    <w:p w14:paraId="09919797" w14:textId="2C774B6D" w:rsidR="007927CC" w:rsidRDefault="007927CC" w:rsidP="007927CC">
      <w:pPr>
        <w:pStyle w:val="Caption"/>
        <w:rPr>
          <w:rFonts w:asciiTheme="majorHAnsi" w:eastAsiaTheme="majorEastAsia" w:hAnsiTheme="majorHAnsi" w:cstheme="majorBidi"/>
          <w:color w:val="2F5496" w:themeColor="accent1" w:themeShade="BF"/>
          <w:sz w:val="32"/>
          <w:szCs w:val="32"/>
        </w:rPr>
      </w:pPr>
      <w:r>
        <w:lastRenderedPageBreak/>
        <w:t xml:space="preserve"> </w:t>
      </w:r>
    </w:p>
    <w:tbl>
      <w:tblPr>
        <w:tblStyle w:val="TableGrid"/>
        <w:tblW w:w="0" w:type="auto"/>
        <w:tblLook w:val="04A0" w:firstRow="1" w:lastRow="0" w:firstColumn="1" w:lastColumn="0" w:noHBand="0" w:noVBand="1"/>
      </w:tblPr>
      <w:tblGrid>
        <w:gridCol w:w="2245"/>
        <w:gridCol w:w="2160"/>
        <w:gridCol w:w="2070"/>
        <w:gridCol w:w="2250"/>
      </w:tblGrid>
      <w:tr w:rsidR="00FA090D" w:rsidRPr="0088321D" w14:paraId="190A720D" w14:textId="77777777" w:rsidTr="004E46F3">
        <w:trPr>
          <w:trHeight w:val="288"/>
        </w:trPr>
        <w:tc>
          <w:tcPr>
            <w:tcW w:w="2245" w:type="dxa"/>
            <w:noWrap/>
            <w:hideMark/>
          </w:tcPr>
          <w:p w14:paraId="0FA8CAB5" w14:textId="77777777" w:rsidR="00FA090D" w:rsidRPr="0088321D" w:rsidRDefault="00FA090D" w:rsidP="004E46F3">
            <w:pPr>
              <w:rPr>
                <w:b/>
                <w:bCs/>
              </w:rPr>
            </w:pPr>
            <w:r w:rsidRPr="0088321D">
              <w:rPr>
                <w:b/>
                <w:bCs/>
              </w:rPr>
              <w:t>Parameter</w:t>
            </w:r>
          </w:p>
        </w:tc>
        <w:tc>
          <w:tcPr>
            <w:tcW w:w="2160" w:type="dxa"/>
            <w:noWrap/>
            <w:hideMark/>
          </w:tcPr>
          <w:p w14:paraId="597542A4" w14:textId="77777777" w:rsidR="00FA090D" w:rsidRPr="0088321D" w:rsidRDefault="00FA090D" w:rsidP="004E46F3">
            <w:pPr>
              <w:rPr>
                <w:b/>
                <w:bCs/>
              </w:rPr>
            </w:pPr>
            <w:r w:rsidRPr="0088321D">
              <w:rPr>
                <w:b/>
                <w:bCs/>
              </w:rPr>
              <w:t>Low drought mortality</w:t>
            </w:r>
          </w:p>
        </w:tc>
        <w:tc>
          <w:tcPr>
            <w:tcW w:w="2070" w:type="dxa"/>
            <w:noWrap/>
            <w:hideMark/>
          </w:tcPr>
          <w:p w14:paraId="028A72F6" w14:textId="77777777" w:rsidR="00FA090D" w:rsidRPr="0088321D" w:rsidRDefault="00FA090D" w:rsidP="004E46F3">
            <w:pPr>
              <w:rPr>
                <w:b/>
                <w:bCs/>
              </w:rPr>
            </w:pPr>
            <w:r w:rsidRPr="0088321D">
              <w:rPr>
                <w:b/>
                <w:bCs/>
              </w:rPr>
              <w:t>Medium drought mortality</w:t>
            </w:r>
          </w:p>
        </w:tc>
        <w:tc>
          <w:tcPr>
            <w:tcW w:w="2250" w:type="dxa"/>
            <w:noWrap/>
            <w:hideMark/>
          </w:tcPr>
          <w:p w14:paraId="1468F1A1" w14:textId="77777777" w:rsidR="00FA090D" w:rsidRPr="0088321D" w:rsidRDefault="00FA090D" w:rsidP="004E46F3">
            <w:pPr>
              <w:rPr>
                <w:b/>
                <w:bCs/>
              </w:rPr>
            </w:pPr>
            <w:r w:rsidRPr="0088321D">
              <w:rPr>
                <w:b/>
                <w:bCs/>
              </w:rPr>
              <w:t>High drought mortality</w:t>
            </w:r>
          </w:p>
        </w:tc>
      </w:tr>
      <w:tr w:rsidR="00696563" w:rsidRPr="008A1950" w14:paraId="3804FAA0" w14:textId="77777777" w:rsidTr="00045A01">
        <w:trPr>
          <w:trHeight w:val="288"/>
        </w:trPr>
        <w:tc>
          <w:tcPr>
            <w:tcW w:w="2245" w:type="dxa"/>
            <w:noWrap/>
            <w:hideMark/>
          </w:tcPr>
          <w:p w14:paraId="40C62EEB" w14:textId="77777777" w:rsidR="00696563" w:rsidRPr="0088321D" w:rsidRDefault="00696563" w:rsidP="00696563">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hideMark/>
          </w:tcPr>
          <w:p w14:paraId="0E02D12E" w14:textId="213D0873" w:rsidR="00696563" w:rsidRPr="008A1950" w:rsidRDefault="00696563" w:rsidP="00696563">
            <w:r>
              <w:rPr>
                <w:rFonts w:ascii="Calibri" w:hAnsi="Calibri" w:cs="Calibri"/>
                <w:color w:val="000000"/>
              </w:rPr>
              <w:t>-0.49 (-0.65, -0.28)</w:t>
            </w:r>
          </w:p>
        </w:tc>
        <w:tc>
          <w:tcPr>
            <w:tcW w:w="2070" w:type="dxa"/>
            <w:noWrap/>
            <w:hideMark/>
          </w:tcPr>
          <w:p w14:paraId="1D1F8317" w14:textId="069FA627" w:rsidR="00696563" w:rsidRPr="008A1950" w:rsidRDefault="00696563" w:rsidP="00696563">
            <w:r>
              <w:rPr>
                <w:rFonts w:ascii="Calibri" w:hAnsi="Calibri" w:cs="Calibri"/>
                <w:color w:val="000000"/>
              </w:rPr>
              <w:t>-0.41 (-0.55, -0.29)</w:t>
            </w:r>
          </w:p>
        </w:tc>
        <w:tc>
          <w:tcPr>
            <w:tcW w:w="2250" w:type="dxa"/>
            <w:noWrap/>
            <w:hideMark/>
          </w:tcPr>
          <w:p w14:paraId="5CF4D7BB" w14:textId="19D63E5C" w:rsidR="00696563" w:rsidRPr="008A1950" w:rsidRDefault="00696563" w:rsidP="00696563">
            <w:r>
              <w:rPr>
                <w:rFonts w:ascii="Calibri" w:hAnsi="Calibri" w:cs="Calibri"/>
                <w:color w:val="000000"/>
              </w:rPr>
              <w:t>-0.21 (-0.53, 0.08)</w:t>
            </w:r>
          </w:p>
        </w:tc>
      </w:tr>
      <w:tr w:rsidR="00696563" w:rsidRPr="008A1950" w14:paraId="09E90080" w14:textId="77777777" w:rsidTr="00045A01">
        <w:trPr>
          <w:trHeight w:val="288"/>
        </w:trPr>
        <w:tc>
          <w:tcPr>
            <w:tcW w:w="2245" w:type="dxa"/>
            <w:noWrap/>
            <w:hideMark/>
          </w:tcPr>
          <w:p w14:paraId="320F8FDD" w14:textId="2FC1BFE3" w:rsidR="00696563" w:rsidRPr="0088321D" w:rsidRDefault="00696563" w:rsidP="00696563">
            <w:pPr>
              <w:rPr>
                <w:b/>
                <w:bCs/>
              </w:rPr>
            </w:pPr>
            <w:r>
              <w:rPr>
                <w:b/>
                <w:bCs/>
              </w:rPr>
              <w:t>Plot effect SD (</w:t>
            </w:r>
            <w:proofErr w:type="spellStart"/>
            <w:r>
              <w:rPr>
                <w:rFonts w:cstheme="minorHAnsi"/>
                <w:b/>
                <w:bCs/>
              </w:rPr>
              <w:t>σ</w:t>
            </w:r>
            <w:r>
              <w:rPr>
                <w:rFonts w:cstheme="minorHAnsi"/>
                <w:b/>
                <w:bCs/>
                <w:vertAlign w:val="superscript"/>
              </w:rPr>
              <w:t>PLOT</w:t>
            </w:r>
            <w:proofErr w:type="spellEnd"/>
            <w:r>
              <w:rPr>
                <w:b/>
                <w:bCs/>
              </w:rPr>
              <w:t>)</w:t>
            </w:r>
          </w:p>
        </w:tc>
        <w:tc>
          <w:tcPr>
            <w:tcW w:w="2160" w:type="dxa"/>
            <w:noWrap/>
            <w:hideMark/>
          </w:tcPr>
          <w:p w14:paraId="1A0ECC8E" w14:textId="1D325530" w:rsidR="00696563" w:rsidRPr="008A1950" w:rsidRDefault="00696563" w:rsidP="00696563">
            <w:r>
              <w:rPr>
                <w:rFonts w:ascii="Calibri" w:hAnsi="Calibri" w:cs="Calibri"/>
                <w:color w:val="000000"/>
              </w:rPr>
              <w:t>0.14 (0, 0.28)</w:t>
            </w:r>
          </w:p>
        </w:tc>
        <w:tc>
          <w:tcPr>
            <w:tcW w:w="2070" w:type="dxa"/>
            <w:noWrap/>
            <w:hideMark/>
          </w:tcPr>
          <w:p w14:paraId="44CA3110" w14:textId="69D18246" w:rsidR="00696563" w:rsidRPr="008A1950" w:rsidRDefault="00696563" w:rsidP="00696563">
            <w:r>
              <w:rPr>
                <w:rFonts w:ascii="Calibri" w:hAnsi="Calibri" w:cs="Calibri"/>
                <w:color w:val="000000"/>
              </w:rPr>
              <w:t>0.1 (0, 0.21)</w:t>
            </w:r>
          </w:p>
        </w:tc>
        <w:tc>
          <w:tcPr>
            <w:tcW w:w="2250" w:type="dxa"/>
            <w:noWrap/>
            <w:hideMark/>
          </w:tcPr>
          <w:p w14:paraId="1BC9059C" w14:textId="2F6F96A1" w:rsidR="00696563" w:rsidRPr="008A1950" w:rsidRDefault="00696563" w:rsidP="00696563">
            <w:r>
              <w:rPr>
                <w:rFonts w:ascii="Calibri" w:hAnsi="Calibri" w:cs="Calibri"/>
                <w:color w:val="000000"/>
              </w:rPr>
              <w:t>0.48 (0.32, 0.67)</w:t>
            </w:r>
          </w:p>
        </w:tc>
      </w:tr>
      <w:tr w:rsidR="00696563" w:rsidRPr="008A1950" w14:paraId="31E445E8" w14:textId="77777777" w:rsidTr="00045A01">
        <w:trPr>
          <w:trHeight w:val="288"/>
        </w:trPr>
        <w:tc>
          <w:tcPr>
            <w:tcW w:w="2245" w:type="dxa"/>
            <w:noWrap/>
            <w:hideMark/>
          </w:tcPr>
          <w:p w14:paraId="4AC4E546" w14:textId="4F56D9A4" w:rsidR="00696563" w:rsidRPr="0088321D" w:rsidRDefault="00696563" w:rsidP="00696563">
            <w:pPr>
              <w:rPr>
                <w:b/>
                <w:bCs/>
              </w:rPr>
            </w:pPr>
            <w:r>
              <w:rPr>
                <w:b/>
                <w:bCs/>
              </w:rPr>
              <w:t>Transect effect SD (</w:t>
            </w:r>
            <w:proofErr w:type="spellStart"/>
            <w:r>
              <w:rPr>
                <w:rFonts w:cstheme="minorHAnsi"/>
                <w:b/>
                <w:bCs/>
              </w:rPr>
              <w:t>σ</w:t>
            </w:r>
            <w:r>
              <w:rPr>
                <w:rFonts w:cstheme="minorHAnsi"/>
                <w:b/>
                <w:bCs/>
                <w:vertAlign w:val="superscript"/>
              </w:rPr>
              <w:t>TRANSECT</w:t>
            </w:r>
            <w:proofErr w:type="spellEnd"/>
            <w:r>
              <w:rPr>
                <w:b/>
                <w:bCs/>
              </w:rPr>
              <w:t>)</w:t>
            </w:r>
          </w:p>
        </w:tc>
        <w:tc>
          <w:tcPr>
            <w:tcW w:w="2160" w:type="dxa"/>
            <w:noWrap/>
            <w:hideMark/>
          </w:tcPr>
          <w:p w14:paraId="7E9C7FCC" w14:textId="7C80DCE5" w:rsidR="00696563" w:rsidRPr="008A1950" w:rsidRDefault="00696563" w:rsidP="00696563">
            <w:r>
              <w:rPr>
                <w:rFonts w:ascii="Calibri" w:hAnsi="Calibri" w:cs="Calibri"/>
                <w:color w:val="000000"/>
              </w:rPr>
              <w:t>0.33 (0.22, 0.45)</w:t>
            </w:r>
          </w:p>
        </w:tc>
        <w:tc>
          <w:tcPr>
            <w:tcW w:w="2070" w:type="dxa"/>
            <w:noWrap/>
            <w:hideMark/>
          </w:tcPr>
          <w:p w14:paraId="54DFBF5A" w14:textId="07F9A84E" w:rsidR="00696563" w:rsidRPr="008A1950" w:rsidRDefault="00696563" w:rsidP="00696563">
            <w:r>
              <w:rPr>
                <w:rFonts w:ascii="Calibri" w:hAnsi="Calibri" w:cs="Calibri"/>
                <w:color w:val="000000"/>
              </w:rPr>
              <w:t>0.28 (0.19, 0.36)</w:t>
            </w:r>
          </w:p>
        </w:tc>
        <w:tc>
          <w:tcPr>
            <w:tcW w:w="2250" w:type="dxa"/>
            <w:noWrap/>
            <w:hideMark/>
          </w:tcPr>
          <w:p w14:paraId="26BCBE7B" w14:textId="7EE64F4C" w:rsidR="00696563" w:rsidRPr="008A1950" w:rsidRDefault="00696563" w:rsidP="00696563">
            <w:r>
              <w:rPr>
                <w:rFonts w:ascii="Calibri" w:hAnsi="Calibri" w:cs="Calibri"/>
                <w:color w:val="000000"/>
              </w:rPr>
              <w:t>0.23 (0.11, 0.33)</w:t>
            </w:r>
          </w:p>
        </w:tc>
      </w:tr>
      <w:tr w:rsidR="00696563" w:rsidRPr="008A1950" w14:paraId="168700D2" w14:textId="77777777" w:rsidTr="00045A01">
        <w:trPr>
          <w:trHeight w:val="288"/>
        </w:trPr>
        <w:tc>
          <w:tcPr>
            <w:tcW w:w="2245" w:type="dxa"/>
            <w:noWrap/>
          </w:tcPr>
          <w:p w14:paraId="1D5AAB3A" w14:textId="43CB62BD" w:rsidR="00696563" w:rsidRPr="0088321D" w:rsidRDefault="00696563" w:rsidP="00696563">
            <w:pPr>
              <w:rPr>
                <w:b/>
                <w:bCs/>
              </w:rPr>
            </w:pPr>
            <w:r>
              <w:rPr>
                <w:b/>
                <w:bCs/>
              </w:rPr>
              <w:t>Precision (</w:t>
            </w:r>
            <w:r>
              <w:rPr>
                <w:rFonts w:cstheme="minorHAnsi"/>
                <w:b/>
                <w:bCs/>
              </w:rPr>
              <w:t>φ</w:t>
            </w:r>
            <w:r>
              <w:rPr>
                <w:b/>
                <w:bCs/>
              </w:rPr>
              <w:t>)</w:t>
            </w:r>
          </w:p>
        </w:tc>
        <w:tc>
          <w:tcPr>
            <w:tcW w:w="2160" w:type="dxa"/>
            <w:noWrap/>
            <w:hideMark/>
          </w:tcPr>
          <w:p w14:paraId="3A6790A9" w14:textId="2F4B2B04" w:rsidR="00696563" w:rsidRPr="008A1950" w:rsidRDefault="00696563" w:rsidP="00696563">
            <w:r>
              <w:rPr>
                <w:rFonts w:ascii="Calibri" w:hAnsi="Calibri" w:cs="Calibri"/>
                <w:color w:val="000000"/>
              </w:rPr>
              <w:t>0.15 (0, 0.32)</w:t>
            </w:r>
          </w:p>
        </w:tc>
        <w:tc>
          <w:tcPr>
            <w:tcW w:w="2070" w:type="dxa"/>
            <w:noWrap/>
            <w:hideMark/>
          </w:tcPr>
          <w:p w14:paraId="32256CE6" w14:textId="21B7111B" w:rsidR="00696563" w:rsidRPr="008A1950" w:rsidRDefault="00696563" w:rsidP="00696563">
            <w:r>
              <w:rPr>
                <w:rFonts w:ascii="Calibri" w:hAnsi="Calibri" w:cs="Calibri"/>
                <w:color w:val="000000"/>
              </w:rPr>
              <w:t>0.04 (0, 0.12)</w:t>
            </w:r>
          </w:p>
        </w:tc>
        <w:tc>
          <w:tcPr>
            <w:tcW w:w="2250" w:type="dxa"/>
            <w:noWrap/>
            <w:hideMark/>
          </w:tcPr>
          <w:p w14:paraId="60CF94A9" w14:textId="3C437905" w:rsidR="00696563" w:rsidRPr="008A1950" w:rsidRDefault="00696563" w:rsidP="00696563">
            <w:r>
              <w:rPr>
                <w:rFonts w:ascii="Calibri" w:hAnsi="Calibri" w:cs="Calibri"/>
                <w:color w:val="000000"/>
              </w:rPr>
              <w:t>0.05 (0, 0.14)</w:t>
            </w:r>
          </w:p>
        </w:tc>
      </w:tr>
    </w:tbl>
    <w:p w14:paraId="16914A45" w14:textId="1BA429F4" w:rsidR="007927CC" w:rsidRDefault="00FA090D" w:rsidP="00FA090D">
      <w:pPr>
        <w:pStyle w:val="Caption"/>
      </w:pPr>
      <w:r>
        <w:t xml:space="preserve">Table </w:t>
      </w:r>
      <w:fldSimple w:instr=" SEQ Table \* ARABIC ">
        <w:r w:rsidR="00696563">
          <w:rPr>
            <w:noProof/>
          </w:rPr>
          <w:t>4</w:t>
        </w:r>
      </w:fldSimple>
      <w:r>
        <w:t>: Posterior parameter values for the fine woody debris diameters model. Posterior median values for each parameter are given alongside a</w:t>
      </w:r>
      <w:r w:rsidR="00696563">
        <w:t>n 89</w:t>
      </w:r>
      <w:r>
        <w:t>% credible interval in parentheses.</w:t>
      </w:r>
    </w:p>
    <w:tbl>
      <w:tblPr>
        <w:tblStyle w:val="TableGrid"/>
        <w:tblW w:w="0" w:type="auto"/>
        <w:tblLook w:val="04A0" w:firstRow="1" w:lastRow="0" w:firstColumn="1" w:lastColumn="0" w:noHBand="0" w:noVBand="1"/>
      </w:tblPr>
      <w:tblGrid>
        <w:gridCol w:w="2245"/>
        <w:gridCol w:w="2160"/>
        <w:gridCol w:w="2070"/>
        <w:gridCol w:w="2250"/>
      </w:tblGrid>
      <w:tr w:rsidR="00C660B7" w:rsidRPr="0088321D" w14:paraId="17B73562" w14:textId="77777777" w:rsidTr="00031BB2">
        <w:trPr>
          <w:trHeight w:val="288"/>
        </w:trPr>
        <w:tc>
          <w:tcPr>
            <w:tcW w:w="2245" w:type="dxa"/>
            <w:noWrap/>
            <w:hideMark/>
          </w:tcPr>
          <w:p w14:paraId="24F89D9A" w14:textId="77777777" w:rsidR="00C660B7" w:rsidRPr="0088321D" w:rsidRDefault="00C660B7" w:rsidP="00031BB2">
            <w:pPr>
              <w:rPr>
                <w:b/>
                <w:bCs/>
              </w:rPr>
            </w:pPr>
            <w:r w:rsidRPr="0088321D">
              <w:rPr>
                <w:b/>
                <w:bCs/>
              </w:rPr>
              <w:t>Parameter</w:t>
            </w:r>
          </w:p>
        </w:tc>
        <w:tc>
          <w:tcPr>
            <w:tcW w:w="2160" w:type="dxa"/>
            <w:noWrap/>
            <w:hideMark/>
          </w:tcPr>
          <w:p w14:paraId="70C2D92F" w14:textId="77777777" w:rsidR="00C660B7" w:rsidRPr="0088321D" w:rsidRDefault="00C660B7" w:rsidP="00031BB2">
            <w:pPr>
              <w:rPr>
                <w:b/>
                <w:bCs/>
              </w:rPr>
            </w:pPr>
            <w:r w:rsidRPr="0088321D">
              <w:rPr>
                <w:b/>
                <w:bCs/>
              </w:rPr>
              <w:t>Low drought mortality</w:t>
            </w:r>
          </w:p>
        </w:tc>
        <w:tc>
          <w:tcPr>
            <w:tcW w:w="2070" w:type="dxa"/>
            <w:noWrap/>
            <w:hideMark/>
          </w:tcPr>
          <w:p w14:paraId="7E12E1C6" w14:textId="77777777" w:rsidR="00C660B7" w:rsidRPr="0088321D" w:rsidRDefault="00C660B7" w:rsidP="00031BB2">
            <w:pPr>
              <w:rPr>
                <w:b/>
                <w:bCs/>
              </w:rPr>
            </w:pPr>
            <w:r w:rsidRPr="0088321D">
              <w:rPr>
                <w:b/>
                <w:bCs/>
              </w:rPr>
              <w:t>Medium drought mortality</w:t>
            </w:r>
          </w:p>
        </w:tc>
        <w:tc>
          <w:tcPr>
            <w:tcW w:w="2250" w:type="dxa"/>
            <w:noWrap/>
            <w:hideMark/>
          </w:tcPr>
          <w:p w14:paraId="356C52F4" w14:textId="77777777" w:rsidR="00C660B7" w:rsidRPr="0088321D" w:rsidRDefault="00C660B7" w:rsidP="00031BB2">
            <w:pPr>
              <w:rPr>
                <w:b/>
                <w:bCs/>
              </w:rPr>
            </w:pPr>
            <w:r w:rsidRPr="0088321D">
              <w:rPr>
                <w:b/>
                <w:bCs/>
              </w:rPr>
              <w:t>High drought mortality</w:t>
            </w:r>
          </w:p>
        </w:tc>
      </w:tr>
      <w:tr w:rsidR="00696563" w:rsidRPr="008A1950" w14:paraId="27E701C1" w14:textId="77777777" w:rsidTr="00394E67">
        <w:trPr>
          <w:trHeight w:val="288"/>
        </w:trPr>
        <w:tc>
          <w:tcPr>
            <w:tcW w:w="2245" w:type="dxa"/>
            <w:noWrap/>
            <w:hideMark/>
          </w:tcPr>
          <w:p w14:paraId="6A87A2CD" w14:textId="77777777" w:rsidR="00696563" w:rsidRPr="0088321D" w:rsidRDefault="00696563" w:rsidP="00696563">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707D8722" w14:textId="5737F968" w:rsidR="00696563" w:rsidRPr="008A1950" w:rsidRDefault="00696563" w:rsidP="00696563">
            <w:r>
              <w:rPr>
                <w:rFonts w:ascii="Calibri" w:hAnsi="Calibri" w:cs="Calibri"/>
                <w:color w:val="000000"/>
              </w:rPr>
              <w:t>-1.76 (-2.12, -1.4)</w:t>
            </w:r>
          </w:p>
        </w:tc>
        <w:tc>
          <w:tcPr>
            <w:tcW w:w="2070" w:type="dxa"/>
            <w:noWrap/>
            <w:vAlign w:val="bottom"/>
            <w:hideMark/>
          </w:tcPr>
          <w:p w14:paraId="1AB61C70" w14:textId="4515F2C4" w:rsidR="00696563" w:rsidRPr="008A1950" w:rsidRDefault="00696563" w:rsidP="00696563">
            <w:r>
              <w:rPr>
                <w:rFonts w:ascii="Calibri" w:hAnsi="Calibri" w:cs="Calibri"/>
                <w:color w:val="000000"/>
              </w:rPr>
              <w:t>-1.71 (-2.04, -1.37)</w:t>
            </w:r>
          </w:p>
        </w:tc>
        <w:tc>
          <w:tcPr>
            <w:tcW w:w="2250" w:type="dxa"/>
            <w:noWrap/>
            <w:vAlign w:val="bottom"/>
            <w:hideMark/>
          </w:tcPr>
          <w:p w14:paraId="576DBC8B" w14:textId="3CFF9755" w:rsidR="00696563" w:rsidRPr="008A1950" w:rsidRDefault="00696563" w:rsidP="00696563">
            <w:r>
              <w:rPr>
                <w:rFonts w:ascii="Calibri" w:hAnsi="Calibri" w:cs="Calibri"/>
                <w:color w:val="000000"/>
              </w:rPr>
              <w:t>-1.57 (-2.08, -1.01)</w:t>
            </w:r>
          </w:p>
        </w:tc>
      </w:tr>
      <w:tr w:rsidR="00696563" w:rsidRPr="008A1950" w14:paraId="6A08BE5B" w14:textId="77777777" w:rsidTr="00394E67">
        <w:trPr>
          <w:trHeight w:val="288"/>
        </w:trPr>
        <w:tc>
          <w:tcPr>
            <w:tcW w:w="2245" w:type="dxa"/>
            <w:noWrap/>
            <w:hideMark/>
          </w:tcPr>
          <w:p w14:paraId="643B1A1C" w14:textId="77777777" w:rsidR="00696563" w:rsidRPr="0088321D" w:rsidRDefault="00696563" w:rsidP="00696563">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4A658B93" w14:textId="00F4651B" w:rsidR="00696563" w:rsidRPr="008A1950" w:rsidRDefault="00696563" w:rsidP="00696563">
            <w:r>
              <w:rPr>
                <w:rFonts w:ascii="Calibri" w:hAnsi="Calibri" w:cs="Calibri"/>
                <w:color w:val="000000"/>
              </w:rPr>
              <w:t>0.6 (0.35, 0.88)</w:t>
            </w:r>
          </w:p>
        </w:tc>
        <w:tc>
          <w:tcPr>
            <w:tcW w:w="2070" w:type="dxa"/>
            <w:noWrap/>
            <w:vAlign w:val="bottom"/>
            <w:hideMark/>
          </w:tcPr>
          <w:p w14:paraId="34A8535B" w14:textId="741E47A8" w:rsidR="00696563" w:rsidRPr="008A1950" w:rsidRDefault="00696563" w:rsidP="00696563">
            <w:r>
              <w:rPr>
                <w:rFonts w:ascii="Calibri" w:hAnsi="Calibri" w:cs="Calibri"/>
                <w:color w:val="000000"/>
              </w:rPr>
              <w:t>0.64 (0.43, 0.85)</w:t>
            </w:r>
          </w:p>
        </w:tc>
        <w:tc>
          <w:tcPr>
            <w:tcW w:w="2250" w:type="dxa"/>
            <w:noWrap/>
            <w:vAlign w:val="bottom"/>
            <w:hideMark/>
          </w:tcPr>
          <w:p w14:paraId="38929271" w14:textId="22823F95" w:rsidR="00696563" w:rsidRPr="008A1950" w:rsidRDefault="00696563" w:rsidP="00696563">
            <w:r>
              <w:rPr>
                <w:rFonts w:ascii="Calibri" w:hAnsi="Calibri" w:cs="Calibri"/>
                <w:color w:val="000000"/>
              </w:rPr>
              <w:t>0.96 (0.65, 1.29)</w:t>
            </w:r>
          </w:p>
        </w:tc>
      </w:tr>
      <w:tr w:rsidR="00696563" w:rsidRPr="008A1950" w14:paraId="2E316F9C" w14:textId="77777777" w:rsidTr="00394E67">
        <w:trPr>
          <w:trHeight w:val="288"/>
        </w:trPr>
        <w:tc>
          <w:tcPr>
            <w:tcW w:w="2245" w:type="dxa"/>
            <w:noWrap/>
            <w:hideMark/>
          </w:tcPr>
          <w:p w14:paraId="6C7BA9EF" w14:textId="77777777" w:rsidR="00696563" w:rsidRPr="0088321D" w:rsidRDefault="00696563" w:rsidP="00696563">
            <w:pPr>
              <w:rPr>
                <w:b/>
                <w:bCs/>
              </w:rPr>
            </w:pPr>
            <w:r w:rsidRPr="0088321D">
              <w:rPr>
                <w:b/>
                <w:bCs/>
              </w:rPr>
              <w:t>GP length-scale</w:t>
            </w:r>
            <w:r>
              <w:rPr>
                <w:b/>
                <w:bCs/>
              </w:rPr>
              <w:t xml:space="preserve"> (</w:t>
            </w:r>
            <w:r>
              <w:rPr>
                <w:rFonts w:cstheme="minorHAnsi"/>
                <w:b/>
                <w:bCs/>
              </w:rPr>
              <w:t>ρ</w:t>
            </w:r>
            <w:r>
              <w:rPr>
                <w:b/>
                <w:bCs/>
              </w:rPr>
              <w:t>)</w:t>
            </w:r>
          </w:p>
        </w:tc>
        <w:tc>
          <w:tcPr>
            <w:tcW w:w="2160" w:type="dxa"/>
            <w:noWrap/>
            <w:vAlign w:val="bottom"/>
            <w:hideMark/>
          </w:tcPr>
          <w:p w14:paraId="5F331FD9" w14:textId="6E2F1123" w:rsidR="00696563" w:rsidRPr="008A1950" w:rsidRDefault="00696563" w:rsidP="00696563">
            <w:r>
              <w:rPr>
                <w:rFonts w:ascii="Calibri" w:hAnsi="Calibri" w:cs="Calibri"/>
                <w:color w:val="000000"/>
              </w:rPr>
              <w:t>7.48 (3.52, 12.37)</w:t>
            </w:r>
          </w:p>
        </w:tc>
        <w:tc>
          <w:tcPr>
            <w:tcW w:w="2070" w:type="dxa"/>
            <w:noWrap/>
            <w:vAlign w:val="bottom"/>
            <w:hideMark/>
          </w:tcPr>
          <w:p w14:paraId="4759A292" w14:textId="17B9A5CB" w:rsidR="00696563" w:rsidRPr="008A1950" w:rsidRDefault="00696563" w:rsidP="00696563">
            <w:r>
              <w:rPr>
                <w:rFonts w:ascii="Calibri" w:hAnsi="Calibri" w:cs="Calibri"/>
                <w:color w:val="000000"/>
              </w:rPr>
              <w:t>6.19 (3.26, 10.75)</w:t>
            </w:r>
          </w:p>
        </w:tc>
        <w:tc>
          <w:tcPr>
            <w:tcW w:w="2250" w:type="dxa"/>
            <w:noWrap/>
            <w:vAlign w:val="bottom"/>
            <w:hideMark/>
          </w:tcPr>
          <w:p w14:paraId="54BE939A" w14:textId="2C48FCBB" w:rsidR="00696563" w:rsidRPr="008A1950" w:rsidRDefault="00696563" w:rsidP="00696563">
            <w:r>
              <w:rPr>
                <w:rFonts w:ascii="Calibri" w:hAnsi="Calibri" w:cs="Calibri"/>
                <w:color w:val="000000"/>
              </w:rPr>
              <w:t>13.19 (7.54, 20.95)</w:t>
            </w:r>
          </w:p>
        </w:tc>
      </w:tr>
      <w:tr w:rsidR="00696563" w:rsidRPr="008A1950" w14:paraId="43F05F55" w14:textId="77777777" w:rsidTr="00394E67">
        <w:trPr>
          <w:trHeight w:val="288"/>
        </w:trPr>
        <w:tc>
          <w:tcPr>
            <w:tcW w:w="2245" w:type="dxa"/>
            <w:noWrap/>
          </w:tcPr>
          <w:p w14:paraId="39938665" w14:textId="121E7C8E" w:rsidR="00696563" w:rsidRPr="0088321D" w:rsidRDefault="00696563" w:rsidP="00696563">
            <w:pPr>
              <w:rPr>
                <w:b/>
                <w:bCs/>
              </w:rPr>
            </w:pPr>
            <w:r>
              <w:rPr>
                <w:b/>
                <w:bCs/>
              </w:rPr>
              <w:t>Plot effect</w:t>
            </w:r>
            <w:r w:rsidRPr="0088321D">
              <w:rPr>
                <w:b/>
                <w:bCs/>
              </w:rPr>
              <w:t xml:space="preserve"> SD</w:t>
            </w:r>
            <w:r>
              <w:rPr>
                <w:b/>
                <w:bCs/>
              </w:rPr>
              <w:t xml:space="preserve"> (</w:t>
            </w:r>
            <w:proofErr w:type="spellStart"/>
            <w:r>
              <w:rPr>
                <w:rFonts w:cstheme="minorHAnsi"/>
                <w:b/>
                <w:bCs/>
              </w:rPr>
              <w:t>σ</w:t>
            </w:r>
            <w:r>
              <w:rPr>
                <w:rFonts w:cstheme="minorHAnsi"/>
                <w:b/>
                <w:bCs/>
                <w:vertAlign w:val="superscript"/>
              </w:rPr>
              <w:t>PLOT</w:t>
            </w:r>
            <w:proofErr w:type="spellEnd"/>
            <w:r>
              <w:rPr>
                <w:b/>
                <w:bCs/>
              </w:rPr>
              <w:t>)</w:t>
            </w:r>
          </w:p>
        </w:tc>
        <w:tc>
          <w:tcPr>
            <w:tcW w:w="2160" w:type="dxa"/>
            <w:noWrap/>
            <w:vAlign w:val="bottom"/>
            <w:hideMark/>
          </w:tcPr>
          <w:p w14:paraId="6B97988C" w14:textId="3568FD40" w:rsidR="00696563" w:rsidRPr="008A1950" w:rsidRDefault="00696563" w:rsidP="00696563">
            <w:r>
              <w:rPr>
                <w:rFonts w:ascii="Calibri" w:hAnsi="Calibri" w:cs="Calibri"/>
                <w:color w:val="000000"/>
              </w:rPr>
              <w:t>0.26 (0, 0.62)</w:t>
            </w:r>
          </w:p>
        </w:tc>
        <w:tc>
          <w:tcPr>
            <w:tcW w:w="2070" w:type="dxa"/>
            <w:noWrap/>
            <w:vAlign w:val="bottom"/>
            <w:hideMark/>
          </w:tcPr>
          <w:p w14:paraId="31C4141E" w14:textId="797A7573" w:rsidR="00696563" w:rsidRPr="008A1950" w:rsidRDefault="00696563" w:rsidP="00696563">
            <w:r>
              <w:rPr>
                <w:rFonts w:ascii="Calibri" w:hAnsi="Calibri" w:cs="Calibri"/>
                <w:color w:val="000000"/>
              </w:rPr>
              <w:t>0.24 (0, 0.59)</w:t>
            </w:r>
          </w:p>
        </w:tc>
        <w:tc>
          <w:tcPr>
            <w:tcW w:w="2250" w:type="dxa"/>
            <w:noWrap/>
            <w:vAlign w:val="bottom"/>
            <w:hideMark/>
          </w:tcPr>
          <w:p w14:paraId="4A44940C" w14:textId="06FDD4EE" w:rsidR="00696563" w:rsidRPr="008A1950" w:rsidRDefault="00696563" w:rsidP="00696563">
            <w:r>
              <w:rPr>
                <w:rFonts w:ascii="Calibri" w:hAnsi="Calibri" w:cs="Calibri"/>
                <w:color w:val="000000"/>
              </w:rPr>
              <w:t>0.43 (0, 0.89)</w:t>
            </w:r>
          </w:p>
        </w:tc>
      </w:tr>
      <w:tr w:rsidR="00696563" w:rsidRPr="008A1950" w14:paraId="70ACB4A7" w14:textId="77777777" w:rsidTr="00394E67">
        <w:trPr>
          <w:trHeight w:val="288"/>
        </w:trPr>
        <w:tc>
          <w:tcPr>
            <w:tcW w:w="2245" w:type="dxa"/>
            <w:noWrap/>
          </w:tcPr>
          <w:p w14:paraId="77862AF3" w14:textId="6AB85D9C" w:rsidR="00696563" w:rsidRPr="0088321D" w:rsidRDefault="00696563" w:rsidP="00696563">
            <w:pPr>
              <w:rPr>
                <w:b/>
                <w:bCs/>
              </w:rPr>
            </w:pPr>
            <w:r>
              <w:rPr>
                <w:b/>
                <w:bCs/>
              </w:rPr>
              <w:t>Transect effect</w:t>
            </w:r>
            <w:r w:rsidRPr="0088321D">
              <w:rPr>
                <w:b/>
                <w:bCs/>
              </w:rPr>
              <w:t xml:space="preserve"> SD</w:t>
            </w:r>
            <w:r>
              <w:rPr>
                <w:b/>
                <w:bCs/>
              </w:rPr>
              <w:t xml:space="preserve"> (</w:t>
            </w:r>
            <w:proofErr w:type="spellStart"/>
            <w:r>
              <w:rPr>
                <w:rFonts w:cstheme="minorHAnsi"/>
                <w:b/>
                <w:bCs/>
              </w:rPr>
              <w:t>σ</w:t>
            </w:r>
            <w:r>
              <w:rPr>
                <w:rFonts w:cstheme="minorHAnsi"/>
                <w:b/>
                <w:bCs/>
                <w:vertAlign w:val="superscript"/>
              </w:rPr>
              <w:t>TRANSECT</w:t>
            </w:r>
            <w:proofErr w:type="spellEnd"/>
            <w:r>
              <w:rPr>
                <w:b/>
                <w:bCs/>
              </w:rPr>
              <w:t>)</w:t>
            </w:r>
          </w:p>
        </w:tc>
        <w:tc>
          <w:tcPr>
            <w:tcW w:w="2160" w:type="dxa"/>
            <w:noWrap/>
            <w:vAlign w:val="bottom"/>
            <w:hideMark/>
          </w:tcPr>
          <w:p w14:paraId="712A9BC5" w14:textId="3A1D91D1" w:rsidR="00696563" w:rsidRPr="008A1950" w:rsidRDefault="00696563" w:rsidP="00696563">
            <w:r>
              <w:rPr>
                <w:rFonts w:ascii="Calibri" w:hAnsi="Calibri" w:cs="Calibri"/>
                <w:color w:val="000000"/>
              </w:rPr>
              <w:t>0.26 (0, 0.53)</w:t>
            </w:r>
          </w:p>
        </w:tc>
        <w:tc>
          <w:tcPr>
            <w:tcW w:w="2070" w:type="dxa"/>
            <w:noWrap/>
            <w:vAlign w:val="bottom"/>
            <w:hideMark/>
          </w:tcPr>
          <w:p w14:paraId="0AA6B933" w14:textId="290D34B8" w:rsidR="00696563" w:rsidRPr="008A1950" w:rsidRDefault="00696563" w:rsidP="00696563">
            <w:r>
              <w:rPr>
                <w:rFonts w:ascii="Calibri" w:hAnsi="Calibri" w:cs="Calibri"/>
                <w:color w:val="000000"/>
              </w:rPr>
              <w:t>0.18 (0, 0.4)</w:t>
            </w:r>
          </w:p>
        </w:tc>
        <w:tc>
          <w:tcPr>
            <w:tcW w:w="2250" w:type="dxa"/>
            <w:noWrap/>
            <w:vAlign w:val="bottom"/>
            <w:hideMark/>
          </w:tcPr>
          <w:p w14:paraId="391B8AE8" w14:textId="3C3362B1" w:rsidR="00696563" w:rsidRPr="008A1950" w:rsidRDefault="00696563" w:rsidP="00696563">
            <w:pPr>
              <w:keepNext/>
            </w:pPr>
            <w:r>
              <w:rPr>
                <w:rFonts w:ascii="Calibri" w:hAnsi="Calibri" w:cs="Calibri"/>
                <w:color w:val="000000"/>
              </w:rPr>
              <w:t>0.16 (0, 0.42)</w:t>
            </w:r>
          </w:p>
        </w:tc>
      </w:tr>
    </w:tbl>
    <w:p w14:paraId="2CB2F180" w14:textId="2B66A906" w:rsidR="000E6A61" w:rsidRDefault="000E6A61">
      <w:pPr>
        <w:pStyle w:val="Caption"/>
      </w:pPr>
      <w:r>
        <w:t xml:space="preserve">Table </w:t>
      </w:r>
      <w:fldSimple w:instr=" SEQ Table \* ARABIC ">
        <w:r w:rsidR="00696563">
          <w:rPr>
            <w:noProof/>
          </w:rPr>
          <w:t>5</w:t>
        </w:r>
      </w:fldSimple>
      <w:r>
        <w:t>: Posterior parameter values for the coarse woody debris tallies model. Posterior median values for each parameter are given alongside a</w:t>
      </w:r>
      <w:r w:rsidR="00696563">
        <w:t>n 89</w:t>
      </w:r>
      <w:r>
        <w:t xml:space="preserve">% credible interval in parentheses. </w:t>
      </w:r>
    </w:p>
    <w:tbl>
      <w:tblPr>
        <w:tblStyle w:val="TableGrid"/>
        <w:tblW w:w="0" w:type="auto"/>
        <w:tblLook w:val="04A0" w:firstRow="1" w:lastRow="0" w:firstColumn="1" w:lastColumn="0" w:noHBand="0" w:noVBand="1"/>
      </w:tblPr>
      <w:tblGrid>
        <w:gridCol w:w="2245"/>
        <w:gridCol w:w="2160"/>
        <w:gridCol w:w="2070"/>
        <w:gridCol w:w="2250"/>
      </w:tblGrid>
      <w:tr w:rsidR="00831CA6" w:rsidRPr="0088321D" w14:paraId="6A0CF145" w14:textId="77777777" w:rsidTr="003B17A4">
        <w:trPr>
          <w:trHeight w:val="288"/>
        </w:trPr>
        <w:tc>
          <w:tcPr>
            <w:tcW w:w="2245" w:type="dxa"/>
            <w:noWrap/>
            <w:hideMark/>
          </w:tcPr>
          <w:p w14:paraId="74741066" w14:textId="77777777" w:rsidR="00831CA6" w:rsidRPr="0088321D" w:rsidRDefault="00831CA6" w:rsidP="003B17A4">
            <w:pPr>
              <w:rPr>
                <w:b/>
                <w:bCs/>
              </w:rPr>
            </w:pPr>
            <w:r w:rsidRPr="0088321D">
              <w:rPr>
                <w:b/>
                <w:bCs/>
              </w:rPr>
              <w:t>Parameter</w:t>
            </w:r>
          </w:p>
        </w:tc>
        <w:tc>
          <w:tcPr>
            <w:tcW w:w="2160" w:type="dxa"/>
            <w:noWrap/>
            <w:hideMark/>
          </w:tcPr>
          <w:p w14:paraId="23A600AF" w14:textId="77777777" w:rsidR="00831CA6" w:rsidRPr="0088321D" w:rsidRDefault="00831CA6" w:rsidP="003B17A4">
            <w:pPr>
              <w:rPr>
                <w:b/>
                <w:bCs/>
              </w:rPr>
            </w:pPr>
            <w:r w:rsidRPr="0088321D">
              <w:rPr>
                <w:b/>
                <w:bCs/>
              </w:rPr>
              <w:t>Low drought mortality</w:t>
            </w:r>
          </w:p>
        </w:tc>
        <w:tc>
          <w:tcPr>
            <w:tcW w:w="2070" w:type="dxa"/>
            <w:noWrap/>
            <w:hideMark/>
          </w:tcPr>
          <w:p w14:paraId="3274F525" w14:textId="77777777" w:rsidR="00831CA6" w:rsidRPr="0088321D" w:rsidRDefault="00831CA6" w:rsidP="003B17A4">
            <w:pPr>
              <w:rPr>
                <w:b/>
                <w:bCs/>
              </w:rPr>
            </w:pPr>
            <w:r w:rsidRPr="0088321D">
              <w:rPr>
                <w:b/>
                <w:bCs/>
              </w:rPr>
              <w:t>Medium drought mortality</w:t>
            </w:r>
          </w:p>
        </w:tc>
        <w:tc>
          <w:tcPr>
            <w:tcW w:w="2250" w:type="dxa"/>
            <w:noWrap/>
            <w:hideMark/>
          </w:tcPr>
          <w:p w14:paraId="4BED4F6D" w14:textId="77777777" w:rsidR="00831CA6" w:rsidRPr="0088321D" w:rsidRDefault="00831CA6" w:rsidP="003B17A4">
            <w:pPr>
              <w:rPr>
                <w:b/>
                <w:bCs/>
              </w:rPr>
            </w:pPr>
            <w:r w:rsidRPr="0088321D">
              <w:rPr>
                <w:b/>
                <w:bCs/>
              </w:rPr>
              <w:t>High drought mortality</w:t>
            </w:r>
          </w:p>
        </w:tc>
      </w:tr>
      <w:tr w:rsidR="00696563" w:rsidRPr="008A1950" w14:paraId="58CB962B" w14:textId="77777777" w:rsidTr="00791AD4">
        <w:trPr>
          <w:trHeight w:val="288"/>
        </w:trPr>
        <w:tc>
          <w:tcPr>
            <w:tcW w:w="2245" w:type="dxa"/>
            <w:noWrap/>
            <w:hideMark/>
          </w:tcPr>
          <w:p w14:paraId="0D90DAC2" w14:textId="5A13787A" w:rsidR="00696563" w:rsidRPr="0088321D" w:rsidRDefault="00696563" w:rsidP="00696563">
            <w:pPr>
              <w:rPr>
                <w:b/>
                <w:bCs/>
              </w:rPr>
            </w:pPr>
            <w:r>
              <w:rPr>
                <w:b/>
                <w:bCs/>
              </w:rPr>
              <w:t>Mean (</w:t>
            </w:r>
            <w:r>
              <w:rPr>
                <w:rFonts w:cstheme="minorHAnsi"/>
                <w:b/>
                <w:bCs/>
              </w:rPr>
              <w:t>μ</w:t>
            </w:r>
            <w:r>
              <w:rPr>
                <w:b/>
                <w:bCs/>
              </w:rPr>
              <w:t>)</w:t>
            </w:r>
          </w:p>
        </w:tc>
        <w:tc>
          <w:tcPr>
            <w:tcW w:w="2160" w:type="dxa"/>
            <w:noWrap/>
            <w:vAlign w:val="bottom"/>
            <w:hideMark/>
          </w:tcPr>
          <w:p w14:paraId="0924ED2B" w14:textId="5543485A" w:rsidR="00696563" w:rsidRPr="008A1950" w:rsidRDefault="00696563" w:rsidP="00696563">
            <w:r>
              <w:rPr>
                <w:rFonts w:ascii="Calibri" w:hAnsi="Calibri" w:cs="Calibri"/>
                <w:color w:val="000000"/>
              </w:rPr>
              <w:t>24.58 (20.44, 28.62)</w:t>
            </w:r>
          </w:p>
        </w:tc>
        <w:tc>
          <w:tcPr>
            <w:tcW w:w="2070" w:type="dxa"/>
            <w:noWrap/>
            <w:vAlign w:val="bottom"/>
            <w:hideMark/>
          </w:tcPr>
          <w:p w14:paraId="68AB2FEF" w14:textId="3477882A" w:rsidR="00696563" w:rsidRPr="008A1950" w:rsidRDefault="00696563" w:rsidP="00696563">
            <w:r>
              <w:rPr>
                <w:rFonts w:ascii="Calibri" w:hAnsi="Calibri" w:cs="Calibri"/>
                <w:color w:val="000000"/>
              </w:rPr>
              <w:t>18.51 (14.82, 22.32)</w:t>
            </w:r>
          </w:p>
        </w:tc>
        <w:tc>
          <w:tcPr>
            <w:tcW w:w="2250" w:type="dxa"/>
            <w:noWrap/>
            <w:vAlign w:val="bottom"/>
            <w:hideMark/>
          </w:tcPr>
          <w:p w14:paraId="0A5ACF33" w14:textId="2FC520C6" w:rsidR="00696563" w:rsidRPr="008A1950" w:rsidRDefault="00696563" w:rsidP="00696563">
            <w:r>
              <w:rPr>
                <w:rFonts w:ascii="Calibri" w:hAnsi="Calibri" w:cs="Calibri"/>
                <w:color w:val="000000"/>
              </w:rPr>
              <w:t>19.19 (16.11, 22.6)</w:t>
            </w:r>
          </w:p>
        </w:tc>
      </w:tr>
      <w:tr w:rsidR="00696563" w:rsidRPr="008A1950" w14:paraId="6B1351FD" w14:textId="77777777" w:rsidTr="00791AD4">
        <w:trPr>
          <w:trHeight w:val="288"/>
        </w:trPr>
        <w:tc>
          <w:tcPr>
            <w:tcW w:w="2245" w:type="dxa"/>
            <w:noWrap/>
            <w:hideMark/>
          </w:tcPr>
          <w:p w14:paraId="154CC3C5" w14:textId="5E28C9F0" w:rsidR="00696563" w:rsidRPr="0088321D" w:rsidRDefault="00696563" w:rsidP="00696563">
            <w:pPr>
              <w:rPr>
                <w:b/>
                <w:bCs/>
              </w:rPr>
            </w:pPr>
            <w:r>
              <w:rPr>
                <w:b/>
                <w:bCs/>
              </w:rPr>
              <w:t>Precision (</w:t>
            </w:r>
            <w:r>
              <w:rPr>
                <w:rFonts w:cstheme="minorHAnsi"/>
                <w:b/>
                <w:bCs/>
              </w:rPr>
              <w:t>φ</w:t>
            </w:r>
            <w:r>
              <w:rPr>
                <w:b/>
                <w:bCs/>
              </w:rPr>
              <w:t>)</w:t>
            </w:r>
          </w:p>
        </w:tc>
        <w:tc>
          <w:tcPr>
            <w:tcW w:w="2160" w:type="dxa"/>
            <w:noWrap/>
            <w:vAlign w:val="bottom"/>
            <w:hideMark/>
          </w:tcPr>
          <w:p w14:paraId="3CFF0F5E" w14:textId="3461C0FF" w:rsidR="00696563" w:rsidRPr="008A1950" w:rsidRDefault="00696563" w:rsidP="00696563">
            <w:r>
              <w:rPr>
                <w:rFonts w:ascii="Calibri" w:hAnsi="Calibri" w:cs="Calibri"/>
                <w:color w:val="000000"/>
              </w:rPr>
              <w:t>0.16 (0, 0.45)</w:t>
            </w:r>
          </w:p>
        </w:tc>
        <w:tc>
          <w:tcPr>
            <w:tcW w:w="2070" w:type="dxa"/>
            <w:noWrap/>
            <w:vAlign w:val="bottom"/>
            <w:hideMark/>
          </w:tcPr>
          <w:p w14:paraId="1FFD68D6" w14:textId="1C636BCE" w:rsidR="00696563" w:rsidRPr="008A1950" w:rsidRDefault="00696563" w:rsidP="00696563">
            <w:r>
              <w:rPr>
                <w:rFonts w:ascii="Calibri" w:hAnsi="Calibri" w:cs="Calibri"/>
                <w:color w:val="000000"/>
              </w:rPr>
              <w:t>0.11 (0, 0.31)</w:t>
            </w:r>
          </w:p>
        </w:tc>
        <w:tc>
          <w:tcPr>
            <w:tcW w:w="2250" w:type="dxa"/>
            <w:noWrap/>
            <w:vAlign w:val="bottom"/>
            <w:hideMark/>
          </w:tcPr>
          <w:p w14:paraId="57AB8B7E" w14:textId="797B3B24" w:rsidR="00696563" w:rsidRPr="008A1950" w:rsidRDefault="00696563" w:rsidP="00696563">
            <w:pPr>
              <w:keepNext/>
            </w:pPr>
            <w:r>
              <w:rPr>
                <w:rFonts w:ascii="Calibri" w:hAnsi="Calibri" w:cs="Calibri"/>
                <w:color w:val="000000"/>
              </w:rPr>
              <w:t>0.46 (0, 1.04)</w:t>
            </w:r>
          </w:p>
        </w:tc>
      </w:tr>
    </w:tbl>
    <w:p w14:paraId="215498AD" w14:textId="5472DBCB" w:rsidR="00383BDF" w:rsidRDefault="00383BDF">
      <w:pPr>
        <w:pStyle w:val="Caption"/>
      </w:pPr>
      <w:r>
        <w:t xml:space="preserve">Table </w:t>
      </w:r>
      <w:fldSimple w:instr=" SEQ Table \* ARABIC ">
        <w:r w:rsidR="00696563">
          <w:rPr>
            <w:noProof/>
          </w:rPr>
          <w:t>6</w:t>
        </w:r>
      </w:fldSimple>
      <w:r>
        <w:t>: Posterior parameter values for the coarse woody debris diameters model. Posterior median values for each parameter are given alongside a</w:t>
      </w:r>
      <w:r w:rsidR="00696563">
        <w:t>n 89</w:t>
      </w:r>
      <w:r>
        <w:t>% credible interval in parentheses.</w:t>
      </w:r>
    </w:p>
    <w:tbl>
      <w:tblPr>
        <w:tblStyle w:val="TableGrid"/>
        <w:tblW w:w="0" w:type="auto"/>
        <w:tblLook w:val="04A0" w:firstRow="1" w:lastRow="0" w:firstColumn="1" w:lastColumn="0" w:noHBand="0" w:noVBand="1"/>
      </w:tblPr>
      <w:tblGrid>
        <w:gridCol w:w="2245"/>
        <w:gridCol w:w="2160"/>
        <w:gridCol w:w="2070"/>
        <w:gridCol w:w="2250"/>
      </w:tblGrid>
      <w:tr w:rsidR="00CD118C" w:rsidRPr="0088321D" w14:paraId="69E02829" w14:textId="77777777" w:rsidTr="003264C3">
        <w:trPr>
          <w:trHeight w:val="288"/>
        </w:trPr>
        <w:tc>
          <w:tcPr>
            <w:tcW w:w="2245" w:type="dxa"/>
            <w:noWrap/>
            <w:hideMark/>
          </w:tcPr>
          <w:p w14:paraId="6686D341" w14:textId="77777777" w:rsidR="00CD118C" w:rsidRPr="0088321D" w:rsidRDefault="00CD118C" w:rsidP="003264C3">
            <w:pPr>
              <w:rPr>
                <w:b/>
                <w:bCs/>
              </w:rPr>
            </w:pPr>
            <w:r w:rsidRPr="0088321D">
              <w:rPr>
                <w:b/>
                <w:bCs/>
              </w:rPr>
              <w:t>Parameter</w:t>
            </w:r>
          </w:p>
        </w:tc>
        <w:tc>
          <w:tcPr>
            <w:tcW w:w="2160" w:type="dxa"/>
            <w:noWrap/>
            <w:hideMark/>
          </w:tcPr>
          <w:p w14:paraId="5D634BDD" w14:textId="77777777" w:rsidR="00CD118C" w:rsidRPr="0088321D" w:rsidRDefault="00CD118C" w:rsidP="003264C3">
            <w:pPr>
              <w:rPr>
                <w:b/>
                <w:bCs/>
              </w:rPr>
            </w:pPr>
            <w:r w:rsidRPr="0088321D">
              <w:rPr>
                <w:b/>
                <w:bCs/>
              </w:rPr>
              <w:t>Low drought mortality</w:t>
            </w:r>
          </w:p>
        </w:tc>
        <w:tc>
          <w:tcPr>
            <w:tcW w:w="2070" w:type="dxa"/>
            <w:noWrap/>
            <w:hideMark/>
          </w:tcPr>
          <w:p w14:paraId="456242AA" w14:textId="77777777" w:rsidR="00CD118C" w:rsidRPr="0088321D" w:rsidRDefault="00CD118C" w:rsidP="003264C3">
            <w:pPr>
              <w:rPr>
                <w:b/>
                <w:bCs/>
              </w:rPr>
            </w:pPr>
            <w:r w:rsidRPr="0088321D">
              <w:rPr>
                <w:b/>
                <w:bCs/>
              </w:rPr>
              <w:t>Medium drought mortality</w:t>
            </w:r>
          </w:p>
        </w:tc>
        <w:tc>
          <w:tcPr>
            <w:tcW w:w="2250" w:type="dxa"/>
            <w:noWrap/>
            <w:hideMark/>
          </w:tcPr>
          <w:p w14:paraId="65A44461" w14:textId="77777777" w:rsidR="00CD118C" w:rsidRPr="0088321D" w:rsidRDefault="00CD118C" w:rsidP="003264C3">
            <w:pPr>
              <w:rPr>
                <w:b/>
                <w:bCs/>
              </w:rPr>
            </w:pPr>
            <w:r w:rsidRPr="0088321D">
              <w:rPr>
                <w:b/>
                <w:bCs/>
              </w:rPr>
              <w:t>High drought mortality</w:t>
            </w:r>
          </w:p>
        </w:tc>
      </w:tr>
      <w:tr w:rsidR="00696563" w:rsidRPr="008A1950" w14:paraId="316F9931" w14:textId="77777777" w:rsidTr="002331C1">
        <w:trPr>
          <w:trHeight w:val="288"/>
        </w:trPr>
        <w:tc>
          <w:tcPr>
            <w:tcW w:w="2245" w:type="dxa"/>
            <w:noWrap/>
          </w:tcPr>
          <w:p w14:paraId="57718E73" w14:textId="77777777" w:rsidR="00696563" w:rsidRPr="0088321D" w:rsidRDefault="00696563" w:rsidP="00696563">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3A72BEA6" w14:textId="6FBBD482" w:rsidR="00696563" w:rsidRPr="008A1950" w:rsidRDefault="00696563" w:rsidP="00696563">
            <w:r>
              <w:rPr>
                <w:rFonts w:ascii="Calibri" w:hAnsi="Calibri" w:cs="Calibri"/>
                <w:color w:val="000000"/>
              </w:rPr>
              <w:t>0.81 (-0.28, 1.91)</w:t>
            </w:r>
          </w:p>
        </w:tc>
        <w:tc>
          <w:tcPr>
            <w:tcW w:w="2070" w:type="dxa"/>
            <w:noWrap/>
            <w:vAlign w:val="bottom"/>
            <w:hideMark/>
          </w:tcPr>
          <w:p w14:paraId="5F08BD38" w14:textId="575AD10A" w:rsidR="00696563" w:rsidRPr="008A1950" w:rsidRDefault="00696563" w:rsidP="00696563">
            <w:r>
              <w:rPr>
                <w:rFonts w:ascii="Calibri" w:hAnsi="Calibri" w:cs="Calibri"/>
                <w:color w:val="000000"/>
              </w:rPr>
              <w:t>-0.52 (-1.95, 0.89)</w:t>
            </w:r>
          </w:p>
        </w:tc>
        <w:tc>
          <w:tcPr>
            <w:tcW w:w="2250" w:type="dxa"/>
            <w:noWrap/>
            <w:vAlign w:val="bottom"/>
            <w:hideMark/>
          </w:tcPr>
          <w:p w14:paraId="6D500228" w14:textId="224BBFF3" w:rsidR="00696563" w:rsidRPr="008A1950" w:rsidRDefault="00696563" w:rsidP="00696563">
            <w:r>
              <w:rPr>
                <w:rFonts w:ascii="Calibri" w:hAnsi="Calibri" w:cs="Calibri"/>
                <w:color w:val="000000"/>
              </w:rPr>
              <w:t>-0.94 (-2.16, 0.48)</w:t>
            </w:r>
          </w:p>
        </w:tc>
      </w:tr>
      <w:tr w:rsidR="00696563" w:rsidRPr="008A1950" w14:paraId="7651B22D" w14:textId="77777777" w:rsidTr="002331C1">
        <w:trPr>
          <w:trHeight w:val="288"/>
        </w:trPr>
        <w:tc>
          <w:tcPr>
            <w:tcW w:w="2245" w:type="dxa"/>
            <w:noWrap/>
            <w:hideMark/>
          </w:tcPr>
          <w:p w14:paraId="2154AC91" w14:textId="77777777" w:rsidR="00696563" w:rsidRPr="0088321D" w:rsidRDefault="00696563" w:rsidP="00696563">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486D0041" w14:textId="2432369A" w:rsidR="00696563" w:rsidRPr="008A1950" w:rsidRDefault="00696563" w:rsidP="00696563">
            <w:r>
              <w:rPr>
                <w:rFonts w:ascii="Calibri" w:hAnsi="Calibri" w:cs="Calibri"/>
                <w:color w:val="000000"/>
              </w:rPr>
              <w:t>2.82 (2.15, 3.37)</w:t>
            </w:r>
          </w:p>
        </w:tc>
        <w:tc>
          <w:tcPr>
            <w:tcW w:w="2070" w:type="dxa"/>
            <w:noWrap/>
            <w:vAlign w:val="bottom"/>
            <w:hideMark/>
          </w:tcPr>
          <w:p w14:paraId="18AFA5B1" w14:textId="107774D0" w:rsidR="00696563" w:rsidRPr="008A1950" w:rsidRDefault="00696563" w:rsidP="00696563">
            <w:r>
              <w:rPr>
                <w:rFonts w:ascii="Calibri" w:hAnsi="Calibri" w:cs="Calibri"/>
                <w:color w:val="000000"/>
              </w:rPr>
              <w:t>3.18 (2.44, 3.91)</w:t>
            </w:r>
          </w:p>
        </w:tc>
        <w:tc>
          <w:tcPr>
            <w:tcW w:w="2250" w:type="dxa"/>
            <w:noWrap/>
            <w:vAlign w:val="bottom"/>
            <w:hideMark/>
          </w:tcPr>
          <w:p w14:paraId="2574363E" w14:textId="267B1455" w:rsidR="00696563" w:rsidRPr="008A1950" w:rsidRDefault="00696563" w:rsidP="00696563">
            <w:r>
              <w:rPr>
                <w:rFonts w:ascii="Calibri" w:hAnsi="Calibri" w:cs="Calibri"/>
                <w:color w:val="000000"/>
              </w:rPr>
              <w:t>3.15 (2.38, 3.96)</w:t>
            </w:r>
          </w:p>
        </w:tc>
      </w:tr>
      <w:tr w:rsidR="00696563" w:rsidRPr="008A1950" w14:paraId="1A4F5DB8" w14:textId="77777777" w:rsidTr="002331C1">
        <w:trPr>
          <w:trHeight w:val="288"/>
        </w:trPr>
        <w:tc>
          <w:tcPr>
            <w:tcW w:w="2245" w:type="dxa"/>
            <w:noWrap/>
            <w:hideMark/>
          </w:tcPr>
          <w:p w14:paraId="372D5764" w14:textId="77777777" w:rsidR="00696563" w:rsidRPr="0088321D" w:rsidRDefault="00696563" w:rsidP="00696563">
            <w:pPr>
              <w:rPr>
                <w:b/>
                <w:bCs/>
              </w:rPr>
            </w:pPr>
            <w:r w:rsidRPr="0088321D">
              <w:rPr>
                <w:b/>
                <w:bCs/>
              </w:rPr>
              <w:t>GP length-scale</w:t>
            </w:r>
            <w:r>
              <w:rPr>
                <w:b/>
                <w:bCs/>
              </w:rPr>
              <w:t xml:space="preserve"> (</w:t>
            </w:r>
            <w:r>
              <w:rPr>
                <w:rFonts w:cstheme="minorHAnsi"/>
                <w:b/>
                <w:bCs/>
              </w:rPr>
              <w:t>ρ</w:t>
            </w:r>
            <w:r>
              <w:rPr>
                <w:b/>
                <w:bCs/>
              </w:rPr>
              <w:t>)</w:t>
            </w:r>
          </w:p>
        </w:tc>
        <w:tc>
          <w:tcPr>
            <w:tcW w:w="2160" w:type="dxa"/>
            <w:noWrap/>
            <w:vAlign w:val="bottom"/>
            <w:hideMark/>
          </w:tcPr>
          <w:p w14:paraId="617E78A9" w14:textId="3FFEF7F0" w:rsidR="00696563" w:rsidRPr="008A1950" w:rsidRDefault="00696563" w:rsidP="00696563">
            <w:r>
              <w:rPr>
                <w:rFonts w:ascii="Calibri" w:hAnsi="Calibri" w:cs="Calibri"/>
                <w:color w:val="000000"/>
              </w:rPr>
              <w:t>3.41 (2.59, 4.28)</w:t>
            </w:r>
          </w:p>
        </w:tc>
        <w:tc>
          <w:tcPr>
            <w:tcW w:w="2070" w:type="dxa"/>
            <w:noWrap/>
            <w:vAlign w:val="bottom"/>
            <w:hideMark/>
          </w:tcPr>
          <w:p w14:paraId="4BE7C35C" w14:textId="0054CEF8" w:rsidR="00696563" w:rsidRPr="008A1950" w:rsidRDefault="00696563" w:rsidP="00696563">
            <w:r>
              <w:rPr>
                <w:rFonts w:ascii="Calibri" w:hAnsi="Calibri" w:cs="Calibri"/>
                <w:color w:val="000000"/>
              </w:rPr>
              <w:t>2.2 (1.78, 2.69)</w:t>
            </w:r>
          </w:p>
        </w:tc>
        <w:tc>
          <w:tcPr>
            <w:tcW w:w="2250" w:type="dxa"/>
            <w:noWrap/>
            <w:vAlign w:val="bottom"/>
            <w:hideMark/>
          </w:tcPr>
          <w:p w14:paraId="153E83B4" w14:textId="71ABB160" w:rsidR="00696563" w:rsidRPr="008A1950" w:rsidRDefault="00696563" w:rsidP="00696563">
            <w:r>
              <w:rPr>
                <w:rFonts w:ascii="Calibri" w:hAnsi="Calibri" w:cs="Calibri"/>
                <w:color w:val="000000"/>
              </w:rPr>
              <w:t>5.27 (4.24, 6.42)</w:t>
            </w:r>
          </w:p>
        </w:tc>
      </w:tr>
      <w:tr w:rsidR="00696563" w:rsidRPr="008A1950" w14:paraId="5BD5D008" w14:textId="77777777" w:rsidTr="002331C1">
        <w:trPr>
          <w:trHeight w:val="288"/>
        </w:trPr>
        <w:tc>
          <w:tcPr>
            <w:tcW w:w="2245" w:type="dxa"/>
            <w:noWrap/>
            <w:hideMark/>
          </w:tcPr>
          <w:p w14:paraId="71CB20B3" w14:textId="77777777" w:rsidR="00696563" w:rsidRPr="0088321D" w:rsidRDefault="00696563" w:rsidP="00696563">
            <w:pPr>
              <w:rPr>
                <w:b/>
                <w:bCs/>
              </w:rPr>
            </w:pPr>
            <w:r>
              <w:rPr>
                <w:b/>
                <w:bCs/>
              </w:rPr>
              <w:t>Plot effect</w:t>
            </w:r>
            <w:r w:rsidRPr="0088321D">
              <w:rPr>
                <w:b/>
                <w:bCs/>
              </w:rPr>
              <w:t xml:space="preserve"> SD</w:t>
            </w:r>
            <w:r>
              <w:rPr>
                <w:b/>
                <w:bCs/>
              </w:rPr>
              <w:t xml:space="preserve"> (</w:t>
            </w:r>
            <w:r>
              <w:rPr>
                <w:rFonts w:cstheme="minorHAnsi"/>
                <w:b/>
                <w:bCs/>
              </w:rPr>
              <w:t>σ</w:t>
            </w:r>
            <w:r>
              <w:rPr>
                <w:b/>
                <w:bCs/>
              </w:rPr>
              <w:t>)</w:t>
            </w:r>
          </w:p>
        </w:tc>
        <w:tc>
          <w:tcPr>
            <w:tcW w:w="2160" w:type="dxa"/>
            <w:noWrap/>
            <w:vAlign w:val="bottom"/>
            <w:hideMark/>
          </w:tcPr>
          <w:p w14:paraId="18B27076" w14:textId="154F5FAB" w:rsidR="00696563" w:rsidRPr="008A1950" w:rsidRDefault="00696563" w:rsidP="00696563">
            <w:r>
              <w:rPr>
                <w:rFonts w:ascii="Calibri" w:hAnsi="Calibri" w:cs="Calibri"/>
                <w:color w:val="000000"/>
              </w:rPr>
              <w:t>1.65 (0.65, 2.78)</w:t>
            </w:r>
          </w:p>
        </w:tc>
        <w:tc>
          <w:tcPr>
            <w:tcW w:w="2070" w:type="dxa"/>
            <w:noWrap/>
            <w:vAlign w:val="bottom"/>
            <w:hideMark/>
          </w:tcPr>
          <w:p w14:paraId="1091150B" w14:textId="5ED09200" w:rsidR="00696563" w:rsidRPr="008A1950" w:rsidRDefault="00696563" w:rsidP="00696563">
            <w:r>
              <w:rPr>
                <w:rFonts w:ascii="Calibri" w:hAnsi="Calibri" w:cs="Calibri"/>
                <w:color w:val="000000"/>
              </w:rPr>
              <w:t>2.6 (1.57, 3.61)</w:t>
            </w:r>
          </w:p>
        </w:tc>
        <w:tc>
          <w:tcPr>
            <w:tcW w:w="2250" w:type="dxa"/>
            <w:noWrap/>
            <w:vAlign w:val="bottom"/>
            <w:hideMark/>
          </w:tcPr>
          <w:p w14:paraId="28E106FD" w14:textId="364C363B" w:rsidR="00696563" w:rsidRPr="008A1950" w:rsidRDefault="00696563" w:rsidP="00696563">
            <w:pPr>
              <w:keepNext/>
            </w:pPr>
            <w:r>
              <w:rPr>
                <w:rFonts w:ascii="Calibri" w:hAnsi="Calibri" w:cs="Calibri"/>
                <w:color w:val="000000"/>
              </w:rPr>
              <w:t>2 (0.68, 3.16)</w:t>
            </w:r>
          </w:p>
        </w:tc>
      </w:tr>
    </w:tbl>
    <w:p w14:paraId="444D4AE2" w14:textId="4D8C3D7F" w:rsidR="001D1BAE" w:rsidRDefault="001D1BAE">
      <w:pPr>
        <w:pStyle w:val="Caption"/>
      </w:pPr>
      <w:r>
        <w:t xml:space="preserve">Table </w:t>
      </w:r>
      <w:fldSimple w:instr=" SEQ Table \* ARABIC ">
        <w:r w:rsidR="00696563">
          <w:rPr>
            <w:noProof/>
          </w:rPr>
          <w:t>7</w:t>
        </w:r>
      </w:fldSimple>
      <w:r>
        <w:t>: Posterior parameter values for the vegetation presence model. Posterior median values for each parameter are given alongside a</w:t>
      </w:r>
      <w:r w:rsidR="00696563">
        <w:t>n 89</w:t>
      </w:r>
      <w:r>
        <w:t>% credible interval in parentheses.</w:t>
      </w:r>
    </w:p>
    <w:tbl>
      <w:tblPr>
        <w:tblStyle w:val="TableGrid"/>
        <w:tblW w:w="0" w:type="auto"/>
        <w:tblLook w:val="04A0" w:firstRow="1" w:lastRow="0" w:firstColumn="1" w:lastColumn="0" w:noHBand="0" w:noVBand="1"/>
      </w:tblPr>
      <w:tblGrid>
        <w:gridCol w:w="2245"/>
        <w:gridCol w:w="2160"/>
        <w:gridCol w:w="2070"/>
        <w:gridCol w:w="2250"/>
      </w:tblGrid>
      <w:tr w:rsidR="00696563" w:rsidRPr="0088321D" w14:paraId="4DCC05F2" w14:textId="77777777" w:rsidTr="005F6878">
        <w:trPr>
          <w:trHeight w:val="288"/>
        </w:trPr>
        <w:tc>
          <w:tcPr>
            <w:tcW w:w="2245" w:type="dxa"/>
            <w:noWrap/>
            <w:hideMark/>
          </w:tcPr>
          <w:p w14:paraId="13658246" w14:textId="77777777" w:rsidR="00696563" w:rsidRPr="0088321D" w:rsidRDefault="00696563" w:rsidP="005F6878">
            <w:pPr>
              <w:rPr>
                <w:b/>
                <w:bCs/>
              </w:rPr>
            </w:pPr>
            <w:r w:rsidRPr="0088321D">
              <w:rPr>
                <w:b/>
                <w:bCs/>
              </w:rPr>
              <w:t>Parameter</w:t>
            </w:r>
          </w:p>
        </w:tc>
        <w:tc>
          <w:tcPr>
            <w:tcW w:w="2160" w:type="dxa"/>
            <w:noWrap/>
            <w:hideMark/>
          </w:tcPr>
          <w:p w14:paraId="3843607E" w14:textId="77777777" w:rsidR="00696563" w:rsidRPr="0088321D" w:rsidRDefault="00696563" w:rsidP="005F6878">
            <w:pPr>
              <w:rPr>
                <w:b/>
                <w:bCs/>
              </w:rPr>
            </w:pPr>
            <w:r w:rsidRPr="0088321D">
              <w:rPr>
                <w:b/>
                <w:bCs/>
              </w:rPr>
              <w:t>Low drought mortality</w:t>
            </w:r>
          </w:p>
        </w:tc>
        <w:tc>
          <w:tcPr>
            <w:tcW w:w="2070" w:type="dxa"/>
            <w:noWrap/>
            <w:hideMark/>
          </w:tcPr>
          <w:p w14:paraId="0BD989EF" w14:textId="77777777" w:rsidR="00696563" w:rsidRPr="0088321D" w:rsidRDefault="00696563" w:rsidP="005F6878">
            <w:pPr>
              <w:rPr>
                <w:b/>
                <w:bCs/>
              </w:rPr>
            </w:pPr>
            <w:r w:rsidRPr="0088321D">
              <w:rPr>
                <w:b/>
                <w:bCs/>
              </w:rPr>
              <w:t>Medium drought mortality</w:t>
            </w:r>
          </w:p>
        </w:tc>
        <w:tc>
          <w:tcPr>
            <w:tcW w:w="2250" w:type="dxa"/>
            <w:noWrap/>
            <w:hideMark/>
          </w:tcPr>
          <w:p w14:paraId="338D463B" w14:textId="77777777" w:rsidR="00696563" w:rsidRPr="0088321D" w:rsidRDefault="00696563" w:rsidP="005F6878">
            <w:pPr>
              <w:rPr>
                <w:b/>
                <w:bCs/>
              </w:rPr>
            </w:pPr>
            <w:r w:rsidRPr="0088321D">
              <w:rPr>
                <w:b/>
                <w:bCs/>
              </w:rPr>
              <w:t>High drought mortality</w:t>
            </w:r>
          </w:p>
        </w:tc>
      </w:tr>
      <w:tr w:rsidR="00696563" w:rsidRPr="008A1950" w14:paraId="3ADBFA6F" w14:textId="77777777" w:rsidTr="005F6878">
        <w:trPr>
          <w:trHeight w:val="288"/>
        </w:trPr>
        <w:tc>
          <w:tcPr>
            <w:tcW w:w="2245" w:type="dxa"/>
            <w:noWrap/>
            <w:hideMark/>
          </w:tcPr>
          <w:p w14:paraId="270CFDD1" w14:textId="77777777" w:rsidR="00696563" w:rsidRPr="0088321D" w:rsidRDefault="00696563" w:rsidP="00696563">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3871F9CB" w14:textId="307EFAA5" w:rsidR="00696563" w:rsidRPr="008A1950" w:rsidRDefault="00696563" w:rsidP="00696563">
            <w:r>
              <w:rPr>
                <w:rFonts w:ascii="Calibri" w:hAnsi="Calibri" w:cs="Calibri"/>
                <w:color w:val="000000"/>
              </w:rPr>
              <w:t>-2.96 (-3.11, -2.78)</w:t>
            </w:r>
          </w:p>
        </w:tc>
        <w:tc>
          <w:tcPr>
            <w:tcW w:w="2070" w:type="dxa"/>
            <w:noWrap/>
            <w:vAlign w:val="bottom"/>
            <w:hideMark/>
          </w:tcPr>
          <w:p w14:paraId="0788A370" w14:textId="622FAF1D" w:rsidR="00696563" w:rsidRPr="008A1950" w:rsidRDefault="00696563" w:rsidP="00696563">
            <w:r>
              <w:rPr>
                <w:rFonts w:ascii="Calibri" w:hAnsi="Calibri" w:cs="Calibri"/>
                <w:color w:val="000000"/>
              </w:rPr>
              <w:t>-2.81 (-3.18, -2.38)</w:t>
            </w:r>
          </w:p>
        </w:tc>
        <w:tc>
          <w:tcPr>
            <w:tcW w:w="2250" w:type="dxa"/>
            <w:noWrap/>
            <w:vAlign w:val="bottom"/>
            <w:hideMark/>
          </w:tcPr>
          <w:p w14:paraId="1FF2A621" w14:textId="5CD9897B" w:rsidR="00696563" w:rsidRPr="008A1950" w:rsidRDefault="00696563" w:rsidP="00696563">
            <w:r>
              <w:rPr>
                <w:rFonts w:ascii="Calibri" w:hAnsi="Calibri" w:cs="Calibri"/>
                <w:color w:val="000000"/>
              </w:rPr>
              <w:t>-2.83 (-3.16, -2.42)</w:t>
            </w:r>
          </w:p>
        </w:tc>
      </w:tr>
      <w:tr w:rsidR="00696563" w:rsidRPr="008A1950" w14:paraId="60D2EC57" w14:textId="77777777" w:rsidTr="005F6878">
        <w:trPr>
          <w:trHeight w:val="288"/>
        </w:trPr>
        <w:tc>
          <w:tcPr>
            <w:tcW w:w="2245" w:type="dxa"/>
            <w:noWrap/>
            <w:hideMark/>
          </w:tcPr>
          <w:p w14:paraId="242341E1" w14:textId="77777777" w:rsidR="00696563" w:rsidRPr="0088321D" w:rsidRDefault="00696563" w:rsidP="00696563">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77A30823" w14:textId="56051279" w:rsidR="00696563" w:rsidRPr="008A1950" w:rsidRDefault="00696563" w:rsidP="00696563">
            <w:r>
              <w:rPr>
                <w:rFonts w:ascii="Calibri" w:hAnsi="Calibri" w:cs="Calibri"/>
                <w:color w:val="000000"/>
              </w:rPr>
              <w:t>0.12 (0, 0.29)</w:t>
            </w:r>
          </w:p>
        </w:tc>
        <w:tc>
          <w:tcPr>
            <w:tcW w:w="2070" w:type="dxa"/>
            <w:noWrap/>
            <w:vAlign w:val="bottom"/>
            <w:hideMark/>
          </w:tcPr>
          <w:p w14:paraId="447C17C8" w14:textId="490CE594" w:rsidR="00696563" w:rsidRPr="008A1950" w:rsidRDefault="00696563" w:rsidP="00696563">
            <w:r>
              <w:rPr>
                <w:rFonts w:ascii="Calibri" w:hAnsi="Calibri" w:cs="Calibri"/>
                <w:color w:val="000000"/>
              </w:rPr>
              <w:t>0.43 (0.12, 0.72)</w:t>
            </w:r>
          </w:p>
        </w:tc>
        <w:tc>
          <w:tcPr>
            <w:tcW w:w="2250" w:type="dxa"/>
            <w:noWrap/>
            <w:vAlign w:val="bottom"/>
            <w:hideMark/>
          </w:tcPr>
          <w:p w14:paraId="67A9313D" w14:textId="63D39298" w:rsidR="00696563" w:rsidRPr="008A1950" w:rsidRDefault="00696563" w:rsidP="00696563">
            <w:r>
              <w:rPr>
                <w:rFonts w:ascii="Calibri" w:hAnsi="Calibri" w:cs="Calibri"/>
                <w:color w:val="000000"/>
              </w:rPr>
              <w:t>0.22 (0, 0.45)</w:t>
            </w:r>
          </w:p>
        </w:tc>
      </w:tr>
      <w:tr w:rsidR="00696563" w:rsidRPr="008A1950" w14:paraId="2158315F" w14:textId="77777777" w:rsidTr="005F6878">
        <w:trPr>
          <w:trHeight w:val="288"/>
        </w:trPr>
        <w:tc>
          <w:tcPr>
            <w:tcW w:w="2245" w:type="dxa"/>
            <w:noWrap/>
            <w:hideMark/>
          </w:tcPr>
          <w:p w14:paraId="16C1B720" w14:textId="77777777" w:rsidR="00696563" w:rsidRPr="0088321D" w:rsidRDefault="00696563" w:rsidP="00696563">
            <w:pPr>
              <w:rPr>
                <w:b/>
                <w:bCs/>
              </w:rPr>
            </w:pPr>
            <w:r w:rsidRPr="0088321D">
              <w:rPr>
                <w:b/>
                <w:bCs/>
              </w:rPr>
              <w:t>GP length-scale</w:t>
            </w:r>
            <w:r>
              <w:rPr>
                <w:b/>
                <w:bCs/>
              </w:rPr>
              <w:t xml:space="preserve"> (</w:t>
            </w:r>
            <w:r>
              <w:rPr>
                <w:rFonts w:cstheme="minorHAnsi"/>
                <w:b/>
                <w:bCs/>
              </w:rPr>
              <w:t>ρ</w:t>
            </w:r>
            <w:r>
              <w:rPr>
                <w:b/>
                <w:bCs/>
              </w:rPr>
              <w:t>)</w:t>
            </w:r>
          </w:p>
        </w:tc>
        <w:tc>
          <w:tcPr>
            <w:tcW w:w="2160" w:type="dxa"/>
            <w:noWrap/>
            <w:vAlign w:val="bottom"/>
            <w:hideMark/>
          </w:tcPr>
          <w:p w14:paraId="209B0139" w14:textId="438907B7" w:rsidR="00696563" w:rsidRPr="008A1950" w:rsidRDefault="00696563" w:rsidP="00696563">
            <w:r>
              <w:rPr>
                <w:rFonts w:ascii="Calibri" w:hAnsi="Calibri" w:cs="Calibri"/>
                <w:color w:val="000000"/>
              </w:rPr>
              <w:t>8.05 (3.01, 15.12)</w:t>
            </w:r>
          </w:p>
        </w:tc>
        <w:tc>
          <w:tcPr>
            <w:tcW w:w="2070" w:type="dxa"/>
            <w:noWrap/>
            <w:vAlign w:val="bottom"/>
            <w:hideMark/>
          </w:tcPr>
          <w:p w14:paraId="758A9CD4" w14:textId="5CE8A812" w:rsidR="00696563" w:rsidRPr="008A1950" w:rsidRDefault="00696563" w:rsidP="00696563">
            <w:r>
              <w:rPr>
                <w:rFonts w:ascii="Calibri" w:hAnsi="Calibri" w:cs="Calibri"/>
                <w:color w:val="000000"/>
              </w:rPr>
              <w:t>6.92 (2.77, 12.73)</w:t>
            </w:r>
          </w:p>
        </w:tc>
        <w:tc>
          <w:tcPr>
            <w:tcW w:w="2250" w:type="dxa"/>
            <w:noWrap/>
            <w:vAlign w:val="bottom"/>
            <w:hideMark/>
          </w:tcPr>
          <w:p w14:paraId="61AF68E6" w14:textId="511432AE" w:rsidR="00696563" w:rsidRPr="008A1950" w:rsidRDefault="00696563" w:rsidP="00696563">
            <w:r>
              <w:rPr>
                <w:rFonts w:ascii="Calibri" w:hAnsi="Calibri" w:cs="Calibri"/>
                <w:color w:val="000000"/>
              </w:rPr>
              <w:t>8 (2.89, 17.67)</w:t>
            </w:r>
          </w:p>
        </w:tc>
      </w:tr>
      <w:tr w:rsidR="00696563" w:rsidRPr="008A1950" w14:paraId="560B4592" w14:textId="77777777" w:rsidTr="005F6878">
        <w:trPr>
          <w:trHeight w:val="288"/>
        </w:trPr>
        <w:tc>
          <w:tcPr>
            <w:tcW w:w="2245" w:type="dxa"/>
            <w:noWrap/>
          </w:tcPr>
          <w:p w14:paraId="4F6ADFFA" w14:textId="77777777" w:rsidR="00696563" w:rsidRPr="0088321D" w:rsidRDefault="00696563" w:rsidP="00696563">
            <w:pPr>
              <w:rPr>
                <w:b/>
                <w:bCs/>
              </w:rPr>
            </w:pPr>
            <w:r>
              <w:rPr>
                <w:b/>
                <w:bCs/>
              </w:rPr>
              <w:t>Plot effect</w:t>
            </w:r>
            <w:r w:rsidRPr="0088321D">
              <w:rPr>
                <w:b/>
                <w:bCs/>
              </w:rPr>
              <w:t xml:space="preserve"> SD</w:t>
            </w:r>
            <w:r>
              <w:rPr>
                <w:b/>
                <w:bCs/>
              </w:rPr>
              <w:t xml:space="preserve"> (</w:t>
            </w:r>
            <w:proofErr w:type="spellStart"/>
            <w:r>
              <w:rPr>
                <w:rFonts w:cstheme="minorHAnsi"/>
                <w:b/>
                <w:bCs/>
              </w:rPr>
              <w:t>σ</w:t>
            </w:r>
            <w:r>
              <w:rPr>
                <w:rFonts w:cstheme="minorHAnsi"/>
                <w:b/>
                <w:bCs/>
                <w:vertAlign w:val="superscript"/>
              </w:rPr>
              <w:t>PLOT</w:t>
            </w:r>
            <w:proofErr w:type="spellEnd"/>
            <w:r>
              <w:rPr>
                <w:b/>
                <w:bCs/>
              </w:rPr>
              <w:t>)</w:t>
            </w:r>
          </w:p>
        </w:tc>
        <w:tc>
          <w:tcPr>
            <w:tcW w:w="2160" w:type="dxa"/>
            <w:noWrap/>
            <w:vAlign w:val="bottom"/>
            <w:hideMark/>
          </w:tcPr>
          <w:p w14:paraId="521F6B30" w14:textId="20960ED8" w:rsidR="00696563" w:rsidRPr="008A1950" w:rsidRDefault="00696563" w:rsidP="00696563">
            <w:r>
              <w:rPr>
                <w:rFonts w:ascii="Calibri" w:hAnsi="Calibri" w:cs="Calibri"/>
                <w:color w:val="000000"/>
              </w:rPr>
              <w:t>0.08 (0, 0.24)</w:t>
            </w:r>
          </w:p>
        </w:tc>
        <w:tc>
          <w:tcPr>
            <w:tcW w:w="2070" w:type="dxa"/>
            <w:noWrap/>
            <w:vAlign w:val="bottom"/>
            <w:hideMark/>
          </w:tcPr>
          <w:p w14:paraId="1A5FE376" w14:textId="7C9BF0CE" w:rsidR="00696563" w:rsidRPr="008A1950" w:rsidRDefault="00696563" w:rsidP="00696563">
            <w:r>
              <w:rPr>
                <w:rFonts w:ascii="Calibri" w:hAnsi="Calibri" w:cs="Calibri"/>
                <w:color w:val="000000"/>
              </w:rPr>
              <w:t>0.41 (0, 0.77)</w:t>
            </w:r>
          </w:p>
        </w:tc>
        <w:tc>
          <w:tcPr>
            <w:tcW w:w="2250" w:type="dxa"/>
            <w:noWrap/>
            <w:vAlign w:val="bottom"/>
            <w:hideMark/>
          </w:tcPr>
          <w:p w14:paraId="6BA5E33B" w14:textId="030B4C25" w:rsidR="00696563" w:rsidRPr="008A1950" w:rsidRDefault="00696563" w:rsidP="00696563">
            <w:pPr>
              <w:keepNext/>
            </w:pPr>
            <w:r>
              <w:rPr>
                <w:rFonts w:ascii="Calibri" w:hAnsi="Calibri" w:cs="Calibri"/>
                <w:color w:val="000000"/>
              </w:rPr>
              <w:t>0.38 (0.01, 0.74)</w:t>
            </w:r>
          </w:p>
        </w:tc>
      </w:tr>
    </w:tbl>
    <w:p w14:paraId="3EFC956F" w14:textId="671EBE7B" w:rsidR="00696563" w:rsidRDefault="00696563" w:rsidP="00696563">
      <w:pPr>
        <w:pStyle w:val="Caption"/>
      </w:pPr>
      <w:r>
        <w:t xml:space="preserve">Table </w:t>
      </w:r>
      <w:fldSimple w:instr=" SEQ Table \* ARABIC ">
        <w:r>
          <w:rPr>
            <w:noProof/>
          </w:rPr>
          <w:t>8</w:t>
        </w:r>
      </w:fldSimple>
      <w:r>
        <w:t>: Posterior parameter values for the trees count model. Posterior median values for each parameter are given alongside an 89% credible interval in parentheses.</w:t>
      </w:r>
    </w:p>
    <w:tbl>
      <w:tblPr>
        <w:tblStyle w:val="TableGrid"/>
        <w:tblW w:w="0" w:type="auto"/>
        <w:tblLook w:val="04A0" w:firstRow="1" w:lastRow="0" w:firstColumn="1" w:lastColumn="0" w:noHBand="0" w:noVBand="1"/>
      </w:tblPr>
      <w:tblGrid>
        <w:gridCol w:w="2245"/>
        <w:gridCol w:w="2160"/>
        <w:gridCol w:w="2070"/>
        <w:gridCol w:w="2250"/>
      </w:tblGrid>
      <w:tr w:rsidR="00696563" w:rsidRPr="0088321D" w14:paraId="66CDEB98" w14:textId="77777777" w:rsidTr="005F6878">
        <w:trPr>
          <w:trHeight w:val="288"/>
        </w:trPr>
        <w:tc>
          <w:tcPr>
            <w:tcW w:w="2245" w:type="dxa"/>
            <w:noWrap/>
            <w:hideMark/>
          </w:tcPr>
          <w:p w14:paraId="7D716D85" w14:textId="77777777" w:rsidR="00696563" w:rsidRPr="0088321D" w:rsidRDefault="00696563" w:rsidP="005F6878">
            <w:pPr>
              <w:rPr>
                <w:b/>
                <w:bCs/>
              </w:rPr>
            </w:pPr>
            <w:r w:rsidRPr="0088321D">
              <w:rPr>
                <w:b/>
                <w:bCs/>
              </w:rPr>
              <w:lastRenderedPageBreak/>
              <w:t>Parameter</w:t>
            </w:r>
          </w:p>
        </w:tc>
        <w:tc>
          <w:tcPr>
            <w:tcW w:w="2160" w:type="dxa"/>
            <w:noWrap/>
            <w:hideMark/>
          </w:tcPr>
          <w:p w14:paraId="038392D6" w14:textId="77777777" w:rsidR="00696563" w:rsidRPr="0088321D" w:rsidRDefault="00696563" w:rsidP="005F6878">
            <w:pPr>
              <w:rPr>
                <w:b/>
                <w:bCs/>
              </w:rPr>
            </w:pPr>
            <w:r w:rsidRPr="0088321D">
              <w:rPr>
                <w:b/>
                <w:bCs/>
              </w:rPr>
              <w:t>Low drought mortality</w:t>
            </w:r>
          </w:p>
        </w:tc>
        <w:tc>
          <w:tcPr>
            <w:tcW w:w="2070" w:type="dxa"/>
            <w:noWrap/>
            <w:hideMark/>
          </w:tcPr>
          <w:p w14:paraId="69A4D79C" w14:textId="77777777" w:rsidR="00696563" w:rsidRPr="0088321D" w:rsidRDefault="00696563" w:rsidP="005F6878">
            <w:pPr>
              <w:rPr>
                <w:b/>
                <w:bCs/>
              </w:rPr>
            </w:pPr>
            <w:r w:rsidRPr="0088321D">
              <w:rPr>
                <w:b/>
                <w:bCs/>
              </w:rPr>
              <w:t>Medium drought mortality</w:t>
            </w:r>
          </w:p>
        </w:tc>
        <w:tc>
          <w:tcPr>
            <w:tcW w:w="2250" w:type="dxa"/>
            <w:noWrap/>
            <w:hideMark/>
          </w:tcPr>
          <w:p w14:paraId="73F05A87" w14:textId="77777777" w:rsidR="00696563" w:rsidRPr="0088321D" w:rsidRDefault="00696563" w:rsidP="005F6878">
            <w:pPr>
              <w:rPr>
                <w:b/>
                <w:bCs/>
              </w:rPr>
            </w:pPr>
            <w:r w:rsidRPr="0088321D">
              <w:rPr>
                <w:b/>
                <w:bCs/>
              </w:rPr>
              <w:t>High drought mortality</w:t>
            </w:r>
          </w:p>
        </w:tc>
      </w:tr>
      <w:tr w:rsidR="00004ED0" w:rsidRPr="008A1950" w14:paraId="51E3F3C1" w14:textId="77777777" w:rsidTr="005F6878">
        <w:trPr>
          <w:trHeight w:val="288"/>
        </w:trPr>
        <w:tc>
          <w:tcPr>
            <w:tcW w:w="2245" w:type="dxa"/>
            <w:noWrap/>
            <w:hideMark/>
          </w:tcPr>
          <w:p w14:paraId="04D41E7C" w14:textId="77777777" w:rsidR="00004ED0" w:rsidRPr="0088321D" w:rsidRDefault="00004ED0" w:rsidP="00004ED0">
            <w:pPr>
              <w:rPr>
                <w:b/>
                <w:bCs/>
              </w:rPr>
            </w:pPr>
            <w:r w:rsidRPr="0088321D">
              <w:rPr>
                <w:b/>
                <w:bCs/>
              </w:rPr>
              <w:t>Intercept</w:t>
            </w:r>
            <w:r>
              <w:rPr>
                <w:b/>
                <w:bCs/>
              </w:rPr>
              <w:t xml:space="preserve"> (</w:t>
            </w:r>
            <w:r>
              <w:rPr>
                <w:rFonts w:ascii="Calibri" w:hAnsi="Calibri" w:cs="Calibri"/>
                <w:b/>
                <w:bCs/>
              </w:rPr>
              <w:t>β</w:t>
            </w:r>
            <w:r>
              <w:rPr>
                <w:b/>
                <w:bCs/>
              </w:rPr>
              <w:t>)</w:t>
            </w:r>
          </w:p>
        </w:tc>
        <w:tc>
          <w:tcPr>
            <w:tcW w:w="2160" w:type="dxa"/>
            <w:noWrap/>
            <w:vAlign w:val="bottom"/>
            <w:hideMark/>
          </w:tcPr>
          <w:p w14:paraId="58A21C9D" w14:textId="75F31F05" w:rsidR="00004ED0" w:rsidRPr="008A1950" w:rsidRDefault="00004ED0" w:rsidP="00004ED0">
            <w:r>
              <w:rPr>
                <w:rFonts w:ascii="Calibri" w:hAnsi="Calibri" w:cs="Calibri"/>
                <w:color w:val="000000"/>
              </w:rPr>
              <w:t>-2.27 (-2.75, -1.79)</w:t>
            </w:r>
          </w:p>
        </w:tc>
        <w:tc>
          <w:tcPr>
            <w:tcW w:w="2070" w:type="dxa"/>
            <w:noWrap/>
            <w:vAlign w:val="bottom"/>
            <w:hideMark/>
          </w:tcPr>
          <w:p w14:paraId="5E309B42" w14:textId="32B4BB30" w:rsidR="00004ED0" w:rsidRPr="008A1950" w:rsidRDefault="00004ED0" w:rsidP="00004ED0">
            <w:r>
              <w:rPr>
                <w:rFonts w:ascii="Calibri" w:hAnsi="Calibri" w:cs="Calibri"/>
                <w:color w:val="000000"/>
              </w:rPr>
              <w:t>-2.61 (-3.01, -2.07)</w:t>
            </w:r>
          </w:p>
        </w:tc>
        <w:tc>
          <w:tcPr>
            <w:tcW w:w="2250" w:type="dxa"/>
            <w:noWrap/>
            <w:vAlign w:val="bottom"/>
            <w:hideMark/>
          </w:tcPr>
          <w:p w14:paraId="09C12638" w14:textId="2BE37F64" w:rsidR="00004ED0" w:rsidRPr="008A1950" w:rsidRDefault="00004ED0" w:rsidP="00004ED0">
            <w:r>
              <w:rPr>
                <w:rFonts w:ascii="Calibri" w:hAnsi="Calibri" w:cs="Calibri"/>
                <w:color w:val="000000"/>
              </w:rPr>
              <w:t>-2.61 (-3.41, -1.86)</w:t>
            </w:r>
          </w:p>
        </w:tc>
      </w:tr>
      <w:tr w:rsidR="00004ED0" w:rsidRPr="008A1950" w14:paraId="2B268D05" w14:textId="77777777" w:rsidTr="005F6878">
        <w:trPr>
          <w:trHeight w:val="288"/>
        </w:trPr>
        <w:tc>
          <w:tcPr>
            <w:tcW w:w="2245" w:type="dxa"/>
            <w:noWrap/>
            <w:hideMark/>
          </w:tcPr>
          <w:p w14:paraId="310B22E8" w14:textId="77777777" w:rsidR="00004ED0" w:rsidRPr="0088321D" w:rsidRDefault="00004ED0" w:rsidP="00004ED0">
            <w:pPr>
              <w:rPr>
                <w:b/>
                <w:bCs/>
              </w:rPr>
            </w:pPr>
            <w:r w:rsidRPr="0088321D">
              <w:rPr>
                <w:b/>
                <w:bCs/>
              </w:rPr>
              <w:t>GP magnitude</w:t>
            </w:r>
            <w:r>
              <w:rPr>
                <w:b/>
                <w:bCs/>
              </w:rPr>
              <w:t xml:space="preserve"> (</w:t>
            </w:r>
            <w:r>
              <w:rPr>
                <w:rFonts w:cstheme="minorHAnsi"/>
                <w:b/>
                <w:bCs/>
              </w:rPr>
              <w:t>α</w:t>
            </w:r>
            <w:r>
              <w:rPr>
                <w:b/>
                <w:bCs/>
              </w:rPr>
              <w:t>)</w:t>
            </w:r>
          </w:p>
        </w:tc>
        <w:tc>
          <w:tcPr>
            <w:tcW w:w="2160" w:type="dxa"/>
            <w:noWrap/>
            <w:vAlign w:val="bottom"/>
            <w:hideMark/>
          </w:tcPr>
          <w:p w14:paraId="1346F86C" w14:textId="4089A17A" w:rsidR="00004ED0" w:rsidRPr="008A1950" w:rsidRDefault="00004ED0" w:rsidP="00004ED0">
            <w:r>
              <w:rPr>
                <w:rFonts w:ascii="Calibri" w:hAnsi="Calibri" w:cs="Calibri"/>
                <w:color w:val="000000"/>
              </w:rPr>
              <w:t>0.95 (0.63, 1.31)</w:t>
            </w:r>
          </w:p>
        </w:tc>
        <w:tc>
          <w:tcPr>
            <w:tcW w:w="2070" w:type="dxa"/>
            <w:noWrap/>
            <w:vAlign w:val="bottom"/>
            <w:hideMark/>
          </w:tcPr>
          <w:p w14:paraId="24B50E6B" w14:textId="7924730A" w:rsidR="00004ED0" w:rsidRPr="008A1950" w:rsidRDefault="00004ED0" w:rsidP="00004ED0">
            <w:r>
              <w:rPr>
                <w:rFonts w:ascii="Calibri" w:hAnsi="Calibri" w:cs="Calibri"/>
                <w:color w:val="000000"/>
              </w:rPr>
              <w:t>0.31 (0, 0.63)</w:t>
            </w:r>
          </w:p>
        </w:tc>
        <w:tc>
          <w:tcPr>
            <w:tcW w:w="2250" w:type="dxa"/>
            <w:noWrap/>
            <w:vAlign w:val="bottom"/>
            <w:hideMark/>
          </w:tcPr>
          <w:p w14:paraId="50F6E7C7" w14:textId="6AB08766" w:rsidR="00004ED0" w:rsidRPr="008A1950" w:rsidRDefault="00004ED0" w:rsidP="00004ED0">
            <w:r>
              <w:rPr>
                <w:rFonts w:ascii="Calibri" w:hAnsi="Calibri" w:cs="Calibri"/>
                <w:color w:val="000000"/>
              </w:rPr>
              <w:t>0.36 (0, 0.84)</w:t>
            </w:r>
          </w:p>
        </w:tc>
      </w:tr>
      <w:tr w:rsidR="00004ED0" w:rsidRPr="008A1950" w14:paraId="55FF1B11" w14:textId="77777777" w:rsidTr="005F6878">
        <w:trPr>
          <w:trHeight w:val="288"/>
        </w:trPr>
        <w:tc>
          <w:tcPr>
            <w:tcW w:w="2245" w:type="dxa"/>
            <w:noWrap/>
            <w:hideMark/>
          </w:tcPr>
          <w:p w14:paraId="00FCB67D" w14:textId="77777777" w:rsidR="00004ED0" w:rsidRPr="0088321D" w:rsidRDefault="00004ED0" w:rsidP="00004ED0">
            <w:pPr>
              <w:rPr>
                <w:b/>
                <w:bCs/>
              </w:rPr>
            </w:pPr>
            <w:r w:rsidRPr="0088321D">
              <w:rPr>
                <w:b/>
                <w:bCs/>
              </w:rPr>
              <w:t>GP length-scale</w:t>
            </w:r>
            <w:r>
              <w:rPr>
                <w:b/>
                <w:bCs/>
              </w:rPr>
              <w:t xml:space="preserve"> (</w:t>
            </w:r>
            <w:r>
              <w:rPr>
                <w:rFonts w:cstheme="minorHAnsi"/>
                <w:b/>
                <w:bCs/>
              </w:rPr>
              <w:t>ρ</w:t>
            </w:r>
            <w:r>
              <w:rPr>
                <w:b/>
                <w:bCs/>
              </w:rPr>
              <w:t>)</w:t>
            </w:r>
          </w:p>
        </w:tc>
        <w:tc>
          <w:tcPr>
            <w:tcW w:w="2160" w:type="dxa"/>
            <w:noWrap/>
            <w:vAlign w:val="bottom"/>
            <w:hideMark/>
          </w:tcPr>
          <w:p w14:paraId="79F17954" w14:textId="7744A77C" w:rsidR="00004ED0" w:rsidRPr="008A1950" w:rsidRDefault="00004ED0" w:rsidP="00004ED0">
            <w:r>
              <w:rPr>
                <w:rFonts w:ascii="Calibri" w:hAnsi="Calibri" w:cs="Calibri"/>
                <w:color w:val="000000"/>
              </w:rPr>
              <w:t>5.51 (2.5, 10.99)</w:t>
            </w:r>
          </w:p>
        </w:tc>
        <w:tc>
          <w:tcPr>
            <w:tcW w:w="2070" w:type="dxa"/>
            <w:noWrap/>
            <w:vAlign w:val="bottom"/>
            <w:hideMark/>
          </w:tcPr>
          <w:p w14:paraId="3FC873E4" w14:textId="0FE5EB59" w:rsidR="00004ED0" w:rsidRPr="008A1950" w:rsidRDefault="00004ED0" w:rsidP="00004ED0">
            <w:r>
              <w:rPr>
                <w:rFonts w:ascii="Calibri" w:hAnsi="Calibri" w:cs="Calibri"/>
                <w:color w:val="000000"/>
              </w:rPr>
              <w:t>8.2 (3.01, 16.04)</w:t>
            </w:r>
          </w:p>
        </w:tc>
        <w:tc>
          <w:tcPr>
            <w:tcW w:w="2250" w:type="dxa"/>
            <w:noWrap/>
            <w:vAlign w:val="bottom"/>
            <w:hideMark/>
          </w:tcPr>
          <w:p w14:paraId="0812D842" w14:textId="5EF04AE6" w:rsidR="00004ED0" w:rsidRPr="008A1950" w:rsidRDefault="00004ED0" w:rsidP="00004ED0">
            <w:r>
              <w:rPr>
                <w:rFonts w:ascii="Calibri" w:hAnsi="Calibri" w:cs="Calibri"/>
                <w:color w:val="000000"/>
              </w:rPr>
              <w:t>9.25 (3.32, 18.83)</w:t>
            </w:r>
          </w:p>
        </w:tc>
      </w:tr>
      <w:tr w:rsidR="00004ED0" w:rsidRPr="008A1950" w14:paraId="1498F60C" w14:textId="77777777" w:rsidTr="005F6878">
        <w:trPr>
          <w:trHeight w:val="288"/>
        </w:trPr>
        <w:tc>
          <w:tcPr>
            <w:tcW w:w="2245" w:type="dxa"/>
            <w:noWrap/>
          </w:tcPr>
          <w:p w14:paraId="36BE32C5" w14:textId="77777777" w:rsidR="00004ED0" w:rsidRPr="0088321D" w:rsidRDefault="00004ED0" w:rsidP="00004ED0">
            <w:pPr>
              <w:rPr>
                <w:b/>
                <w:bCs/>
              </w:rPr>
            </w:pPr>
            <w:r>
              <w:rPr>
                <w:b/>
                <w:bCs/>
              </w:rPr>
              <w:t>Plot effect</w:t>
            </w:r>
            <w:r w:rsidRPr="0088321D">
              <w:rPr>
                <w:b/>
                <w:bCs/>
              </w:rPr>
              <w:t xml:space="preserve"> SD</w:t>
            </w:r>
            <w:r>
              <w:rPr>
                <w:b/>
                <w:bCs/>
              </w:rPr>
              <w:t xml:space="preserve"> (</w:t>
            </w:r>
            <w:proofErr w:type="spellStart"/>
            <w:r>
              <w:rPr>
                <w:rFonts w:cstheme="minorHAnsi"/>
                <w:b/>
                <w:bCs/>
              </w:rPr>
              <w:t>σ</w:t>
            </w:r>
            <w:r>
              <w:rPr>
                <w:rFonts w:cstheme="minorHAnsi"/>
                <w:b/>
                <w:bCs/>
                <w:vertAlign w:val="superscript"/>
              </w:rPr>
              <w:t>PLOT</w:t>
            </w:r>
            <w:proofErr w:type="spellEnd"/>
            <w:r>
              <w:rPr>
                <w:b/>
                <w:bCs/>
              </w:rPr>
              <w:t>)</w:t>
            </w:r>
          </w:p>
        </w:tc>
        <w:tc>
          <w:tcPr>
            <w:tcW w:w="2160" w:type="dxa"/>
            <w:noWrap/>
            <w:vAlign w:val="bottom"/>
            <w:hideMark/>
          </w:tcPr>
          <w:p w14:paraId="39AE7001" w14:textId="287EF3CA" w:rsidR="00004ED0" w:rsidRPr="008A1950" w:rsidRDefault="00004ED0" w:rsidP="00004ED0">
            <w:r>
              <w:rPr>
                <w:rFonts w:ascii="Calibri" w:hAnsi="Calibri" w:cs="Calibri"/>
                <w:color w:val="000000"/>
              </w:rPr>
              <w:t>0.43 (0, 0.84)</w:t>
            </w:r>
          </w:p>
        </w:tc>
        <w:tc>
          <w:tcPr>
            <w:tcW w:w="2070" w:type="dxa"/>
            <w:noWrap/>
            <w:vAlign w:val="bottom"/>
            <w:hideMark/>
          </w:tcPr>
          <w:p w14:paraId="740BB84B" w14:textId="320BAEC7" w:rsidR="00004ED0" w:rsidRPr="008A1950" w:rsidRDefault="00004ED0" w:rsidP="00004ED0">
            <w:r>
              <w:rPr>
                <w:rFonts w:ascii="Calibri" w:hAnsi="Calibri" w:cs="Calibri"/>
                <w:color w:val="000000"/>
              </w:rPr>
              <w:t>0.43 (0, 0.88)</w:t>
            </w:r>
          </w:p>
        </w:tc>
        <w:tc>
          <w:tcPr>
            <w:tcW w:w="2250" w:type="dxa"/>
            <w:noWrap/>
            <w:vAlign w:val="bottom"/>
            <w:hideMark/>
          </w:tcPr>
          <w:p w14:paraId="00A9FE99" w14:textId="09AB1BD3" w:rsidR="00004ED0" w:rsidRPr="008A1950" w:rsidRDefault="00004ED0" w:rsidP="00004ED0">
            <w:pPr>
              <w:keepNext/>
            </w:pPr>
            <w:r>
              <w:rPr>
                <w:rFonts w:ascii="Calibri" w:hAnsi="Calibri" w:cs="Calibri"/>
                <w:color w:val="000000"/>
              </w:rPr>
              <w:t>1.19 (0.51, 1.85)</w:t>
            </w:r>
          </w:p>
        </w:tc>
      </w:tr>
    </w:tbl>
    <w:p w14:paraId="3E271C32" w14:textId="01DE60CF" w:rsidR="00696563" w:rsidRPr="00696563" w:rsidRDefault="00696563" w:rsidP="00696563">
      <w:pPr>
        <w:pStyle w:val="Caption"/>
      </w:pPr>
      <w:r>
        <w:t xml:space="preserve">Table </w:t>
      </w:r>
      <w:fldSimple w:instr=" SEQ Table \* ARABIC ">
        <w:r>
          <w:rPr>
            <w:noProof/>
          </w:rPr>
          <w:t>9</w:t>
        </w:r>
      </w:fldSimple>
      <w:r>
        <w:t xml:space="preserve">: Posterior parameter values for the saplings count model. Posterior median values for each parameter are given alongside an 89% credible interval in parentheses. </w:t>
      </w:r>
    </w:p>
    <w:p w14:paraId="0FFC1ECF" w14:textId="77777777" w:rsidR="007927CC" w:rsidRDefault="007927CC">
      <w:pPr>
        <w:rPr>
          <w:rFonts w:asciiTheme="majorHAnsi" w:eastAsiaTheme="majorEastAsia" w:hAnsiTheme="majorHAnsi" w:cstheme="majorBidi"/>
          <w:color w:val="2F5496" w:themeColor="accent1" w:themeShade="BF"/>
          <w:sz w:val="32"/>
          <w:szCs w:val="32"/>
        </w:rPr>
      </w:pPr>
      <w:r>
        <w:br w:type="page"/>
      </w:r>
    </w:p>
    <w:p w14:paraId="3D6E69CD" w14:textId="5EDAEE7D" w:rsidR="00DE2B66" w:rsidRDefault="00DE2B66" w:rsidP="00DE2B66">
      <w:pPr>
        <w:pStyle w:val="Heading1"/>
      </w:pPr>
      <w:r>
        <w:lastRenderedPageBreak/>
        <w:t>Figures</w:t>
      </w:r>
    </w:p>
    <w:p w14:paraId="168E55C1" w14:textId="713FC89E" w:rsidR="00DE2B66" w:rsidRDefault="00DE2B66" w:rsidP="00DE2B66"/>
    <w:p w14:paraId="29884D3E" w14:textId="77777777" w:rsidR="00D25011" w:rsidRDefault="00D25011" w:rsidP="00D25011">
      <w:pPr>
        <w:keepNext/>
      </w:pPr>
      <w:r>
        <w:rPr>
          <w:noProof/>
        </w:rPr>
        <w:drawing>
          <wp:inline distT="0" distB="0" distL="0" distR="0" wp14:anchorId="1BD0E889" wp14:editId="2E484C14">
            <wp:extent cx="5943612" cy="4114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12" cy="4114808"/>
                    </a:xfrm>
                    <a:prstGeom prst="rect">
                      <a:avLst/>
                    </a:prstGeom>
                  </pic:spPr>
                </pic:pic>
              </a:graphicData>
            </a:graphic>
          </wp:inline>
        </w:drawing>
      </w:r>
    </w:p>
    <w:p w14:paraId="37004EA2" w14:textId="1E8EFCF5" w:rsidR="00D25011" w:rsidRDefault="00D25011" w:rsidP="00D25011">
      <w:pPr>
        <w:pStyle w:val="Caption"/>
      </w:pPr>
      <w:bookmarkStart w:id="2" w:name="_Ref118278662"/>
      <w:r>
        <w:t xml:space="preserve">Figure </w:t>
      </w:r>
      <w:fldSimple w:instr=" SEQ Figure \* ARABIC ">
        <w:r w:rsidR="00AA5E75">
          <w:rPr>
            <w:noProof/>
          </w:rPr>
          <w:t>1</w:t>
        </w:r>
      </w:fldSimple>
      <w:bookmarkEnd w:id="2"/>
      <w:r>
        <w:t>: Area of interest, drought mortality classes, and plot locations. Area of interest (CALVEG-mapped mixed conifer forest</w:t>
      </w:r>
      <w:r w:rsidR="00685338">
        <w:t xml:space="preserve"> - </w:t>
      </w:r>
      <w:r>
        <w:t xml:space="preserve">pine from </w:t>
      </w:r>
      <w:r w:rsidR="007C111F">
        <w:t>1,500-1,850</w:t>
      </w:r>
      <w:r>
        <w:t xml:space="preserve"> m elevation) shown with colors indicating the level of cumulative drought mortality from 2012-2017 as mapped by the </w:t>
      </w:r>
      <w:r w:rsidR="00685338">
        <w:t xml:space="preserve">(smoothed) </w:t>
      </w:r>
      <w:proofErr w:type="spellStart"/>
      <w:r>
        <w:t>eD</w:t>
      </w:r>
      <w:r w:rsidR="0070198D">
        <w:t>aRT</w:t>
      </w:r>
      <w:proofErr w:type="spellEnd"/>
      <w:r w:rsidR="0070198D">
        <w:t xml:space="preserve"> data product. Plot locations shown as black points.</w:t>
      </w:r>
      <w:r w:rsidR="00B94F11">
        <w:t xml:space="preserve"> Plots were randomly located within the core area of each zone of drought mortality and limited to locations 50-600m from a road or trail.</w:t>
      </w:r>
      <w:r w:rsidR="0070198D">
        <w:t xml:space="preserve"> </w:t>
      </w:r>
      <w:r>
        <w:t>Inset shows position of the study site within California state boundaries.</w:t>
      </w:r>
    </w:p>
    <w:p w14:paraId="41019DBF" w14:textId="760D6F6A" w:rsidR="00B94F11" w:rsidRDefault="00B94F11">
      <w:r>
        <w:br w:type="page"/>
      </w:r>
    </w:p>
    <w:p w14:paraId="00B7D83F" w14:textId="77777777" w:rsidR="00B94F11" w:rsidRDefault="00B94F11" w:rsidP="00B94F11">
      <w:pPr>
        <w:keepNext/>
      </w:pPr>
      <w:r>
        <w:rPr>
          <w:noProof/>
        </w:rPr>
        <w:lastRenderedPageBreak/>
        <w:drawing>
          <wp:inline distT="0" distB="0" distL="0" distR="0" wp14:anchorId="33971632" wp14:editId="1D7C9091">
            <wp:extent cx="5943600" cy="429260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92600"/>
                    </a:xfrm>
                    <a:prstGeom prst="rect">
                      <a:avLst/>
                    </a:prstGeom>
                  </pic:spPr>
                </pic:pic>
              </a:graphicData>
            </a:graphic>
          </wp:inline>
        </w:drawing>
      </w:r>
    </w:p>
    <w:p w14:paraId="7C783D33" w14:textId="68E3522D" w:rsidR="00B94F11" w:rsidRDefault="00B94F11" w:rsidP="00B94F11">
      <w:pPr>
        <w:pStyle w:val="Caption"/>
      </w:pPr>
      <w:r>
        <w:t xml:space="preserve">Figure </w:t>
      </w:r>
      <w:fldSimple w:instr=" SEQ Figure \* ARABIC ">
        <w:r w:rsidR="00AA5E75">
          <w:rPr>
            <w:noProof/>
          </w:rPr>
          <w:t>2</w:t>
        </w:r>
      </w:fldSimple>
      <w:r>
        <w:t xml:space="preserve">: Sample of observations from a single inventory plot. </w:t>
      </w:r>
      <w:r w:rsidR="006B0654">
        <w:t xml:space="preserve">Top left: </w:t>
      </w:r>
      <w:r>
        <w:t xml:space="preserve">Data on trees &gt;= 11.4 cm DBH and saplings &gt;= 1.37 m height </w:t>
      </w:r>
      <w:r w:rsidR="006B0654">
        <w:t>include species, DBH, height, height to live crown, live/dead status, and spatial location within a 500 m</w:t>
      </w:r>
      <w:r w:rsidR="006B0654">
        <w:rPr>
          <w:vertAlign w:val="superscript"/>
        </w:rPr>
        <w:t>2</w:t>
      </w:r>
      <w:r w:rsidR="006B0654">
        <w:t xml:space="preserve"> fixed area plot (trees) or a 116 m</w:t>
      </w:r>
      <w:r w:rsidR="006B0654">
        <w:rPr>
          <w:vertAlign w:val="superscript"/>
        </w:rPr>
        <w:t>2</w:t>
      </w:r>
      <w:r w:rsidR="006B0654">
        <w:t xml:space="preserve"> fixed area plot (saplings). Top right: Depth of </w:t>
      </w:r>
      <w:r w:rsidR="00AD0989">
        <w:t>duff and litter</w:t>
      </w:r>
      <w:r w:rsidR="006B0654">
        <w:t xml:space="preserve"> was sampled at locations 2.0, 2.1, 2.2, 2.3, 2.4, 2.5, 3.0, 3.5, 4.0, 4.5, 5.5, 7.0, 7.5, 9.5, 19.5, and 29.5 m along each of four transects </w:t>
      </w:r>
      <w:r w:rsidR="00402923">
        <w:t xml:space="preserve">arranged at cardinal directions from plot center (data from East and West transects shown). Center: From 9.0-10.0 m along each transect, diameter (mm) of each individual particle of fine woody debris intersecting the transect was recorded. Middle-right: Tally of 1-hour, 10-hour, and 100-hour fine woody debris particles intersecting two </w:t>
      </w:r>
      <w:r w:rsidR="00611156">
        <w:t xml:space="preserve">1 m </w:t>
      </w:r>
      <w:proofErr w:type="spellStart"/>
      <w:r w:rsidR="00611156">
        <w:t>subtransects</w:t>
      </w:r>
      <w:proofErr w:type="spellEnd"/>
      <w:r w:rsidR="00611156">
        <w:t xml:space="preserve"> located at 2.5, 3.5, 4.5, 5.5, 7.5, 9.5, 19.5, and 29.5 m along each transect (data from East and West transects shown). Bottom-left: Location, height, and species of dominant vegetation was recorded along four 15 m transects arranged at cardinal directions from plot center (data from East and West transects shown). Bottom-right: Location, diameter, and decay class of coarse woody debris particles intersecting four 30 m transects arranged at cardinal directions from plot center were recorded (data from East and West transects shown). </w:t>
      </w:r>
    </w:p>
    <w:p w14:paraId="47DCAE90" w14:textId="7821A460" w:rsidR="00611156" w:rsidRDefault="00611156" w:rsidP="00611156"/>
    <w:p w14:paraId="043CB2FB" w14:textId="77777777" w:rsidR="00E85902" w:rsidRDefault="00611156" w:rsidP="00E85902">
      <w:pPr>
        <w:keepNext/>
      </w:pPr>
      <w:r>
        <w:rPr>
          <w:noProof/>
        </w:rPr>
        <w:lastRenderedPageBreak/>
        <w:drawing>
          <wp:inline distT="0" distB="0" distL="0" distR="0" wp14:anchorId="7F5FF388" wp14:editId="1C3490F5">
            <wp:extent cx="5547370" cy="64008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7370" cy="6400811"/>
                    </a:xfrm>
                    <a:prstGeom prst="rect">
                      <a:avLst/>
                    </a:prstGeom>
                  </pic:spPr>
                </pic:pic>
              </a:graphicData>
            </a:graphic>
          </wp:inline>
        </w:drawing>
      </w:r>
    </w:p>
    <w:p w14:paraId="3DABDD74" w14:textId="328A57A7" w:rsidR="00611156" w:rsidRDefault="00E85902" w:rsidP="00E85902">
      <w:pPr>
        <w:pStyle w:val="Caption"/>
      </w:pPr>
      <w:bookmarkStart w:id="3" w:name="_Ref110853247"/>
      <w:r>
        <w:t xml:space="preserve">Figure </w:t>
      </w:r>
      <w:fldSimple w:instr=" SEQ Figure \* ARABIC ">
        <w:r w:rsidR="00AA5E75">
          <w:rPr>
            <w:noProof/>
          </w:rPr>
          <w:t>3</w:t>
        </w:r>
      </w:fldSimple>
      <w:bookmarkEnd w:id="3"/>
      <w:r>
        <w:t xml:space="preserve">: Posterior probability distributions for parameters of the duff depths model. </w:t>
      </w:r>
      <w:r w:rsidR="00B26489">
        <w:t>C</w:t>
      </w:r>
      <w:r>
        <w:t xml:space="preserve">olors indicate the group (drought mortality class). Each panel is for a model parameter, with the parameter value on the x-axis and the posterior probability density on the y-axis. </w:t>
      </w:r>
      <w:r w:rsidR="00B26489">
        <w:t xml:space="preserve">The shaded portion of each posterior probability density curve </w:t>
      </w:r>
      <w:r w:rsidR="00A84433">
        <w:t>shows a</w:t>
      </w:r>
      <w:r w:rsidR="00004ED0">
        <w:t>n 89</w:t>
      </w:r>
      <w:r w:rsidR="00A84433">
        <w:t>% credible interval for each parameter.</w:t>
      </w:r>
      <w:r w:rsidR="00B26489">
        <w:t xml:space="preserve"> </w:t>
      </w:r>
      <w:r w:rsidR="00873928">
        <w:t>The prior probability density for each parameter is shown as the red dashed lines.</w:t>
      </w:r>
      <w:r w:rsidR="00873928" w:rsidRPr="00873928">
        <w:t xml:space="preserve"> For all parameters, the posterior values for each </w:t>
      </w:r>
      <w:r w:rsidR="00873928">
        <w:t xml:space="preserve">group </w:t>
      </w:r>
      <w:r w:rsidR="00873928" w:rsidRPr="00873928">
        <w:t>are sharply different from the relatively broad prior distribution, indicating that the posteriors are well informed by the data rather than the prior distribution for each parameter.</w:t>
      </w:r>
      <w:r w:rsidR="00873928">
        <w:t xml:space="preserve"> </w:t>
      </w:r>
      <w:r w:rsidR="000C2A94">
        <w:t>There is extensive overlap in the posterior distribution across the drought mortality classes for a</w:t>
      </w:r>
      <w:r w:rsidR="008B236D">
        <w:t>l</w:t>
      </w:r>
      <w:r w:rsidR="000C2A94">
        <w:t xml:space="preserve">l parameters, indicating that any differences in the parameters describing the pattern of duff depth across drought mortality classes are small relative to the uncertainty in parameter values. </w:t>
      </w:r>
    </w:p>
    <w:p w14:paraId="3A9C417B" w14:textId="1788E84C" w:rsidR="000C2A94" w:rsidRDefault="000C2A94" w:rsidP="000C2A94"/>
    <w:p w14:paraId="03A560DC" w14:textId="77777777" w:rsidR="00B96755" w:rsidRDefault="000C2A94" w:rsidP="00B96755">
      <w:pPr>
        <w:keepNext/>
      </w:pPr>
      <w:r>
        <w:rPr>
          <w:noProof/>
        </w:rPr>
        <w:lastRenderedPageBreak/>
        <w:drawing>
          <wp:inline distT="0" distB="0" distL="0" distR="0" wp14:anchorId="64757B7D" wp14:editId="5024733C">
            <wp:extent cx="5547370" cy="64008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47370" cy="6400811"/>
                    </a:xfrm>
                    <a:prstGeom prst="rect">
                      <a:avLst/>
                    </a:prstGeom>
                  </pic:spPr>
                </pic:pic>
              </a:graphicData>
            </a:graphic>
          </wp:inline>
        </w:drawing>
      </w:r>
    </w:p>
    <w:p w14:paraId="7A447290" w14:textId="04975648" w:rsidR="000C2A94" w:rsidRPr="000C2A94" w:rsidRDefault="00B96755" w:rsidP="00B96755">
      <w:pPr>
        <w:pStyle w:val="Caption"/>
      </w:pPr>
      <w:bookmarkStart w:id="4" w:name="_Ref110859880"/>
      <w:r>
        <w:t xml:space="preserve">Figure </w:t>
      </w:r>
      <w:fldSimple w:instr=" SEQ Figure \* ARABIC ">
        <w:r w:rsidR="00AA5E75">
          <w:rPr>
            <w:noProof/>
          </w:rPr>
          <w:t>4</w:t>
        </w:r>
      </w:fldSimple>
      <w:bookmarkEnd w:id="4"/>
      <w:r>
        <w:t xml:space="preserve">: Posterior probability distributions for parameters of the litter depths model. Fill colors indicate the group (drought mortality class). Each panel is for a model parameter, with the parameter value on the x-axis and the posterior probability density on the y-axis. </w:t>
      </w:r>
      <w:r w:rsidR="00A84433">
        <w:t>The shaded portion of each posterior probability density curve shows a</w:t>
      </w:r>
      <w:r w:rsidR="00004ED0">
        <w:t>n 89</w:t>
      </w:r>
      <w:r w:rsidR="00A84433">
        <w:t xml:space="preserve">% credible interval for each parameter. </w:t>
      </w:r>
      <w:r w:rsidR="00873928">
        <w:t xml:space="preserve">Prior distributions for each parameter are shown as the red dashed lines. </w:t>
      </w:r>
      <w:r>
        <w:t>The posterior distributions suggest that high drought mortality plots may have had a higher mean, lower gaussian process magnitude, and greater gaussian process length-scale than did plots with low levels of drought mortality. However, the differences are small relative to the parameter uncertainty and the 95% credible intervals of the drought mortality classes overlap for all parameters</w:t>
      </w:r>
      <w:r w:rsidR="009C78A3">
        <w:t xml:space="preserve"> except the GP magnitudes for low and high drought mortality</w:t>
      </w:r>
      <w:r>
        <w:t xml:space="preserve">. </w:t>
      </w:r>
      <w:r w:rsidR="00A50D2B">
        <w:t xml:space="preserve">Furthermore, the posterior distributions for the length-scale of the gaussian process effect for </w:t>
      </w:r>
      <w:r w:rsidR="00521916">
        <w:t>medium</w:t>
      </w:r>
      <w:r w:rsidR="00A50D2B">
        <w:t xml:space="preserve"> and high drought mortality classes substantially overlap with the prior distribution, suggesting that the posterior distributions for those parameters are only weakly informed by the data, rather than the prior. </w:t>
      </w:r>
    </w:p>
    <w:p w14:paraId="0F13B8E4" w14:textId="77777777" w:rsidR="000D47C2" w:rsidRDefault="000D47C2" w:rsidP="000D47C2">
      <w:pPr>
        <w:keepNext/>
      </w:pPr>
      <w:r>
        <w:rPr>
          <w:noProof/>
        </w:rPr>
        <w:lastRenderedPageBreak/>
        <w:drawing>
          <wp:inline distT="0" distB="0" distL="0" distR="0" wp14:anchorId="44F53C06" wp14:editId="6E162CD3">
            <wp:extent cx="5943612" cy="685801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12" cy="6858014"/>
                    </a:xfrm>
                    <a:prstGeom prst="rect">
                      <a:avLst/>
                    </a:prstGeom>
                  </pic:spPr>
                </pic:pic>
              </a:graphicData>
            </a:graphic>
          </wp:inline>
        </w:drawing>
      </w:r>
    </w:p>
    <w:p w14:paraId="02A8B63C" w14:textId="7937A798" w:rsidR="000D47C2" w:rsidRPr="008A01F4" w:rsidRDefault="000D47C2" w:rsidP="000E49EA">
      <w:pPr>
        <w:pStyle w:val="Caption"/>
      </w:pPr>
      <w:r>
        <w:t xml:space="preserve">Figure </w:t>
      </w:r>
      <w:fldSimple w:instr=" SEQ Figure \* ARABIC ">
        <w:r w:rsidR="00AA5E75">
          <w:rPr>
            <w:noProof/>
          </w:rPr>
          <w:t>5</w:t>
        </w:r>
      </w:fldSimple>
      <w:r>
        <w:t xml:space="preserve">: Posterior probability distributions for parameters of the fine woody debris tallies model. Fill colors indicate the group (drought mortality class). Each panel is for a model parameter, with the parameter value on the x-axis and the posterior probability density on the y-axis. </w:t>
      </w:r>
      <w:r w:rsidR="00A84433">
        <w:t>The shaded portion of each posterior probability density curve shows a</w:t>
      </w:r>
      <w:r w:rsidR="00004ED0">
        <w:t>n 89</w:t>
      </w:r>
      <w:r w:rsidR="00A84433">
        <w:t xml:space="preserve">% credible interval for each parameter. </w:t>
      </w:r>
      <w:r w:rsidR="00873928">
        <w:t xml:space="preserve">Prior distributions for each parameter are shown as red dashed lines. </w:t>
      </w:r>
      <w:r>
        <w:t xml:space="preserve">Any differences between drought mortality classes are small relative to the parameter uncertainty and the 95% credible intervals of the drought mortality classes overlap for all parameters. Furthermore, the posterior distributions for the length-scale of the gaussian process effect for </w:t>
      </w:r>
      <w:r w:rsidR="00521916">
        <w:t>low and medium</w:t>
      </w:r>
      <w:r>
        <w:t xml:space="preserve"> drought mortality classes substantially overlap with the prior distribution, suggesting that the posterior distributions for those parameters are only weakly informed by the data, rather than the prior.</w:t>
      </w:r>
    </w:p>
    <w:p w14:paraId="71193AD5" w14:textId="77777777" w:rsidR="000E49EA" w:rsidRDefault="000E49EA" w:rsidP="000E49EA">
      <w:pPr>
        <w:keepNext/>
      </w:pPr>
      <w:r>
        <w:rPr>
          <w:noProof/>
        </w:rPr>
        <w:lastRenderedPageBreak/>
        <w:drawing>
          <wp:inline distT="0" distB="0" distL="0" distR="0" wp14:anchorId="6D3F2FFF" wp14:editId="205EC51B">
            <wp:extent cx="5943612" cy="59436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FF30080" w14:textId="12958DFA" w:rsidR="000E49EA" w:rsidRDefault="000E49EA" w:rsidP="000E49EA">
      <w:pPr>
        <w:pStyle w:val="Caption"/>
      </w:pPr>
      <w:r>
        <w:t xml:space="preserve">Figure </w:t>
      </w:r>
      <w:fldSimple w:instr=" SEQ Figure \* ARABIC ">
        <w:r w:rsidR="00AA5E75">
          <w:rPr>
            <w:noProof/>
          </w:rPr>
          <w:t>6</w:t>
        </w:r>
      </w:fldSimple>
      <w:r>
        <w:t xml:space="preserve">: Posterior probability distributions for parameters of the fine woody debris diameters model. Fill colors indicate the group (drought mortality class). Each panel is for a model parameter, with the parameter value on the x-axis and the posterior probability density on the y-axis. </w:t>
      </w:r>
      <w:r w:rsidR="00A84433">
        <w:t>The shaded portion of each posterior probability density curve shows a</w:t>
      </w:r>
      <w:r w:rsidR="00004ED0">
        <w:t>n 89</w:t>
      </w:r>
      <w:r w:rsidR="00A84433">
        <w:t xml:space="preserve">% credible interval for each parameter. </w:t>
      </w:r>
      <w:r w:rsidR="00873928">
        <w:t xml:space="preserve">Prior distributions for each parameter are shown as the red dashed lines. </w:t>
      </w:r>
      <w:r w:rsidR="00644FB4" w:rsidRPr="00644FB4">
        <w:t xml:space="preserve">For the intercept and the precision parameter, the posterior values for each </w:t>
      </w:r>
      <w:r w:rsidR="00644FB4">
        <w:t>group</w:t>
      </w:r>
      <w:r w:rsidR="00644FB4" w:rsidRPr="00644FB4">
        <w:t xml:space="preserve"> are sharply different from the relatively broad prior distribution, indicating that the posteriors are well informed by the data rather than the prior distribution. For the standard deviation of the transect random effect, the posterior distributions for all three </w:t>
      </w:r>
      <w:r w:rsidR="00644FB4">
        <w:t>groups</w:t>
      </w:r>
      <w:r w:rsidR="00644FB4" w:rsidRPr="00644FB4">
        <w:t xml:space="preserve"> are fairly </w:t>
      </w:r>
      <w:proofErr w:type="gramStart"/>
      <w:r w:rsidR="00644FB4" w:rsidRPr="00644FB4">
        <w:t>similar to</w:t>
      </w:r>
      <w:proofErr w:type="gramEnd"/>
      <w:r w:rsidR="00644FB4" w:rsidRPr="00644FB4">
        <w:t xml:space="preserve"> the prior distribution, with the posterior only excluding values less than approximately 0.15. This suggests that the data are only weakly informing the posterior distribution for this parameter in all three sub models. For the standard deviation of the plot random effect, only the posterior for </w:t>
      </w:r>
      <w:r w:rsidR="00644FB4">
        <w:t>the high drought mortality group</w:t>
      </w:r>
      <w:r w:rsidR="00644FB4" w:rsidRPr="00644FB4">
        <w:t xml:space="preserve"> is different from the prior, indicating that for the low and medium levels of drought mortality the data were not informative about the standard deviation of the plot effect.</w:t>
      </w:r>
    </w:p>
    <w:p w14:paraId="6C364DDC" w14:textId="77777777" w:rsidR="000E6A61" w:rsidRDefault="00C660B7" w:rsidP="000E6A61">
      <w:pPr>
        <w:keepNext/>
      </w:pPr>
      <w:r>
        <w:rPr>
          <w:noProof/>
        </w:rPr>
        <w:lastRenderedPageBreak/>
        <w:drawing>
          <wp:inline distT="0" distB="0" distL="0" distR="0" wp14:anchorId="0F16501F" wp14:editId="2162D42C">
            <wp:extent cx="5943612" cy="685801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12" cy="6858014"/>
                    </a:xfrm>
                    <a:prstGeom prst="rect">
                      <a:avLst/>
                    </a:prstGeom>
                  </pic:spPr>
                </pic:pic>
              </a:graphicData>
            </a:graphic>
          </wp:inline>
        </w:drawing>
      </w:r>
    </w:p>
    <w:p w14:paraId="7A55EBF3" w14:textId="4535EA2D" w:rsidR="000E6A61" w:rsidRDefault="000E6A61" w:rsidP="000E6A61">
      <w:pPr>
        <w:pStyle w:val="Caption"/>
      </w:pPr>
      <w:r>
        <w:t xml:space="preserve">Figure </w:t>
      </w:r>
      <w:fldSimple w:instr=" SEQ Figure \* ARABIC ">
        <w:r w:rsidR="00AA5E75">
          <w:rPr>
            <w:noProof/>
          </w:rPr>
          <w:t>7</w:t>
        </w:r>
      </w:fldSimple>
      <w:r>
        <w:t xml:space="preserve">: Posterior probability distributions for parameters of the coarse woody debris tallies model. Fill colors indicate the group (drought mortality class). Each panel is for a model parameter, with the parameter value on the x-axis and the posterior probability density on the y-axis. </w:t>
      </w:r>
      <w:r w:rsidR="00A84433">
        <w:t>The shaded portion of each posterior probability density curve shows a</w:t>
      </w:r>
      <w:r w:rsidR="00004ED0">
        <w:t>n 89</w:t>
      </w:r>
      <w:r w:rsidR="00A84433">
        <w:t xml:space="preserve">% credible interval for each parameter. </w:t>
      </w:r>
      <w:r w:rsidR="00B26489">
        <w:t xml:space="preserve">Prior distributions for each parameter are shown as the red dashed lines. </w:t>
      </w:r>
      <w:r>
        <w:t xml:space="preserve">Any differences between drought mortality classes are small relative to the parameter uncertainty and the </w:t>
      </w:r>
      <w:r w:rsidR="00004ED0">
        <w:t>89</w:t>
      </w:r>
      <w:r>
        <w:t xml:space="preserve">% credible intervals of the drought mortality classes overlap for all parameters. </w:t>
      </w:r>
      <w:r w:rsidR="00644FB4" w:rsidRPr="00644FB4">
        <w:t>For the intercept</w:t>
      </w:r>
      <w:r w:rsidR="00644FB4">
        <w:t xml:space="preserve"> and</w:t>
      </w:r>
      <w:r w:rsidR="00644FB4" w:rsidRPr="00644FB4">
        <w:t xml:space="preserve"> gaussian process magnitude,</w:t>
      </w:r>
      <w:r w:rsidR="00644FB4">
        <w:t xml:space="preserve"> the posterior values for each group are clearly distinct from the prior distributions, indicating that the posteriors were well informed by the data. However, the posterior distributions for the gaussian process range, the standard deviation of the plot random effect, and the standard deviation of the </w:t>
      </w:r>
      <w:r w:rsidR="00644FB4">
        <w:lastRenderedPageBreak/>
        <w:t xml:space="preserve">transect random effect are all very similar to the prior distributions for those parameters, indicating that the </w:t>
      </w:r>
      <w:r w:rsidR="00B26489">
        <w:t>parameter estimates</w:t>
      </w:r>
      <w:r w:rsidR="00644FB4">
        <w:t xml:space="preserve"> were informed mainly by the prior rather than by the data. </w:t>
      </w:r>
      <w:r w:rsidR="00644FB4" w:rsidRPr="00644FB4">
        <w:t xml:space="preserve"> </w:t>
      </w:r>
    </w:p>
    <w:p w14:paraId="18B0AFA3" w14:textId="77777777" w:rsidR="00566638" w:rsidRDefault="00383BDF" w:rsidP="00566638">
      <w:pPr>
        <w:keepNext/>
      </w:pPr>
      <w:r>
        <w:rPr>
          <w:noProof/>
        </w:rPr>
        <w:drawing>
          <wp:inline distT="0" distB="0" distL="0" distR="0" wp14:anchorId="3DA3EE77" wp14:editId="14FB738F">
            <wp:extent cx="5283210" cy="365760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83210" cy="3657606"/>
                    </a:xfrm>
                    <a:prstGeom prst="rect">
                      <a:avLst/>
                    </a:prstGeom>
                  </pic:spPr>
                </pic:pic>
              </a:graphicData>
            </a:graphic>
          </wp:inline>
        </w:drawing>
      </w:r>
    </w:p>
    <w:p w14:paraId="4D4EC4A0" w14:textId="4570C17A" w:rsidR="00566638" w:rsidRDefault="00566638" w:rsidP="00566638">
      <w:pPr>
        <w:pStyle w:val="Caption"/>
      </w:pPr>
      <w:r>
        <w:t xml:space="preserve">Figure </w:t>
      </w:r>
      <w:fldSimple w:instr=" SEQ Figure \* ARABIC ">
        <w:r w:rsidR="00AA5E75">
          <w:rPr>
            <w:noProof/>
          </w:rPr>
          <w:t>8</w:t>
        </w:r>
      </w:fldSimple>
      <w:r>
        <w:t xml:space="preserve">: Posterior probability distributions for parameters of the coarse woody debris diameters model. Fill colors indicate the group (drought mortality class). Each panel is for a model parameter, with the parameter value on the x-axis and the posterior probability density on the y-axis. </w:t>
      </w:r>
      <w:r w:rsidR="00A84433">
        <w:t>The shaded portion of each posterior probability density curve shows a</w:t>
      </w:r>
      <w:r w:rsidR="00004ED0">
        <w:t>n 89</w:t>
      </w:r>
      <w:r w:rsidR="00A84433">
        <w:t xml:space="preserve">% credible interval for each parameter. </w:t>
      </w:r>
      <w:r w:rsidR="00B26489">
        <w:t>Prior probability densities for each parameter are shown as the red dashed lines. The posterior distributions are sharply distinct from the prior distribution for both parameters, but t</w:t>
      </w:r>
      <w:r>
        <w:t xml:space="preserve">he differences between drought mortality classes are small relative to the parameter uncertainty and the </w:t>
      </w:r>
      <w:r w:rsidR="00004ED0">
        <w:t>89</w:t>
      </w:r>
      <w:r>
        <w:t>% credible intervals of the drought mortality classes overlap for all parameters.</w:t>
      </w:r>
    </w:p>
    <w:p w14:paraId="1DC7C86F" w14:textId="77777777" w:rsidR="00065801" w:rsidRDefault="00C01093" w:rsidP="00065801">
      <w:pPr>
        <w:keepNext/>
      </w:pPr>
      <w:r>
        <w:rPr>
          <w:noProof/>
        </w:rPr>
        <w:lastRenderedPageBreak/>
        <w:drawing>
          <wp:inline distT="0" distB="0" distL="0" distR="0" wp14:anchorId="3767C6AF" wp14:editId="59F0FCDB">
            <wp:extent cx="5910786" cy="591078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10786" cy="5910786"/>
                    </a:xfrm>
                    <a:prstGeom prst="rect">
                      <a:avLst/>
                    </a:prstGeom>
                  </pic:spPr>
                </pic:pic>
              </a:graphicData>
            </a:graphic>
          </wp:inline>
        </w:drawing>
      </w:r>
    </w:p>
    <w:p w14:paraId="14610598" w14:textId="74A8178E" w:rsidR="00065801" w:rsidRDefault="00065801" w:rsidP="00065801">
      <w:pPr>
        <w:pStyle w:val="Caption"/>
      </w:pPr>
      <w:bookmarkStart w:id="5" w:name="_Ref115172796"/>
      <w:r>
        <w:t xml:space="preserve">Figure </w:t>
      </w:r>
      <w:fldSimple w:instr=" SEQ Figure \* ARABIC ">
        <w:r w:rsidR="00AA5E75">
          <w:rPr>
            <w:noProof/>
          </w:rPr>
          <w:t>9</w:t>
        </w:r>
      </w:fldSimple>
      <w:bookmarkEnd w:id="5"/>
      <w:r w:rsidR="00CE2090">
        <w:t xml:space="preserve">: Posterior probability distributions for parameters of the vegetation presences model. Fill colors indicate the group (drought mortality class). Each panel is for a model parameter, with the parameter value on the x-axis and the posterior probability density on the y-axis. </w:t>
      </w:r>
      <w:r w:rsidR="00A84433" w:rsidRPr="00A84433">
        <w:t>The shaded portion of each posterior probability density curve shows a</w:t>
      </w:r>
      <w:r w:rsidR="00B853E1">
        <w:t>n 89</w:t>
      </w:r>
      <w:r w:rsidR="00A84433" w:rsidRPr="00A84433">
        <w:t xml:space="preserve">% credible interval for each parameter. </w:t>
      </w:r>
      <w:r w:rsidR="00A84433">
        <w:t xml:space="preserve">The prior distributions for each parameter are shown as the red dashed lines. </w:t>
      </w:r>
      <w:r w:rsidR="00CE2090">
        <w:t xml:space="preserve">There is extensive overlap in the posterior distribution across the drought mortality classes for </w:t>
      </w:r>
      <w:r w:rsidR="008B236D">
        <w:t>the intercept, GP magnitude, and the standard deviation of the plot random effect</w:t>
      </w:r>
      <w:r w:rsidR="00CE2090">
        <w:t xml:space="preserve">, indicating that any differences in the parameters describing the pattern </w:t>
      </w:r>
      <w:r w:rsidR="008B236D">
        <w:t>of vegetation presence</w:t>
      </w:r>
      <w:r w:rsidR="00CE2090">
        <w:t xml:space="preserve"> across drought mortality classes are small relative to the uncertainty in parameter values</w:t>
      </w:r>
      <w:r w:rsidR="008B236D">
        <w:t xml:space="preserve"> for these parameters</w:t>
      </w:r>
      <w:r w:rsidR="00CE2090">
        <w:t>.</w:t>
      </w:r>
      <w:r w:rsidR="008B236D">
        <w:t xml:space="preserve"> </w:t>
      </w:r>
      <w:r w:rsidR="00603690">
        <w:t xml:space="preserve">The figure is suggestive of a difference in the GP length-scale parameter across the three groups, </w:t>
      </w:r>
      <w:r w:rsidR="00A84433">
        <w:t xml:space="preserve">and the </w:t>
      </w:r>
      <w:r w:rsidR="00B853E1">
        <w:t>89</w:t>
      </w:r>
      <w:r w:rsidR="00A84433">
        <w:t xml:space="preserve">% credible intervals of the medium and high drought mortality groups do not overlap. The data were informative for the gaussian process magnitude and gaussian process range parameters, but not for the intercept and only marginally for the plot random effect standard deviation. </w:t>
      </w:r>
      <w:r w:rsidR="00603690">
        <w:t xml:space="preserve"> </w:t>
      </w:r>
    </w:p>
    <w:p w14:paraId="31B076B0" w14:textId="77777777" w:rsidR="003C2164" w:rsidRDefault="003C2164"/>
    <w:p w14:paraId="7AB22078" w14:textId="77777777" w:rsidR="00AA5E75" w:rsidRDefault="003C2164" w:rsidP="00AA5E75">
      <w:pPr>
        <w:keepNext/>
      </w:pPr>
      <w:r>
        <w:rPr>
          <w:noProof/>
        </w:rPr>
        <w:lastRenderedPageBreak/>
        <w:drawing>
          <wp:inline distT="0" distB="0" distL="0" distR="0" wp14:anchorId="46F0A3C8" wp14:editId="64778FA6">
            <wp:extent cx="5943612" cy="594361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E9498F3" w14:textId="2AEE7A75" w:rsidR="00AA5E75" w:rsidRDefault="00AA5E75" w:rsidP="00AA5E75">
      <w:pPr>
        <w:pStyle w:val="Caption"/>
      </w:pPr>
      <w:r>
        <w:t xml:space="preserve">Figure </w:t>
      </w:r>
      <w:fldSimple w:instr=" SEQ Figure \* ARABIC ">
        <w:r>
          <w:rPr>
            <w:noProof/>
          </w:rPr>
          <w:t>10</w:t>
        </w:r>
      </w:fldSimple>
      <w:r>
        <w:t xml:space="preserve">: Posterior probability distributions for parameters of the </w:t>
      </w:r>
      <w:proofErr w:type="gramStart"/>
      <w:r>
        <w:t>trees</w:t>
      </w:r>
      <w:proofErr w:type="gramEnd"/>
      <w:r>
        <w:t xml:space="preserve"> quadrat-count model. Fill colors indicate the group (drought mortality class). Each panel is for a model parameter, with the parameter value on the x-axis and the posterior probability density on the y-axis. </w:t>
      </w:r>
      <w:r w:rsidRPr="00A84433">
        <w:t>The shaded portion of each posterior probability density curve shows a</w:t>
      </w:r>
      <w:r w:rsidR="00B853E1">
        <w:t>n 89</w:t>
      </w:r>
      <w:r w:rsidRPr="00A84433">
        <w:t xml:space="preserve">% credible interval for each parameter. </w:t>
      </w:r>
      <w:r>
        <w:t xml:space="preserve">The prior distributions for each parameter are shown as the red dashed lines. For all parameters except the intercept, the posterior distributions strongly overlap the prior distribution, indicating that the model estimates are not well informed by the data. Unsurprisingly, there is extensive overlap in the posterior distribution across the drought mortality classes for all parameters, indicating that any differences in the parameters describing the pattern of tree density across drought mortality classes are small relative to the uncertainty in parameter values for these parameters.  </w:t>
      </w:r>
    </w:p>
    <w:p w14:paraId="017C3501" w14:textId="77777777" w:rsidR="00AA5E75" w:rsidRDefault="00AA5E75" w:rsidP="00AA5E75">
      <w:pPr>
        <w:keepNext/>
      </w:pPr>
      <w:r>
        <w:rPr>
          <w:noProof/>
        </w:rPr>
        <w:lastRenderedPageBreak/>
        <w:drawing>
          <wp:inline distT="0" distB="0" distL="0" distR="0" wp14:anchorId="26CB122A" wp14:editId="41A0B56B">
            <wp:extent cx="5943612" cy="59436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0AAD3F2" w14:textId="45844B2F" w:rsidR="00AA5E75" w:rsidRPr="00AA5E75" w:rsidRDefault="00AA5E75" w:rsidP="00AA5E75">
      <w:pPr>
        <w:pStyle w:val="Caption"/>
      </w:pPr>
      <w:r>
        <w:t xml:space="preserve">Figure </w:t>
      </w:r>
      <w:fldSimple w:instr=" SEQ Figure \* ARABIC ">
        <w:r>
          <w:rPr>
            <w:noProof/>
          </w:rPr>
          <w:t>11</w:t>
        </w:r>
      </w:fldSimple>
      <w:r>
        <w:t xml:space="preserve">: Posterior probability distributions for parameters of the </w:t>
      </w:r>
      <w:proofErr w:type="gramStart"/>
      <w:r>
        <w:t>saplings</w:t>
      </w:r>
      <w:proofErr w:type="gramEnd"/>
      <w:r>
        <w:t xml:space="preserve"> quadrat-count model. Fill colors indicate the group (drought mortality class). Each panel is for a model parameter, with the parameter value on the x-axis and the posterior probability density on the y-axis. </w:t>
      </w:r>
      <w:r w:rsidRPr="00A84433">
        <w:t xml:space="preserve">The shaded portion of each posterior probability density curve shows a 95% credible interval for each parameter. </w:t>
      </w:r>
      <w:r>
        <w:t xml:space="preserve">The prior distributions for each parameter are shown as the red dashed lines. For all parameters except the </w:t>
      </w:r>
      <w:proofErr w:type="gramStart"/>
      <w:r>
        <w:t>intercept,  the</w:t>
      </w:r>
      <w:proofErr w:type="gramEnd"/>
      <w:r>
        <w:t xml:space="preserve"> gaussian process magnitude for the low mortality group, and the plot effect standard deviation for the high mortality group, the posterior distributions strongly overlap the prior distribution, indicating that the model estimates are not well informed by the data. Unsurprisingly, there is extensive overlap in the posterior distribution across the drought mortality classes for all parameters</w:t>
      </w:r>
      <w:r w:rsidR="00B853E1">
        <w:t xml:space="preserve"> except the gaussian process magnitude, for which the data were only informative for the low mortality group.</w:t>
      </w:r>
    </w:p>
    <w:p w14:paraId="2FEC482C" w14:textId="6F005462" w:rsidR="007531D5" w:rsidRPr="000E49EA" w:rsidRDefault="007531D5">
      <w:r>
        <w:br w:type="page"/>
      </w:r>
    </w:p>
    <w:p w14:paraId="5CCB2D9D" w14:textId="5B60E98A" w:rsidR="00DE2B66" w:rsidRDefault="00DE2B66" w:rsidP="00DE2B66">
      <w:pPr>
        <w:pStyle w:val="Heading1"/>
      </w:pPr>
      <w:r>
        <w:lastRenderedPageBreak/>
        <w:t>References</w:t>
      </w:r>
    </w:p>
    <w:p w14:paraId="058B70F5" w14:textId="517908CC" w:rsidR="00DE2B66" w:rsidRDefault="00DE2B66" w:rsidP="00DE2B66"/>
    <w:p w14:paraId="0E3734A2" w14:textId="77777777" w:rsidR="007531D5" w:rsidRDefault="007531D5">
      <w:pPr>
        <w:rPr>
          <w:rFonts w:asciiTheme="majorHAnsi" w:eastAsiaTheme="majorEastAsia" w:hAnsiTheme="majorHAnsi" w:cstheme="majorBidi"/>
          <w:color w:val="2F5496" w:themeColor="accent1" w:themeShade="BF"/>
          <w:sz w:val="32"/>
          <w:szCs w:val="32"/>
        </w:rPr>
      </w:pPr>
      <w:r>
        <w:br w:type="page"/>
      </w:r>
    </w:p>
    <w:p w14:paraId="2B5350E1" w14:textId="76EAE7EA" w:rsidR="00DE2B66" w:rsidRDefault="00DE2B66" w:rsidP="00DE2B66">
      <w:pPr>
        <w:pStyle w:val="Heading1"/>
      </w:pPr>
      <w:r>
        <w:lastRenderedPageBreak/>
        <w:t>Supplementary Materials</w:t>
      </w:r>
    </w:p>
    <w:p w14:paraId="2CCFFDA3" w14:textId="424212FB" w:rsidR="007531D5" w:rsidRDefault="007531D5" w:rsidP="007531D5"/>
    <w:p w14:paraId="41FFCD81" w14:textId="77777777" w:rsidR="00EC484A" w:rsidRDefault="00EC484A" w:rsidP="00EC484A">
      <w:pPr>
        <w:keepNext/>
      </w:pPr>
      <w:r>
        <w:rPr>
          <w:noProof/>
        </w:rPr>
        <w:drawing>
          <wp:inline distT="0" distB="0" distL="0" distR="0" wp14:anchorId="530A3402" wp14:editId="55CE2ABC">
            <wp:extent cx="5943612" cy="3657607"/>
            <wp:effectExtent l="0" t="0" r="0" b="0"/>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7BDF0CEF" w14:textId="3DF53CF8" w:rsidR="007531D5" w:rsidRDefault="00EC484A" w:rsidP="00EC484A">
      <w:pPr>
        <w:pStyle w:val="Caption"/>
      </w:pPr>
      <w:bookmarkStart w:id="6" w:name="_Ref118279121"/>
      <w:r>
        <w:t xml:space="preserve">Supplementary Figure </w:t>
      </w:r>
      <w:fldSimple w:instr=" SEQ Supplementary_Figure \* ARABIC ">
        <w:r w:rsidR="00411179">
          <w:rPr>
            <w:noProof/>
          </w:rPr>
          <w:t>1</w:t>
        </w:r>
      </w:fldSimple>
      <w:bookmarkEnd w:id="6"/>
      <w:r>
        <w:t xml:space="preserve">: Comparison of elevation, slope, and </w:t>
      </w:r>
      <w:proofErr w:type="spellStart"/>
      <w:r>
        <w:t>southwestness</w:t>
      </w:r>
      <w:proofErr w:type="spellEnd"/>
      <w:r>
        <w:t xml:space="preserve"> index between the entire area of interest (CALVEG-mapped mixed conifer forest (pine) vegetation type between 750 and 2250 m elevation in the vicinity of Crystal Cave Road in Sequoia National Park)</w:t>
      </w:r>
      <w:r w:rsidR="005A6935">
        <w:t xml:space="preserve"> and the subset of the area of interest which was accessible for sampling purposes (&lt; 25</w:t>
      </w:r>
      <w:r w:rsidR="005A6935">
        <w:rPr>
          <w:rFonts w:cstheme="minorHAnsi"/>
        </w:rPr>
        <w:t>°</w:t>
      </w:r>
      <w:r w:rsidR="005A6935">
        <w:t xml:space="preserve"> slopes and located 50-600 m from a road or trail). Histograms are of pixel values for topographic </w:t>
      </w:r>
      <w:proofErr w:type="spellStart"/>
      <w:r w:rsidR="005A6935">
        <w:t>rasters</w:t>
      </w:r>
      <w:proofErr w:type="spellEnd"/>
      <w:r w:rsidR="005A6935">
        <w:t xml:space="preserve"> derived from a 30.7 x 30.6 m resolution DEM. The distribution of topographic characteristics within the accessible area is very similar to the distribution of topographic characteristics within the entire area of interest, except that the accessible area has lower slopes on average. The pixels from the accessible area with a slope greater than 25 degrees were included because of edge artifacts when converting between raster and vector data types. </w:t>
      </w:r>
    </w:p>
    <w:p w14:paraId="43CC584C" w14:textId="11643F7E" w:rsidR="00190F01" w:rsidRDefault="00190F01" w:rsidP="00190F01"/>
    <w:p w14:paraId="13E2BC41" w14:textId="77777777" w:rsidR="00190F01" w:rsidRDefault="00190F01" w:rsidP="00190F01">
      <w:pPr>
        <w:keepNext/>
      </w:pPr>
      <w:r>
        <w:rPr>
          <w:noProof/>
        </w:rPr>
        <w:lastRenderedPageBreak/>
        <w:drawing>
          <wp:inline distT="0" distB="0" distL="0" distR="0" wp14:anchorId="4CB5F208" wp14:editId="58132319">
            <wp:extent cx="5943612" cy="42926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12" cy="4292608"/>
                    </a:xfrm>
                    <a:prstGeom prst="rect">
                      <a:avLst/>
                    </a:prstGeom>
                  </pic:spPr>
                </pic:pic>
              </a:graphicData>
            </a:graphic>
          </wp:inline>
        </w:drawing>
      </w:r>
    </w:p>
    <w:p w14:paraId="4DE47D1E" w14:textId="21DB9436" w:rsidR="00190F01" w:rsidRDefault="00190F01" w:rsidP="00190F01">
      <w:pPr>
        <w:pStyle w:val="Caption"/>
      </w:pPr>
      <w:r>
        <w:t xml:space="preserve">Supplementary Figure </w:t>
      </w:r>
      <w:fldSimple w:instr=" SEQ Supplementary_Figure \* ARABIC ">
        <w:r w:rsidR="00411179">
          <w:rPr>
            <w:noProof/>
          </w:rPr>
          <w:t>2</w:t>
        </w:r>
      </w:fldSimple>
      <w:r>
        <w:t xml:space="preserve">: Sample variograms for data from plots with low drought mortality. </w:t>
      </w:r>
      <w:r w:rsidR="00786C4C">
        <w:t xml:space="preserve">In each panel, the pairwise distance between observations </w:t>
      </w:r>
      <w:r w:rsidR="00D27786">
        <w:t xml:space="preserve">(in meters) </w:t>
      </w:r>
      <w:r w:rsidR="00786C4C">
        <w:t xml:space="preserve">is on the x-axis and the </w:t>
      </w:r>
      <w:proofErr w:type="spellStart"/>
      <w:r w:rsidR="00786C4C">
        <w:t>semivariance</w:t>
      </w:r>
      <w:proofErr w:type="spellEnd"/>
      <w:r w:rsidR="00786C4C">
        <w:t xml:space="preserve"> between observations at that distance (in 1 m distance bins) is plotted on the y-axis. Increases in the </w:t>
      </w:r>
      <w:proofErr w:type="spellStart"/>
      <w:r w:rsidR="00786C4C">
        <w:t>semivariance</w:t>
      </w:r>
      <w:proofErr w:type="spellEnd"/>
      <w:r w:rsidR="00786C4C">
        <w:t xml:space="preserve"> between observations as the distance between them increases are evidence of spatial correlation.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for which the variogram is ambiguous. </w:t>
      </w:r>
      <w:r w:rsidR="00D27786">
        <w:t xml:space="preserve">There is noisy evidence of spatial cross correlation between </w:t>
      </w:r>
      <w:r w:rsidR="00AD0989">
        <w:t>duff and litter</w:t>
      </w:r>
      <w:r w:rsidR="00D27786">
        <w:t xml:space="preserve">, between 1-hour and 100-hour fine woody debris, and between 10-hour and 100-hour fine woody debris. There is clear evidence of spatial cross correlation between 1-hour and 10-hour fine woody debris, and between 1-hour fine woody debris and vegetation heights. </w:t>
      </w:r>
    </w:p>
    <w:p w14:paraId="151A83E5" w14:textId="3542AF60" w:rsidR="002402D7" w:rsidRDefault="002402D7" w:rsidP="002402D7"/>
    <w:p w14:paraId="0D8B36E6" w14:textId="77777777" w:rsidR="002402D7" w:rsidRDefault="002402D7" w:rsidP="002402D7">
      <w:pPr>
        <w:keepNext/>
      </w:pPr>
      <w:r>
        <w:rPr>
          <w:noProof/>
        </w:rPr>
        <w:lastRenderedPageBreak/>
        <w:drawing>
          <wp:inline distT="0" distB="0" distL="0" distR="0" wp14:anchorId="0A74745A" wp14:editId="1679F035">
            <wp:extent cx="5943600" cy="429260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292600"/>
                    </a:xfrm>
                    <a:prstGeom prst="rect">
                      <a:avLst/>
                    </a:prstGeom>
                  </pic:spPr>
                </pic:pic>
              </a:graphicData>
            </a:graphic>
          </wp:inline>
        </w:drawing>
      </w:r>
    </w:p>
    <w:p w14:paraId="056CD6B3" w14:textId="6FCDB7F2" w:rsidR="002402D7" w:rsidRDefault="002402D7" w:rsidP="002402D7">
      <w:pPr>
        <w:pStyle w:val="Caption"/>
      </w:pPr>
      <w:r>
        <w:t xml:space="preserve">Supplementary Figure </w:t>
      </w:r>
      <w:fldSimple w:instr=" SEQ Supplementary_Figure \* ARABIC ">
        <w:r w:rsidR="00411179">
          <w:rPr>
            <w:noProof/>
          </w:rPr>
          <w:t>3</w:t>
        </w:r>
      </w:fldSimple>
      <w:r>
        <w:t xml:space="preserve">: Sample variograms for data from plots with medium drought mortality. In each panel, the pairwise distance between observations (in meters) is on the x-axis and the </w:t>
      </w:r>
      <w:proofErr w:type="spellStart"/>
      <w:r>
        <w:t>semivariance</w:t>
      </w:r>
      <w:proofErr w:type="spellEnd"/>
      <w:r>
        <w:t xml:space="preserve"> between observations at that distance (in 1 m distance bins) is plotted on the y-axis. Increases in the </w:t>
      </w:r>
      <w:proofErr w:type="spellStart"/>
      <w:r>
        <w:t>semivariance</w:t>
      </w:r>
      <w:proofErr w:type="spellEnd"/>
      <w:r>
        <w:t xml:space="preserve"> between observations as the distance between them increases are evidence of spatial correlation.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There is noisy evidence of spatial cross correlation between 1-hour and 10-hour fine woody debris and between 1-hour and 100-hour fine woody debris. There is clear evidence of spatial cross correlation between 10-hour and 100-hour fine woody debris, and between 1-hour fine woody debris and vegetation heights. </w:t>
      </w:r>
    </w:p>
    <w:p w14:paraId="6A4A531B" w14:textId="40632D3E" w:rsidR="002402D7" w:rsidRDefault="002402D7" w:rsidP="002402D7"/>
    <w:p w14:paraId="4403925C" w14:textId="77777777" w:rsidR="002402D7" w:rsidRDefault="002402D7" w:rsidP="002402D7">
      <w:pPr>
        <w:keepNext/>
      </w:pPr>
      <w:r>
        <w:rPr>
          <w:noProof/>
        </w:rPr>
        <w:lastRenderedPageBreak/>
        <w:drawing>
          <wp:inline distT="0" distB="0" distL="0" distR="0" wp14:anchorId="465661BC" wp14:editId="5A1F6467">
            <wp:extent cx="5943600" cy="4292600"/>
            <wp:effectExtent l="0" t="0" r="0" b="0"/>
            <wp:docPr id="8" name="Picture 8"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292600"/>
                    </a:xfrm>
                    <a:prstGeom prst="rect">
                      <a:avLst/>
                    </a:prstGeom>
                  </pic:spPr>
                </pic:pic>
              </a:graphicData>
            </a:graphic>
          </wp:inline>
        </w:drawing>
      </w:r>
    </w:p>
    <w:p w14:paraId="77510723" w14:textId="51CC2A2F" w:rsidR="002402D7" w:rsidRDefault="002402D7" w:rsidP="002402D7">
      <w:pPr>
        <w:pStyle w:val="Caption"/>
      </w:pPr>
      <w:r>
        <w:t xml:space="preserve">Supplementary Figure </w:t>
      </w:r>
      <w:fldSimple w:instr=" SEQ Supplementary_Figure \* ARABIC ">
        <w:r w:rsidR="00411179">
          <w:rPr>
            <w:noProof/>
          </w:rPr>
          <w:t>4</w:t>
        </w:r>
      </w:fldSimple>
      <w:r>
        <w:t xml:space="preserve">: Sample variograms for data from plots with high drought mortality. In each panel, the pairwise distance between observations (in meters) is on the x-axis and the </w:t>
      </w:r>
      <w:proofErr w:type="spellStart"/>
      <w:r>
        <w:t>semivariance</w:t>
      </w:r>
      <w:proofErr w:type="spellEnd"/>
      <w:r>
        <w:t xml:space="preserve"> between observations at that distance (in 1 m distance bins) is plotted on the y-axis. Increases in the </w:t>
      </w:r>
      <w:proofErr w:type="spellStart"/>
      <w:r>
        <w:t>semivariance</w:t>
      </w:r>
      <w:proofErr w:type="spellEnd"/>
      <w:r>
        <w:t xml:space="preserve"> between observations as the distance between them increases are evidence of spatial correlation. The variograms become noisier for distances above ~10m for which there are fewer pairs of observations. The diagonal panels show the variograms within each fuel component (spatial autocorrelation), and the off-diagonal panels show the cross-variograms between different fuel components (spatial cross-correlation). There is clear evidence of spatial autocorrelation for all fuel components except litter, for which the variogram is ambiguous. There is noisy evidence of spatial cross correlation between 1-hour and 10-hour fine woody debris</w:t>
      </w:r>
      <w:r w:rsidR="00B846A1">
        <w:t>,</w:t>
      </w:r>
      <w:r>
        <w:t xml:space="preserve"> between 10-hour and 100-hour fine woody debris</w:t>
      </w:r>
      <w:r w:rsidR="00B846A1">
        <w:t>, and between 100-hour fine woody debris and vegetation heights</w:t>
      </w:r>
      <w:r>
        <w:t>. There is clear evidence of spatial cross correlation between</w:t>
      </w:r>
      <w:r w:rsidR="00B846A1">
        <w:t xml:space="preserve"> </w:t>
      </w:r>
      <w:r w:rsidR="00AD0989">
        <w:t>duff and litter</w:t>
      </w:r>
      <w:r w:rsidR="00B846A1">
        <w:t xml:space="preserve"> </w:t>
      </w:r>
      <w:r>
        <w:t>and between 1</w:t>
      </w:r>
      <w:r w:rsidR="00B846A1">
        <w:t>0</w:t>
      </w:r>
      <w:r>
        <w:t xml:space="preserve">-hour fine woody debris and vegetation heights. </w:t>
      </w:r>
    </w:p>
    <w:p w14:paraId="37CB75B8" w14:textId="7A8BC0EC" w:rsidR="002402D7" w:rsidRPr="002402D7" w:rsidRDefault="002402D7" w:rsidP="002402D7">
      <w:pPr>
        <w:pStyle w:val="Caption"/>
      </w:pPr>
    </w:p>
    <w:p w14:paraId="60D4C1D6" w14:textId="77777777" w:rsidR="00106C0D" w:rsidRDefault="00106C0D" w:rsidP="00106C0D">
      <w:pPr>
        <w:pStyle w:val="Caption"/>
        <w:keepNext/>
      </w:pPr>
      <w:r>
        <w:rPr>
          <w:noProof/>
        </w:rPr>
        <w:lastRenderedPageBreak/>
        <w:drawing>
          <wp:inline distT="0" distB="0" distL="0" distR="0" wp14:anchorId="53E77D59" wp14:editId="1B1D1F1D">
            <wp:extent cx="5943612" cy="36576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5A4EBEC7" w14:textId="2AC7E5A3" w:rsidR="002402D7" w:rsidRDefault="00106C0D" w:rsidP="00106C0D">
      <w:pPr>
        <w:pStyle w:val="Caption"/>
      </w:pPr>
      <w:bookmarkStart w:id="7" w:name="_Ref110846355"/>
      <w:r>
        <w:t xml:space="preserve">Supplementary Figure </w:t>
      </w:r>
      <w:fldSimple w:instr=" SEQ Supplementary_Figure \* ARABIC ">
        <w:r w:rsidR="00411179">
          <w:rPr>
            <w:noProof/>
          </w:rPr>
          <w:t>5</w:t>
        </w:r>
      </w:fldSimple>
      <w:bookmarkEnd w:id="7"/>
      <w:r>
        <w:t xml:space="preserve">: Duff </w:t>
      </w:r>
      <w:r w:rsidR="00684423">
        <w:t xml:space="preserve">posterior </w:t>
      </w:r>
      <w:r>
        <w:t xml:space="preserve">retrodiction results (1). </w:t>
      </w:r>
      <w:r w:rsidR="00AE2555">
        <w:t xml:space="preserve">Panels show posterior predictions generated using the posterior parameter values and the training data for each of the three </w:t>
      </w:r>
      <w:proofErr w:type="spellStart"/>
      <w:r w:rsidR="00AE2555">
        <w:t>submodels</w:t>
      </w:r>
      <w:proofErr w:type="spellEnd"/>
      <w:r w:rsidR="00AE2555">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w:t>
      </w:r>
      <w:r w:rsidR="00EC5835">
        <w:t xml:space="preserve"> Simulated data are conditional on the posterior distributions of random effect realizations.</w:t>
      </w:r>
      <w:r w:rsidR="00AE2555">
        <w:t xml:space="preserve"> A 1:1 line (representing perfect prediction) is shown in red, and a linear fit between the simulated and observed values shown in blue. There is a generally good but noisy fit between the simulated and observed data, though the model tends to </w:t>
      </w:r>
      <w:r w:rsidR="00EC5835">
        <w:t xml:space="preserve">underpredict slightly for higher observed depths and overpredict slightly for lower observed depths. </w:t>
      </w:r>
    </w:p>
    <w:p w14:paraId="19177864" w14:textId="34724C00" w:rsidR="00EC5835" w:rsidRDefault="00EC5835" w:rsidP="00EC5835"/>
    <w:p w14:paraId="71A97180" w14:textId="77777777" w:rsidR="005A765B" w:rsidRDefault="005A765B" w:rsidP="005A765B">
      <w:pPr>
        <w:keepNext/>
      </w:pPr>
      <w:r>
        <w:rPr>
          <w:noProof/>
        </w:rPr>
        <w:lastRenderedPageBreak/>
        <w:drawing>
          <wp:inline distT="0" distB="0" distL="0" distR="0" wp14:anchorId="26A126B5" wp14:editId="6CD94596">
            <wp:extent cx="5943612" cy="59436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B6CE67E" w14:textId="79A3D8E7" w:rsidR="005A765B" w:rsidRDefault="005A765B" w:rsidP="005A765B">
      <w:pPr>
        <w:pStyle w:val="Caption"/>
      </w:pPr>
      <w:bookmarkStart w:id="8" w:name="_Ref110846762"/>
      <w:r>
        <w:t xml:space="preserve">Supplementary Figure </w:t>
      </w:r>
      <w:fldSimple w:instr=" SEQ Supplementary_Figure \* ARABIC ">
        <w:r w:rsidR="00411179">
          <w:rPr>
            <w:noProof/>
          </w:rPr>
          <w:t>6</w:t>
        </w:r>
      </w:fldSimple>
      <w:bookmarkEnd w:id="8"/>
      <w:r>
        <w:t xml:space="preserve">: Duff </w:t>
      </w:r>
      <w:r w:rsidR="00684423">
        <w:t xml:space="preserve">posterior </w:t>
      </w:r>
      <w:r>
        <w:t xml:space="preserve">retrodiction results (2). Panels show posterior predictions generated using the posterior parameter values and the training data for each of the three </w:t>
      </w:r>
      <w:proofErr w:type="spellStart"/>
      <w:r>
        <w:t>submodels</w:t>
      </w:r>
      <w:proofErr w:type="spellEnd"/>
      <w:r>
        <w:t xml:space="preserve"> representing low, medium, and high drought mortality (1, 2, and 3, respectively). In each panel, the x-axis shows an (observed or simulated) depth of duff and the y-axis shows the proportion of samples from a dataset of 1,107 </w:t>
      </w:r>
      <w:r w:rsidR="006838A2">
        <w:t xml:space="preserve">duff depth measurements having that depth (i.e., </w:t>
      </w:r>
      <w:r w:rsidR="007566C0">
        <w:t>probability function</w:t>
      </w:r>
      <w:r w:rsidR="006838A2">
        <w:t>). The observed distribution of duff depths is plotted as the red points. The error bars within each depth value show the 2.5</w:t>
      </w:r>
      <w:r w:rsidR="006838A2" w:rsidRPr="006838A2">
        <w:rPr>
          <w:vertAlign w:val="superscript"/>
        </w:rPr>
        <w:t>th</w:t>
      </w:r>
      <w:r w:rsidR="006838A2">
        <w:t xml:space="preserve"> and 97.5</w:t>
      </w:r>
      <w:r w:rsidR="006838A2" w:rsidRPr="006838A2">
        <w:rPr>
          <w:vertAlign w:val="superscript"/>
        </w:rPr>
        <w:t>th</w:t>
      </w:r>
      <w:r w:rsidR="006838A2">
        <w:t xml:space="preserve"> percentile of the proportion of simulated samples having that depth value, across each of the 4,000 posterior draws showing the variation in model-predicted </w:t>
      </w:r>
      <w:r w:rsidR="007566C0">
        <w:t>probability functions</w:t>
      </w:r>
      <w:r w:rsidR="006838A2">
        <w:t>. The observed data are generally within the range of behaviors predicted by the model, except that the model appears to underpredict the proportion of 0 cm samples</w:t>
      </w:r>
      <w:r w:rsidR="00FB35F5">
        <w:t xml:space="preserve">, overpredict the proportion of 1 cm samples, and underpredict the proportion of 3 cm samples. </w:t>
      </w:r>
      <w:r w:rsidR="006838A2">
        <w:t xml:space="preserve"> </w:t>
      </w:r>
    </w:p>
    <w:p w14:paraId="1FDA7445" w14:textId="7E4C2F64" w:rsidR="00EC5835" w:rsidRDefault="00EC5835" w:rsidP="005A765B">
      <w:pPr>
        <w:pStyle w:val="Caption"/>
      </w:pPr>
    </w:p>
    <w:p w14:paraId="4D10DA90" w14:textId="77777777" w:rsidR="00506832" w:rsidRDefault="00506832" w:rsidP="00506832">
      <w:pPr>
        <w:keepNext/>
      </w:pPr>
      <w:r>
        <w:rPr>
          <w:noProof/>
        </w:rPr>
        <w:lastRenderedPageBreak/>
        <w:drawing>
          <wp:inline distT="0" distB="0" distL="0" distR="0" wp14:anchorId="10EFA961" wp14:editId="14BA7CE6">
            <wp:extent cx="5943612" cy="59436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1733F2D" w14:textId="65435590" w:rsidR="00987D87" w:rsidRDefault="00506832" w:rsidP="00506832">
      <w:pPr>
        <w:pStyle w:val="Caption"/>
      </w:pPr>
      <w:bookmarkStart w:id="9" w:name="_Ref110847264"/>
      <w:r>
        <w:t xml:space="preserve">Supplementary Figure </w:t>
      </w:r>
      <w:fldSimple w:instr=" SEQ Supplementary_Figure \* ARABIC ">
        <w:r w:rsidR="00411179">
          <w:rPr>
            <w:noProof/>
          </w:rPr>
          <w:t>7</w:t>
        </w:r>
      </w:fldSimple>
      <w:bookmarkEnd w:id="9"/>
      <w:r>
        <w:t xml:space="preserve">: </w:t>
      </w:r>
      <w:bookmarkStart w:id="10" w:name="_Hlk113880792"/>
      <w:r>
        <w:t xml:space="preserve">Duff </w:t>
      </w:r>
      <w:r w:rsidR="00684423">
        <w:t xml:space="preserve">posterior </w:t>
      </w:r>
      <w:r>
        <w:t>retrodiction results (3). Panels show the cumulative density functions of the observed training data (red) and each of 4,000 simulated datasets generated using posterior parameter values and random effect</w:t>
      </w:r>
      <w:r w:rsidR="00C11811">
        <w:t xml:space="preserve">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bookmarkEnd w:id="10"/>
    <w:p w14:paraId="42F87B2A" w14:textId="77777777" w:rsidR="00987D87" w:rsidRDefault="00987D87" w:rsidP="00506832">
      <w:pPr>
        <w:pStyle w:val="Caption"/>
      </w:pPr>
    </w:p>
    <w:p w14:paraId="3669E553" w14:textId="77777777" w:rsidR="00AF2732" w:rsidRDefault="00987D87" w:rsidP="00AF2732">
      <w:pPr>
        <w:pStyle w:val="Caption"/>
        <w:keepNext/>
      </w:pPr>
      <w:r>
        <w:rPr>
          <w:noProof/>
        </w:rPr>
        <w:lastRenderedPageBreak/>
        <w:drawing>
          <wp:inline distT="0" distB="0" distL="0" distR="0" wp14:anchorId="27894D0F" wp14:editId="22639503">
            <wp:extent cx="5943612" cy="36576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178F61F8" w14:textId="5CEEA8B0" w:rsidR="00AF2732" w:rsidRDefault="00AF2732" w:rsidP="00AF2732">
      <w:pPr>
        <w:pStyle w:val="Caption"/>
      </w:pPr>
      <w:bookmarkStart w:id="11" w:name="_Ref110850025"/>
      <w:r>
        <w:t xml:space="preserve">Supplementary Figure </w:t>
      </w:r>
      <w:fldSimple w:instr=" SEQ Supplementary_Figure \* ARABIC ">
        <w:r w:rsidR="00411179">
          <w:rPr>
            <w:noProof/>
          </w:rPr>
          <w:t>8</w:t>
        </w:r>
      </w:fldSimple>
      <w:bookmarkEnd w:id="11"/>
      <w:r>
        <w:t xml:space="preserve">: Duff </w:t>
      </w:r>
      <w:r w:rsidR="00684423">
        <w:t xml:space="preserve">posterior </w:t>
      </w:r>
      <w:r>
        <w:t xml:space="preserve">prediction results (1).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In each panel, the posterior mean value of simulated duff depth for each observation is on the x-axis, and the observed depth for that observation on the y-axis, with points for each observation in the training dataset. Simulated data are conditional on the posterior distributions of random effect realizations. A 1:1 line (representing perfect prediction) is shown in red, and a linear fit between the simulated and observed values shown in blue. There is a generally good but noisy fit between the simulated and observed data.</w:t>
      </w:r>
    </w:p>
    <w:p w14:paraId="4BC30D35" w14:textId="72EE02B7" w:rsidR="00010DFC" w:rsidRDefault="00C11811" w:rsidP="00506832">
      <w:pPr>
        <w:pStyle w:val="Caption"/>
      </w:pPr>
      <w:r>
        <w:t xml:space="preserve"> </w:t>
      </w:r>
    </w:p>
    <w:p w14:paraId="6EA2983A" w14:textId="77777777" w:rsidR="00AF2732" w:rsidRDefault="00AF2732" w:rsidP="00AF2732">
      <w:pPr>
        <w:keepNext/>
      </w:pPr>
      <w:r>
        <w:rPr>
          <w:noProof/>
        </w:rPr>
        <w:lastRenderedPageBreak/>
        <w:drawing>
          <wp:inline distT="0" distB="0" distL="0" distR="0" wp14:anchorId="5CD579DD" wp14:editId="12C41718">
            <wp:extent cx="5943612" cy="59436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FEB2290" w14:textId="15BB677A" w:rsidR="00AF2732" w:rsidRDefault="00AF2732" w:rsidP="00AF2732">
      <w:pPr>
        <w:pStyle w:val="Caption"/>
      </w:pPr>
      <w:bookmarkStart w:id="12" w:name="_Ref110850432"/>
      <w:r>
        <w:t xml:space="preserve">Supplementary Figure </w:t>
      </w:r>
      <w:fldSimple w:instr=" SEQ Supplementary_Figure \* ARABIC ">
        <w:r w:rsidR="00411179">
          <w:rPr>
            <w:noProof/>
          </w:rPr>
          <w:t>9</w:t>
        </w:r>
      </w:fldSimple>
      <w:bookmarkEnd w:id="12"/>
      <w:r>
        <w:t xml:space="preserve">: Duff </w:t>
      </w:r>
      <w:r w:rsidR="00684423">
        <w:t xml:space="preserve">posterior </w:t>
      </w:r>
      <w:r>
        <w:t xml:space="preserve">prediction results (2).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In each panel, the x-axis shows an (observed or simulated) depth of duff and the y-axis shows the proportion of samples from a dataset of </w:t>
      </w:r>
      <w:r w:rsidR="00E723C4">
        <w:t>124</w:t>
      </w:r>
      <w:r>
        <w:t xml:space="preserve"> duff depth measurements having that depth (i.e., a</w:t>
      </w:r>
      <w:r w:rsidR="007566C0">
        <w:t xml:space="preserve"> probability function</w:t>
      </w:r>
      <w:r>
        <w:t>). The observed distribution of duff depths is plotted as the red points. The error bars within each depth value show the 2.5</w:t>
      </w:r>
      <w:r w:rsidRPr="006838A2">
        <w:rPr>
          <w:vertAlign w:val="superscript"/>
        </w:rPr>
        <w:t>th</w:t>
      </w:r>
      <w:r>
        <w:t xml:space="preserve"> and 97.5</w:t>
      </w:r>
      <w:r w:rsidRPr="006838A2">
        <w:rPr>
          <w:vertAlign w:val="superscript"/>
        </w:rPr>
        <w:t>th</w:t>
      </w:r>
      <w:r>
        <w:t xml:space="preserve"> percentile of the proportion of simulated samples having that depth value, across each of the 4,000 posterior draws showing the variation in model-predicted </w:t>
      </w:r>
      <w:r w:rsidR="007566C0">
        <w:t>probability functions</w:t>
      </w:r>
      <w:r>
        <w:t xml:space="preserve">. The observed data are generally within the range of behaviors predicted by the model, </w:t>
      </w:r>
      <w:r w:rsidR="00E723C4">
        <w:t>though with so few data points the simulated depth distributions are noisy resulting in wide ranges for the proportion of samples falling in each bin</w:t>
      </w:r>
      <w:r>
        <w:t xml:space="preserve">.  </w:t>
      </w:r>
    </w:p>
    <w:p w14:paraId="4A11ECB7" w14:textId="2CB30B16" w:rsidR="00E723C4" w:rsidRDefault="00E723C4" w:rsidP="00E723C4"/>
    <w:p w14:paraId="014144D7" w14:textId="77777777" w:rsidR="0048769F" w:rsidRDefault="0048769F" w:rsidP="0048769F">
      <w:pPr>
        <w:keepNext/>
      </w:pPr>
      <w:r>
        <w:rPr>
          <w:noProof/>
        </w:rPr>
        <w:lastRenderedPageBreak/>
        <w:drawing>
          <wp:inline distT="0" distB="0" distL="0" distR="0" wp14:anchorId="1C40CF1A" wp14:editId="3E2C6B0B">
            <wp:extent cx="5943612" cy="59436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BBD2654" w14:textId="524F2F6D" w:rsidR="00E723C4" w:rsidRDefault="0048769F" w:rsidP="0048769F">
      <w:pPr>
        <w:pStyle w:val="Caption"/>
      </w:pPr>
      <w:bookmarkStart w:id="13" w:name="_Ref110851508"/>
      <w:r>
        <w:t xml:space="preserve">Supplementary Figure </w:t>
      </w:r>
      <w:fldSimple w:instr=" SEQ Supplementary_Figure \* ARABIC ">
        <w:r w:rsidR="00411179">
          <w:rPr>
            <w:noProof/>
          </w:rPr>
          <w:t>10</w:t>
        </w:r>
      </w:fldSimple>
      <w:bookmarkEnd w:id="13"/>
      <w:r>
        <w:t xml:space="preserve">: Duff </w:t>
      </w:r>
      <w:r w:rsidR="00684423">
        <w:t xml:space="preserve">posterior </w:t>
      </w:r>
      <w:r>
        <w:t>prediction results (3). 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4350DB5F" w14:textId="7A143A61" w:rsidR="00F173F9" w:rsidRDefault="00F173F9" w:rsidP="00F173F9"/>
    <w:p w14:paraId="56B44AE7" w14:textId="77777777" w:rsidR="006A69C2" w:rsidRDefault="006A69C2" w:rsidP="006A69C2">
      <w:pPr>
        <w:keepNext/>
      </w:pPr>
      <w:r>
        <w:rPr>
          <w:noProof/>
        </w:rPr>
        <w:lastRenderedPageBreak/>
        <w:drawing>
          <wp:inline distT="0" distB="0" distL="0" distR="0" wp14:anchorId="30BFEE8E" wp14:editId="4E35C9BD">
            <wp:extent cx="4114808" cy="41148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14808" cy="4114808"/>
                    </a:xfrm>
                    <a:prstGeom prst="rect">
                      <a:avLst/>
                    </a:prstGeom>
                  </pic:spPr>
                </pic:pic>
              </a:graphicData>
            </a:graphic>
          </wp:inline>
        </w:drawing>
      </w:r>
    </w:p>
    <w:p w14:paraId="7510A447" w14:textId="1B560173" w:rsidR="006A69C2" w:rsidRDefault="006A69C2" w:rsidP="006A69C2">
      <w:pPr>
        <w:pStyle w:val="Caption"/>
      </w:pPr>
      <w:bookmarkStart w:id="14" w:name="_Ref110932446"/>
      <w:r>
        <w:t xml:space="preserve">Supplementary Figure </w:t>
      </w:r>
      <w:fldSimple w:instr=" SEQ Supplementary_Figure \* ARABIC ">
        <w:r w:rsidR="00411179">
          <w:rPr>
            <w:noProof/>
          </w:rPr>
          <w:t>11</w:t>
        </w:r>
      </w:fldSimple>
      <w:bookmarkEnd w:id="14"/>
      <w:r>
        <w:t xml:space="preserve">: Plot-level duff simulations. For each of 4,000 posterior draws, 1,107 depth samples were simulated using posterior parameter values and drawing new random effect realizations for both fine-scale (gaussian 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w:t>
      </w:r>
      <w:r w:rsidR="00970A58">
        <w:t xml:space="preserve">The blue bands show an envelope containing 50% (darkest), 90%, and 99% (lightest) of the cumulative density functions from the simulated draws. </w:t>
      </w:r>
      <w:r>
        <w:t xml:space="preserve">The observed data are within the range of behaviors predicted by the model, </w:t>
      </w:r>
      <w:r w:rsidR="00ED59AB">
        <w:t xml:space="preserve">but the model predictions do include rare outcomes (plot-level fuel loads greater than 1000 Mg/ha or less than 1 Mg/ha) which are more extreme than is ecologically plausible. </w:t>
      </w:r>
    </w:p>
    <w:p w14:paraId="14D3618C" w14:textId="0C51EAAA" w:rsidR="00677E79" w:rsidRDefault="00677E79" w:rsidP="00677E79"/>
    <w:p w14:paraId="0A555CD0" w14:textId="77777777" w:rsidR="00677E79" w:rsidRDefault="00677E79" w:rsidP="00677E79">
      <w:pPr>
        <w:keepNext/>
      </w:pPr>
      <w:r>
        <w:rPr>
          <w:noProof/>
        </w:rPr>
        <w:lastRenderedPageBreak/>
        <w:drawing>
          <wp:inline distT="0" distB="0" distL="0" distR="0" wp14:anchorId="0EFD7797" wp14:editId="03EB89D7">
            <wp:extent cx="5943612" cy="3657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5F9A9976" w14:textId="7371DE1F" w:rsidR="00677E79" w:rsidRDefault="00677E79" w:rsidP="00677E79">
      <w:pPr>
        <w:pStyle w:val="Caption"/>
      </w:pPr>
      <w:bookmarkStart w:id="15" w:name="_Ref110856567"/>
      <w:r>
        <w:t xml:space="preserve">Supplementary Figure </w:t>
      </w:r>
      <w:fldSimple w:instr=" SEQ Supplementary_Figure \* ARABIC ">
        <w:r w:rsidR="00411179">
          <w:rPr>
            <w:noProof/>
          </w:rPr>
          <w:t>12</w:t>
        </w:r>
      </w:fldSimple>
      <w:bookmarkEnd w:id="15"/>
      <w:r>
        <w:t xml:space="preserve">: Litter </w:t>
      </w:r>
      <w:r w:rsidR="00684423">
        <w:t xml:space="preserve">posterior </w:t>
      </w:r>
      <w:r>
        <w:t xml:space="preserve">retrodiction results (1). Panels show posterior predictions generated using the posterior parameter values and the training data for each of the three </w:t>
      </w:r>
      <w:proofErr w:type="spellStart"/>
      <w:r>
        <w:t>submodels</w:t>
      </w:r>
      <w:proofErr w:type="spellEnd"/>
      <w:r>
        <w:t xml:space="preserve"> representing low, medium, and high drought mortality (1, 2, and 3, respectively). In each panel, the posterior mean value of simulated litter depth for each observation is on the x-axis, and the observed depth for that observation on the y-axis, with points for each observation in the training dataset. Simulated data are conditional on the posterior distributions of random effect realizations. A 1:1 line (representing perfect prediction) is shown in red, and a linear fit between the simulated and observed values shown in blue. There is a generally good but noisy fit between the simulated and observed data, though the model tends to underpredict for observed depths above ~5 cm and overpredict for observed depths below ~5 cm.</w:t>
      </w:r>
    </w:p>
    <w:p w14:paraId="3DA43514" w14:textId="72479CF4" w:rsidR="00677E79" w:rsidRDefault="00677E79" w:rsidP="00677E79">
      <w:pPr>
        <w:pStyle w:val="Caption"/>
      </w:pPr>
    </w:p>
    <w:p w14:paraId="6BB0CD48" w14:textId="77777777" w:rsidR="002C00A7" w:rsidRDefault="002C00A7" w:rsidP="002C00A7">
      <w:pPr>
        <w:keepNext/>
      </w:pPr>
      <w:r>
        <w:rPr>
          <w:noProof/>
        </w:rPr>
        <w:lastRenderedPageBreak/>
        <w:drawing>
          <wp:inline distT="0" distB="0" distL="0" distR="0" wp14:anchorId="17E5C4B8" wp14:editId="56FF380E">
            <wp:extent cx="5943612" cy="59436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05D4263" w14:textId="2AFFB950" w:rsidR="002C00A7" w:rsidRDefault="002C00A7" w:rsidP="002C00A7">
      <w:pPr>
        <w:pStyle w:val="Caption"/>
      </w:pPr>
      <w:bookmarkStart w:id="16" w:name="_Ref110857256"/>
      <w:r>
        <w:t xml:space="preserve">Supplementary Figure </w:t>
      </w:r>
      <w:fldSimple w:instr=" SEQ Supplementary_Figure \* ARABIC ">
        <w:r w:rsidR="00411179">
          <w:rPr>
            <w:noProof/>
          </w:rPr>
          <w:t>13</w:t>
        </w:r>
      </w:fldSimple>
      <w:bookmarkEnd w:id="16"/>
      <w:r w:rsidR="00505252">
        <w:t>: Litter</w:t>
      </w:r>
      <w:r w:rsidR="00684423">
        <w:t xml:space="preserve"> posterior</w:t>
      </w:r>
      <w:r w:rsidR="00505252">
        <w:t xml:space="preserve"> retrodiction results (2). Panels show posterior predictions generated using the posterior parameter values and the training data for each of the three </w:t>
      </w:r>
      <w:proofErr w:type="spellStart"/>
      <w:r w:rsidR="00505252">
        <w:t>submodels</w:t>
      </w:r>
      <w:proofErr w:type="spellEnd"/>
      <w:r w:rsidR="00505252">
        <w:t xml:space="preserve"> representing low, medium, and high drought mortality (1, 2, and 3, respectively). In each panel, the x-axis shows an (observed or simulated) depth of litter and the y-axis shows the proportion of samples from a dataset of 1,107 litter depth measurements having that depth (i.e., </w:t>
      </w:r>
      <w:r w:rsidR="00D445C6">
        <w:t>a probability function</w:t>
      </w:r>
      <w:r w:rsidR="00505252">
        <w:t>). The observed distribution of litter depths is plotted as the red points. The error bars within each depth value show the 2.5</w:t>
      </w:r>
      <w:r w:rsidR="00505252" w:rsidRPr="006838A2">
        <w:rPr>
          <w:vertAlign w:val="superscript"/>
        </w:rPr>
        <w:t>th</w:t>
      </w:r>
      <w:r w:rsidR="00505252">
        <w:t xml:space="preserve"> and 97.5</w:t>
      </w:r>
      <w:r w:rsidR="00505252" w:rsidRPr="006838A2">
        <w:rPr>
          <w:vertAlign w:val="superscript"/>
        </w:rPr>
        <w:t>th</w:t>
      </w:r>
      <w:r w:rsidR="00505252">
        <w:t xml:space="preserve"> percentile of the proportion of simulated samples having that depth value, across each of the 4,000 posterior draws showing the variation in model-predicted </w:t>
      </w:r>
      <w:r w:rsidR="007566C0">
        <w:t>probability functions</w:t>
      </w:r>
      <w:r w:rsidR="00505252">
        <w:t xml:space="preserve">. The observed data are generally within the range of behaviors predicted by the model, except that the model appears to overpredict the proportion of 1 cm samples, and underpredict the proportion of 2 cm samples.  </w:t>
      </w:r>
    </w:p>
    <w:p w14:paraId="03B75ADF" w14:textId="77777777" w:rsidR="00286633" w:rsidRDefault="00286633" w:rsidP="00286633">
      <w:pPr>
        <w:keepNext/>
      </w:pPr>
      <w:r>
        <w:rPr>
          <w:noProof/>
        </w:rPr>
        <w:lastRenderedPageBreak/>
        <w:drawing>
          <wp:inline distT="0" distB="0" distL="0" distR="0" wp14:anchorId="5447A1BF" wp14:editId="6AB85706">
            <wp:extent cx="5943612" cy="59436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1B38379" w14:textId="238E2488" w:rsidR="00286633" w:rsidRDefault="00286633" w:rsidP="00286633">
      <w:pPr>
        <w:pStyle w:val="Caption"/>
      </w:pPr>
      <w:bookmarkStart w:id="17" w:name="_Ref110857449"/>
      <w:r>
        <w:t xml:space="preserve">Supplementary Figure </w:t>
      </w:r>
      <w:fldSimple w:instr=" SEQ Supplementary_Figure \* ARABIC ">
        <w:r w:rsidR="00411179">
          <w:rPr>
            <w:noProof/>
          </w:rPr>
          <w:t>14</w:t>
        </w:r>
      </w:fldSimple>
      <w:bookmarkEnd w:id="17"/>
      <w:r>
        <w:t>: Litter</w:t>
      </w:r>
      <w:r w:rsidR="00404A22">
        <w:t xml:space="preserve"> posterior</w:t>
      </w:r>
      <w:r>
        <w:t xml:space="preserve"> retrodiction results (3).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7C195102" w14:textId="7245C338" w:rsidR="00404A22" w:rsidRDefault="00404A22" w:rsidP="00404A22"/>
    <w:p w14:paraId="06D56068" w14:textId="77777777" w:rsidR="00404A22" w:rsidRDefault="00404A22" w:rsidP="00404A22">
      <w:pPr>
        <w:keepNext/>
      </w:pPr>
      <w:r>
        <w:rPr>
          <w:noProof/>
        </w:rPr>
        <w:lastRenderedPageBreak/>
        <w:drawing>
          <wp:inline distT="0" distB="0" distL="0" distR="0" wp14:anchorId="254DC7B9" wp14:editId="2BE32526">
            <wp:extent cx="5943612" cy="3657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795F212B" w14:textId="437336E9" w:rsidR="00404A22" w:rsidRDefault="00404A22" w:rsidP="00404A22">
      <w:pPr>
        <w:pStyle w:val="Caption"/>
      </w:pPr>
      <w:bookmarkStart w:id="18" w:name="_Ref110858255"/>
      <w:r>
        <w:t xml:space="preserve">Supplementary Figure </w:t>
      </w:r>
      <w:fldSimple w:instr=" SEQ Supplementary_Figure \* ARABIC ">
        <w:r w:rsidR="00411179">
          <w:rPr>
            <w:noProof/>
          </w:rPr>
          <w:t>15</w:t>
        </w:r>
      </w:fldSimple>
      <w:bookmarkEnd w:id="18"/>
      <w:r>
        <w:t xml:space="preserve">: Litter posterior prediction results (1).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In each panel, the posterior mean value of simulated </w:t>
      </w:r>
      <w:r w:rsidR="00684423">
        <w:t>litter</w:t>
      </w:r>
      <w:r>
        <w:t xml:space="preserve"> depth for each observation is on the x-axis, and the observed depth for that observation on the y-axis, with points for each observation in the training dataset. Simulated data are conditional on the posterior distributions of random effect realizations. A 1:1 line (representing perfect prediction) is shown in red, and a linear fit between the simulated and observed values shown in blue. There is a generally good but noisy fit between the simulated and observed data</w:t>
      </w:r>
      <w:r w:rsidR="00684423">
        <w:t>, with some tendency to underpredict for high observed depths and overpredict for low observed depths.</w:t>
      </w:r>
    </w:p>
    <w:p w14:paraId="4269162C" w14:textId="5484718C" w:rsidR="00684423" w:rsidRDefault="00684423" w:rsidP="00684423"/>
    <w:p w14:paraId="01F1D1AC" w14:textId="77777777" w:rsidR="009F5CEB" w:rsidRDefault="00684423" w:rsidP="009F5CEB">
      <w:pPr>
        <w:keepNext/>
      </w:pPr>
      <w:r>
        <w:rPr>
          <w:noProof/>
        </w:rPr>
        <w:lastRenderedPageBreak/>
        <w:drawing>
          <wp:inline distT="0" distB="0" distL="0" distR="0" wp14:anchorId="34ED75A7" wp14:editId="7169F76D">
            <wp:extent cx="5943612" cy="59436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804F759" w14:textId="738565F4" w:rsidR="00684423" w:rsidRDefault="009F5CEB" w:rsidP="009F5CEB">
      <w:pPr>
        <w:pStyle w:val="Caption"/>
      </w:pPr>
      <w:bookmarkStart w:id="19" w:name="_Ref110858258"/>
      <w:r>
        <w:t xml:space="preserve">Supplementary Figure </w:t>
      </w:r>
      <w:fldSimple w:instr=" SEQ Supplementary_Figure \* ARABIC ">
        <w:r w:rsidR="00411179">
          <w:rPr>
            <w:noProof/>
          </w:rPr>
          <w:t>16</w:t>
        </w:r>
      </w:fldSimple>
      <w:bookmarkEnd w:id="19"/>
      <w:r>
        <w:t xml:space="preserve">: Litter posterior prediction results (2).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In each panel, the x-axis shows an (observed or simulated) depth of litter and the y-axis shows the proportion of samples from a dataset of 124 litter depth measurements having that depth (i.e</w:t>
      </w:r>
      <w:r w:rsidR="00D445C6">
        <w:t>., a probability function</w:t>
      </w:r>
      <w:r>
        <w:t>). The observed distribution of litter depths is plotted as the red points. The error bars within each depth value show the 2.5</w:t>
      </w:r>
      <w:r w:rsidRPr="006838A2">
        <w:rPr>
          <w:vertAlign w:val="superscript"/>
        </w:rPr>
        <w:t>th</w:t>
      </w:r>
      <w:r>
        <w:t xml:space="preserve"> and 97.5</w:t>
      </w:r>
      <w:r w:rsidRPr="006838A2">
        <w:rPr>
          <w:vertAlign w:val="superscript"/>
        </w:rPr>
        <w:t>th</w:t>
      </w:r>
      <w:r>
        <w:t xml:space="preserve"> percentile of the proportion of simulated samples having that depth value, across each of the 4,000 posterior draws showing the variation in model-predicted </w:t>
      </w:r>
      <w:r w:rsidR="00D445C6">
        <w:t>probability functions</w:t>
      </w:r>
      <w:r>
        <w:t xml:space="preserve">. The observed data are generally within the range of behaviors predicted by the model, though with so few data points the simulated depth distributions are noisy resulting in wide ranges for the proportion of samples falling in each bin.  </w:t>
      </w:r>
    </w:p>
    <w:p w14:paraId="55C4B0B0" w14:textId="77777777" w:rsidR="008D0C60" w:rsidRDefault="008D0C60" w:rsidP="008D0C60">
      <w:pPr>
        <w:keepNext/>
      </w:pPr>
      <w:r>
        <w:rPr>
          <w:noProof/>
        </w:rPr>
        <w:lastRenderedPageBreak/>
        <w:drawing>
          <wp:inline distT="0" distB="0" distL="0" distR="0" wp14:anchorId="02DB415C" wp14:editId="4FB1B863">
            <wp:extent cx="5943612" cy="59436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DE5C044" w14:textId="7F7F7462" w:rsidR="008D0C60" w:rsidRDefault="008D0C60" w:rsidP="008D0C60">
      <w:pPr>
        <w:pStyle w:val="Caption"/>
      </w:pPr>
      <w:bookmarkStart w:id="20" w:name="_Ref110858980"/>
      <w:r>
        <w:t xml:space="preserve">Supplementary Figure </w:t>
      </w:r>
      <w:fldSimple w:instr=" SEQ Supplementary_Figure \* ARABIC ">
        <w:r w:rsidR="00411179">
          <w:rPr>
            <w:noProof/>
          </w:rPr>
          <w:t>17</w:t>
        </w:r>
      </w:fldSimple>
      <w:bookmarkEnd w:id="20"/>
      <w:r>
        <w:t>:</w:t>
      </w:r>
      <w:r w:rsidRPr="008D0C60">
        <w:t xml:space="preserve"> </w:t>
      </w:r>
      <w:r>
        <w:t>Litter posterior prediction results (3). 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5288B2A5" w14:textId="00524008" w:rsidR="00B63DB0" w:rsidRDefault="00B63DB0" w:rsidP="008D0C60">
      <w:pPr>
        <w:pStyle w:val="Caption"/>
      </w:pPr>
    </w:p>
    <w:p w14:paraId="16754A99" w14:textId="77777777" w:rsidR="006C0380" w:rsidRDefault="006C771F" w:rsidP="006C0380">
      <w:pPr>
        <w:keepNext/>
      </w:pPr>
      <w:r>
        <w:rPr>
          <w:noProof/>
        </w:rPr>
        <w:lastRenderedPageBreak/>
        <w:drawing>
          <wp:inline distT="0" distB="0" distL="0" distR="0" wp14:anchorId="554876FF" wp14:editId="1C9EBFBF">
            <wp:extent cx="4114808" cy="41148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4808" cy="4114808"/>
                    </a:xfrm>
                    <a:prstGeom prst="rect">
                      <a:avLst/>
                    </a:prstGeom>
                  </pic:spPr>
                </pic:pic>
              </a:graphicData>
            </a:graphic>
          </wp:inline>
        </w:drawing>
      </w:r>
    </w:p>
    <w:p w14:paraId="6E6F221C" w14:textId="669BE620" w:rsidR="006C771F" w:rsidRPr="006C771F" w:rsidRDefault="006C0380" w:rsidP="006C0380">
      <w:pPr>
        <w:pStyle w:val="Caption"/>
      </w:pPr>
      <w:bookmarkStart w:id="21" w:name="_Ref110932637"/>
      <w:r>
        <w:t xml:space="preserve">Supplementary Figure </w:t>
      </w:r>
      <w:fldSimple w:instr=" SEQ Supplementary_Figure \* ARABIC ">
        <w:r w:rsidR="00411179">
          <w:rPr>
            <w:noProof/>
          </w:rPr>
          <w:t>18</w:t>
        </w:r>
      </w:fldSimple>
      <w:bookmarkEnd w:id="21"/>
      <w:r>
        <w:t xml:space="preserve">: </w:t>
      </w:r>
      <w:r w:rsidR="00970A58">
        <w:t xml:space="preserve">Plot-level litter simulations. For each of 4,000 posterior draws, 1,107 depth samples were simulated using posterior parameter values and drawing new random effect realizations for both fine-scale (gaussian process) and coarse-scale (normally distributed plot intercepts) random effects. The depth samples were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w:t>
      </w:r>
      <w:r>
        <w:t xml:space="preserve">The observed data are within the range of behaviors predicted by the model, but the highest observed plot-level fuel loadings are lower than the upper quantiles of most simulated fuel loadings (top of figure). </w:t>
      </w:r>
    </w:p>
    <w:p w14:paraId="4FCEEE4B" w14:textId="50988F68" w:rsidR="003653EF" w:rsidRDefault="003653EF" w:rsidP="003653EF"/>
    <w:p w14:paraId="1C598FEB" w14:textId="77777777" w:rsidR="003653EF" w:rsidRDefault="003653EF" w:rsidP="003653EF">
      <w:pPr>
        <w:keepNext/>
      </w:pPr>
      <w:r>
        <w:rPr>
          <w:noProof/>
        </w:rPr>
        <w:lastRenderedPageBreak/>
        <w:drawing>
          <wp:inline distT="0" distB="0" distL="0" distR="0" wp14:anchorId="58DD6C19" wp14:editId="5CA10104">
            <wp:extent cx="5943612" cy="3657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6C37662A" w14:textId="69C21D75" w:rsidR="009F5CEB" w:rsidRDefault="003653EF" w:rsidP="00CD6656">
      <w:pPr>
        <w:pStyle w:val="Caption"/>
      </w:pPr>
      <w:bookmarkStart w:id="22" w:name="_Ref110940709"/>
      <w:r>
        <w:t xml:space="preserve">Supplementary Figure </w:t>
      </w:r>
      <w:fldSimple w:instr=" SEQ Supplementary_Figure \* ARABIC ">
        <w:r w:rsidR="00411179">
          <w:rPr>
            <w:noProof/>
          </w:rPr>
          <w:t>19</w:t>
        </w:r>
      </w:fldSimple>
      <w:bookmarkEnd w:id="22"/>
      <w:r w:rsidR="00CD6656">
        <w:t xml:space="preserve">: Fine woody debris tallies posterior retrodiction results (1). Panels show posterior predictions generated using the posterior parameter values and the training data for each of the three </w:t>
      </w:r>
      <w:proofErr w:type="spellStart"/>
      <w:r w:rsidR="00CD6656">
        <w:t>submodels</w:t>
      </w:r>
      <w:proofErr w:type="spellEnd"/>
      <w:r w:rsidR="00CD6656">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training dataset. Simulated data are conditional on the posterior distributions of random effect realizations. A 1:1 line (representing perfect prediction) is shown in red, and a linear fit between the simulated and observed values shown in blue. There is a good fit between predicted and observed values. </w:t>
      </w:r>
    </w:p>
    <w:p w14:paraId="18372D2A" w14:textId="17CC6419" w:rsidR="00CD6656" w:rsidRDefault="00CD6656" w:rsidP="00CD6656"/>
    <w:p w14:paraId="4D37D449" w14:textId="77777777" w:rsidR="00CD6656" w:rsidRDefault="00CD6656" w:rsidP="00CD6656">
      <w:pPr>
        <w:keepNext/>
      </w:pPr>
      <w:r>
        <w:rPr>
          <w:noProof/>
        </w:rPr>
        <w:lastRenderedPageBreak/>
        <w:drawing>
          <wp:inline distT="0" distB="0" distL="0" distR="0" wp14:anchorId="009F6312" wp14:editId="477B24AA">
            <wp:extent cx="5943612" cy="59436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B342D04" w14:textId="5176DB03" w:rsidR="00287A13" w:rsidRDefault="00CD6656" w:rsidP="00287A13">
      <w:pPr>
        <w:pStyle w:val="Caption"/>
      </w:pPr>
      <w:bookmarkStart w:id="23" w:name="_Ref110940711"/>
      <w:r>
        <w:t xml:space="preserve">Supplementary Figure </w:t>
      </w:r>
      <w:fldSimple w:instr=" SEQ Supplementary_Figure \* ARABIC ">
        <w:r w:rsidR="00411179">
          <w:rPr>
            <w:noProof/>
          </w:rPr>
          <w:t>20</w:t>
        </w:r>
      </w:fldSimple>
      <w:bookmarkEnd w:id="23"/>
      <w:r>
        <w:t xml:space="preserve">: Fine woody debris tallies posterior retrodiction results (2). Panels show posterior predictions generated using the posterior parameter values and the training data for each of the three </w:t>
      </w:r>
      <w:proofErr w:type="spellStart"/>
      <w:r>
        <w:t>submodels</w:t>
      </w:r>
      <w:proofErr w:type="spellEnd"/>
      <w:r>
        <w:t xml:space="preserve"> representing low, medium, and high drought mortality (1, 2, and 3, respectively). In each panel, the x-axis shows an (observed or simulated) </w:t>
      </w:r>
      <w:r w:rsidR="00472A82">
        <w:t>tally</w:t>
      </w:r>
      <w:r>
        <w:t xml:space="preserve"> of </w:t>
      </w:r>
      <w:r w:rsidR="00472A82">
        <w:t>fine woody debris particles</w:t>
      </w:r>
      <w:r>
        <w:t xml:space="preserve"> and the y-axis shows the proportion of samples from a dataset of 1,</w:t>
      </w:r>
      <w:r w:rsidR="00472A82">
        <w:t>183</w:t>
      </w:r>
      <w:r>
        <w:t xml:space="preserve"> </w:t>
      </w:r>
      <w:r w:rsidR="00472A82">
        <w:t xml:space="preserve">1 m </w:t>
      </w:r>
      <w:proofErr w:type="spellStart"/>
      <w:r w:rsidR="00472A82">
        <w:t>subtransect</w:t>
      </w:r>
      <w:proofErr w:type="spellEnd"/>
      <w:r w:rsidR="00472A82">
        <w:t xml:space="preserve"> tallies</w:t>
      </w:r>
      <w:r>
        <w:t xml:space="preserve"> </w:t>
      </w:r>
      <w:r w:rsidR="00472A82">
        <w:t>with that count</w:t>
      </w:r>
      <w:r>
        <w:t xml:space="preserve"> (i.e., </w:t>
      </w:r>
      <w:r w:rsidR="00D445C6">
        <w:t>a probability function</w:t>
      </w:r>
      <w:r>
        <w:t xml:space="preserve">). The observed distribution of </w:t>
      </w:r>
      <w:r w:rsidR="00472A82">
        <w:t>fine woody debris tallies</w:t>
      </w:r>
      <w:r>
        <w:t xml:space="preserve"> is plotted as the red points. The error bars within each </w:t>
      </w:r>
      <w:r w:rsidR="00472A82">
        <w:t>tally</w:t>
      </w:r>
      <w:r>
        <w:t xml:space="preserve"> value show the 2.5</w:t>
      </w:r>
      <w:r w:rsidRPr="006838A2">
        <w:rPr>
          <w:vertAlign w:val="superscript"/>
        </w:rPr>
        <w:t>th</w:t>
      </w:r>
      <w:r>
        <w:t xml:space="preserve"> and 97.5</w:t>
      </w:r>
      <w:r w:rsidRPr="006838A2">
        <w:rPr>
          <w:vertAlign w:val="superscript"/>
        </w:rPr>
        <w:t>th</w:t>
      </w:r>
      <w:r>
        <w:t xml:space="preserve"> percentile of the proportion of simulated samples having that </w:t>
      </w:r>
      <w:r w:rsidR="00472A82">
        <w:t>tally</w:t>
      </w:r>
      <w:r>
        <w:t xml:space="preserve"> value, across each of the 4,000 posterior draws showing the variation in model-predicted </w:t>
      </w:r>
      <w:r w:rsidR="00D445C6">
        <w:t>probability functions</w:t>
      </w:r>
      <w:r>
        <w:t xml:space="preserve">. The observed data are generally within the range of behaviors predicted by the </w:t>
      </w:r>
      <w:r w:rsidR="00472A82">
        <w:t>model</w:t>
      </w:r>
      <w:r>
        <w:t>.</w:t>
      </w:r>
    </w:p>
    <w:p w14:paraId="402FF0D0" w14:textId="0A36430B" w:rsidR="00287A13" w:rsidRDefault="00287A13" w:rsidP="00287A13"/>
    <w:p w14:paraId="5FE75287" w14:textId="77777777" w:rsidR="000A5E0B" w:rsidRDefault="00287A13" w:rsidP="000A5E0B">
      <w:pPr>
        <w:keepNext/>
      </w:pPr>
      <w:r>
        <w:rPr>
          <w:noProof/>
        </w:rPr>
        <w:lastRenderedPageBreak/>
        <w:drawing>
          <wp:inline distT="0" distB="0" distL="0" distR="0" wp14:anchorId="04CB75F3" wp14:editId="730BA167">
            <wp:extent cx="5943612" cy="5943612"/>
            <wp:effectExtent l="0" t="0" r="0" b="0"/>
            <wp:docPr id="27" name="Picture 2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 schematic&#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EB6AA8D" w14:textId="050E06AE" w:rsidR="00287A13" w:rsidRDefault="000A5E0B" w:rsidP="000A5E0B">
      <w:pPr>
        <w:pStyle w:val="Caption"/>
      </w:pPr>
      <w:bookmarkStart w:id="24" w:name="_Ref110940713"/>
      <w:r>
        <w:t xml:space="preserve">Supplementary Figure </w:t>
      </w:r>
      <w:fldSimple w:instr=" SEQ Supplementary_Figure \* ARABIC ">
        <w:r w:rsidR="00411179">
          <w:rPr>
            <w:noProof/>
          </w:rPr>
          <w:t>21</w:t>
        </w:r>
      </w:fldSimple>
      <w:bookmarkEnd w:id="24"/>
      <w:r>
        <w:t>: Fine woody debris tally posterior retrodiction results (3).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384A77C8" w14:textId="1BE209E7" w:rsidR="00642375" w:rsidRDefault="00642375" w:rsidP="00642375"/>
    <w:p w14:paraId="2E0249E6" w14:textId="77777777" w:rsidR="00642375" w:rsidRDefault="00642375" w:rsidP="00642375">
      <w:pPr>
        <w:keepNext/>
      </w:pPr>
      <w:r>
        <w:rPr>
          <w:noProof/>
        </w:rPr>
        <w:lastRenderedPageBreak/>
        <w:drawing>
          <wp:inline distT="0" distB="0" distL="0" distR="0" wp14:anchorId="650B38EB" wp14:editId="0EB07E3B">
            <wp:extent cx="5943612" cy="36576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49A2B005" w14:textId="5BCA5D02" w:rsidR="00642375" w:rsidRDefault="00642375" w:rsidP="00642375">
      <w:pPr>
        <w:pStyle w:val="Caption"/>
      </w:pPr>
      <w:bookmarkStart w:id="25" w:name="_Ref110941465"/>
      <w:r>
        <w:t xml:space="preserve">Supplementary Figure </w:t>
      </w:r>
      <w:fldSimple w:instr=" SEQ Supplementary_Figure \* ARABIC ">
        <w:r w:rsidR="00411179">
          <w:rPr>
            <w:noProof/>
          </w:rPr>
          <w:t>22</w:t>
        </w:r>
      </w:fldSimple>
      <w:bookmarkEnd w:id="25"/>
      <w:r>
        <w:t xml:space="preserve">: Fine woody debris tallies posterior prediction results (1).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In each panel, the posterior mean value of simulated fine woody debris tally for each observation is on the x-axis, and the observed tally for that observation on the y-axis, with points for each observation in the validation dataset. Simulated data are conditional on the posterior distributions of random effect realizations. A 1:1 line (representing perfect prediction) is shown in red, and a linear fit between the simulated and observed values shown in blue. The fit between observed and predicted values is noisy, and for sub-model</w:t>
      </w:r>
      <w:r w:rsidR="00CF3B4D">
        <w:t xml:space="preserve">s 2 and </w:t>
      </w:r>
      <w:r>
        <w:t>3 (</w:t>
      </w:r>
      <w:r w:rsidR="00CF3B4D">
        <w:t xml:space="preserve">medium and </w:t>
      </w:r>
      <w:r>
        <w:t xml:space="preserve">high drought mortality) the model tends to under-predict tallies above ~25. </w:t>
      </w:r>
    </w:p>
    <w:p w14:paraId="61386E51" w14:textId="4CED1090" w:rsidR="00642375" w:rsidRDefault="00642375" w:rsidP="00642375"/>
    <w:p w14:paraId="1622AE4A" w14:textId="77777777" w:rsidR="00642375" w:rsidRDefault="00642375" w:rsidP="00642375">
      <w:pPr>
        <w:keepNext/>
      </w:pPr>
      <w:r>
        <w:rPr>
          <w:noProof/>
        </w:rPr>
        <w:lastRenderedPageBreak/>
        <w:drawing>
          <wp:inline distT="0" distB="0" distL="0" distR="0" wp14:anchorId="425464E4" wp14:editId="7C14EC71">
            <wp:extent cx="5943612" cy="59436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DA14DD0" w14:textId="5E0042CB" w:rsidR="00642375" w:rsidRDefault="00642375" w:rsidP="00642375">
      <w:pPr>
        <w:pStyle w:val="Caption"/>
      </w:pPr>
      <w:bookmarkStart w:id="26" w:name="_Ref110941489"/>
      <w:r>
        <w:t xml:space="preserve">Supplementary Figure </w:t>
      </w:r>
      <w:fldSimple w:instr=" SEQ Supplementary_Figure \* ARABIC ">
        <w:r w:rsidR="00411179">
          <w:rPr>
            <w:noProof/>
          </w:rPr>
          <w:t>23</w:t>
        </w:r>
      </w:fldSimple>
      <w:bookmarkEnd w:id="26"/>
      <w:r>
        <w:t xml:space="preserve">: Fine woody debris tally posterior prediction results (2).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In each panel, the x-axis shows an (observed or simulated) tally of fine woody debris and the y-axis shows the proportion of samples from a dataset of 1</w:t>
      </w:r>
      <w:r w:rsidR="00CF3B4D">
        <w:t>33</w:t>
      </w:r>
      <w:r>
        <w:t xml:space="preserve"> </w:t>
      </w:r>
      <w:r w:rsidR="00CF3B4D">
        <w:t>tallies</w:t>
      </w:r>
      <w:r>
        <w:t xml:space="preserve"> having that </w:t>
      </w:r>
      <w:r w:rsidR="00CF3B4D">
        <w:t>count</w:t>
      </w:r>
      <w:r>
        <w:t xml:space="preserve"> (i.e., </w:t>
      </w:r>
      <w:r w:rsidR="001E413B">
        <w:t>probability function</w:t>
      </w:r>
      <w:r>
        <w:t xml:space="preserve">). The observed distribution of </w:t>
      </w:r>
      <w:r w:rsidR="00CF3B4D">
        <w:t>tallies</w:t>
      </w:r>
      <w:r>
        <w:t xml:space="preserve"> is plotted as the red points. The error bars within each </w:t>
      </w:r>
      <w:r w:rsidR="001E413B">
        <w:t>count</w:t>
      </w:r>
      <w:r>
        <w:t xml:space="preserve"> value show the 2.5</w:t>
      </w:r>
      <w:r w:rsidRPr="006838A2">
        <w:rPr>
          <w:vertAlign w:val="superscript"/>
        </w:rPr>
        <w:t>th</w:t>
      </w:r>
      <w:r>
        <w:t xml:space="preserve"> and 97.5</w:t>
      </w:r>
      <w:r w:rsidRPr="006838A2">
        <w:rPr>
          <w:vertAlign w:val="superscript"/>
        </w:rPr>
        <w:t>th</w:t>
      </w:r>
      <w:r>
        <w:t xml:space="preserve"> percentile of the proportion of simulated samples having that </w:t>
      </w:r>
      <w:r w:rsidR="00D445C6">
        <w:t>count</w:t>
      </w:r>
      <w:r>
        <w:t xml:space="preserve">, across each of the 4,000 posterior draws showing the variation in model-predicted </w:t>
      </w:r>
      <w:r w:rsidR="00D445C6">
        <w:t>probability functions</w:t>
      </w:r>
      <w:r>
        <w:t xml:space="preserve">. The observed data are generally within the range of behaviors predicted by the model, though with so few data points the simulated depth distributions are noisy resulting in wide ranges for the proportion of samples falling in each bin.  </w:t>
      </w:r>
    </w:p>
    <w:p w14:paraId="7906AFCA" w14:textId="1092CE40" w:rsidR="00CF3B4D" w:rsidRDefault="00CF3B4D" w:rsidP="00CF3B4D"/>
    <w:p w14:paraId="07435096" w14:textId="77777777" w:rsidR="00CF3B4D" w:rsidRDefault="00CF3B4D" w:rsidP="00CF3B4D">
      <w:pPr>
        <w:keepNext/>
      </w:pPr>
      <w:r>
        <w:rPr>
          <w:noProof/>
        </w:rPr>
        <w:lastRenderedPageBreak/>
        <w:drawing>
          <wp:inline distT="0" distB="0" distL="0" distR="0" wp14:anchorId="1BB3B271" wp14:editId="60455795">
            <wp:extent cx="5943612" cy="5943612"/>
            <wp:effectExtent l="0" t="0" r="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AFF1615" w14:textId="6D55045E" w:rsidR="00CF3B4D" w:rsidRDefault="00CF3B4D" w:rsidP="00CF3B4D">
      <w:pPr>
        <w:pStyle w:val="Caption"/>
      </w:pPr>
      <w:bookmarkStart w:id="27" w:name="_Ref110941491"/>
      <w:r>
        <w:t xml:space="preserve">Supplementary Figure </w:t>
      </w:r>
      <w:fldSimple w:instr=" SEQ Supplementary_Figure \* ARABIC ">
        <w:r w:rsidR="00411179">
          <w:rPr>
            <w:noProof/>
          </w:rPr>
          <w:t>24</w:t>
        </w:r>
      </w:fldSimple>
      <w:bookmarkEnd w:id="27"/>
      <w:r>
        <w:t xml:space="preserve">: Fine woody debris tally posterior </w:t>
      </w:r>
      <w:r w:rsidR="00956EE6">
        <w:t>prediction</w:t>
      </w:r>
      <w:r>
        <w:t xml:space="preserve"> results (3). Panels show the cumulative density functions of the observed validation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5D52AEE2" w14:textId="480BEDCA" w:rsidR="008C67AA" w:rsidRDefault="008C67AA" w:rsidP="008C67AA"/>
    <w:p w14:paraId="3B4B7404" w14:textId="58AE9AE3" w:rsidR="00546734" w:rsidRDefault="00546734" w:rsidP="00546734"/>
    <w:p w14:paraId="2AE13053" w14:textId="77777777" w:rsidR="00546734" w:rsidRDefault="00546734" w:rsidP="00546734">
      <w:pPr>
        <w:keepNext/>
      </w:pPr>
      <w:r>
        <w:rPr>
          <w:noProof/>
        </w:rPr>
        <w:lastRenderedPageBreak/>
        <w:drawing>
          <wp:inline distT="0" distB="0" distL="0" distR="0" wp14:anchorId="1AC561A5" wp14:editId="59A687F2">
            <wp:extent cx="5943612" cy="59436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D78E3B6" w14:textId="51879605" w:rsidR="00546734" w:rsidRDefault="00546734" w:rsidP="00546734">
      <w:pPr>
        <w:pStyle w:val="Caption"/>
      </w:pPr>
      <w:r>
        <w:t xml:space="preserve">Supplementary Figure </w:t>
      </w:r>
      <w:fldSimple w:instr=" SEQ Supplementary_Figure \* ARABIC ">
        <w:r w:rsidR="00411179">
          <w:rPr>
            <w:noProof/>
          </w:rPr>
          <w:t>25</w:t>
        </w:r>
      </w:fldSimple>
      <w:r>
        <w:t>: Fine woody debris diameters</w:t>
      </w:r>
      <w:r w:rsidRPr="00546734">
        <w:t xml:space="preserve"> posterior retrodiction results (</w:t>
      </w:r>
      <w:r w:rsidR="00956EE6">
        <w:t>1</w:t>
      </w:r>
      <w:r w:rsidRPr="00546734">
        <w:t xml:space="preserve">). Panels show the </w:t>
      </w:r>
      <w:r>
        <w:t>probability</w:t>
      </w:r>
      <w:r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3C30E4">
        <w:t>For the most part,</w:t>
      </w:r>
      <w:r w:rsidRPr="00546734">
        <w:t xml:space="preserve"> observed cumulative density functions fall within the range of behaviors predicted by the model, indicating good agreement between the model and reality</w:t>
      </w:r>
      <w:r w:rsidR="003C30E4">
        <w:t xml:space="preserve">. </w:t>
      </w:r>
    </w:p>
    <w:p w14:paraId="628479C9" w14:textId="0F410670" w:rsidR="00546734" w:rsidRDefault="00546734" w:rsidP="00546734"/>
    <w:p w14:paraId="40646050" w14:textId="77777777" w:rsidR="00546734" w:rsidRDefault="00546734" w:rsidP="00546734">
      <w:pPr>
        <w:keepNext/>
      </w:pPr>
      <w:r>
        <w:rPr>
          <w:noProof/>
        </w:rPr>
        <w:lastRenderedPageBreak/>
        <w:drawing>
          <wp:inline distT="0" distB="0" distL="0" distR="0" wp14:anchorId="7B9DF456" wp14:editId="58E4B5CE">
            <wp:extent cx="5943612" cy="59436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CA0B82D" w14:textId="47F3174D" w:rsidR="00546734" w:rsidRDefault="00546734" w:rsidP="00546734">
      <w:pPr>
        <w:pStyle w:val="Caption"/>
      </w:pPr>
      <w:r>
        <w:t xml:space="preserve">Supplementary Figure </w:t>
      </w:r>
      <w:fldSimple w:instr=" SEQ Supplementary_Figure \* ARABIC ">
        <w:r w:rsidR="00411179">
          <w:rPr>
            <w:noProof/>
          </w:rPr>
          <w:t>26</w:t>
        </w:r>
      </w:fldSimple>
      <w:r>
        <w:t>: Fine woody debris diameters</w:t>
      </w:r>
      <w:r w:rsidRPr="00546734">
        <w:t xml:space="preserve"> posterior retrodiction results (</w:t>
      </w:r>
      <w:r w:rsidR="00956EE6">
        <w:t>2</w:t>
      </w:r>
      <w:r w:rsidRPr="00546734">
        <w:t xml:space="preserve">). Panels show the </w:t>
      </w:r>
      <w:r>
        <w:t>cumulative</w:t>
      </w:r>
      <w:r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3C30E4">
        <w:t>For the most part,</w:t>
      </w:r>
      <w:r w:rsidR="003C30E4" w:rsidRPr="00546734">
        <w:t xml:space="preserve"> observed cumulative density functions fall within the range of behaviors predicted by the model, indicating good agreement between the model and reality</w:t>
      </w:r>
      <w:r w:rsidR="003C30E4">
        <w:t xml:space="preserve">. </w:t>
      </w:r>
      <w:r w:rsidR="003B17FC">
        <w:t>However, for all three levels of drought mortality the rounding of the observed diameters to the nearest 0.1 cm is evident in the pronounced stepwise character of the (red) observed cumulative density function, which at the steps falls outside or on the edge of the (blue) cumulative density functions generated from truly continuous model-simulated diameters.</w:t>
      </w:r>
    </w:p>
    <w:p w14:paraId="4CD73232" w14:textId="76AD9003" w:rsidR="00504DFA" w:rsidRDefault="00504DFA" w:rsidP="00504DFA"/>
    <w:p w14:paraId="7DA91600" w14:textId="77777777" w:rsidR="00504DFA" w:rsidRDefault="00504DFA" w:rsidP="00504DFA">
      <w:pPr>
        <w:keepNext/>
      </w:pPr>
      <w:r>
        <w:rPr>
          <w:noProof/>
        </w:rPr>
        <w:lastRenderedPageBreak/>
        <w:drawing>
          <wp:inline distT="0" distB="0" distL="0" distR="0" wp14:anchorId="71B07446" wp14:editId="28520A99">
            <wp:extent cx="5943612" cy="59436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B7AB9D9" w14:textId="5F50CDB0" w:rsidR="00504DFA" w:rsidRDefault="00504DFA" w:rsidP="00504DFA">
      <w:pPr>
        <w:pStyle w:val="Caption"/>
      </w:pPr>
      <w:r>
        <w:t xml:space="preserve">Supplementary Figure </w:t>
      </w:r>
      <w:fldSimple w:instr=" SEQ Supplementary_Figure \* ARABIC ">
        <w:r w:rsidR="00411179">
          <w:rPr>
            <w:noProof/>
          </w:rPr>
          <w:t>27</w:t>
        </w:r>
      </w:fldSimple>
      <w:r>
        <w:t>:</w:t>
      </w:r>
      <w:r w:rsidRPr="00504DFA">
        <w:t xml:space="preserve"> </w:t>
      </w:r>
      <w:r>
        <w:t>Fine woody debris diameters</w:t>
      </w:r>
      <w:r w:rsidRPr="00546734">
        <w:t xml:space="preserve"> posterior </w:t>
      </w:r>
      <w:r>
        <w:t>predictio</w:t>
      </w:r>
      <w:r w:rsidRPr="00546734">
        <w:t>n results (</w:t>
      </w:r>
      <w:r w:rsidR="00956EE6">
        <w:t>1</w:t>
      </w:r>
      <w:r w:rsidRPr="00546734">
        <w:t xml:space="preserve">). Panels show the </w:t>
      </w:r>
      <w:r>
        <w:t>probability</w:t>
      </w:r>
      <w:r w:rsidRPr="00546734">
        <w:t xml:space="preserve"> density functions of the observed </w:t>
      </w:r>
      <w:r>
        <w:t>validation</w:t>
      </w:r>
      <w:r w:rsidRPr="00546734">
        <w:t xml:space="preserve"> data (red) and each of 4,000 simulated datasets generated using posterior parameter values and random effect realizations (blue) for each of the three sub-models corresponding to low, medium, or high levels of drought mortality. </w:t>
      </w:r>
      <w:r>
        <w:t>O</w:t>
      </w:r>
      <w:r w:rsidRPr="00546734">
        <w:t>bserved cumulative density functions fall within the range of behaviors predicted by the model, indicating good agreement between the model and reality</w:t>
      </w:r>
      <w:r>
        <w:t xml:space="preserve">. </w:t>
      </w:r>
    </w:p>
    <w:p w14:paraId="3B7BFDA4" w14:textId="14C13646" w:rsidR="00504DFA" w:rsidRDefault="00504DFA" w:rsidP="00504DFA"/>
    <w:p w14:paraId="06D47E9B" w14:textId="77777777" w:rsidR="00411A47" w:rsidRDefault="00504DFA" w:rsidP="00411A47">
      <w:pPr>
        <w:keepNext/>
      </w:pPr>
      <w:r>
        <w:rPr>
          <w:noProof/>
        </w:rPr>
        <w:lastRenderedPageBreak/>
        <w:drawing>
          <wp:inline distT="0" distB="0" distL="0" distR="0" wp14:anchorId="2538C4E8" wp14:editId="740261F8">
            <wp:extent cx="5943612" cy="59436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83C8A94" w14:textId="5013AE5A" w:rsidR="00504DFA" w:rsidRDefault="00411A47" w:rsidP="00411A47">
      <w:pPr>
        <w:pStyle w:val="Caption"/>
      </w:pPr>
      <w:r>
        <w:t xml:space="preserve">Supplementary Figure </w:t>
      </w:r>
      <w:fldSimple w:instr=" SEQ Supplementary_Figure \* ARABIC ">
        <w:r w:rsidR="00411179">
          <w:rPr>
            <w:noProof/>
          </w:rPr>
          <w:t>28</w:t>
        </w:r>
      </w:fldSimple>
      <w:r>
        <w:t>: Fine woody debris diameters</w:t>
      </w:r>
      <w:r w:rsidRPr="00546734">
        <w:t xml:space="preserve"> posterior </w:t>
      </w:r>
      <w:r>
        <w:t>predictio</w:t>
      </w:r>
      <w:r w:rsidRPr="00546734">
        <w:t>n results (</w:t>
      </w:r>
      <w:r w:rsidR="00956EE6">
        <w:t>2</w:t>
      </w:r>
      <w:r w:rsidRPr="00546734">
        <w:t xml:space="preserve">). Panels show the </w:t>
      </w:r>
      <w:r>
        <w:t>cumulative</w:t>
      </w:r>
      <w:r w:rsidRPr="00546734">
        <w:t xml:space="preserve"> density functions of the observed </w:t>
      </w:r>
      <w:r w:rsidR="00956EE6">
        <w:t>validation</w:t>
      </w:r>
      <w:r w:rsidRPr="00546734">
        <w:t xml:space="preserve"> data (red) and each of 4,000 simulated datasets generated using posterior parameter values and random effect realizations (blue) for each of the three sub-models corresponding to low, medium, or high levels of drought mortality. </w:t>
      </w:r>
      <w:r>
        <w:t>For the most part,</w:t>
      </w:r>
      <w:r w:rsidRPr="00546734">
        <w:t xml:space="preserve"> observed cumulative density functions fall within the range of behaviors predicted by the model, indicating good agreement between the model and reality</w:t>
      </w:r>
      <w:r>
        <w:t xml:space="preserve">. The exception, where observed behavior lies outside (or on the edge of) model predictions is that there were the observed proportion of particles with diameters equal to 0.1 cm was </w:t>
      </w:r>
      <w:r w:rsidR="003B17FC">
        <w:t>lower</w:t>
      </w:r>
      <w:r>
        <w:t xml:space="preserve"> in the observed data than in most </w:t>
      </w:r>
      <w:r w:rsidR="003B17FC">
        <w:t>simulated</w:t>
      </w:r>
      <w:r>
        <w:t xml:space="preserve"> datasets, for the third group (high drought mortality).</w:t>
      </w:r>
    </w:p>
    <w:p w14:paraId="6B9506E4" w14:textId="4F36537C" w:rsidR="00B845AB" w:rsidRDefault="00B845AB" w:rsidP="00B845AB"/>
    <w:p w14:paraId="46519F59" w14:textId="77777777" w:rsidR="00970A58" w:rsidRDefault="00970A58" w:rsidP="00970A58">
      <w:pPr>
        <w:keepNext/>
      </w:pPr>
      <w:r>
        <w:rPr>
          <w:noProof/>
        </w:rPr>
        <w:lastRenderedPageBreak/>
        <w:drawing>
          <wp:inline distT="0" distB="0" distL="0" distR="0" wp14:anchorId="482A2FA4" wp14:editId="5BBDA9F7">
            <wp:extent cx="5943612" cy="5943612"/>
            <wp:effectExtent l="0" t="0" r="0" b="0"/>
            <wp:docPr id="57" name="Picture 5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histogram&#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CD612B5" w14:textId="1F509F84" w:rsidR="00970A58" w:rsidRPr="00970A58" w:rsidRDefault="00970A58" w:rsidP="00970A58">
      <w:pPr>
        <w:pStyle w:val="Caption"/>
      </w:pPr>
      <w:r>
        <w:t xml:space="preserve">Supplementary Figure </w:t>
      </w:r>
      <w:fldSimple w:instr=" SEQ Supplementary_Figure \* ARABIC ">
        <w:r w:rsidR="00411179">
          <w:rPr>
            <w:noProof/>
          </w:rPr>
          <w:t>29</w:t>
        </w:r>
      </w:fldSimple>
      <w:r>
        <w:t xml:space="preserve">: Plot-level fine woody debris simulations. For each of 4,000 posterior draws, </w:t>
      </w:r>
      <w:r w:rsidR="00A660EA">
        <w:t xml:space="preserve">1,183 tallies of fine woody debris on 1 m </w:t>
      </w:r>
      <w:proofErr w:type="spellStart"/>
      <w:r w:rsidR="00A660EA">
        <w:t>subtransects</w:t>
      </w:r>
      <w:proofErr w:type="spellEnd"/>
      <w:r w:rsidR="00A660EA">
        <w:t xml:space="preserve"> </w:t>
      </w:r>
      <w:r>
        <w:t>were simulated using posterior parameter values</w:t>
      </w:r>
      <w:r w:rsidR="00A660EA">
        <w:t xml:space="preserve"> from the fine woody debris tallies model</w:t>
      </w:r>
      <w:r>
        <w:t xml:space="preserve"> and drawing new random effect realizations for both fine-scale (gaussian process) and coarse-scale (normally distributed plot intercepts) random effects. </w:t>
      </w:r>
      <w:r w:rsidR="00A660EA">
        <w:t xml:space="preserve">Then, for each simulated particle, a diameter was simulated using the fine woody debris diameters model. </w:t>
      </w:r>
      <w:r>
        <w:t>The</w:t>
      </w:r>
      <w:r w:rsidR="00A660EA">
        <w:t xml:space="preserve"> simulated particles on each </w:t>
      </w:r>
      <w:proofErr w:type="spellStart"/>
      <w:r w:rsidR="00A660EA">
        <w:t>subtransect</w:t>
      </w:r>
      <w:proofErr w:type="spellEnd"/>
      <w:r w:rsidR="00A660EA">
        <w:t xml:space="preserve"> were aggregated by size class,</w:t>
      </w:r>
      <w:r>
        <w:t xml:space="preserve"> converted to biomass estimates and 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but </w:t>
      </w:r>
      <w:r w:rsidR="00A660EA">
        <w:t>the observed distribution of plot-level means is very tight relative to model predictions</w:t>
      </w:r>
      <w:r>
        <w:t>.</w:t>
      </w:r>
      <w:r w:rsidR="00A660EA">
        <w:t xml:space="preserve"> This can be seen in the way the lowest fuel load observed plots have higher fuel loads than most of the lowest-load simulated plots (red line is on the right edge of the envelope at the bottom of the figure), while the highest-load simulated plots are generally more heavily loaded than the highest-loaded observed plots (red line is on the left edge of the envelope at the top of the figure). </w:t>
      </w:r>
    </w:p>
    <w:p w14:paraId="13ACEC13" w14:textId="77777777" w:rsidR="00F437BF" w:rsidRDefault="00F437BF" w:rsidP="00F437BF">
      <w:pPr>
        <w:keepNext/>
      </w:pPr>
      <w:r>
        <w:rPr>
          <w:noProof/>
        </w:rPr>
        <w:lastRenderedPageBreak/>
        <w:drawing>
          <wp:inline distT="0" distB="0" distL="0" distR="0" wp14:anchorId="7955E1BC" wp14:editId="159B0854">
            <wp:extent cx="5943612" cy="365760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2EE4861C" w14:textId="6AFBFA6B" w:rsidR="00F437BF" w:rsidRDefault="00F437BF" w:rsidP="00F437BF">
      <w:pPr>
        <w:pStyle w:val="Caption"/>
      </w:pPr>
      <w:r>
        <w:t xml:space="preserve">Supplementary Figure </w:t>
      </w:r>
      <w:fldSimple w:instr=" SEQ Supplementary_Figure \* ARABIC ">
        <w:r w:rsidR="00411179">
          <w:rPr>
            <w:noProof/>
          </w:rPr>
          <w:t>30</w:t>
        </w:r>
      </w:fldSimple>
      <w:r>
        <w:t xml:space="preserve">: </w:t>
      </w:r>
      <w:r w:rsidR="00E26AC9">
        <w:t xml:space="preserve">Coarse woody debris tally posterior retrodiction results (1). Panels show posterior predictions generated using the posterior parameter values and the training data for each of the three </w:t>
      </w:r>
      <w:proofErr w:type="spellStart"/>
      <w:r w:rsidR="00E26AC9">
        <w:t>submodels</w:t>
      </w:r>
      <w:proofErr w:type="spellEnd"/>
      <w:r w:rsidR="00E26AC9">
        <w:t xml:space="preserve"> representing low, medium, and high drought mortality (1, 2, and 3, respectively). In each panel, the posterior mean value of simulated CWD tally for each observation is on the x-axis, and the observed tally for that observation on the y-axis, with points for each observation in the training dataset. Simulated data are conditional on the posterior distributions of random effect realizations. A 1:1 line (representing perfect prediction) is shown in red, and a linear fit between the simulated and observed values shown in blue. As expected, the average simulated tally for samples where the observed tally was 0 is greater than 0. However, the average simulated tally for samples where the observed tally was 1, 2, 3, or 4 consistently underpredicts the true tally.</w:t>
      </w:r>
    </w:p>
    <w:p w14:paraId="6200EE5E" w14:textId="77777777" w:rsidR="00BC3B35" w:rsidRDefault="00BC3B35" w:rsidP="00BC3B35">
      <w:pPr>
        <w:keepNext/>
      </w:pPr>
      <w:r>
        <w:rPr>
          <w:noProof/>
        </w:rPr>
        <w:lastRenderedPageBreak/>
        <w:drawing>
          <wp:inline distT="0" distB="0" distL="0" distR="0" wp14:anchorId="23B13962" wp14:editId="1707D864">
            <wp:extent cx="5943612" cy="594361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186465F" w14:textId="5F0295DB" w:rsidR="00BC3B35" w:rsidRDefault="00BC3B35" w:rsidP="00BC3B35">
      <w:pPr>
        <w:pStyle w:val="Caption"/>
      </w:pPr>
      <w:r>
        <w:t xml:space="preserve">Supplementary Figure </w:t>
      </w:r>
      <w:fldSimple w:instr=" SEQ Supplementary_Figure \* ARABIC ">
        <w:r w:rsidR="00411179">
          <w:rPr>
            <w:noProof/>
          </w:rPr>
          <w:t>31</w:t>
        </w:r>
      </w:fldSimple>
      <w:r>
        <w:t xml:space="preserve">: Coarse woody debris tally posterior retrodiction results (2). Panels show posterior predictions generated using the posterior parameter values and the training data for each of the three </w:t>
      </w:r>
      <w:proofErr w:type="spellStart"/>
      <w:r>
        <w:t>submodels</w:t>
      </w:r>
      <w:proofErr w:type="spellEnd"/>
      <w:r>
        <w:t xml:space="preserve"> representing low, medium, and high drought mortality (1, 2, and 3, respectively). In each panel, the x-axis shows an (observed or simulated) tally of coarse woody debris and the y-axis shows the proportion of samples from a dataset of 2,268 1 m </w:t>
      </w:r>
      <w:proofErr w:type="spellStart"/>
      <w:r>
        <w:t>subtransects</w:t>
      </w:r>
      <w:proofErr w:type="spellEnd"/>
      <w:r>
        <w:t xml:space="preserve"> having that count (i.e., a</w:t>
      </w:r>
      <w:r w:rsidR="001E413B">
        <w:t xml:space="preserve"> probability function</w:t>
      </w:r>
      <w:r>
        <w:t xml:space="preserve">). The observed distribution of </w:t>
      </w:r>
      <w:r w:rsidR="001E413B">
        <w:t>tallies</w:t>
      </w:r>
      <w:r>
        <w:t xml:space="preserve"> is plotted as the red points. The error bars within each </w:t>
      </w:r>
      <w:r w:rsidR="001E413B">
        <w:t>count value</w:t>
      </w:r>
      <w:r>
        <w:t xml:space="preserve"> show the 2.5</w:t>
      </w:r>
      <w:r w:rsidRPr="006838A2">
        <w:rPr>
          <w:vertAlign w:val="superscript"/>
        </w:rPr>
        <w:t>th</w:t>
      </w:r>
      <w:r>
        <w:t xml:space="preserve"> and 97.5</w:t>
      </w:r>
      <w:r w:rsidRPr="006838A2">
        <w:rPr>
          <w:vertAlign w:val="superscript"/>
        </w:rPr>
        <w:t>th</w:t>
      </w:r>
      <w:r>
        <w:t xml:space="preserve"> percentile of the proportion of simulated samples having that </w:t>
      </w:r>
      <w:r w:rsidR="001E413B">
        <w:t>count</w:t>
      </w:r>
      <w:r>
        <w:t xml:space="preserve"> value, across each of the 4,000 posterior draws showing the variation in model-predicted discrete </w:t>
      </w:r>
      <w:r w:rsidR="001E413B">
        <w:t>probability functions</w:t>
      </w:r>
      <w:r>
        <w:t xml:space="preserve">. The observed data are </w:t>
      </w:r>
      <w:r w:rsidR="001E413B">
        <w:t>consistently</w:t>
      </w:r>
      <w:r>
        <w:t xml:space="preserve"> within the range of behaviors predicted by the model.  </w:t>
      </w:r>
    </w:p>
    <w:p w14:paraId="247E79BD" w14:textId="77777777" w:rsidR="00B0199F" w:rsidRDefault="007566C0" w:rsidP="00B0199F">
      <w:pPr>
        <w:pStyle w:val="Caption"/>
        <w:keepNext/>
      </w:pPr>
      <w:r>
        <w:rPr>
          <w:noProof/>
        </w:rPr>
        <w:lastRenderedPageBreak/>
        <w:drawing>
          <wp:inline distT="0" distB="0" distL="0" distR="0" wp14:anchorId="7952C8F5" wp14:editId="461229EE">
            <wp:extent cx="5943612" cy="59436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0B7A8340" w14:textId="3393D259" w:rsidR="00BC3B35" w:rsidRDefault="00B0199F" w:rsidP="00B0199F">
      <w:pPr>
        <w:pStyle w:val="Caption"/>
      </w:pPr>
      <w:r>
        <w:t xml:space="preserve">Supplementary Figure </w:t>
      </w:r>
      <w:fldSimple w:instr=" SEQ Supplementary_Figure \* ARABIC ">
        <w:r w:rsidR="00411179">
          <w:rPr>
            <w:noProof/>
          </w:rPr>
          <w:t>32</w:t>
        </w:r>
      </w:fldSimple>
      <w:r>
        <w:t>: CWD tally posterior retrodiction results (3). Panels show the cumulative density functions of the observed training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0C9591C4" w14:textId="77777777" w:rsidR="00B0199F" w:rsidRDefault="00B0199F" w:rsidP="00B0199F">
      <w:pPr>
        <w:keepNext/>
      </w:pPr>
      <w:r>
        <w:rPr>
          <w:noProof/>
        </w:rPr>
        <w:lastRenderedPageBreak/>
        <w:drawing>
          <wp:inline distT="0" distB="0" distL="0" distR="0" wp14:anchorId="107AA7EB" wp14:editId="30481E22">
            <wp:extent cx="5943612" cy="365760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AC99322" w14:textId="6F8E8A9A" w:rsidR="00B0199F" w:rsidRDefault="00B0199F" w:rsidP="00B0199F">
      <w:pPr>
        <w:pStyle w:val="Caption"/>
      </w:pPr>
      <w:r>
        <w:t xml:space="preserve">Supplementary Figure </w:t>
      </w:r>
      <w:fldSimple w:instr=" SEQ Supplementary_Figure \* ARABIC ">
        <w:r w:rsidR="00411179">
          <w:rPr>
            <w:noProof/>
          </w:rPr>
          <w:t>33</w:t>
        </w:r>
      </w:fldSimple>
      <w:r>
        <w:t xml:space="preserve">: Coarse woody debris tally posterior prediction results (1). Panels show posterior predictions generated using the posterior parameter values and the validation data for each of the three </w:t>
      </w:r>
      <w:proofErr w:type="spellStart"/>
      <w:r>
        <w:t>submodels</w:t>
      </w:r>
      <w:proofErr w:type="spellEnd"/>
      <w:r>
        <w:t xml:space="preserve"> representing low, medium, and high drought mortality (1, 2, and 3, respectively). In each panel, the posterior mean value of simulated CWD tally for each observation is on the x-axis, and the observed tally for that observation on the y-axis, with points for each observation in the training dataset. Simulated data are conditional on the posterior distributions of random effect realizations. A 1:1 line (representing perfect prediction) is shown in red, and a linear fit between the simulated and observed values shown in blue. </w:t>
      </w:r>
      <w:r w:rsidR="009C1EFA">
        <w:t xml:space="preserve">For two of the three </w:t>
      </w:r>
      <w:proofErr w:type="spellStart"/>
      <w:r w:rsidR="009C1EFA">
        <w:t>submodels</w:t>
      </w:r>
      <w:proofErr w:type="spellEnd"/>
      <w:r w:rsidR="009C1EFA">
        <w:t>, there is a weak or nonexistent relationship between the simulated counts and the observed counts, though with such low observed counts it is difficult to interpret the figure.</w:t>
      </w:r>
    </w:p>
    <w:p w14:paraId="6670F4AE" w14:textId="77777777" w:rsidR="009C1EFA" w:rsidRDefault="009C1EFA" w:rsidP="009C1EFA">
      <w:pPr>
        <w:keepNext/>
      </w:pPr>
      <w:r>
        <w:rPr>
          <w:noProof/>
        </w:rPr>
        <w:lastRenderedPageBreak/>
        <w:drawing>
          <wp:inline distT="0" distB="0" distL="0" distR="0" wp14:anchorId="0F9EC50B" wp14:editId="204E03E0">
            <wp:extent cx="5943612" cy="594361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23E774F" w14:textId="2178BBE0" w:rsidR="009C1EFA" w:rsidRDefault="009C1EFA" w:rsidP="009C1EFA">
      <w:pPr>
        <w:pStyle w:val="Caption"/>
      </w:pPr>
      <w:r>
        <w:t xml:space="preserve">Supplementary Figure </w:t>
      </w:r>
      <w:fldSimple w:instr=" SEQ Supplementary_Figure \* ARABIC ">
        <w:r w:rsidR="00411179">
          <w:rPr>
            <w:noProof/>
          </w:rPr>
          <w:t>34</w:t>
        </w:r>
      </w:fldSimple>
      <w:r>
        <w:t xml:space="preserve">: Coarse woody debris tally posterior </w:t>
      </w:r>
      <w:r w:rsidR="00956EE6">
        <w:t>prediction</w:t>
      </w:r>
      <w:r>
        <w:t xml:space="preserve"> results (2). Panels show posterior predictions generated using the posterior parameter values and the </w:t>
      </w:r>
      <w:r w:rsidR="00956EE6">
        <w:t>validation</w:t>
      </w:r>
      <w:r>
        <w:t xml:space="preserve"> data for each of the three </w:t>
      </w:r>
      <w:proofErr w:type="spellStart"/>
      <w:r>
        <w:t>submodels</w:t>
      </w:r>
      <w:proofErr w:type="spellEnd"/>
      <w:r>
        <w:t xml:space="preserve"> representing low, medium, and high drought mortality (1, 2, and 3, respectively). In each panel, the x-axis shows an (observed or simulated) tally of coarse woody debris and the y-axis shows the proportion of samples from a dataset of</w:t>
      </w:r>
      <w:r w:rsidR="007744F8">
        <w:t xml:space="preserve"> 252 </w:t>
      </w:r>
      <w:r>
        <w:t xml:space="preserve">1 m </w:t>
      </w:r>
      <w:proofErr w:type="spellStart"/>
      <w:r>
        <w:t>subtransects</w:t>
      </w:r>
      <w:proofErr w:type="spellEnd"/>
      <w:r>
        <w:t xml:space="preserve"> having that count (i.e., a probability function). The observed distribution of tallies is plotted as the red points. The error bars within each count value show the 2.5</w:t>
      </w:r>
      <w:r w:rsidRPr="006838A2">
        <w:rPr>
          <w:vertAlign w:val="superscript"/>
        </w:rPr>
        <w:t>th</w:t>
      </w:r>
      <w:r>
        <w:t xml:space="preserve"> and 97.5</w:t>
      </w:r>
      <w:r w:rsidRPr="006838A2">
        <w:rPr>
          <w:vertAlign w:val="superscript"/>
        </w:rPr>
        <w:t>th</w:t>
      </w:r>
      <w:r>
        <w:t xml:space="preserve"> percentile of the proportion of simulated samples having that count value, across each of the 4,000 posterior draws showing the variation in model-predicted discrete probability functions. The observed data are consistently within the range of behaviors predicted by the model.  </w:t>
      </w:r>
    </w:p>
    <w:p w14:paraId="79223F05" w14:textId="77777777" w:rsidR="007744F8" w:rsidRDefault="007744F8" w:rsidP="007744F8">
      <w:pPr>
        <w:keepNext/>
      </w:pPr>
      <w:r>
        <w:rPr>
          <w:noProof/>
        </w:rPr>
        <w:lastRenderedPageBreak/>
        <w:drawing>
          <wp:inline distT="0" distB="0" distL="0" distR="0" wp14:anchorId="1AB8FB35" wp14:editId="0EC766A0">
            <wp:extent cx="5943612" cy="59436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12CEF25F" w14:textId="4D7FEF48" w:rsidR="007744F8" w:rsidRDefault="007744F8" w:rsidP="007744F8">
      <w:pPr>
        <w:pStyle w:val="Caption"/>
      </w:pPr>
      <w:r>
        <w:t xml:space="preserve">Supplementary Figure </w:t>
      </w:r>
      <w:fldSimple w:instr=" SEQ Supplementary_Figure \* ARABIC ">
        <w:r w:rsidR="00411179">
          <w:rPr>
            <w:noProof/>
          </w:rPr>
          <w:t>35</w:t>
        </w:r>
      </w:fldSimple>
      <w:r>
        <w:t xml:space="preserve">: CWD tally posterior </w:t>
      </w:r>
      <w:r w:rsidR="00956EE6">
        <w:t>prediction</w:t>
      </w:r>
      <w:r>
        <w:t xml:space="preserve"> results (3). Panels show the cumulative density functions of the observed </w:t>
      </w:r>
      <w:r w:rsidR="00956EE6">
        <w:t>validation</w:t>
      </w:r>
      <w:r>
        <w:t xml:space="preserve"> data (red) and each of 4,000 simulated datasets generated using posterior parameter values and random effect realizations (blue) for each of the three sub-models corresponding to low, medium, or high levels of drought mortality. The observed cumulative density functions fall within the range of behaviors predicted by the model, indicating good agreement between the model and reality.</w:t>
      </w:r>
    </w:p>
    <w:p w14:paraId="3F6D7595" w14:textId="77777777" w:rsidR="00566638" w:rsidRDefault="00566638" w:rsidP="00566638">
      <w:pPr>
        <w:keepNext/>
      </w:pPr>
      <w:r>
        <w:rPr>
          <w:noProof/>
        </w:rPr>
        <w:lastRenderedPageBreak/>
        <w:drawing>
          <wp:inline distT="0" distB="0" distL="0" distR="0" wp14:anchorId="59ABF990" wp14:editId="545250FF">
            <wp:extent cx="5943612" cy="59436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7166797" w14:textId="63F2BB43" w:rsidR="007566C0" w:rsidRDefault="00566638" w:rsidP="00566638">
      <w:pPr>
        <w:pStyle w:val="Caption"/>
      </w:pPr>
      <w:r>
        <w:t xml:space="preserve">Supplementary Figure </w:t>
      </w:r>
      <w:fldSimple w:instr=" SEQ Supplementary_Figure \* ARABIC ">
        <w:r w:rsidR="00411179">
          <w:rPr>
            <w:noProof/>
          </w:rPr>
          <w:t>36</w:t>
        </w:r>
      </w:fldSimple>
      <w:r w:rsidR="00BA00CA">
        <w:t>: Coarse woody debris diameters</w:t>
      </w:r>
      <w:r w:rsidR="00BA00CA" w:rsidRPr="00546734">
        <w:t xml:space="preserve"> posterior retrodiction results (</w:t>
      </w:r>
      <w:r w:rsidR="00FC6A3C">
        <w:t>1</w:t>
      </w:r>
      <w:r w:rsidR="00BA00CA" w:rsidRPr="00546734">
        <w:t xml:space="preserve">). Panels show the </w:t>
      </w:r>
      <w:r w:rsidR="00BA00CA">
        <w:t>probability</w:t>
      </w:r>
      <w:r w:rsidR="00BA00CA"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rsidR="00BA00CA">
        <w:t>O</w:t>
      </w:r>
      <w:r w:rsidR="00BA00CA" w:rsidRPr="00546734">
        <w:t>bserved cumulative density functions fall within the range of behaviors predicted by the model, indicating good agreement between the model and reality</w:t>
      </w:r>
      <w:r w:rsidR="00BA00CA">
        <w:t>.</w:t>
      </w:r>
    </w:p>
    <w:p w14:paraId="57C24BAF" w14:textId="53DE515D" w:rsidR="00BA00CA" w:rsidRDefault="00BA00CA" w:rsidP="00BA00CA"/>
    <w:p w14:paraId="4A1694EA" w14:textId="77777777" w:rsidR="00BA00CA" w:rsidRDefault="00BA00CA" w:rsidP="00BA00CA">
      <w:pPr>
        <w:keepNext/>
      </w:pPr>
      <w:r>
        <w:rPr>
          <w:noProof/>
        </w:rPr>
        <w:lastRenderedPageBreak/>
        <w:drawing>
          <wp:inline distT="0" distB="0" distL="0" distR="0" wp14:anchorId="21727613" wp14:editId="1C3D321A">
            <wp:extent cx="5943612" cy="594361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5FD0AF9" w14:textId="6358877A" w:rsidR="00BA00CA" w:rsidRDefault="00BA00CA" w:rsidP="00BA00CA">
      <w:pPr>
        <w:pStyle w:val="Caption"/>
      </w:pPr>
      <w:r>
        <w:t xml:space="preserve">Supplementary Figure </w:t>
      </w:r>
      <w:fldSimple w:instr=" SEQ Supplementary_Figure \* ARABIC ">
        <w:r w:rsidR="00411179">
          <w:rPr>
            <w:noProof/>
          </w:rPr>
          <w:t>37</w:t>
        </w:r>
      </w:fldSimple>
      <w:r>
        <w:t>: Coarse woody debris diameters</w:t>
      </w:r>
      <w:r w:rsidRPr="00546734">
        <w:t xml:space="preserve"> posterior retrodiction results (</w:t>
      </w:r>
      <w:r w:rsidR="00FC6A3C">
        <w:t>2</w:t>
      </w:r>
      <w:r w:rsidRPr="00546734">
        <w:t xml:space="preserve">). Panels show the </w:t>
      </w:r>
      <w:r>
        <w:t>cumulative</w:t>
      </w:r>
      <w:r w:rsidRPr="00546734">
        <w:t xml:space="preserve"> density functions of the observed training data (red) and each of 4,000 simulated datasets generated using posterior parameter values and random effect realizations (blue) for each of the three sub-models corresponding to low, medium, or high levels of drought mortality. </w:t>
      </w:r>
      <w:r>
        <w:t>Observed</w:t>
      </w:r>
      <w:r w:rsidRPr="00546734">
        <w:t xml:space="preserve"> cumulative density functions fall within the range of behaviors predicted by the model, indicating good agreement between the model and reality</w:t>
      </w:r>
      <w:r>
        <w:t xml:space="preserve">. </w:t>
      </w:r>
    </w:p>
    <w:p w14:paraId="1BEBFA77" w14:textId="46F472FC" w:rsidR="00BA00CA" w:rsidRDefault="00BA00CA" w:rsidP="00BA00CA"/>
    <w:p w14:paraId="010C9D1E" w14:textId="77777777" w:rsidR="00F228A1" w:rsidRDefault="00F228A1" w:rsidP="00F228A1">
      <w:pPr>
        <w:keepNext/>
      </w:pPr>
      <w:r>
        <w:rPr>
          <w:noProof/>
        </w:rPr>
        <w:lastRenderedPageBreak/>
        <w:drawing>
          <wp:inline distT="0" distB="0" distL="0" distR="0" wp14:anchorId="35DF5046" wp14:editId="1B9C95F0">
            <wp:extent cx="5943612" cy="594361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AEBF987" w14:textId="3B1DE991" w:rsidR="00BA00CA" w:rsidRDefault="00F228A1" w:rsidP="00F228A1">
      <w:pPr>
        <w:pStyle w:val="Caption"/>
      </w:pPr>
      <w:r>
        <w:t xml:space="preserve">Supplementary Figure </w:t>
      </w:r>
      <w:fldSimple w:instr=" SEQ Supplementary_Figure \* ARABIC ">
        <w:r w:rsidR="00411179">
          <w:rPr>
            <w:noProof/>
          </w:rPr>
          <w:t>38</w:t>
        </w:r>
      </w:fldSimple>
      <w:r>
        <w:t>: Coarse woody debris diameters</w:t>
      </w:r>
      <w:r w:rsidRPr="00546734">
        <w:t xml:space="preserve"> posterior </w:t>
      </w:r>
      <w:r w:rsidR="00FC6A3C">
        <w:t>prediction</w:t>
      </w:r>
      <w:r w:rsidRPr="00546734">
        <w:t xml:space="preserve"> results (</w:t>
      </w:r>
      <w:r w:rsidR="00FC6A3C">
        <w:t>1</w:t>
      </w:r>
      <w:r w:rsidRPr="00546734">
        <w:t xml:space="preserve">). Panels show the </w:t>
      </w:r>
      <w:r>
        <w:t>probability</w:t>
      </w:r>
      <w:r w:rsidRPr="00546734">
        <w:t xml:space="preserve"> density functions of the observed </w:t>
      </w:r>
      <w:r w:rsidR="00FC6A3C">
        <w:t>validation</w:t>
      </w:r>
      <w:r w:rsidRPr="00546734">
        <w:t xml:space="preserve"> data (red) and each of 4,000 simulated datasets generated using posterior parameter values and random effect realizations (blue) for each of the three sub-models corresponding to low, medium, or high levels of drought mortality. </w:t>
      </w:r>
      <w:bookmarkStart w:id="28" w:name="_Hlk114484409"/>
      <w:r>
        <w:t>O</w:t>
      </w:r>
      <w:r w:rsidRPr="00546734">
        <w:t xml:space="preserve">bserved cumulative density functions fall within the range of behaviors predicted by the model, </w:t>
      </w:r>
      <w:r w:rsidR="00DB3B3C">
        <w:t xml:space="preserve">though the dearth of observed diameters from approximately 5 to 25 cm for the medium drought mortality sub model is on the edge of model predicted behaviors. </w:t>
      </w:r>
      <w:bookmarkEnd w:id="28"/>
    </w:p>
    <w:p w14:paraId="10A37869" w14:textId="6A4F14F5" w:rsidR="00FC6A3C" w:rsidRDefault="00FC6A3C" w:rsidP="00FC6A3C"/>
    <w:p w14:paraId="3D89AADF" w14:textId="77777777" w:rsidR="00FC6A3C" w:rsidRDefault="00FC6A3C" w:rsidP="00FC6A3C">
      <w:pPr>
        <w:keepNext/>
      </w:pPr>
      <w:r>
        <w:rPr>
          <w:noProof/>
        </w:rPr>
        <w:lastRenderedPageBreak/>
        <w:drawing>
          <wp:inline distT="0" distB="0" distL="0" distR="0" wp14:anchorId="7E23200E" wp14:editId="3B136E81">
            <wp:extent cx="5943612" cy="594361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659814C0" w14:textId="485D38DB" w:rsidR="00FC6A3C" w:rsidRDefault="00FC6A3C" w:rsidP="00FC6A3C">
      <w:pPr>
        <w:pStyle w:val="Caption"/>
      </w:pPr>
      <w:r>
        <w:t xml:space="preserve">Supplementary Figure </w:t>
      </w:r>
      <w:fldSimple w:instr=" SEQ Supplementary_Figure \* ARABIC ">
        <w:r w:rsidR="00411179">
          <w:rPr>
            <w:noProof/>
          </w:rPr>
          <w:t>39</w:t>
        </w:r>
      </w:fldSimple>
      <w:r>
        <w:t>: Coarse woody debris diameters</w:t>
      </w:r>
      <w:r w:rsidRPr="00546734">
        <w:t xml:space="preserve"> posterior </w:t>
      </w:r>
      <w:r w:rsidR="00197D57">
        <w:t>predictio</w:t>
      </w:r>
      <w:r w:rsidRPr="00546734">
        <w:t>n results (</w:t>
      </w:r>
      <w:r w:rsidR="00197D57">
        <w:t>2</w:t>
      </w:r>
      <w:r w:rsidRPr="00546734">
        <w:t xml:space="preserve">). Panels show the </w:t>
      </w:r>
      <w:r>
        <w:t>cumulative</w:t>
      </w:r>
      <w:r w:rsidRPr="00546734">
        <w:t xml:space="preserve"> density functions of the observed </w:t>
      </w:r>
      <w:r w:rsidR="00197D57">
        <w:t>validation</w:t>
      </w:r>
      <w:r w:rsidRPr="00546734">
        <w:t xml:space="preserve"> data (red) and each of 4,000 simulated datasets generated using posterior parameter values and random effect realizations (blue) for each of the three sub-models corresponding to low, medium, or high levels of drought mortality. </w:t>
      </w:r>
      <w:r w:rsidR="00DB3B3C" w:rsidRPr="00DB3B3C">
        <w:t xml:space="preserve">Observed cumulative density functions fall within the range of behaviors predicted by the model, though the dearth of observed diameters </w:t>
      </w:r>
      <w:r w:rsidR="00DB3B3C">
        <w:t>from approximately 5 to</w:t>
      </w:r>
      <w:r w:rsidR="00DB3B3C" w:rsidRPr="00DB3B3C">
        <w:t xml:space="preserve"> 25 cm for the medium drought mortality sub model is on the edge of model predicted behaviors.</w:t>
      </w:r>
    </w:p>
    <w:p w14:paraId="152751B7" w14:textId="77777777" w:rsidR="00A660EA" w:rsidRDefault="00A660EA" w:rsidP="00A660EA">
      <w:pPr>
        <w:keepNext/>
      </w:pPr>
      <w:r>
        <w:rPr>
          <w:noProof/>
        </w:rPr>
        <w:lastRenderedPageBreak/>
        <w:drawing>
          <wp:inline distT="0" distB="0" distL="0" distR="0" wp14:anchorId="0E1DD9BD" wp14:editId="195FE843">
            <wp:extent cx="5943612" cy="5943612"/>
            <wp:effectExtent l="0" t="0" r="0" b="0"/>
            <wp:docPr id="58" name="Picture 5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hart, histogram&#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52D12BBE" w14:textId="250513D0" w:rsidR="00D120F4" w:rsidRDefault="00A660EA" w:rsidP="00A660EA">
      <w:pPr>
        <w:pStyle w:val="Caption"/>
      </w:pPr>
      <w:r>
        <w:t xml:space="preserve">Supplementary Figure </w:t>
      </w:r>
      <w:fldSimple w:instr=" SEQ Supplementary_Figure \* ARABIC ">
        <w:r w:rsidR="00411179">
          <w:rPr>
            <w:noProof/>
          </w:rPr>
          <w:t>40</w:t>
        </w:r>
      </w:fldSimple>
      <w:r>
        <w:t xml:space="preserve">: Plot-level coarse woody debris simulations. For each of 4,000 posterior draws, 2,268 tallies of coarse woody debris on 1 m </w:t>
      </w:r>
      <w:proofErr w:type="spellStart"/>
      <w:r>
        <w:t>subtransects</w:t>
      </w:r>
      <w:proofErr w:type="spellEnd"/>
      <w:r>
        <w:t xml:space="preserve"> were simulated using posterior parameter values from the </w:t>
      </w:r>
      <w:r w:rsidR="008E5505">
        <w:t>coarse</w:t>
      </w:r>
      <w:r>
        <w:t xml:space="preserve"> woody debris tallies model and drawing new random effect realizations for both fine-scale (gaussian process) and coarse-scale (normally distributed plot intercepts) random effects. Then, for each simulated particle, a diameter was simulated using the </w:t>
      </w:r>
      <w:r w:rsidR="008E5505">
        <w:t>coarse</w:t>
      </w:r>
      <w:r>
        <w:t xml:space="preserve"> woody debris diameters model. The simulated particles on each </w:t>
      </w:r>
      <w:proofErr w:type="spellStart"/>
      <w:r>
        <w:t>subtransect</w:t>
      </w:r>
      <w:proofErr w:type="spellEnd"/>
      <w:r>
        <w:t xml:space="preserve"> were converted to biomass estimates</w:t>
      </w:r>
      <w:r w:rsidR="008E5505">
        <w:t xml:space="preserve"> on each </w:t>
      </w:r>
      <w:proofErr w:type="spellStart"/>
      <w:r w:rsidR="008E5505">
        <w:t>subtransect</w:t>
      </w:r>
      <w:proofErr w:type="spellEnd"/>
      <w:r>
        <w:t xml:space="preserve"> and </w:t>
      </w:r>
      <w:proofErr w:type="spellStart"/>
      <w:r w:rsidR="008E5505">
        <w:t>subtransects</w:t>
      </w:r>
      <w:proofErr w:type="spellEnd"/>
      <w:r w:rsidR="008E5505">
        <w:t xml:space="preserve"> </w:t>
      </w:r>
      <w:r>
        <w:t xml:space="preserve">averaged at the plot level, giving 21 simulated plot-level fuel loads per posterior draw. The red cumulative density function is the cumulative density function of plot-level fuel loads calculated from the observed data. The blue bands show an envelope containing 50% (darkest), 90%, and 99% (lightest) of the cumulative density functions from the simulated draws. The observed data are within the range of behaviors predicted by the model, </w:t>
      </w:r>
      <w:r w:rsidR="008E5505">
        <w:t xml:space="preserve">though the highest simulated loads are generally higher than the highest observed loads (red line is on the left edge of the envelope at the top of the figure). </w:t>
      </w:r>
    </w:p>
    <w:p w14:paraId="79893987" w14:textId="77777777" w:rsidR="00D120F4" w:rsidRDefault="00D120F4" w:rsidP="00D120F4">
      <w:pPr>
        <w:keepNext/>
      </w:pPr>
      <w:r>
        <w:rPr>
          <w:noProof/>
        </w:rPr>
        <w:lastRenderedPageBreak/>
        <w:drawing>
          <wp:inline distT="0" distB="0" distL="0" distR="0" wp14:anchorId="696235F8" wp14:editId="766FC189">
            <wp:extent cx="5943612" cy="5943612"/>
            <wp:effectExtent l="0" t="0" r="0" b="0"/>
            <wp:docPr id="54" name="Picture 5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Chart&#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57E6421" w14:textId="4F41E50A" w:rsidR="00D120F4" w:rsidRDefault="00D120F4" w:rsidP="00D120F4">
      <w:pPr>
        <w:pStyle w:val="Caption"/>
      </w:pPr>
      <w:r>
        <w:t xml:space="preserve">Supplementary Figure </w:t>
      </w:r>
      <w:fldSimple w:instr=" SEQ Supplementary_Figure \* ARABIC ">
        <w:r w:rsidR="00411179">
          <w:rPr>
            <w:noProof/>
          </w:rPr>
          <w:t>41</w:t>
        </w:r>
      </w:fldSimple>
      <w:r w:rsidR="00B85F7B">
        <w:t>: Posterior retrodictions from the vegetation presence model. For each of the 2,241 observations in the training dataset and each of the 4,000 posterior parameter samples, the probability of vegetation presence was calculated using the observed training data, posterior parameter values, and posterior random effect realizations. Each observation was assigned a rank based on the mean of its posterior presence probabilities. The red jittered points show the rank</w:t>
      </w:r>
      <w:r w:rsidR="00120312">
        <w:t xml:space="preserve">ed probability of presence on the x-axis and the observed presence (1) or absence (0) for that observation. The blue points show </w:t>
      </w:r>
      <w:r w:rsidR="00D90781">
        <w:t>empirical proportion of presences</w:t>
      </w:r>
      <w:r w:rsidR="00120312">
        <w:t xml:space="preserve"> for all observations in 10 bins (where the observations were binned by posterior predicted presence). The posterior mean (black points) and a 95% credible interval (grey ribbon) presence probability for each individual observation are also shown. The model predictions generally agree well with the observed data, as indicated by the close correspondence between the mean observed behavior in the blue points and the predicted presence probabilities shown by the black points. </w:t>
      </w:r>
    </w:p>
    <w:p w14:paraId="1A12586F" w14:textId="77777777" w:rsidR="00120312" w:rsidRDefault="00120312" w:rsidP="00120312">
      <w:pPr>
        <w:keepNext/>
      </w:pPr>
      <w:r>
        <w:rPr>
          <w:noProof/>
        </w:rPr>
        <w:lastRenderedPageBreak/>
        <w:drawing>
          <wp:inline distT="0" distB="0" distL="0" distR="0" wp14:anchorId="5EC7A64D" wp14:editId="12B0262E">
            <wp:extent cx="5943612" cy="5943612"/>
            <wp:effectExtent l="0" t="0" r="0" b="0"/>
            <wp:docPr id="55" name="Picture 55" descr="A picture containing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icture containing map&#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7D476540" w14:textId="396BDD4B" w:rsidR="00120312" w:rsidRDefault="00120312" w:rsidP="00120312">
      <w:pPr>
        <w:pStyle w:val="Caption"/>
      </w:pPr>
      <w:r>
        <w:t xml:space="preserve">Supplementary Figure </w:t>
      </w:r>
      <w:fldSimple w:instr=" SEQ Supplementary_Figure \* ARABIC ">
        <w:r w:rsidR="00411179">
          <w:rPr>
            <w:noProof/>
          </w:rPr>
          <w:t>42</w:t>
        </w:r>
      </w:fldSimple>
      <w:r>
        <w:t xml:space="preserve">: Posterior predictions from the vegetation presence model. For each of the </w:t>
      </w:r>
      <w:r w:rsidR="00D61A38">
        <w:t>249</w:t>
      </w:r>
      <w:r>
        <w:t xml:space="preserve"> observations in the </w:t>
      </w:r>
      <w:r w:rsidR="00D61A38">
        <w:t>validation</w:t>
      </w:r>
      <w:r>
        <w:t xml:space="preserve"> dataset and each of the 4,000 posterior parameter samples, the probability of vegetation presence was calculated using the observed training data, posterior parameter values, and posterior random effect realizations. Each observation was assigned a rank based on the mean of its posterior presence probabilities. The red jittered points show the ranked probability of presence on the x-axis and the observed presence (1) or absence (0) for that observation. The blue points show the </w:t>
      </w:r>
      <w:r w:rsidR="00D61A38">
        <w:t>empirical proportion</w:t>
      </w:r>
      <w:r>
        <w:t xml:space="preserve"> of presence</w:t>
      </w:r>
      <w:r w:rsidR="00D61A38">
        <w:t>s</w:t>
      </w:r>
      <w:r>
        <w:t xml:space="preserve"> for all observations in 10 bins (where the observations were binned by posterior predicted presence). The posterior mean (black points) and a 95% credible interval (grey ribbon) presence probability for each individual observation are also shown. The model predictions generally agree well with the observed data, as indicated by the close correspondence between the mean observed</w:t>
      </w:r>
      <w:r w:rsidR="00D61A38">
        <w:t xml:space="preserve"> proportions</w:t>
      </w:r>
      <w:r>
        <w:t xml:space="preserve"> in the blue points and the predicted presence probabilities shown by the black points.</w:t>
      </w:r>
      <w:r w:rsidR="00D61A38">
        <w:t xml:space="preserve"> </w:t>
      </w:r>
    </w:p>
    <w:p w14:paraId="7F4A2C4E" w14:textId="5B92B587" w:rsidR="00D90781" w:rsidRDefault="00D90781" w:rsidP="00D90781"/>
    <w:p w14:paraId="1A782E83" w14:textId="77777777" w:rsidR="008E5505" w:rsidRDefault="008E5505" w:rsidP="008E5505">
      <w:pPr>
        <w:keepNext/>
      </w:pPr>
      <w:r>
        <w:rPr>
          <w:noProof/>
        </w:rPr>
        <w:lastRenderedPageBreak/>
        <w:drawing>
          <wp:inline distT="0" distB="0" distL="0" distR="0" wp14:anchorId="293BEAB2" wp14:editId="070D1B79">
            <wp:extent cx="5943612" cy="411480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12" cy="4114808"/>
                    </a:xfrm>
                    <a:prstGeom prst="rect">
                      <a:avLst/>
                    </a:prstGeom>
                  </pic:spPr>
                </pic:pic>
              </a:graphicData>
            </a:graphic>
          </wp:inline>
        </w:drawing>
      </w:r>
    </w:p>
    <w:p w14:paraId="4D832E56" w14:textId="490066FA" w:rsidR="00970A58" w:rsidRDefault="008E5505" w:rsidP="008E5505">
      <w:pPr>
        <w:pStyle w:val="Caption"/>
      </w:pPr>
      <w:r>
        <w:t xml:space="preserve">Supplementary Figure </w:t>
      </w:r>
      <w:fldSimple w:instr=" SEQ Supplementary_Figure \* ARABIC ">
        <w:r w:rsidR="00411179">
          <w:rPr>
            <w:noProof/>
          </w:rPr>
          <w:t>43</w:t>
        </w:r>
      </w:fldSimple>
      <w:r>
        <w:t xml:space="preserve">: Plot-level understory vegetation simulations. For each of 4,000 posterior draws, presence/absence of understory vegetation at 2,241 quadrature points was simulated using posterior parameter values from the understory vegetation model and drawing new random effect realizations for both fine-scale (gaussian process) and coarse-scale (normally distributed plot intercepts) random effects. The simulated quadrature points were averaged at the plot level, giving 21 simulated plot-level cover proportions per posterior draw. The red cumulative density function is the cumulative density function of plot-level vegetation cover calculated from the observed data. The blue bands show an envelope containing 50% (darkest), 90%, and 99% (lightest) of the cumulative density functions from the simulated draws. The observed data are within the range of behaviors predicted by the model. </w:t>
      </w:r>
    </w:p>
    <w:p w14:paraId="07797819" w14:textId="77777777" w:rsidR="002372B2" w:rsidRDefault="008E5505" w:rsidP="002372B2">
      <w:pPr>
        <w:keepNext/>
      </w:pPr>
      <w:r>
        <w:rPr>
          <w:noProof/>
        </w:rPr>
        <w:lastRenderedPageBreak/>
        <w:drawing>
          <wp:inline distT="0" distB="0" distL="0" distR="0" wp14:anchorId="2905D17C" wp14:editId="19D32171">
            <wp:extent cx="5943612" cy="365760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E895D1B" w14:textId="48C2CF30" w:rsidR="008E5505" w:rsidRDefault="002372B2" w:rsidP="002372B2">
      <w:pPr>
        <w:pStyle w:val="Caption"/>
      </w:pPr>
      <w:r>
        <w:t xml:space="preserve">Supplementary Figure </w:t>
      </w:r>
      <w:fldSimple w:instr=" SEQ Supplementary_Figure \* ARABIC ">
        <w:r w:rsidR="00411179">
          <w:rPr>
            <w:noProof/>
          </w:rPr>
          <w:t>44</w:t>
        </w:r>
      </w:fldSimple>
      <w:r>
        <w:t>: Posterior retrodiction results for the trees model (1). For each of the 9.450 1 m</w:t>
      </w:r>
      <w:r>
        <w:rPr>
          <w:vertAlign w:val="superscript"/>
        </w:rPr>
        <w:t>2</w:t>
      </w:r>
      <w:r>
        <w:t xml:space="preserve"> quadrats in the training data, a count of stems &gt; 11.4 cm DBH was simulated from each of 4,000 posterior draws. The simulations were averaged together by quadrat, and a point is plotted for each quadrat with the x-axis being the mean simulated count of stems in that quadrat and the y-axis being the observed count of stems in that quadrat. A best-fit linear model between simulated and observed counts is plotted in blue, and a line with slope 1 and intercept 0 (representing perfect prediction) is plotted in red. The very low observed counts (95% of training quadrats had 0 trees, and only a handful had two) make interpretation of the relationship between predicted and observed values difficult. However, the linear relationship between predicted and observed is reasonably close to the perfect prediction line. </w:t>
      </w:r>
    </w:p>
    <w:p w14:paraId="383DC9C9" w14:textId="77777777" w:rsidR="002372B2" w:rsidRDefault="002372B2" w:rsidP="002372B2">
      <w:pPr>
        <w:keepNext/>
      </w:pPr>
      <w:r>
        <w:rPr>
          <w:noProof/>
        </w:rPr>
        <w:lastRenderedPageBreak/>
        <w:drawing>
          <wp:inline distT="0" distB="0" distL="0" distR="0" wp14:anchorId="33C2C8CD" wp14:editId="2296B2BF">
            <wp:extent cx="5943612" cy="594361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6E5677A" w14:textId="6DFA5CF0" w:rsidR="002372B2" w:rsidRDefault="002372B2" w:rsidP="002372B2">
      <w:pPr>
        <w:pStyle w:val="Caption"/>
      </w:pPr>
      <w:r>
        <w:t xml:space="preserve">Supplementary Figure </w:t>
      </w:r>
      <w:fldSimple w:instr=" SEQ Supplementary_Figure \* ARABIC ">
        <w:r w:rsidR="00411179">
          <w:rPr>
            <w:noProof/>
          </w:rPr>
          <w:t>45</w:t>
        </w:r>
      </w:fldSimple>
      <w:r w:rsidR="00B853E1">
        <w:rPr>
          <w:noProof/>
        </w:rPr>
        <w:t xml:space="preserve">: </w:t>
      </w:r>
      <w:r w:rsidR="00B853E1">
        <w:t>Tree counts</w:t>
      </w:r>
      <w:r w:rsidR="00B853E1" w:rsidRPr="00546734">
        <w:t xml:space="preserve"> posterior </w:t>
      </w:r>
      <w:r w:rsidR="00B853E1">
        <w:t>retrodiction</w:t>
      </w:r>
      <w:r w:rsidR="00B853E1" w:rsidRPr="00546734">
        <w:t xml:space="preserve"> results (</w:t>
      </w:r>
      <w:r w:rsidR="00B853E1">
        <w:t>2</w:t>
      </w:r>
      <w:r w:rsidR="00B853E1" w:rsidRPr="00546734">
        <w:t xml:space="preserve">). Panels show the </w:t>
      </w:r>
      <w:r w:rsidR="00B853E1">
        <w:t>cumulative</w:t>
      </w:r>
      <w:r w:rsidR="00B853E1" w:rsidRPr="00546734">
        <w:t xml:space="preserve"> density functions of the observed </w:t>
      </w:r>
      <w:r w:rsidR="00B853E1">
        <w:t>training</w:t>
      </w:r>
      <w:r w:rsidR="00B853E1" w:rsidRPr="00546734">
        <w:t xml:space="preserve"> data (red) and each of 4,000 simulated datasets generated using posterior parameter values and random effect realizations (blue) for each of the three sub-models corresponding to low, medium, or high levels of drought mortality. </w:t>
      </w:r>
      <w:r w:rsidR="00B853E1" w:rsidRPr="00DB3B3C">
        <w:t xml:space="preserve">Observed cumulative density functions fall within the range of behaviors predicted by the model, </w:t>
      </w:r>
      <w:r w:rsidR="00B853E1">
        <w:t>with the observed frequency of 0-count quadrats falling squarely in the range of simulated frequencies (left side of figure). However, the simulations include rare quadrats with 3 or even 4 trees in a single square meter, which never occurred in the training data.</w:t>
      </w:r>
    </w:p>
    <w:p w14:paraId="10410C0B" w14:textId="2A77AC8F" w:rsidR="00AE7D9B" w:rsidRDefault="00AE7D9B" w:rsidP="00AE7D9B"/>
    <w:p w14:paraId="3302992B" w14:textId="77777777" w:rsidR="00AE7D9B" w:rsidRDefault="00AE7D9B" w:rsidP="00AE7D9B">
      <w:pPr>
        <w:keepNext/>
      </w:pPr>
      <w:r>
        <w:rPr>
          <w:noProof/>
        </w:rPr>
        <w:lastRenderedPageBreak/>
        <w:drawing>
          <wp:inline distT="0" distB="0" distL="0" distR="0" wp14:anchorId="197336D3" wp14:editId="13236AD9">
            <wp:extent cx="5943612" cy="3657607"/>
            <wp:effectExtent l="0" t="0" r="0" b="0"/>
            <wp:docPr id="23" name="Picture 2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 schematic&#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4C23BB05" w14:textId="6BA53329" w:rsidR="00AE7D9B" w:rsidRDefault="00AE7D9B" w:rsidP="00AE7D9B">
      <w:pPr>
        <w:pStyle w:val="Caption"/>
      </w:pPr>
      <w:r>
        <w:t xml:space="preserve">Supplementary Figure </w:t>
      </w:r>
      <w:fldSimple w:instr=" SEQ Supplementary_Figure \* ARABIC ">
        <w:r w:rsidR="00411179">
          <w:rPr>
            <w:noProof/>
          </w:rPr>
          <w:t>46</w:t>
        </w:r>
      </w:fldSimple>
      <w:r>
        <w:t>: Posterior prediction results for the trees model (1). For each of the 1,050 1 m</w:t>
      </w:r>
      <w:r>
        <w:rPr>
          <w:vertAlign w:val="superscript"/>
        </w:rPr>
        <w:t>2</w:t>
      </w:r>
      <w:r>
        <w:t xml:space="preserve"> quadrats in the validation data, a count of stems &gt; 11.4 cm DBH was simulated from each of 4,000 posterior draws. The simulations were averaged together by quadrat, and a point is plotted for each quadrat with the x-axis being the mean simulated count of stems in that quadrat and the y-axis being the observed count of stems in that quadrat. A best-fit linear model between simulated and observed counts is plotted in blue, and a line with slope 1 and intercept 0 (representing perfect prediction) is plotted in red. The very low observed counts (95% of training quadrats had 0 trees, and only a handful had two) make interpretation of the relationship between predicted and observed values difficult. For sub-model 1 (low drought mortality), the model does a poor job and there is </w:t>
      </w:r>
      <w:proofErr w:type="gramStart"/>
      <w:r>
        <w:t>actually a</w:t>
      </w:r>
      <w:proofErr w:type="gramEnd"/>
      <w:r>
        <w:t xml:space="preserve"> negative linear relationship between the mean predicted counts and the observed counts. For sub-model 2 (medium drought mortality), the model again performs poorly and there is no clear relationship between the mean predicted counts and the observed counts. Only for sub-model 3 (high drought mortality) does the model perform reasonably well.</w:t>
      </w:r>
    </w:p>
    <w:p w14:paraId="20DC76D0" w14:textId="77777777" w:rsidR="00AE7D9B" w:rsidRDefault="00AE7D9B" w:rsidP="00AE7D9B">
      <w:pPr>
        <w:keepNext/>
      </w:pPr>
      <w:r>
        <w:rPr>
          <w:noProof/>
        </w:rPr>
        <w:lastRenderedPageBreak/>
        <w:drawing>
          <wp:inline distT="0" distB="0" distL="0" distR="0" wp14:anchorId="11F86095" wp14:editId="3FAF3220">
            <wp:extent cx="5943612" cy="5943612"/>
            <wp:effectExtent l="0" t="0" r="0" b="0"/>
            <wp:docPr id="32" name="Picture 3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with medium confidenc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3152D4A8" w14:textId="7449ED9E" w:rsidR="00AE7D9B" w:rsidRDefault="00AE7D9B" w:rsidP="00AE7D9B">
      <w:pPr>
        <w:pStyle w:val="Caption"/>
      </w:pPr>
      <w:r>
        <w:t xml:space="preserve">Supplementary Figure </w:t>
      </w:r>
      <w:fldSimple w:instr=" SEQ Supplementary_Figure \* ARABIC ">
        <w:r w:rsidR="00411179">
          <w:rPr>
            <w:noProof/>
          </w:rPr>
          <w:t>47</w:t>
        </w:r>
      </w:fldSimple>
      <w:r>
        <w:t xml:space="preserve">: Plot-level </w:t>
      </w:r>
      <w:r w:rsidR="00411179">
        <w:t>tree count</w:t>
      </w:r>
      <w:r>
        <w:t xml:space="preserve"> simulations. For each of 4,000 posterior draws, </w:t>
      </w:r>
      <w:r w:rsidR="00411179">
        <w:t xml:space="preserve">a count of trees on </w:t>
      </w:r>
      <w:r>
        <w:t>9,450 1 m</w:t>
      </w:r>
      <w:r>
        <w:rPr>
          <w:vertAlign w:val="superscript"/>
        </w:rPr>
        <w:t>2</w:t>
      </w:r>
      <w:r>
        <w:t xml:space="preserve"> quadrats was simulated using posterior parameter values from the tree counts model and drawing new random effect realizations for both fine-scale (gaussian process) and coarse-scale (normally distributed plot intercepts) random effects. The number of simulated trees were then summed at the plot level, giving 21 simulated plot-level stem density realizations per posterior draw. The red cumulative density function is the cumulative density function of plot-level vegetation cover calculated from the observed data. The blue bands show an envelope containing 50% (darkest), 90%, and 99% (lightest) of the cumulative density functions from the simulated draws. The observed data are within the range of behaviors predicted by the model, but just barely. </w:t>
      </w:r>
      <w:r w:rsidR="004B66B8">
        <w:t>In particular, the model appears to overpredict the frequency of plots with more than 600 stems per hectare.</w:t>
      </w:r>
    </w:p>
    <w:p w14:paraId="6D534569" w14:textId="2E9AD00C" w:rsidR="004B66B8" w:rsidRDefault="004B66B8" w:rsidP="004B66B8"/>
    <w:p w14:paraId="1776C2D2" w14:textId="77777777" w:rsidR="004B66B8" w:rsidRDefault="004B66B8" w:rsidP="004B66B8">
      <w:pPr>
        <w:keepNext/>
      </w:pPr>
      <w:r>
        <w:rPr>
          <w:noProof/>
        </w:rPr>
        <w:lastRenderedPageBreak/>
        <w:drawing>
          <wp:inline distT="0" distB="0" distL="0" distR="0" wp14:anchorId="16DF5CD9" wp14:editId="3257B9E8">
            <wp:extent cx="5943612" cy="365760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42C1C6D" w14:textId="5C765DAE" w:rsidR="004B66B8" w:rsidRDefault="004B66B8" w:rsidP="004B66B8">
      <w:pPr>
        <w:pStyle w:val="Caption"/>
      </w:pPr>
      <w:r>
        <w:t xml:space="preserve">Supplementary Figure </w:t>
      </w:r>
      <w:fldSimple w:instr=" SEQ Supplementary_Figure \* ARABIC ">
        <w:r w:rsidR="00411179">
          <w:rPr>
            <w:noProof/>
          </w:rPr>
          <w:t>48</w:t>
        </w:r>
      </w:fldSimple>
      <w:r>
        <w:t>: Posterior retrodiction results for the saplings model (1). For each of the 2,190 1 m</w:t>
      </w:r>
      <w:r>
        <w:rPr>
          <w:vertAlign w:val="superscript"/>
        </w:rPr>
        <w:t>2</w:t>
      </w:r>
      <w:r>
        <w:t xml:space="preserve"> quadrats in the training data, a count of stems &lt; 11.4 cm DBH was simulated from each of 4,000 posterior draws. The simulations were averaged together by quadrat, and a point is plotted for each quadrat with the x-axis being the mean simulated count of stems in that quadrat and the y-axis being the observed count of stems in that quadrat. A best-fit linear model between simulated and observed counts is plotted in blue, and a line with slope 1 and intercept 0 (representing perfect prediction) is plotted in red. The very low observed counts make interpretation of the relationship between predicted and observed values difficult. However, there is at least a positive relationship between the </w:t>
      </w:r>
      <w:r w:rsidR="00007C02">
        <w:t>mean predicted counts and the observed counts</w:t>
      </w:r>
      <w:r>
        <w:t>.</w:t>
      </w:r>
    </w:p>
    <w:p w14:paraId="1D11F518" w14:textId="77777777" w:rsidR="00007C02" w:rsidRDefault="00007C02" w:rsidP="00007C02">
      <w:pPr>
        <w:keepNext/>
      </w:pPr>
      <w:r>
        <w:rPr>
          <w:noProof/>
        </w:rPr>
        <w:lastRenderedPageBreak/>
        <w:drawing>
          <wp:inline distT="0" distB="0" distL="0" distR="0" wp14:anchorId="2EEAE223" wp14:editId="795CF35D">
            <wp:extent cx="5943612" cy="594361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2E822A1C" w14:textId="491E64FD" w:rsidR="00007C02" w:rsidRDefault="00007C02" w:rsidP="00007C02">
      <w:pPr>
        <w:pStyle w:val="Caption"/>
      </w:pPr>
      <w:r>
        <w:t xml:space="preserve">Supplementary Figure </w:t>
      </w:r>
      <w:fldSimple w:instr=" SEQ Supplementary_Figure \* ARABIC ">
        <w:r w:rsidR="00411179">
          <w:rPr>
            <w:noProof/>
          </w:rPr>
          <w:t>49</w:t>
        </w:r>
      </w:fldSimple>
      <w:r>
        <w:t>: Sapling counts</w:t>
      </w:r>
      <w:r w:rsidRPr="00546734">
        <w:t xml:space="preserve"> posterior </w:t>
      </w:r>
      <w:r>
        <w:t>retrodiction</w:t>
      </w:r>
      <w:r w:rsidRPr="00546734">
        <w:t xml:space="preserve"> results (</w:t>
      </w:r>
      <w:r>
        <w:t>2</w:t>
      </w:r>
      <w:r w:rsidRPr="00546734">
        <w:t xml:space="preserve">). Panels show the </w:t>
      </w:r>
      <w:r>
        <w:t>cumulative</w:t>
      </w:r>
      <w:r w:rsidRPr="00546734">
        <w:t xml:space="preserve"> density functions of the observed </w:t>
      </w:r>
      <w:r>
        <w:t>training</w:t>
      </w:r>
      <w:r w:rsidRPr="00546734">
        <w:t xml:space="preserve"> data (red) and each of 4,000 simulated datasets generated using posterior parameter values and random effect realizations (blue) for each of the three sub-models corresponding to low, medium, or high levels of drought mortality. </w:t>
      </w:r>
      <w:r w:rsidRPr="00DB3B3C">
        <w:t xml:space="preserve">Observed cumulative density functions fall within the range of behaviors predicted by the model, </w:t>
      </w:r>
      <w:r>
        <w:t>with the observed frequency of 0-count quadrats falling squarely in the range of simulated frequencies (left side of figure). However, the simulations include rare quadrats with 4 or more saplings in a single square meter, which never occurred in the training data.</w:t>
      </w:r>
    </w:p>
    <w:p w14:paraId="760CCEEF" w14:textId="646B987D" w:rsidR="00007C02" w:rsidRDefault="00007C02" w:rsidP="00007C02"/>
    <w:p w14:paraId="05FDD5A9" w14:textId="77777777" w:rsidR="00007C02" w:rsidRDefault="00007C02" w:rsidP="00007C02">
      <w:pPr>
        <w:keepNext/>
      </w:pPr>
      <w:r>
        <w:rPr>
          <w:noProof/>
        </w:rPr>
        <w:lastRenderedPageBreak/>
        <w:drawing>
          <wp:inline distT="0" distB="0" distL="0" distR="0" wp14:anchorId="76349707" wp14:editId="4F5BACF2">
            <wp:extent cx="5943612" cy="365760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12" cy="3657607"/>
                    </a:xfrm>
                    <a:prstGeom prst="rect">
                      <a:avLst/>
                    </a:prstGeom>
                  </pic:spPr>
                </pic:pic>
              </a:graphicData>
            </a:graphic>
          </wp:inline>
        </w:drawing>
      </w:r>
    </w:p>
    <w:p w14:paraId="0EC5E262" w14:textId="43CC1205" w:rsidR="00007C02" w:rsidRPr="00007C02" w:rsidRDefault="00007C02" w:rsidP="00007C02">
      <w:pPr>
        <w:pStyle w:val="Caption"/>
      </w:pPr>
      <w:r>
        <w:t xml:space="preserve">Supplementary Figure </w:t>
      </w:r>
      <w:fldSimple w:instr=" SEQ Supplementary_Figure \* ARABIC ">
        <w:r w:rsidR="00411179">
          <w:rPr>
            <w:noProof/>
          </w:rPr>
          <w:t>50</w:t>
        </w:r>
      </w:fldSimple>
      <w:r>
        <w:t>: Posterior prediction results for the saplings model (1). For each of the 246 1 m</w:t>
      </w:r>
      <w:r>
        <w:rPr>
          <w:vertAlign w:val="superscript"/>
        </w:rPr>
        <w:t>2</w:t>
      </w:r>
      <w:r>
        <w:t xml:space="preserve"> quadrats in the validation data, a count of stems &lt; 11.4 cm DBH was simulated from each of 4,000 posterior draws. The simulations were averaged together by quadrat, and a point is plotted for each quadrat with the x-axis being the mean simulated count of stems in that quadrat and the y-axis being the observed count of stems in that quadrat. A best-fit linear model between simulated and observed counts is plotted in blue, and a line with slope 1 and intercept 0 (representing perfect prediction) is plotted in red. The very low observed counts make interpretation of the relationship between predicted and observed values difficult. For sub-model 3 (high drought mortality), the model does a poor job and there is </w:t>
      </w:r>
      <w:proofErr w:type="gramStart"/>
      <w:r>
        <w:t>actually a</w:t>
      </w:r>
      <w:proofErr w:type="gramEnd"/>
      <w:r>
        <w:t xml:space="preserve"> negative linear relationship between the mean predicted counts and the observed counts. For sub-model 1 (high drought mortality), the model consistently underpredicts the count of stems. Only for sub-model 2 (medium drought mortality) does the model perform reasonably well.</w:t>
      </w:r>
    </w:p>
    <w:p w14:paraId="7F799A1A" w14:textId="77777777" w:rsidR="00411179" w:rsidRDefault="00007C02" w:rsidP="00411179">
      <w:pPr>
        <w:pStyle w:val="Caption"/>
        <w:keepNext/>
      </w:pPr>
      <w:r>
        <w:rPr>
          <w:noProof/>
        </w:rPr>
        <w:lastRenderedPageBreak/>
        <w:drawing>
          <wp:inline distT="0" distB="0" distL="0" distR="0" wp14:anchorId="6C0E3A03" wp14:editId="27A99B32">
            <wp:extent cx="5943612" cy="594361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12" cy="5943612"/>
                    </a:xfrm>
                    <a:prstGeom prst="rect">
                      <a:avLst/>
                    </a:prstGeom>
                  </pic:spPr>
                </pic:pic>
              </a:graphicData>
            </a:graphic>
          </wp:inline>
        </w:drawing>
      </w:r>
    </w:p>
    <w:p w14:paraId="45009CFB" w14:textId="41D1D63E" w:rsidR="00007C02" w:rsidRPr="00007C02" w:rsidRDefault="00411179" w:rsidP="00411179">
      <w:pPr>
        <w:pStyle w:val="Caption"/>
      </w:pPr>
      <w:r>
        <w:t xml:space="preserve">Supplementary Figure </w:t>
      </w:r>
      <w:fldSimple w:instr=" SEQ Supplementary_Figure \* ARABIC ">
        <w:r>
          <w:rPr>
            <w:noProof/>
          </w:rPr>
          <w:t>51</w:t>
        </w:r>
      </w:fldSimple>
      <w:r>
        <w:t>: Plot-level sapling count simulations. For each of 4,000 posterior draws, a count of stems on 2190 1 m</w:t>
      </w:r>
      <w:r>
        <w:rPr>
          <w:vertAlign w:val="superscript"/>
        </w:rPr>
        <w:t>2</w:t>
      </w:r>
      <w:r>
        <w:t xml:space="preserve"> quadrats was simulated using posterior parameter values from the sapling counts model and drawing new random effect realizations for both fine-scale (gaussian process) and coarse-scale (normally distributed plot intercepts) random effects. The number of simulated saplings were then summed at the plot level, giving 21 simulated plot-level stem density realizations per posterior draw. The red cumulative density function is the cumulative density function of plot-level vegetation cover calculated from the observed data. The blue bands show an envelope containing 50% (darkest), 90%, and 99% (lightest) of the cumulative density functions from the simulated draws. The observed data are within the range of behaviors predicted by the model.</w:t>
      </w:r>
    </w:p>
    <w:sectPr w:rsidR="00007C02" w:rsidRPr="00007C02">
      <w:headerReference w:type="defaul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772DD" w14:textId="77777777" w:rsidR="000B1EE6" w:rsidRDefault="000B1EE6" w:rsidP="00DE2B66">
      <w:pPr>
        <w:spacing w:after="0" w:line="240" w:lineRule="auto"/>
      </w:pPr>
      <w:r>
        <w:separator/>
      </w:r>
    </w:p>
  </w:endnote>
  <w:endnote w:type="continuationSeparator" w:id="0">
    <w:p w14:paraId="0B63FC29" w14:textId="77777777" w:rsidR="000B1EE6" w:rsidRDefault="000B1EE6" w:rsidP="00DE2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6902F" w14:textId="77777777" w:rsidR="000B1EE6" w:rsidRDefault="000B1EE6" w:rsidP="00DE2B66">
      <w:pPr>
        <w:spacing w:after="0" w:line="240" w:lineRule="auto"/>
      </w:pPr>
      <w:r>
        <w:separator/>
      </w:r>
    </w:p>
  </w:footnote>
  <w:footnote w:type="continuationSeparator" w:id="0">
    <w:p w14:paraId="50381A8A" w14:textId="77777777" w:rsidR="000B1EE6" w:rsidRDefault="000B1EE6" w:rsidP="00DE2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EF05F" w14:textId="38865803" w:rsidR="00DE2B66" w:rsidRDefault="00DE2B66" w:rsidP="00DE2B66">
    <w:pPr>
      <w:pStyle w:val="Header"/>
      <w:jc w:val="right"/>
    </w:pPr>
    <w:r>
      <w:t>Foster 2022</w:t>
    </w:r>
  </w:p>
  <w:p w14:paraId="350DEBF2" w14:textId="77777777" w:rsidR="00DE2B66" w:rsidRDefault="00DE2B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37AA"/>
    <w:multiLevelType w:val="hybridMultilevel"/>
    <w:tmpl w:val="05FCDF06"/>
    <w:lvl w:ilvl="0" w:tplc="46F813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228FA"/>
    <w:multiLevelType w:val="hybridMultilevel"/>
    <w:tmpl w:val="1E9A472E"/>
    <w:lvl w:ilvl="0" w:tplc="69B4AA8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767DB5"/>
    <w:multiLevelType w:val="hybridMultilevel"/>
    <w:tmpl w:val="913051DC"/>
    <w:lvl w:ilvl="0" w:tplc="DFF2C0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AD39DE"/>
    <w:multiLevelType w:val="hybridMultilevel"/>
    <w:tmpl w:val="9CD4D9C0"/>
    <w:lvl w:ilvl="0" w:tplc="A3A2F10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D25805"/>
    <w:multiLevelType w:val="hybridMultilevel"/>
    <w:tmpl w:val="F6E41EC2"/>
    <w:lvl w:ilvl="0" w:tplc="42484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8C3AB2"/>
    <w:multiLevelType w:val="hybridMultilevel"/>
    <w:tmpl w:val="1D104714"/>
    <w:lvl w:ilvl="0" w:tplc="A61AA12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46732E"/>
    <w:multiLevelType w:val="hybridMultilevel"/>
    <w:tmpl w:val="616E1210"/>
    <w:lvl w:ilvl="0" w:tplc="6042491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FE6EA4"/>
    <w:multiLevelType w:val="hybridMultilevel"/>
    <w:tmpl w:val="92E4C9C4"/>
    <w:lvl w:ilvl="0" w:tplc="9238D75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764FA"/>
    <w:multiLevelType w:val="hybridMultilevel"/>
    <w:tmpl w:val="20CEC63C"/>
    <w:lvl w:ilvl="0" w:tplc="18A84A3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3254EC"/>
    <w:multiLevelType w:val="hybridMultilevel"/>
    <w:tmpl w:val="E9BEA7CE"/>
    <w:lvl w:ilvl="0" w:tplc="A5A8AF3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180A9D58">
      <w:start w:val="1"/>
      <w:numFmt w:val="bullet"/>
      <w:lvlText w:val="-"/>
      <w:lvlJc w:val="left"/>
      <w:pPr>
        <w:ind w:left="3600" w:hanging="360"/>
      </w:pPr>
      <w:rPr>
        <w:rFonts w:ascii="Calibri" w:eastAsiaTheme="minorHAnsi"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5646A7"/>
    <w:multiLevelType w:val="hybridMultilevel"/>
    <w:tmpl w:val="F190CFC2"/>
    <w:lvl w:ilvl="0" w:tplc="9C90A85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C41435"/>
    <w:multiLevelType w:val="hybridMultilevel"/>
    <w:tmpl w:val="DB501254"/>
    <w:lvl w:ilvl="0" w:tplc="909AE85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7848EB"/>
    <w:multiLevelType w:val="hybridMultilevel"/>
    <w:tmpl w:val="B94660E6"/>
    <w:lvl w:ilvl="0" w:tplc="98B85D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556474">
    <w:abstractNumId w:val="1"/>
  </w:num>
  <w:num w:numId="2" w16cid:durableId="1835414512">
    <w:abstractNumId w:val="7"/>
  </w:num>
  <w:num w:numId="3" w16cid:durableId="1636527616">
    <w:abstractNumId w:val="3"/>
  </w:num>
  <w:num w:numId="4" w16cid:durableId="776289522">
    <w:abstractNumId w:val="9"/>
  </w:num>
  <w:num w:numId="5" w16cid:durableId="250313829">
    <w:abstractNumId w:val="2"/>
  </w:num>
  <w:num w:numId="6" w16cid:durableId="1286738920">
    <w:abstractNumId w:val="10"/>
  </w:num>
  <w:num w:numId="7" w16cid:durableId="1744260935">
    <w:abstractNumId w:val="8"/>
  </w:num>
  <w:num w:numId="8" w16cid:durableId="636958413">
    <w:abstractNumId w:val="0"/>
  </w:num>
  <w:num w:numId="9" w16cid:durableId="620846491">
    <w:abstractNumId w:val="11"/>
  </w:num>
  <w:num w:numId="10" w16cid:durableId="1347902488">
    <w:abstractNumId w:val="12"/>
  </w:num>
  <w:num w:numId="11" w16cid:durableId="1341662168">
    <w:abstractNumId w:val="5"/>
  </w:num>
  <w:num w:numId="12" w16cid:durableId="2096244572">
    <w:abstractNumId w:val="6"/>
  </w:num>
  <w:num w:numId="13" w16cid:durableId="1946184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D1"/>
    <w:rsid w:val="00004ED0"/>
    <w:rsid w:val="00007C02"/>
    <w:rsid w:val="00010DFC"/>
    <w:rsid w:val="00012581"/>
    <w:rsid w:val="00026B0A"/>
    <w:rsid w:val="00035A63"/>
    <w:rsid w:val="00057B72"/>
    <w:rsid w:val="00065801"/>
    <w:rsid w:val="0007190B"/>
    <w:rsid w:val="00081612"/>
    <w:rsid w:val="00095824"/>
    <w:rsid w:val="000A0F03"/>
    <w:rsid w:val="000A1199"/>
    <w:rsid w:val="000A5E0B"/>
    <w:rsid w:val="000B1EE6"/>
    <w:rsid w:val="000B3E59"/>
    <w:rsid w:val="000B77F3"/>
    <w:rsid w:val="000C2A94"/>
    <w:rsid w:val="000D0306"/>
    <w:rsid w:val="000D0F3B"/>
    <w:rsid w:val="000D47C2"/>
    <w:rsid w:val="000E49EA"/>
    <w:rsid w:val="000E4EE4"/>
    <w:rsid w:val="000E6A61"/>
    <w:rsid w:val="001008A6"/>
    <w:rsid w:val="00101741"/>
    <w:rsid w:val="00106C0D"/>
    <w:rsid w:val="00120312"/>
    <w:rsid w:val="00122A20"/>
    <w:rsid w:val="00124783"/>
    <w:rsid w:val="0012754F"/>
    <w:rsid w:val="00142EE8"/>
    <w:rsid w:val="00143BF0"/>
    <w:rsid w:val="001479E7"/>
    <w:rsid w:val="00153D6B"/>
    <w:rsid w:val="00161553"/>
    <w:rsid w:val="00164A3D"/>
    <w:rsid w:val="00173FD9"/>
    <w:rsid w:val="00182B4C"/>
    <w:rsid w:val="00190F01"/>
    <w:rsid w:val="00194757"/>
    <w:rsid w:val="00195241"/>
    <w:rsid w:val="00197D57"/>
    <w:rsid w:val="001A6047"/>
    <w:rsid w:val="001A78DE"/>
    <w:rsid w:val="001B69FB"/>
    <w:rsid w:val="001D1BAE"/>
    <w:rsid w:val="001E413B"/>
    <w:rsid w:val="001E772A"/>
    <w:rsid w:val="002055AD"/>
    <w:rsid w:val="00211554"/>
    <w:rsid w:val="00217D86"/>
    <w:rsid w:val="00217EA3"/>
    <w:rsid w:val="00231CED"/>
    <w:rsid w:val="002372B2"/>
    <w:rsid w:val="002402D7"/>
    <w:rsid w:val="00253370"/>
    <w:rsid w:val="0026069F"/>
    <w:rsid w:val="00261A72"/>
    <w:rsid w:val="00275A94"/>
    <w:rsid w:val="0028092C"/>
    <w:rsid w:val="00285373"/>
    <w:rsid w:val="00286633"/>
    <w:rsid w:val="00287A13"/>
    <w:rsid w:val="00291E0E"/>
    <w:rsid w:val="00292694"/>
    <w:rsid w:val="00294651"/>
    <w:rsid w:val="002A0416"/>
    <w:rsid w:val="002A54C6"/>
    <w:rsid w:val="002A6CDF"/>
    <w:rsid w:val="002C00A7"/>
    <w:rsid w:val="002C6D75"/>
    <w:rsid w:val="002E607F"/>
    <w:rsid w:val="002F1A86"/>
    <w:rsid w:val="002F2938"/>
    <w:rsid w:val="002F765A"/>
    <w:rsid w:val="00304157"/>
    <w:rsid w:val="00313F1C"/>
    <w:rsid w:val="00325A36"/>
    <w:rsid w:val="003346AC"/>
    <w:rsid w:val="00337C2C"/>
    <w:rsid w:val="00361563"/>
    <w:rsid w:val="003653EF"/>
    <w:rsid w:val="00366B66"/>
    <w:rsid w:val="00373B08"/>
    <w:rsid w:val="00374305"/>
    <w:rsid w:val="00383BDF"/>
    <w:rsid w:val="00384D03"/>
    <w:rsid w:val="00387331"/>
    <w:rsid w:val="003901F1"/>
    <w:rsid w:val="003A3ED7"/>
    <w:rsid w:val="003B07A6"/>
    <w:rsid w:val="003B17FC"/>
    <w:rsid w:val="003B47BF"/>
    <w:rsid w:val="003C2164"/>
    <w:rsid w:val="003C30E4"/>
    <w:rsid w:val="003C673E"/>
    <w:rsid w:val="003D0F49"/>
    <w:rsid w:val="003D0FCC"/>
    <w:rsid w:val="003E4933"/>
    <w:rsid w:val="003E653E"/>
    <w:rsid w:val="003F1C26"/>
    <w:rsid w:val="003F53D3"/>
    <w:rsid w:val="003F5BB0"/>
    <w:rsid w:val="003F7D74"/>
    <w:rsid w:val="003F7F93"/>
    <w:rsid w:val="00402923"/>
    <w:rsid w:val="004044BD"/>
    <w:rsid w:val="00404A22"/>
    <w:rsid w:val="00410D8B"/>
    <w:rsid w:val="00410D9E"/>
    <w:rsid w:val="00411179"/>
    <w:rsid w:val="00411A47"/>
    <w:rsid w:val="00430D67"/>
    <w:rsid w:val="00451983"/>
    <w:rsid w:val="004552FB"/>
    <w:rsid w:val="004553F2"/>
    <w:rsid w:val="0045615E"/>
    <w:rsid w:val="004609C7"/>
    <w:rsid w:val="00472A82"/>
    <w:rsid w:val="004815A4"/>
    <w:rsid w:val="0048769F"/>
    <w:rsid w:val="004A0BD2"/>
    <w:rsid w:val="004A4CE5"/>
    <w:rsid w:val="004B66B8"/>
    <w:rsid w:val="004B79FD"/>
    <w:rsid w:val="004C1BA1"/>
    <w:rsid w:val="004D528A"/>
    <w:rsid w:val="004F4F36"/>
    <w:rsid w:val="00502747"/>
    <w:rsid w:val="00504DFA"/>
    <w:rsid w:val="00505252"/>
    <w:rsid w:val="00506832"/>
    <w:rsid w:val="00511E5B"/>
    <w:rsid w:val="005136FF"/>
    <w:rsid w:val="005203F0"/>
    <w:rsid w:val="00521916"/>
    <w:rsid w:val="00537640"/>
    <w:rsid w:val="00546734"/>
    <w:rsid w:val="00550E1B"/>
    <w:rsid w:val="00566638"/>
    <w:rsid w:val="00571BF3"/>
    <w:rsid w:val="00582A8A"/>
    <w:rsid w:val="005A2F6D"/>
    <w:rsid w:val="005A6935"/>
    <w:rsid w:val="005A765B"/>
    <w:rsid w:val="005A7A60"/>
    <w:rsid w:val="005C12E4"/>
    <w:rsid w:val="005C6F38"/>
    <w:rsid w:val="005D0423"/>
    <w:rsid w:val="005D1FA6"/>
    <w:rsid w:val="005D5FEA"/>
    <w:rsid w:val="005F4EF9"/>
    <w:rsid w:val="00603690"/>
    <w:rsid w:val="00611156"/>
    <w:rsid w:val="006142D4"/>
    <w:rsid w:val="0062557D"/>
    <w:rsid w:val="006374E8"/>
    <w:rsid w:val="00642375"/>
    <w:rsid w:val="00644FB4"/>
    <w:rsid w:val="00647682"/>
    <w:rsid w:val="00650D9F"/>
    <w:rsid w:val="00677E79"/>
    <w:rsid w:val="00681705"/>
    <w:rsid w:val="006838A2"/>
    <w:rsid w:val="00684423"/>
    <w:rsid w:val="00685338"/>
    <w:rsid w:val="00693C17"/>
    <w:rsid w:val="00696563"/>
    <w:rsid w:val="006A36C2"/>
    <w:rsid w:val="006A4EC4"/>
    <w:rsid w:val="006A69C2"/>
    <w:rsid w:val="006B0654"/>
    <w:rsid w:val="006B0742"/>
    <w:rsid w:val="006B1DAD"/>
    <w:rsid w:val="006B2184"/>
    <w:rsid w:val="006B3C5F"/>
    <w:rsid w:val="006C0380"/>
    <w:rsid w:val="006C771F"/>
    <w:rsid w:val="006E735B"/>
    <w:rsid w:val="006E7FA4"/>
    <w:rsid w:val="006F31C5"/>
    <w:rsid w:val="0070198D"/>
    <w:rsid w:val="007022B5"/>
    <w:rsid w:val="00710BFC"/>
    <w:rsid w:val="007129A8"/>
    <w:rsid w:val="007162FA"/>
    <w:rsid w:val="00730EB4"/>
    <w:rsid w:val="00745FC4"/>
    <w:rsid w:val="007531D5"/>
    <w:rsid w:val="007566C0"/>
    <w:rsid w:val="00770A82"/>
    <w:rsid w:val="007744F8"/>
    <w:rsid w:val="00786C4C"/>
    <w:rsid w:val="00786E78"/>
    <w:rsid w:val="007927CC"/>
    <w:rsid w:val="00792D76"/>
    <w:rsid w:val="00794AEC"/>
    <w:rsid w:val="007B11B2"/>
    <w:rsid w:val="007C0A29"/>
    <w:rsid w:val="007C111F"/>
    <w:rsid w:val="007E77AB"/>
    <w:rsid w:val="007F0E70"/>
    <w:rsid w:val="007F0FF1"/>
    <w:rsid w:val="007F310A"/>
    <w:rsid w:val="0081634A"/>
    <w:rsid w:val="00822E2F"/>
    <w:rsid w:val="00831CA6"/>
    <w:rsid w:val="008425B8"/>
    <w:rsid w:val="0086685D"/>
    <w:rsid w:val="0087225A"/>
    <w:rsid w:val="00873928"/>
    <w:rsid w:val="0088321D"/>
    <w:rsid w:val="008931F4"/>
    <w:rsid w:val="0089713F"/>
    <w:rsid w:val="008A01F4"/>
    <w:rsid w:val="008A1950"/>
    <w:rsid w:val="008A3D31"/>
    <w:rsid w:val="008B236D"/>
    <w:rsid w:val="008B5AC9"/>
    <w:rsid w:val="008C67AA"/>
    <w:rsid w:val="008D0C60"/>
    <w:rsid w:val="008E39A9"/>
    <w:rsid w:val="008E47EB"/>
    <w:rsid w:val="008E5505"/>
    <w:rsid w:val="008E60B3"/>
    <w:rsid w:val="008F0238"/>
    <w:rsid w:val="009002E9"/>
    <w:rsid w:val="00903397"/>
    <w:rsid w:val="00917DDE"/>
    <w:rsid w:val="009300E8"/>
    <w:rsid w:val="009460C1"/>
    <w:rsid w:val="00955C8C"/>
    <w:rsid w:val="00956EE6"/>
    <w:rsid w:val="00965317"/>
    <w:rsid w:val="009704C8"/>
    <w:rsid w:val="00970A58"/>
    <w:rsid w:val="00974A79"/>
    <w:rsid w:val="00974B18"/>
    <w:rsid w:val="009809B5"/>
    <w:rsid w:val="00987D87"/>
    <w:rsid w:val="00996DEB"/>
    <w:rsid w:val="00997E1C"/>
    <w:rsid w:val="009A5190"/>
    <w:rsid w:val="009B5D2E"/>
    <w:rsid w:val="009C1EFA"/>
    <w:rsid w:val="009C78A3"/>
    <w:rsid w:val="009E2B28"/>
    <w:rsid w:val="009F29BA"/>
    <w:rsid w:val="009F5CEB"/>
    <w:rsid w:val="009F6449"/>
    <w:rsid w:val="009F677E"/>
    <w:rsid w:val="009F7924"/>
    <w:rsid w:val="00A01213"/>
    <w:rsid w:val="00A02C43"/>
    <w:rsid w:val="00A042A1"/>
    <w:rsid w:val="00A042B7"/>
    <w:rsid w:val="00A04565"/>
    <w:rsid w:val="00A15684"/>
    <w:rsid w:val="00A21A19"/>
    <w:rsid w:val="00A34B0B"/>
    <w:rsid w:val="00A4759D"/>
    <w:rsid w:val="00A50D2B"/>
    <w:rsid w:val="00A50E46"/>
    <w:rsid w:val="00A5149E"/>
    <w:rsid w:val="00A5477D"/>
    <w:rsid w:val="00A660EA"/>
    <w:rsid w:val="00A72DBD"/>
    <w:rsid w:val="00A7337B"/>
    <w:rsid w:val="00A84433"/>
    <w:rsid w:val="00A9504B"/>
    <w:rsid w:val="00AA1241"/>
    <w:rsid w:val="00AA5E75"/>
    <w:rsid w:val="00AC13E1"/>
    <w:rsid w:val="00AC22D9"/>
    <w:rsid w:val="00AC58E2"/>
    <w:rsid w:val="00AD0989"/>
    <w:rsid w:val="00AE1AE0"/>
    <w:rsid w:val="00AE2555"/>
    <w:rsid w:val="00AE7D9B"/>
    <w:rsid w:val="00AF2732"/>
    <w:rsid w:val="00AF6E8E"/>
    <w:rsid w:val="00B00582"/>
    <w:rsid w:val="00B0199F"/>
    <w:rsid w:val="00B205F7"/>
    <w:rsid w:val="00B257B9"/>
    <w:rsid w:val="00B26489"/>
    <w:rsid w:val="00B3555A"/>
    <w:rsid w:val="00B5213F"/>
    <w:rsid w:val="00B610D8"/>
    <w:rsid w:val="00B63DB0"/>
    <w:rsid w:val="00B63DD2"/>
    <w:rsid w:val="00B66F82"/>
    <w:rsid w:val="00B720FE"/>
    <w:rsid w:val="00B845AB"/>
    <w:rsid w:val="00B846A1"/>
    <w:rsid w:val="00B853E1"/>
    <w:rsid w:val="00B85F7B"/>
    <w:rsid w:val="00B86787"/>
    <w:rsid w:val="00B92028"/>
    <w:rsid w:val="00B93FDE"/>
    <w:rsid w:val="00B94F11"/>
    <w:rsid w:val="00B96755"/>
    <w:rsid w:val="00BA00CA"/>
    <w:rsid w:val="00BC3B35"/>
    <w:rsid w:val="00BC4401"/>
    <w:rsid w:val="00BD5398"/>
    <w:rsid w:val="00BE7CC6"/>
    <w:rsid w:val="00BF1F02"/>
    <w:rsid w:val="00C01093"/>
    <w:rsid w:val="00C06595"/>
    <w:rsid w:val="00C11811"/>
    <w:rsid w:val="00C17E60"/>
    <w:rsid w:val="00C24FAE"/>
    <w:rsid w:val="00C270A5"/>
    <w:rsid w:val="00C3307F"/>
    <w:rsid w:val="00C364CE"/>
    <w:rsid w:val="00C4162B"/>
    <w:rsid w:val="00C45975"/>
    <w:rsid w:val="00C45FB8"/>
    <w:rsid w:val="00C556FB"/>
    <w:rsid w:val="00C6244B"/>
    <w:rsid w:val="00C640BB"/>
    <w:rsid w:val="00C64994"/>
    <w:rsid w:val="00C65E16"/>
    <w:rsid w:val="00C660B7"/>
    <w:rsid w:val="00C72CD1"/>
    <w:rsid w:val="00C813C9"/>
    <w:rsid w:val="00C866A6"/>
    <w:rsid w:val="00C86745"/>
    <w:rsid w:val="00C91B59"/>
    <w:rsid w:val="00C93458"/>
    <w:rsid w:val="00C94DF5"/>
    <w:rsid w:val="00CB45C1"/>
    <w:rsid w:val="00CC1A44"/>
    <w:rsid w:val="00CD118C"/>
    <w:rsid w:val="00CD1E88"/>
    <w:rsid w:val="00CD396B"/>
    <w:rsid w:val="00CD6656"/>
    <w:rsid w:val="00CD6B02"/>
    <w:rsid w:val="00CE0757"/>
    <w:rsid w:val="00CE2090"/>
    <w:rsid w:val="00CF3B4D"/>
    <w:rsid w:val="00D017BC"/>
    <w:rsid w:val="00D120F4"/>
    <w:rsid w:val="00D12F10"/>
    <w:rsid w:val="00D14C7A"/>
    <w:rsid w:val="00D25011"/>
    <w:rsid w:val="00D27786"/>
    <w:rsid w:val="00D30714"/>
    <w:rsid w:val="00D341CF"/>
    <w:rsid w:val="00D34594"/>
    <w:rsid w:val="00D445C6"/>
    <w:rsid w:val="00D61A38"/>
    <w:rsid w:val="00D64BB6"/>
    <w:rsid w:val="00D8637D"/>
    <w:rsid w:val="00D90781"/>
    <w:rsid w:val="00DB3B3C"/>
    <w:rsid w:val="00DB74D9"/>
    <w:rsid w:val="00DC7B61"/>
    <w:rsid w:val="00DD3046"/>
    <w:rsid w:val="00DE2B66"/>
    <w:rsid w:val="00DE375F"/>
    <w:rsid w:val="00E04D09"/>
    <w:rsid w:val="00E106A6"/>
    <w:rsid w:val="00E22FCD"/>
    <w:rsid w:val="00E26AC9"/>
    <w:rsid w:val="00E37D8D"/>
    <w:rsid w:val="00E405DB"/>
    <w:rsid w:val="00E472F8"/>
    <w:rsid w:val="00E53470"/>
    <w:rsid w:val="00E7056F"/>
    <w:rsid w:val="00E723C4"/>
    <w:rsid w:val="00E76C57"/>
    <w:rsid w:val="00E85902"/>
    <w:rsid w:val="00E93AF0"/>
    <w:rsid w:val="00E95A53"/>
    <w:rsid w:val="00E97924"/>
    <w:rsid w:val="00EC034B"/>
    <w:rsid w:val="00EC1F0E"/>
    <w:rsid w:val="00EC3419"/>
    <w:rsid w:val="00EC3D9A"/>
    <w:rsid w:val="00EC484A"/>
    <w:rsid w:val="00EC56FC"/>
    <w:rsid w:val="00EC5835"/>
    <w:rsid w:val="00ED59AB"/>
    <w:rsid w:val="00EE1A86"/>
    <w:rsid w:val="00EF0580"/>
    <w:rsid w:val="00EF414F"/>
    <w:rsid w:val="00EF5DF4"/>
    <w:rsid w:val="00F173F9"/>
    <w:rsid w:val="00F228A1"/>
    <w:rsid w:val="00F24E3C"/>
    <w:rsid w:val="00F26BDF"/>
    <w:rsid w:val="00F437BF"/>
    <w:rsid w:val="00F43F7A"/>
    <w:rsid w:val="00F44589"/>
    <w:rsid w:val="00F44B7E"/>
    <w:rsid w:val="00F63239"/>
    <w:rsid w:val="00F632B9"/>
    <w:rsid w:val="00F82762"/>
    <w:rsid w:val="00F86ACB"/>
    <w:rsid w:val="00F907AA"/>
    <w:rsid w:val="00FA090D"/>
    <w:rsid w:val="00FB35F5"/>
    <w:rsid w:val="00FC052B"/>
    <w:rsid w:val="00FC24B4"/>
    <w:rsid w:val="00FC6A3C"/>
    <w:rsid w:val="00FC6C8F"/>
    <w:rsid w:val="00FD3E07"/>
    <w:rsid w:val="00FE457B"/>
    <w:rsid w:val="00FF3751"/>
    <w:rsid w:val="00FF7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EF03B"/>
  <w15:chartTrackingRefBased/>
  <w15:docId w15:val="{800C1241-A2FC-4F5B-9912-6DE4124F3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B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2B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12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E2B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B6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E2B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B66"/>
  </w:style>
  <w:style w:type="paragraph" w:styleId="Footer">
    <w:name w:val="footer"/>
    <w:basedOn w:val="Normal"/>
    <w:link w:val="FooterChar"/>
    <w:uiPriority w:val="99"/>
    <w:unhideWhenUsed/>
    <w:rsid w:val="00DE2B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B66"/>
  </w:style>
  <w:style w:type="character" w:customStyle="1" w:styleId="Heading1Char">
    <w:name w:val="Heading 1 Char"/>
    <w:basedOn w:val="DefaultParagraphFont"/>
    <w:link w:val="Heading1"/>
    <w:uiPriority w:val="9"/>
    <w:rsid w:val="00DE2B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E2B6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A124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B07A6"/>
    <w:pPr>
      <w:ind w:left="720"/>
      <w:contextualSpacing/>
    </w:pPr>
  </w:style>
  <w:style w:type="character" w:styleId="PlaceholderText">
    <w:name w:val="Placeholder Text"/>
    <w:basedOn w:val="DefaultParagraphFont"/>
    <w:uiPriority w:val="99"/>
    <w:semiHidden/>
    <w:rsid w:val="00974B18"/>
    <w:rPr>
      <w:color w:val="808080"/>
    </w:rPr>
  </w:style>
  <w:style w:type="paragraph" w:styleId="Caption">
    <w:name w:val="caption"/>
    <w:basedOn w:val="Normal"/>
    <w:next w:val="Normal"/>
    <w:uiPriority w:val="35"/>
    <w:unhideWhenUsed/>
    <w:qFormat/>
    <w:rsid w:val="00D25011"/>
    <w:pPr>
      <w:spacing w:after="200" w:line="240" w:lineRule="auto"/>
    </w:pPr>
    <w:rPr>
      <w:i/>
      <w:iCs/>
      <w:color w:val="44546A" w:themeColor="text2"/>
      <w:sz w:val="18"/>
      <w:szCs w:val="18"/>
    </w:rPr>
  </w:style>
  <w:style w:type="table" w:styleId="TableGrid">
    <w:name w:val="Table Grid"/>
    <w:basedOn w:val="TableNormal"/>
    <w:uiPriority w:val="39"/>
    <w:rsid w:val="008A1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432409">
      <w:bodyDiv w:val="1"/>
      <w:marLeft w:val="0"/>
      <w:marRight w:val="0"/>
      <w:marTop w:val="0"/>
      <w:marBottom w:val="0"/>
      <w:divBdr>
        <w:top w:val="none" w:sz="0" w:space="0" w:color="auto"/>
        <w:left w:val="none" w:sz="0" w:space="0" w:color="auto"/>
        <w:bottom w:val="none" w:sz="0" w:space="0" w:color="auto"/>
        <w:right w:val="none" w:sz="0" w:space="0" w:color="auto"/>
      </w:divBdr>
    </w:div>
    <w:div w:id="914127663">
      <w:bodyDiv w:val="1"/>
      <w:marLeft w:val="0"/>
      <w:marRight w:val="0"/>
      <w:marTop w:val="0"/>
      <w:marBottom w:val="0"/>
      <w:divBdr>
        <w:top w:val="none" w:sz="0" w:space="0" w:color="auto"/>
        <w:left w:val="none" w:sz="0" w:space="0" w:color="auto"/>
        <w:bottom w:val="none" w:sz="0" w:space="0" w:color="auto"/>
        <w:right w:val="none" w:sz="0" w:space="0" w:color="auto"/>
      </w:divBdr>
    </w:div>
    <w:div w:id="182986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DF374-A7BF-4699-9532-01CAB5B96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11301</TotalTime>
  <Pages>82</Pages>
  <Words>39060</Words>
  <Characters>222645</Characters>
  <Application>Microsoft Office Word</Application>
  <DocSecurity>0</DocSecurity>
  <Lines>1855</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Foster</dc:creator>
  <cp:keywords/>
  <dc:description/>
  <cp:lastModifiedBy>Daniel Foster</cp:lastModifiedBy>
  <cp:revision>61</cp:revision>
  <dcterms:created xsi:type="dcterms:W3CDTF">2022-08-01T22:07:00Z</dcterms:created>
  <dcterms:modified xsi:type="dcterms:W3CDTF">2022-11-02T19:31:00Z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fa767aee-db51-350e-9b23-023fa2c56400</vt:lpwstr>
  </property>
  <property fmtid="{D5CDD505-2E9C-101B-9397-08002B2CF9AE}" pid="24" name="Mendeley Citation Style_1">
    <vt:lpwstr>http://www.zotero.org/styles/apa</vt:lpwstr>
  </property>
</Properties>
</file>