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10080"/>
            <w:tcBorders>
              <w:top w:val="none" w:color="FFFFFF" w:sz="0"/>
              <w:left w:val="none" w:color="FFFFFF" w:sz="0"/>
              <w:bottom w:val="none" w:color="FFFFFF" w:sz="0"/>
              <w:right w:val="none" w:color="FFFFFF" w:sz="0"/>
            </w:tcBorders>
            <w:shd w:fill="1A2851" w:val="clear"/>
            <w:tcMar>
              <w:top w:type="dxa" w:w="240"/>
              <w:left w:type="dxa" w:w="280"/>
              <w:bottom w:type="dxa" w:w="240"/>
              <w:right w:type="dxa" w:w="280"/>
            </w:tcMar>
          </w:tcPr>
          <w:p>
            <w:pPr>
              <w:spacing w:after="60"/>
            </w:pPr>
            <w:r>
              <w:rPr>
                <w:rFonts w:ascii="Arial" w:cs="Arial" w:eastAsia="Arial" w:hAnsi="Arial"/>
                <w:b/>
                <w:bCs/>
                <w:color w:val="FFFFFF"/>
                <w:sz w:val="22"/>
                <w:szCs w:val="22"/>
              </w:rPr>
              <w:t xml:space="preserve">AI </w:t>
            </w:r>
            <w:r>
              <w:rPr>
                <w:rFonts w:ascii="Arial" w:cs="Arial" w:eastAsia="Arial" w:hAnsi="Arial"/>
                <w:b/>
                <w:bCs/>
                <w:color w:val="E6354F"/>
                <w:sz w:val="22"/>
                <w:szCs w:val="22"/>
              </w:rPr>
              <w:t xml:space="preserve">TERMINOLOGY</w:t>
            </w:r>
            <w:r>
              <w:rPr>
                <w:rFonts w:ascii="Arial" w:cs="Arial" w:eastAsia="Arial" w:hAnsi="Arial"/>
                <w:b/>
                <w:bCs/>
                <w:color w:val="FFFFFF"/>
                <w:sz w:val="22"/>
                <w:szCs w:val="22"/>
              </w:rPr>
              <w:t xml:space="preserve"> WEBINAR</w:t>
            </w:r>
          </w:p>
          <w:p>
            <w:pPr>
              <w:spacing w:after="40"/>
            </w:pPr>
            <w:r>
              <w:rPr>
                <w:rFonts w:ascii="Arial" w:cs="Arial" w:eastAsia="Arial" w:hAnsi="Arial"/>
                <w:b/>
                <w:bCs/>
                <w:color w:val="FFFFFF"/>
                <w:sz w:val="36"/>
                <w:szCs w:val="36"/>
              </w:rPr>
              <w:t xml:space="preserve">AI Terminology for Public Health</w:t>
            </w:r>
          </w:p>
          <w:p>
            <w:r>
              <w:rPr>
                <w:rFonts w:ascii="Arial" w:cs="Arial" w:eastAsia="Arial" w:hAnsi="Arial"/>
                <w:i/>
                <w:iCs/>
                <w:color w:val="B8C0D8"/>
                <w:sz w:val="20"/>
                <w:szCs w:val="20"/>
              </w:rPr>
              <w:t xml:space="preserve">Exercise Pack — Six Terms  ·  Companion to the Run-Sheet</w:t>
            </w:r>
          </w:p>
        </w:tc>
      </w:tr>
      <w:tr>
        <w:trPr>
          <w:trHeight w:val="80" w:hRule="atLeast"/>
        </w:trPr>
        <w:tc>
          <w:tcPr>
            <w:tcW w:type="dxa" w:w="10080"/>
            <w:tcBorders>
              <w:top w:val="none" w:color="FFFFFF" w:sz="0"/>
              <w:left w:val="none" w:color="FFFFFF" w:sz="0"/>
              <w:bottom w:val="none" w:color="FFFFFF" w:sz="0"/>
              <w:right w:val="none" w:color="FFFFFF" w:sz="0"/>
            </w:tcBorders>
            <w:shd w:fill="E6354F" w:val="clear"/>
            <w:tcMar>
              <w:top w:type="dxa" w:w="0"/>
              <w:left w:type="dxa" w:w="0"/>
              <w:bottom w:type="dxa" w:w="0"/>
              <w:right w:type="dxa" w:w="0"/>
            </w:tcMar>
          </w:tcPr>
          <w:p>
            <w:r>
              <w:rPr>
                <w:sz w:val="2"/>
                <w:szCs w:val="2"/>
              </w:rPr>
              <w:t xml:space="preserve"/>
            </w:r>
          </w:p>
        </w:tc>
      </w:tr>
    </w:tbl>
    <w:p>
      <w:pPr>
        <w:spacing w:after="240"/>
      </w:pPr>
      <w:r>
        <w:t xml:space="preserve"/>
      </w:r>
    </w:p>
    <w:p>
      <w:pPr>
        <w:spacing w:after="120"/>
      </w:pPr>
      <w:r>
        <w:t xml:space="preserve">This pack contains, for each of the six shortlisted terms, three pieces of material:</w:t>
      </w:r>
    </w:p>
    <w:p>
      <w:pPr>
        <w:pStyle w:val="ListParagraph"/>
        <w:numPr>
          <w:ilvl w:val="0"/>
          <w:numId w:val="2"/>
        </w:numPr>
        <w:spacing w:after="80"/>
      </w:pPr>
      <w:r>
        <w:t xml:space="preserve">Format A — How Do You Define It?: 4 candidate definitions to vote on, with sources revealed only after the vote.</w:t>
      </w:r>
    </w:p>
    <w:p>
      <w:pPr>
        <w:pStyle w:val="ListParagraph"/>
        <w:numPr>
          <w:ilvl w:val="0"/>
          <w:numId w:val="2"/>
        </w:numPr>
        <w:spacing w:after="80"/>
      </w:pPr>
      <w:r>
        <w:t xml:space="preserve">Format B — Scenario Test: a short scenario plus a multi-choice prompt and 2–3 discussion questions.</w:t>
      </w:r>
    </w:p>
    <w:p>
      <w:pPr>
        <w:pStyle w:val="ListParagraph"/>
        <w:numPr>
          <w:ilvl w:val="0"/>
          <w:numId w:val="2"/>
        </w:numPr>
        <w:spacing w:after="80"/>
      </w:pPr>
      <w:r>
        <w:t xml:space="preserve">Format C — Lightning Vote: a single binary question with the split as the discussion punchline.</w:t>
      </w:r>
    </w:p>
    <w:p>
      <w:pPr>
        <w:spacing w:after="120"/>
      </w:pPr>
      <w:r>
        <w:t xml:space="preserve">On the day, you only need to use the materials for the three terms that get voted up. Plan to run Format A + Format B for the first two terms (≈15 min each) and Format C for the third (≈12 min).</w:t>
      </w:r>
    </w:p>
    <w:p>
      <w:pPr>
        <w:spacing w:after="120"/>
      </w:pPr>
      <w:r>
        <w:rPr>
          <w:i/>
          <w:iCs/>
          <w:color w:val="595959"/>
          <w:sz w:val="20"/>
          <w:szCs w:val="20"/>
        </w:rPr>
        <w:t xml:space="preserve">Audience framing: scenarios are written from the perspective of an implementing partner or development-sector practitioner — "your organization supports a tool…", "the Ministry is deciding whether…". This matches the audience profile and pushes the discussion toward the trade-offs practitioners actually face: donor exits, vendor lock-in, scale-up decisions with thin evidence, and how to advocate to Ministries.</w:t>
      </w:r>
    </w:p>
    <w:p>
      <w:pPr>
        <w:spacing w:after="120"/>
      </w:pPr>
      <w:r>
        <w:rPr>
          <w:i/>
          <w:iCs/>
          <w:color w:val="595959"/>
          <w:sz w:val="20"/>
          <w:szCs w:val="20"/>
        </w:rPr>
        <w:t xml:space="preserve">Panelist reactions: two co-panelists working on AI for health will react at the end of each scenario or vote — typically a 2-minute reaction each, then a brief moderator wrap before moving on. The discussion prompts on each page are written to give the panelists hooks to respond to, not for the moderator to read out in full.</w:t>
      </w:r>
    </w:p>
    <w:p>
      <w:pPr>
        <w:spacing w:after="120"/>
      </w:pPr>
      <w:r>
        <w:rPr>
          <w:i/>
          <w:iCs/>
          <w:color w:val="595959"/>
          <w:sz w:val="20"/>
          <w:szCs w:val="20"/>
        </w:rPr>
        <w:t xml:space="preserve">App alignment: the scenarios in this pack are exactly mirrored in the companion web app (AI_Terminology_Webinar_App.html). If you run the app live, you don't need to read out the scenarios — participants will see them on their screens. The pack still serves as your facilitator script and your fallback if the app isn't available.</w:t>
      </w:r>
    </w:p>
    <w:p>
      <w:pPr>
        <w:spacing w:after="120"/>
      </w:pPr>
      <w:r>
        <w:rPr>
          <w:i/>
          <w:iCs/>
          <w:color w:val="595959"/>
          <w:sz w:val="20"/>
          <w:szCs w:val="20"/>
        </w:rPr>
        <w:t xml:space="preserve">Sources: definitions are paraphrased from public source families (WHO/PAHO, IMDRF/regulatory bodies, FDA, academic clinical literature, and public health implementation literature) so they're recognisable but not verbatim — this is intentional, both for copyright and to keep the vote about meaning rather than guessing the source.</w:t>
      </w:r>
    </w:p>
    <w:p>
      <w:pPr>
        <w:pStyle w:val="Heading1"/>
        <w:pBdr>
          <w:top w:val="single" w:color="E6354F" w:sz="16" w:space="8"/>
        </w:pBdr>
        <w:spacing w:after="160" w:before="320"/>
      </w:pPr>
      <w:r>
        <w:t xml:space="preserve">Term 1 — Human in the Loop</w:t>
      </w:r>
    </w:p>
    <w:p>
      <w:pPr>
        <w:pStyle w:val="Heading2"/>
        <w:spacing w:after="120" w:before="240"/>
      </w:pPr>
      <w:r>
        <w:t xml:space="preserve">Format A — How Do You Define It?</w:t>
      </w:r>
    </w:p>
    <w:p>
      <w:pPr>
        <w:spacing w:after="120"/>
      </w:pPr>
      <w:r>
        <w:t xml:space="preserve">Prompt to participants: 'Four definitions of Human in the Loop. Vote for the one that most closely reflects how YOU use this term in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40"/>
        <w:gridCol w:w="2800"/>
      </w:tblGrid>
      <w:tr>
        <w:trPr>
          <w:tblHeader/>
        </w:trPr>
        <w:tc>
          <w:tcPr>
            <w:tcW w:type="dxa" w:w="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 </w:t>
            </w:r>
          </w:p>
        </w:tc>
        <w:tc>
          <w:tcPr>
            <w:tcW w:type="dxa" w:w="58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Definition</w:t>
            </w:r>
          </w:p>
        </w:tc>
        <w:tc>
          <w:tcPr>
            <w:tcW w:type="dxa" w:w="28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Source / Stakeholder lens (reveal AFTER vote)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system in which a person provides oversight, validation, or correction of an AI system's outputs at one or more defined points in its operation, with the human retaining decision authority.</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Regulatory framing</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 AI deployment pattern in which a clinician reviews and either accepts, modifies, or rejects each AI recommendation before it affects patient care.</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Clinical user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workflow design choice in which AI handles routine cases and escalates uncertain or high-risk cases to a human reviewer, optimising for the limited time a human can spend.</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Developer / implementer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risk-mitigation requirement under which a human must be involved in or accountable for an AI-influenced decision — including in settings where the specialist who would otherwise make the decision is absent.</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Public health implementer lens</w:t>
            </w:r>
          </w:p>
        </w:tc>
      </w:tr>
    </w:tbl>
    <w:p>
      <w:pPr>
        <w:spacing w:after="120"/>
      </w:pPr>
      <w:r>
        <w:rPr>
          <w:i/>
          <w:iCs/>
          <w:color w:val="595959"/>
          <w:sz w:val="20"/>
          <w:szCs w:val="20"/>
        </w:rPr>
        <w:t xml:space="preserve">After the vote: reveal the source labels in the right column. Then hand to the panelists for reactions (2 min each). Moderator close: which lens does the split suggest the audience is operating from, and what does that tell us about how the term is being used across this community?</w:t>
      </w:r>
    </w:p>
    <w:p>
      <w:pPr>
        <w:pStyle w:val="Heading2"/>
        <w:spacing w:after="120" w:before="240"/>
      </w:pPr>
      <w:r>
        <w:t xml:space="preserve">Format B — Scenario Test</w:t>
      </w:r>
    </w:p>
    <w:p>
      <w:pPr>
        <w:spacing w:after="120"/>
      </w:pPr>
      <w:r>
        <w:t xml:space="preserve">Scenario: Your organization supports an AI tool that reads chest X-rays for TB, deployed in a district hospital in a rural area. There is no radiologist at the hospital — the nearest one is 6 hours away by road. A trained nurse runs the X-ray, the AI flags the result as "high probability TB," and the patient is started on treatment based on the AI output and the nurse's clinical assessment.</w:t>
      </w:r>
    </w:p>
    <w:p>
      <w:pPr>
        <w:spacing w:after="120"/>
      </w:pPr>
      <w:r>
        <w:t xml:space="preserve">Vote: Is this "Human in the Loop"?</w:t>
      </w:r>
    </w:p>
    <w:p>
      <w:pPr>
        <w:pStyle w:val="ListParagraph"/>
        <w:numPr>
          <w:ilvl w:val="0"/>
          <w:numId w:val="2"/>
        </w:numPr>
        <w:spacing w:after="80"/>
      </w:pPr>
      <w:r>
        <w:t xml:space="preserve">A. Yes — the nurse is the human, and she is in the loop.</w:t>
      </w:r>
    </w:p>
    <w:p>
      <w:pPr>
        <w:pStyle w:val="ListParagraph"/>
        <w:numPr>
          <w:ilvl w:val="0"/>
          <w:numId w:val="2"/>
        </w:numPr>
        <w:spacing w:after="80"/>
      </w:pPr>
      <w:r>
        <w:t xml:space="preserve">B. No — HITL as the term is normally used means a clinician with the expertise to override the AI, which the nurse does not have.</w:t>
      </w:r>
    </w:p>
    <w:p>
      <w:pPr>
        <w:pStyle w:val="ListParagraph"/>
        <w:numPr>
          <w:ilvl w:val="0"/>
          <w:numId w:val="2"/>
        </w:numPr>
        <w:spacing w:after="80"/>
      </w:pPr>
      <w:r>
        <w:t xml:space="preserve">C. It depends on what the term is being used to certify.</w:t>
      </w:r>
    </w:p>
    <w:p>
      <w:pPr>
        <w:spacing w:after="120"/>
      </w:pPr>
      <w:r>
        <w:rPr>
          <w:i/>
          <w:iCs/>
          <w:color w:val="595959"/>
        </w:rPr>
        <w:t xml:space="preserve">Discussion prompts (for panelists to react to, not to read out in full):</w:t>
      </w:r>
    </w:p>
    <w:p>
      <w:pPr>
        <w:pStyle w:val="ListParagraph"/>
        <w:numPr>
          <w:ilvl w:val="0"/>
          <w:numId w:val="2"/>
        </w:numPr>
        <w:spacing w:after="80"/>
      </w:pPr>
      <w:r>
        <w:t xml:space="preserve">If we accept that the nurse is the "human in the loop," is the term doing any work? What is it actually certifying?</w:t>
      </w:r>
    </w:p>
    <w:p>
      <w:pPr>
        <w:pStyle w:val="ListParagraph"/>
        <w:numPr>
          <w:ilvl w:val="0"/>
          <w:numId w:val="2"/>
        </w:numPr>
        <w:spacing w:after="80"/>
      </w:pPr>
      <w:r>
        <w:t xml:space="preserve">If we say it's not HITL, are we saying this deployment shouldn't happen? Because in many districts, the alternative is no diagnostic at all.</w:t>
      </w:r>
    </w:p>
    <w:p>
      <w:pPr>
        <w:pStyle w:val="ListParagraph"/>
        <w:numPr>
          <w:ilvl w:val="0"/>
          <w:numId w:val="2"/>
        </w:numPr>
        <w:spacing w:after="80"/>
      </w:pPr>
      <w:r>
        <w:t xml:space="preserve">Should the term distinguish between "human supervising AI" (clinician oversight) and "human enabled by AI" (frontline worker using AI to operate beyond their scope)? They're being conflated under one label.</w:t>
      </w:r>
    </w:p>
    <w:p>
      <w:pPr>
        <w:spacing w:after="120"/>
      </w:pPr>
      <w:r>
        <w:rPr>
          <w:i/>
          <w:iCs/>
          <w:color w:val="595959"/>
          <w:sz w:val="20"/>
          <w:szCs w:val="20"/>
        </w:rPr>
        <w:t xml:space="preserve">After panelist reactions, moderator wrap: name one thing that surprised you, one tension you noticed across the panel responses.</w:t>
      </w:r>
    </w:p>
    <w:p>
      <w:pPr>
        <w:pStyle w:val="Heading2"/>
        <w:spacing w:after="120" w:before="240"/>
      </w:pPr>
      <w:r>
        <w:t xml:space="preserve">Format C — Lightning Vote</w:t>
      </w:r>
    </w:p>
    <w:p>
      <w:pPr>
        <w:spacing w:after="120"/>
      </w:pPr>
      <w:r>
        <w:t xml:space="preserve">Question: Is "Human in the Loop" primarily —</w:t>
      </w:r>
    </w:p>
    <w:p>
      <w:pPr>
        <w:pStyle w:val="ListParagraph"/>
        <w:numPr>
          <w:ilvl w:val="0"/>
          <w:numId w:val="2"/>
        </w:numPr>
        <w:spacing w:after="80"/>
      </w:pPr>
      <w:r>
        <w:t xml:space="preserve">A. A safety mechanism</w:t>
      </w:r>
    </w:p>
    <w:p>
      <w:pPr>
        <w:pStyle w:val="ListParagraph"/>
        <w:numPr>
          <w:ilvl w:val="0"/>
          <w:numId w:val="2"/>
        </w:numPr>
        <w:spacing w:after="80"/>
      </w:pPr>
      <w:r>
        <w:t xml:space="preserve">B. A workforce-substitution mechanism</w:t>
      </w:r>
    </w:p>
    <w:p>
      <w:pPr>
        <w:spacing w:after="120"/>
      </w:pPr>
      <w:r>
        <w:t xml:space="preserve">Punchline: Expected split: roughly even. The discussion punchline is that the term is being asked to do both at once, which is why it remains so contested in implementation contexts.</w:t>
      </w:r>
    </w:p>
    <w:p>
      <w:pPr>
        <w:pStyle w:val="Heading1"/>
        <w:pBdr>
          <w:top w:val="single" w:color="E6354F" w:sz="16" w:space="8"/>
        </w:pBdr>
        <w:spacing w:after="160" w:before="320"/>
      </w:pPr>
      <w:r>
        <w:t xml:space="preserve">Term 2 — Performance Metrics</w:t>
      </w:r>
    </w:p>
    <w:p>
      <w:pPr>
        <w:pStyle w:val="Heading2"/>
        <w:spacing w:after="120" w:before="240"/>
      </w:pPr>
      <w:r>
        <w:t xml:space="preserve">Format A — How Do You Define It?</w:t>
      </w:r>
    </w:p>
    <w:p>
      <w:pPr>
        <w:spacing w:after="120"/>
      </w:pPr>
      <w:r>
        <w:t xml:space="preserve">Prompt to participants: 'Four ways to think about Performance Metrics for an AI tool in public health. Which definition reflects how YOU evaluate performance in your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40"/>
        <w:gridCol w:w="2800"/>
      </w:tblGrid>
      <w:tr>
        <w:trPr>
          <w:tblHeader/>
        </w:trPr>
        <w:tc>
          <w:tcPr>
            <w:tcW w:type="dxa" w:w="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 </w:t>
            </w:r>
          </w:p>
        </w:tc>
        <w:tc>
          <w:tcPr>
            <w:tcW w:type="dxa" w:w="58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Definition</w:t>
            </w:r>
          </w:p>
        </w:tc>
        <w:tc>
          <w:tcPr>
            <w:tcW w:type="dxa" w:w="28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Source / Stakeholder lens (reveal AFTER vote)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Quantitative measures of model accuracy on a test dataset, typically including sensitivity, specificity, AUC, F1 score, and confusion matrix outputs.</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ML / developer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Measures of clinical performance — how well the tool supports correct clinical decisions in real practice, including agreement with expert reviewers and impact on diagnostic confidence.</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Clinical evaluation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Measures of population-level impact — change in detection rates, equity of detection across subpopulations, time-to-treatment, and downstream health outcomes attributable to the tool.</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Programme evaluation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Measures relevant to procurement and sustainability — uptime, integration cost, frontline user adoption, total cost per case detected, and operational reliability.</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Health system / Ministry decision-maker lens</w:t>
            </w:r>
          </w:p>
        </w:tc>
      </w:tr>
    </w:tbl>
    <w:p>
      <w:pPr>
        <w:spacing w:after="120"/>
      </w:pPr>
      <w:r>
        <w:rPr>
          <w:i/>
          <w:iCs/>
          <w:color w:val="595959"/>
          <w:sz w:val="20"/>
          <w:szCs w:val="20"/>
        </w:rPr>
        <w:t xml:space="preserve">After the vote: reveal the source labels in the right column. Then hand to the panelists for reactions (2 min each). Moderator close: which lens does the split suggest the audience is operating from, and what does that tell us about how the term is being used across this community?</w:t>
      </w:r>
    </w:p>
    <w:p>
      <w:pPr>
        <w:pStyle w:val="Heading2"/>
        <w:spacing w:after="120" w:before="240"/>
      </w:pPr>
      <w:r>
        <w:t xml:space="preserve">Format B — Scenario Test</w:t>
      </w:r>
    </w:p>
    <w:p>
      <w:pPr>
        <w:spacing w:after="120"/>
      </w:pPr>
      <w:r>
        <w:t xml:space="preserve">Scenario: Your organization is reporting on a maternal health WhatsApp chatbot deployed in partnership with the Ministry of Health in a country. After 18 months, the vendor reports: 92% accuracy on intent recognition, 88% user satisfaction in a 500-person sample, 1.2 million messages handled. The Ministry is deciding whether to absorb the chatbot into its routine programme budget.</w:t>
      </w:r>
    </w:p>
    <w:p>
      <w:pPr>
        <w:spacing w:after="120"/>
      </w:pPr>
      <w:r>
        <w:t xml:space="preserve">Vote: Are these the right performance metrics for the Ministry's decision?</w:t>
      </w:r>
    </w:p>
    <w:p>
      <w:pPr>
        <w:pStyle w:val="ListParagraph"/>
        <w:numPr>
          <w:ilvl w:val="0"/>
          <w:numId w:val="2"/>
        </w:numPr>
        <w:spacing w:after="80"/>
      </w:pPr>
      <w:r>
        <w:t xml:space="preserve">A. Yes — these are standard, widely accepted measures.</w:t>
      </w:r>
    </w:p>
    <w:p>
      <w:pPr>
        <w:pStyle w:val="ListParagraph"/>
        <w:numPr>
          <w:ilvl w:val="0"/>
          <w:numId w:val="2"/>
        </w:numPr>
        <w:spacing w:after="80"/>
      </w:pPr>
      <w:r>
        <w:t xml:space="preserve">B. No — they don't tell the Ministry what it needs to know.</w:t>
      </w:r>
    </w:p>
    <w:p>
      <w:pPr>
        <w:pStyle w:val="ListParagraph"/>
        <w:numPr>
          <w:ilvl w:val="0"/>
          <w:numId w:val="2"/>
        </w:numPr>
        <w:spacing w:after="80"/>
      </w:pPr>
      <w:r>
        <w:t xml:space="preserve">C. Partly — they're necessary but not sufficient.</w:t>
      </w:r>
    </w:p>
    <w:p>
      <w:pPr>
        <w:spacing w:after="120"/>
      </w:pPr>
      <w:r>
        <w:rPr>
          <w:i/>
          <w:iCs/>
          <w:color w:val="595959"/>
        </w:rPr>
        <w:t xml:space="preserve">Discussion prompts (for panelists to react to, not to read out in full):</w:t>
      </w:r>
    </w:p>
    <w:p>
      <w:pPr>
        <w:pStyle w:val="ListParagraph"/>
        <w:numPr>
          <w:ilvl w:val="0"/>
          <w:numId w:val="2"/>
        </w:numPr>
        <w:spacing w:after="80"/>
      </w:pPr>
      <w:r>
        <w:t xml:space="preserve">What's missing? (Common chat answers: equity of access across language groups, behaviour change outcomes, harm cases, performance on sensitive topics like SRH, cost per enrolled user, sustainability after donor exit.)</w:t>
      </w:r>
    </w:p>
    <w:p>
      <w:pPr>
        <w:pStyle w:val="ListParagraph"/>
        <w:numPr>
          <w:ilvl w:val="0"/>
          <w:numId w:val="2"/>
        </w:numPr>
        <w:spacing w:after="80"/>
      </w:pPr>
      <w:r>
        <w:t xml:space="preserve">If you were advising the Ministry, what is the ONE additional metric you would require before sign-off?</w:t>
      </w:r>
    </w:p>
    <w:p>
      <w:pPr>
        <w:pStyle w:val="ListParagraph"/>
        <w:numPr>
          <w:ilvl w:val="0"/>
          <w:numId w:val="2"/>
        </w:numPr>
        <w:spacing w:after="80"/>
      </w:pPr>
      <w:r>
        <w:t xml:space="preserve">Whose job is it to produce the metrics that get presented? The vendor? The implementing partner? The Ministry? Who SHOULD it be?</w:t>
      </w:r>
    </w:p>
    <w:p>
      <w:pPr>
        <w:spacing w:after="120"/>
      </w:pPr>
      <w:r>
        <w:rPr>
          <w:i/>
          <w:iCs/>
          <w:color w:val="595959"/>
          <w:sz w:val="20"/>
          <w:szCs w:val="20"/>
        </w:rPr>
        <w:t xml:space="preserve">After panelist reactions, moderator wrap: name one thing that surprised you, one tension you noticed across the panel responses.</w:t>
      </w:r>
    </w:p>
    <w:p>
      <w:pPr>
        <w:pStyle w:val="Heading2"/>
        <w:spacing w:after="120" w:before="240"/>
      </w:pPr>
      <w:r>
        <w:t xml:space="preserve">Format C — Lightning Vote</w:t>
      </w:r>
    </w:p>
    <w:p>
      <w:pPr>
        <w:spacing w:after="120"/>
      </w:pPr>
      <w:r>
        <w:t xml:space="preserve">Question: When you hear "this AI tool achieved 95% performance," what should be the FIRST follow-up question?</w:t>
      </w:r>
    </w:p>
    <w:p>
      <w:pPr>
        <w:pStyle w:val="ListParagraph"/>
        <w:numPr>
          <w:ilvl w:val="0"/>
          <w:numId w:val="2"/>
        </w:numPr>
        <w:spacing w:after="80"/>
      </w:pPr>
      <w:r>
        <w:t xml:space="preserve">A. On what dataset?</w:t>
      </w:r>
    </w:p>
    <w:p>
      <w:pPr>
        <w:pStyle w:val="ListParagraph"/>
        <w:numPr>
          <w:ilvl w:val="0"/>
          <w:numId w:val="2"/>
        </w:numPr>
        <w:spacing w:after="80"/>
      </w:pPr>
      <w:r>
        <w:t xml:space="preserve">B. What changed in programme outcomes?</w:t>
      </w:r>
    </w:p>
    <w:p>
      <w:pPr>
        <w:spacing w:after="120"/>
      </w:pPr>
      <w:r>
        <w:t xml:space="preserve">Punchline: The split tells you whether the audience is reading "performance" as a model property or a system/programme property. Both are valid; the gap matters.</w:t>
      </w:r>
    </w:p>
    <w:p>
      <w:pPr>
        <w:pStyle w:val="Heading1"/>
        <w:pBdr>
          <w:top w:val="single" w:color="E6354F" w:sz="16" w:space="8"/>
        </w:pBdr>
        <w:spacing w:after="160" w:before="320"/>
      </w:pPr>
      <w:r>
        <w:t xml:space="preserve">Term 3 — GenAI Hallucinations</w:t>
      </w:r>
    </w:p>
    <w:p>
      <w:pPr>
        <w:pStyle w:val="Heading2"/>
        <w:spacing w:after="120" w:before="240"/>
      </w:pPr>
      <w:r>
        <w:t xml:space="preserve">Format A — How Do You Define It?</w:t>
      </w:r>
    </w:p>
    <w:p>
      <w:pPr>
        <w:spacing w:after="120"/>
      </w:pPr>
      <w:r>
        <w:t xml:space="preserve">Prompt to participants: 'Four ways to define a GenAI hallucination. Which framing is closest to how YOU use the term in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40"/>
        <w:gridCol w:w="2800"/>
      </w:tblGrid>
      <w:tr>
        <w:trPr>
          <w:tblHeader/>
        </w:trPr>
        <w:tc>
          <w:tcPr>
            <w:tcW w:type="dxa" w:w="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 </w:t>
            </w:r>
          </w:p>
        </w:tc>
        <w:tc>
          <w:tcPr>
            <w:tcW w:type="dxa" w:w="58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Definition</w:t>
            </w:r>
          </w:p>
        </w:tc>
        <w:tc>
          <w:tcPr>
            <w:tcW w:type="dxa" w:w="28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Source / Stakeholder lens (reveal AFTER vote)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An output from a generative model that is factually incorrect, fabricated, or unsupported by its training data, produced with a tone of confidence indistinguishable from a correct answer.</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ML / technical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safety event in which a generative AI tool, deployed in a clinical or health-information context, gives advice that is plausibly worded but medically wrong, with potential to cause harm.</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Clinical safety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failure mode of the model–context fit: an output that may be technically accurate against the model's training data but is wrong in the specific context where the user is reading it (wrong country, wrong guideline version, wrong population).</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Deployment / context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trust failure: any output that a user reasonably acts upon, but which is not traceable to a verifiable source — regardless of whether the underlying fact happens to be correct.</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Public health implementer lens</w:t>
            </w:r>
          </w:p>
        </w:tc>
      </w:tr>
    </w:tbl>
    <w:p>
      <w:pPr>
        <w:spacing w:after="120"/>
      </w:pPr>
      <w:r>
        <w:rPr>
          <w:i/>
          <w:iCs/>
          <w:color w:val="595959"/>
          <w:sz w:val="20"/>
          <w:szCs w:val="20"/>
        </w:rPr>
        <w:t xml:space="preserve">After the vote: reveal the source labels in the right column. Then hand to the panelists for reactions (2 min each). Moderator close: which lens does the split suggest the audience is operating from, and what does that tell us about how the term is being used across this community?</w:t>
      </w:r>
    </w:p>
    <w:p>
      <w:pPr>
        <w:pStyle w:val="Heading2"/>
        <w:spacing w:after="120" w:before="240"/>
      </w:pPr>
      <w:r>
        <w:t xml:space="preserve">Format B — Scenario Test</w:t>
      </w:r>
    </w:p>
    <w:p>
      <w:pPr>
        <w:spacing w:after="120"/>
      </w:pPr>
      <w:r>
        <w:t xml:space="preserve">Scenario: A generative AI chatbot is being piloted with community health workers in a country, to support them with quick clinical guidance during home visits. During the pilot, an evaluator finds that for ~3% of queries the chatbot gives an answer that contradicts the national clinical guideline. In ~1% of queries it gives an answer that contradicts WHO guidance. In all of these cases the answer is presented with the same confidence as the correct answers. The programme team is debating whether to continue scaling the pilot.</w:t>
      </w:r>
    </w:p>
    <w:p>
      <w:pPr>
        <w:spacing w:after="120"/>
      </w:pPr>
      <w:r>
        <w:t xml:space="preserve">Vote: How should the programme team respond?</w:t>
      </w:r>
    </w:p>
    <w:p>
      <w:pPr>
        <w:pStyle w:val="ListParagraph"/>
        <w:numPr>
          <w:ilvl w:val="0"/>
          <w:numId w:val="2"/>
        </w:numPr>
        <w:spacing w:after="80"/>
      </w:pPr>
      <w:r>
        <w:t xml:space="preserve">A. Continue scaling — 96% guideline-aligned is better than what most CHWs can achieve unaided, and humans hallucinate too.</w:t>
      </w:r>
    </w:p>
    <w:p>
      <w:pPr>
        <w:pStyle w:val="ListParagraph"/>
        <w:numPr>
          <w:ilvl w:val="0"/>
          <w:numId w:val="2"/>
        </w:numPr>
        <w:spacing w:after="80"/>
      </w:pPr>
      <w:r>
        <w:t xml:space="preserve">B. Pause scaling — until the rate of guideline-contradicting answers is brought below a defined threshold, the risk to patients is unacceptable.</w:t>
      </w:r>
    </w:p>
    <w:p>
      <w:pPr>
        <w:pStyle w:val="ListParagraph"/>
        <w:numPr>
          <w:ilvl w:val="0"/>
          <w:numId w:val="2"/>
        </w:numPr>
        <w:spacing w:after="80"/>
      </w:pPr>
      <w:r>
        <w:t xml:space="preserve">C. Continue scaling, but with mandatory grounding (RAG against the national guideline) and a visible source citation on every answer.</w:t>
      </w:r>
    </w:p>
    <w:p>
      <w:pPr>
        <w:pStyle w:val="ListParagraph"/>
        <w:numPr>
          <w:ilvl w:val="0"/>
          <w:numId w:val="2"/>
        </w:numPr>
        <w:spacing w:after="80"/>
      </w:pPr>
      <w:r>
        <w:t xml:space="preserve">D. Reframe the tool — present it as a search aid that surfaces sources, not as a question-answering tool.</w:t>
      </w:r>
    </w:p>
    <w:p>
      <w:pPr>
        <w:spacing w:after="120"/>
      </w:pPr>
      <w:r>
        <w:rPr>
          <w:i/>
          <w:iCs/>
          <w:color w:val="595959"/>
        </w:rPr>
        <w:t xml:space="preserve">Discussion prompts (for panelists to react to, not to read out in full):</w:t>
      </w:r>
    </w:p>
    <w:p>
      <w:pPr>
        <w:pStyle w:val="ListParagraph"/>
        <w:numPr>
          <w:ilvl w:val="0"/>
          <w:numId w:val="2"/>
        </w:numPr>
        <w:spacing w:after="80"/>
      </w:pPr>
      <w:r>
        <w:t xml:space="preserve">Where does responsibility sit when a CHW acts on a hallucinated answer? The CHW? The implementing partner? The vendor? The Ministry that approved the pilot?</w:t>
      </w:r>
    </w:p>
    <w:p>
      <w:pPr>
        <w:pStyle w:val="ListParagraph"/>
        <w:numPr>
          <w:ilvl w:val="0"/>
          <w:numId w:val="2"/>
        </w:numPr>
        <w:spacing w:after="80"/>
      </w:pPr>
      <w:r>
        <w:t xml:space="preserve">Is "hallucination rate" even the right metric, or does it hide more than it reveals (e.g. severity, equity of error distribution, types of question that trigger errors)?</w:t>
      </w:r>
    </w:p>
    <w:p>
      <w:pPr>
        <w:pStyle w:val="ListParagraph"/>
        <w:numPr>
          <w:ilvl w:val="0"/>
          <w:numId w:val="2"/>
        </w:numPr>
        <w:spacing w:after="80"/>
      </w:pPr>
      <w:r>
        <w:t xml:space="preserve">Are we asking generative AI to clear a bar that we never asked older job-aids or printed protocols to clear? What's the right comparison group?</w:t>
      </w:r>
    </w:p>
    <w:p>
      <w:pPr>
        <w:spacing w:after="120"/>
      </w:pPr>
      <w:r>
        <w:rPr>
          <w:i/>
          <w:iCs/>
          <w:color w:val="595959"/>
          <w:sz w:val="20"/>
          <w:szCs w:val="20"/>
        </w:rPr>
        <w:t xml:space="preserve">After panelist reactions, moderator wrap: name one thing that surprised you, one tension you noticed across the panel responses.</w:t>
      </w:r>
    </w:p>
    <w:p>
      <w:pPr>
        <w:pStyle w:val="Heading2"/>
        <w:spacing w:after="120" w:before="240"/>
      </w:pPr>
      <w:r>
        <w:t xml:space="preserve">Format C — Lightning Vote</w:t>
      </w:r>
    </w:p>
    <w:p>
      <w:pPr>
        <w:spacing w:after="120"/>
      </w:pPr>
      <w:r>
        <w:t xml:space="preserve">Question: For a GenAI tool used by frontline health workers, the most useful mitigation is —</w:t>
      </w:r>
    </w:p>
    <w:p>
      <w:pPr>
        <w:pStyle w:val="ListParagraph"/>
        <w:numPr>
          <w:ilvl w:val="0"/>
          <w:numId w:val="2"/>
        </w:numPr>
        <w:spacing w:after="80"/>
      </w:pPr>
      <w:r>
        <w:t xml:space="preserve">A. Better models (fewer hallucinations at the model level)</w:t>
      </w:r>
    </w:p>
    <w:p>
      <w:pPr>
        <w:pStyle w:val="ListParagraph"/>
        <w:numPr>
          <w:ilvl w:val="0"/>
          <w:numId w:val="2"/>
        </w:numPr>
        <w:spacing w:after="80"/>
      </w:pPr>
      <w:r>
        <w:t xml:space="preserve">B. Better grounding (answers tied to a verifiable source the worker can check)</w:t>
      </w:r>
    </w:p>
    <w:p>
      <w:pPr>
        <w:spacing w:after="120"/>
      </w:pPr>
      <w:r>
        <w:t xml:space="preserve">Punchline: The technical conversation tends to focus on (a). For deployment in real programmes, (b) is what allows a CHW or supervisor to catch errors and what gives a Ministry the audit trail it needs.</w:t>
      </w:r>
    </w:p>
    <w:p>
      <w:pPr>
        <w:pStyle w:val="Heading1"/>
        <w:pBdr>
          <w:top w:val="single" w:color="E6354F" w:sz="16" w:space="8"/>
        </w:pBdr>
        <w:spacing w:after="160" w:before="320"/>
      </w:pPr>
      <w:r>
        <w:t xml:space="preserve">Term 4 — Bias / Fairness</w:t>
      </w:r>
    </w:p>
    <w:p>
      <w:pPr>
        <w:pStyle w:val="Heading2"/>
        <w:spacing w:after="120" w:before="240"/>
      </w:pPr>
      <w:r>
        <w:t xml:space="preserve">Format A — How Do You Define It?</w:t>
      </w:r>
    </w:p>
    <w:p>
      <w:pPr>
        <w:spacing w:after="120"/>
      </w:pPr>
      <w:r>
        <w:t xml:space="preserve">Prompt to participants: 'Four framings of Bias / Fairness in AI for health. Which is closest to how YOUR organization defines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40"/>
        <w:gridCol w:w="2800"/>
      </w:tblGrid>
      <w:tr>
        <w:trPr>
          <w:tblHeader/>
        </w:trPr>
        <w:tc>
          <w:tcPr>
            <w:tcW w:type="dxa" w:w="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 </w:t>
            </w:r>
          </w:p>
        </w:tc>
        <w:tc>
          <w:tcPr>
            <w:tcW w:type="dxa" w:w="58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Definition</w:t>
            </w:r>
          </w:p>
        </w:tc>
        <w:tc>
          <w:tcPr>
            <w:tcW w:type="dxa" w:w="28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Source / Stakeholder lens (reveal AFTER vote)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Bias is a statistical property of a model: systematic deviation between predictions and ground truth, typically measured by performance differences across demographic subgroups.</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ML / technical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Bias is a training data problem: when the data used to build a model under-represents certain populations, the model's performance on those populations will be poorer.</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Data science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Bias is a clinical safety issue: when an AI tool produces systematically different recommendations for patients with similar clinical needs but different demographic profiles, leading to inequitable care.</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Clinical / patient-safety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Bias is a system-level problem of who is in the data at all: the populations least visible to digital health systems — rural, informal, undocumented, linguistically marginalised — are the ones most at risk of being further excluded by AI tools built on those systems.</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Equity / public health lens</w:t>
            </w:r>
          </w:p>
        </w:tc>
      </w:tr>
    </w:tbl>
    <w:p>
      <w:pPr>
        <w:spacing w:after="120"/>
      </w:pPr>
      <w:r>
        <w:rPr>
          <w:i/>
          <w:iCs/>
          <w:color w:val="595959"/>
          <w:sz w:val="20"/>
          <w:szCs w:val="20"/>
        </w:rPr>
        <w:t xml:space="preserve">After the vote: reveal the source labels in the right column. Then hand to the panelists for reactions (2 min each). Moderator close: which lens does the split suggest the audience is operating from, and what does that tell us about how the term is being used across this community?</w:t>
      </w:r>
    </w:p>
    <w:p>
      <w:pPr>
        <w:pStyle w:val="Heading2"/>
        <w:spacing w:after="120" w:before="240"/>
      </w:pPr>
      <w:r>
        <w:t xml:space="preserve">Format B — Scenario Test</w:t>
      </w:r>
    </w:p>
    <w:p>
      <w:pPr>
        <w:spacing w:after="120"/>
      </w:pPr>
      <w:r>
        <w:t xml:space="preserve">Scenario: A national early-warning system in a country uses AI to flag districts at elevated risk of cholera outbreaks, drawing on routine health facility data, mobile-phone movement patterns, and rainfall data. Six months in, an evaluation by your organization finds: the model correctly flagged 9 of 11 outbreaks in urban districts — but missed 4 of 5 outbreaks in nomadic and remote rural areas.</w:t>
      </w:r>
    </w:p>
    <w:p>
      <w:pPr>
        <w:spacing w:after="120"/>
      </w:pPr>
      <w:r>
        <w:t xml:space="preserve">Vote: Is this a biased model?</w:t>
      </w:r>
    </w:p>
    <w:p>
      <w:pPr>
        <w:pStyle w:val="ListParagraph"/>
        <w:numPr>
          <w:ilvl w:val="0"/>
          <w:numId w:val="2"/>
        </w:numPr>
        <w:spacing w:after="80"/>
      </w:pPr>
      <w:r>
        <w:t xml:space="preserve">A. Yes — the model performs unequally across populations.</w:t>
      </w:r>
    </w:p>
    <w:p>
      <w:pPr>
        <w:pStyle w:val="ListParagraph"/>
        <w:numPr>
          <w:ilvl w:val="0"/>
          <w:numId w:val="2"/>
        </w:numPr>
        <w:spacing w:after="80"/>
      </w:pPr>
      <w:r>
        <w:t xml:space="preserve">B. No — the model is doing the best it can with the data it has; the problem is upstream.</w:t>
      </w:r>
    </w:p>
    <w:p>
      <w:pPr>
        <w:pStyle w:val="ListParagraph"/>
        <w:numPr>
          <w:ilvl w:val="0"/>
          <w:numId w:val="2"/>
        </w:numPr>
        <w:spacing w:after="80"/>
      </w:pPr>
      <w:r>
        <w:t xml:space="preserve">C. Both — and only naming both is useful.</w:t>
      </w:r>
    </w:p>
    <w:p>
      <w:pPr>
        <w:spacing w:after="120"/>
      </w:pPr>
      <w:r>
        <w:rPr>
          <w:i/>
          <w:iCs/>
          <w:color w:val="595959"/>
        </w:rPr>
        <w:t xml:space="preserve">Discussion prompts (for panelists to react to, not to read out in full):</w:t>
      </w:r>
    </w:p>
    <w:p>
      <w:pPr>
        <w:pStyle w:val="ListParagraph"/>
        <w:numPr>
          <w:ilvl w:val="0"/>
          <w:numId w:val="2"/>
        </w:numPr>
        <w:spacing w:after="80"/>
      </w:pPr>
      <w:r>
        <w:t xml:space="preserve">If the answer is "both," how do we communicate that to a Ministry deciding whether to keep using the tool?</w:t>
      </w:r>
    </w:p>
    <w:p>
      <w:pPr>
        <w:pStyle w:val="ListParagraph"/>
        <w:numPr>
          <w:ilvl w:val="0"/>
          <w:numId w:val="2"/>
        </w:numPr>
        <w:spacing w:after="80"/>
      </w:pPr>
      <w:r>
        <w:t xml:space="preserve">Who is responsible for fixing it? The vendor? The Ministry's data team? The donor that funded the underlying surveillance system? Your organization?</w:t>
      </w:r>
    </w:p>
    <w:p>
      <w:pPr>
        <w:pStyle w:val="ListParagraph"/>
        <w:numPr>
          <w:ilvl w:val="0"/>
          <w:numId w:val="2"/>
        </w:numPr>
        <w:spacing w:after="80"/>
      </w:pPr>
      <w:r>
        <w:t xml:space="preserve">Is calling this "model bias" actually unhelpful — because it routes the conversation toward retraining when the real fix is investment in the data infrastructure?</w:t>
      </w:r>
    </w:p>
    <w:p>
      <w:pPr>
        <w:spacing w:after="120"/>
      </w:pPr>
      <w:r>
        <w:rPr>
          <w:i/>
          <w:iCs/>
          <w:color w:val="595959"/>
          <w:sz w:val="20"/>
          <w:szCs w:val="20"/>
        </w:rPr>
        <w:t xml:space="preserve">After panelist reactions, moderator wrap: name one thing that surprised you, one tension you noticed across the panel responses.</w:t>
      </w:r>
    </w:p>
    <w:p>
      <w:pPr>
        <w:pStyle w:val="Heading2"/>
        <w:spacing w:after="120" w:before="240"/>
      </w:pPr>
      <w:r>
        <w:t xml:space="preserve">Format C — Lightning Vote</w:t>
      </w:r>
    </w:p>
    <w:p>
      <w:pPr>
        <w:spacing w:after="120"/>
      </w:pPr>
      <w:r>
        <w:t xml:space="preserve">Question: When an AI tool performs worse for a marginalised population, the primary problem is —</w:t>
      </w:r>
    </w:p>
    <w:p>
      <w:pPr>
        <w:pStyle w:val="ListParagraph"/>
        <w:numPr>
          <w:ilvl w:val="0"/>
          <w:numId w:val="2"/>
        </w:numPr>
        <w:spacing w:after="80"/>
      </w:pPr>
      <w:r>
        <w:t xml:space="preserve">A. In the model</w:t>
      </w:r>
    </w:p>
    <w:p>
      <w:pPr>
        <w:pStyle w:val="ListParagraph"/>
        <w:numPr>
          <w:ilvl w:val="0"/>
          <w:numId w:val="2"/>
        </w:numPr>
        <w:spacing w:after="80"/>
      </w:pPr>
      <w:r>
        <w:t xml:space="preserve">B. In the data system the model was built on</w:t>
      </w:r>
    </w:p>
    <w:p>
      <w:pPr>
        <w:spacing w:after="120"/>
      </w:pPr>
      <w:r>
        <w:t xml:space="preserve">Punchline: Where you locate the bias determines who you ask to fix it. That's a governance question, not a technical one — and it shapes what implementing partners advocate for.</w:t>
      </w:r>
    </w:p>
    <w:p>
      <w:pPr>
        <w:pStyle w:val="Heading1"/>
        <w:pBdr>
          <w:top w:val="single" w:color="E6354F" w:sz="16" w:space="8"/>
        </w:pBdr>
        <w:spacing w:after="160" w:before="320"/>
      </w:pPr>
      <w:r>
        <w:t xml:space="preserve">Term 5 — Real World Evidence</w:t>
      </w:r>
    </w:p>
    <w:p>
      <w:pPr>
        <w:pStyle w:val="Heading2"/>
        <w:spacing w:after="120" w:before="240"/>
      </w:pPr>
      <w:r>
        <w:t xml:space="preserve">Format A — How Do You Define It?</w:t>
      </w:r>
    </w:p>
    <w:p>
      <w:pPr>
        <w:spacing w:after="120"/>
      </w:pPr>
      <w:r>
        <w:t xml:space="preserve">Prompt to participants: 'Four definitions of Real World Evidence. Which one matches how it gets used in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40"/>
        <w:gridCol w:w="2800"/>
      </w:tblGrid>
      <w:tr>
        <w:trPr>
          <w:tblHeader/>
        </w:trPr>
        <w:tc>
          <w:tcPr>
            <w:tcW w:type="dxa" w:w="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 </w:t>
            </w:r>
          </w:p>
        </w:tc>
        <w:tc>
          <w:tcPr>
            <w:tcW w:type="dxa" w:w="58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Definition</w:t>
            </w:r>
          </w:p>
        </w:tc>
        <w:tc>
          <w:tcPr>
            <w:tcW w:type="dxa" w:w="28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Source / Stakeholder lens (reveal AFTER vote)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Clinical evidence regarding the use and potential benefits or risks of a medical product derived from analysis of real-world data — typically EHRs, claims, registries, and patient-reported outcomes — generated outside randomised trials.</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Regulatory lens (FDA-style)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Evidence collected from routine use of a tool after deployment, used to monitor whether the tool continues to perform as intended in the populations and settings where it is being used.</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Post-market surveillance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Operational data generated by a digital health programme — usage logs, user feedback, error rates, programme outcomes — that demonstrates whether the tool is working in practice, regardless of whether it was ever validated through formal trials.</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Implementer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only evidence available, because the controlled-trial infrastructure doesn't exist in the setting; what is gathered from routine programme delivery is by necessity what counts as evidence sufficient for decisions about scale.</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LMIC public health lens</w:t>
            </w:r>
          </w:p>
        </w:tc>
      </w:tr>
    </w:tbl>
    <w:p>
      <w:pPr>
        <w:spacing w:after="120"/>
      </w:pPr>
      <w:r>
        <w:rPr>
          <w:i/>
          <w:iCs/>
          <w:color w:val="595959"/>
          <w:sz w:val="20"/>
          <w:szCs w:val="20"/>
        </w:rPr>
        <w:t xml:space="preserve">After the vote: reveal the source labels in the right column. Then hand to the panelists for reactions (2 min each). Moderator close: which lens does the split suggest the audience is operating from, and what does that tell us about how the term is being used across this community?</w:t>
      </w:r>
    </w:p>
    <w:p>
      <w:pPr>
        <w:pStyle w:val="Heading2"/>
        <w:spacing w:after="120" w:before="240"/>
      </w:pPr>
      <w:r>
        <w:t xml:space="preserve">Format B — Scenario Test</w:t>
      </w:r>
    </w:p>
    <w:p>
      <w:pPr>
        <w:spacing w:after="120"/>
      </w:pPr>
      <w:r>
        <w:t xml:space="preserve">Scenario: Your organization has supported a WhatsApp-based maternal health chatbot in a country for three years. Programme data shows: 4 million enrolled users, retention curves, message engagement, self-reported satisfaction, and (through linkage with facility data) some indication of antenatal care attendance among enrolled users. There has never been a randomised trial. The Ministry of Health is deciding whether to absorb the chatbot into its routine budget.</w:t>
      </w:r>
    </w:p>
    <w:p>
      <w:pPr>
        <w:spacing w:after="120"/>
      </w:pPr>
      <w:r>
        <w:t xml:space="preserve">Vote: Is the available evidence sufficient to make that decision?</w:t>
      </w:r>
    </w:p>
    <w:p>
      <w:pPr>
        <w:pStyle w:val="ListParagraph"/>
        <w:numPr>
          <w:ilvl w:val="0"/>
          <w:numId w:val="2"/>
        </w:numPr>
        <w:spacing w:after="80"/>
      </w:pPr>
      <w:r>
        <w:t xml:space="preserve">A. Yes — three years of real programme data is more meaningful than a one-year trial would be.</w:t>
      </w:r>
    </w:p>
    <w:p>
      <w:pPr>
        <w:pStyle w:val="ListParagraph"/>
        <w:numPr>
          <w:ilvl w:val="0"/>
          <w:numId w:val="2"/>
        </w:numPr>
        <w:spacing w:after="80"/>
      </w:pPr>
      <w:r>
        <w:t xml:space="preserve">B. No — without a counterfactual, you can't attribute the outcomes to the chatbot.</w:t>
      </w:r>
    </w:p>
    <w:p>
      <w:pPr>
        <w:pStyle w:val="ListParagraph"/>
        <w:numPr>
          <w:ilvl w:val="0"/>
          <w:numId w:val="2"/>
        </w:numPr>
        <w:spacing w:after="80"/>
      </w:pPr>
      <w:r>
        <w:t xml:space="preserve">C. Yes for some decisions (continued operation), no for others (claims of impact, scale to new geographies).</w:t>
      </w:r>
    </w:p>
    <w:p>
      <w:pPr>
        <w:spacing w:after="120"/>
      </w:pPr>
      <w:r>
        <w:rPr>
          <w:i/>
          <w:iCs/>
          <w:color w:val="595959"/>
        </w:rPr>
        <w:t xml:space="preserve">Discussion prompts (for panelists to react to, not to read out in full):</w:t>
      </w:r>
    </w:p>
    <w:p>
      <w:pPr>
        <w:pStyle w:val="ListParagraph"/>
        <w:numPr>
          <w:ilvl w:val="0"/>
          <w:numId w:val="2"/>
        </w:numPr>
        <w:spacing w:after="80"/>
      </w:pPr>
      <w:r>
        <w:t xml:space="preserve">Who is qualified to judge whether real-world evidence is "sufficient"? The Ministry? Your organization? The donor? An external evaluator?</w:t>
      </w:r>
    </w:p>
    <w:p>
      <w:pPr>
        <w:pStyle w:val="ListParagraph"/>
        <w:numPr>
          <w:ilvl w:val="0"/>
          <w:numId w:val="2"/>
        </w:numPr>
        <w:spacing w:after="80"/>
      </w:pPr>
      <w:r>
        <w:t xml:space="preserve">If the answer is "wait for a trial," who funds and runs it? In what timeframe? And what happens to the programme in the meantime?</w:t>
      </w:r>
    </w:p>
    <w:p>
      <w:pPr>
        <w:pStyle w:val="ListParagraph"/>
        <w:numPr>
          <w:ilvl w:val="0"/>
          <w:numId w:val="2"/>
        </w:numPr>
        <w:spacing w:after="80"/>
      </w:pPr>
      <w:r>
        <w:t xml:space="preserve">Are we holding RWE for AI tools to a stricter standard than we hold RWE for other public health interventions like SBCC programmes?</w:t>
      </w:r>
    </w:p>
    <w:p>
      <w:pPr>
        <w:spacing w:after="120"/>
      </w:pPr>
      <w:r>
        <w:rPr>
          <w:i/>
          <w:iCs/>
          <w:color w:val="595959"/>
          <w:sz w:val="20"/>
          <w:szCs w:val="20"/>
        </w:rPr>
        <w:t xml:space="preserve">After panelist reactions, moderator wrap: name one thing that surprised you, one tension you noticed across the panel responses.</w:t>
      </w:r>
    </w:p>
    <w:p>
      <w:pPr>
        <w:pStyle w:val="Heading2"/>
        <w:spacing w:after="120" w:before="240"/>
      </w:pPr>
      <w:r>
        <w:t xml:space="preserve">Format C — Lightning Vote</w:t>
      </w:r>
    </w:p>
    <w:p>
      <w:pPr>
        <w:spacing w:after="120"/>
      </w:pPr>
      <w:r>
        <w:t xml:space="preserve">Question: For an AI tool deployed in a public health programme, "real world evidence" should primarily be evidence of —</w:t>
      </w:r>
    </w:p>
    <w:p>
      <w:pPr>
        <w:pStyle w:val="ListParagraph"/>
        <w:numPr>
          <w:ilvl w:val="0"/>
          <w:numId w:val="2"/>
        </w:numPr>
        <w:spacing w:after="80"/>
      </w:pPr>
      <w:r>
        <w:t xml:space="preserve">A. Whether the tool works as the model says it does.</w:t>
      </w:r>
    </w:p>
    <w:p>
      <w:pPr>
        <w:pStyle w:val="ListParagraph"/>
        <w:numPr>
          <w:ilvl w:val="0"/>
          <w:numId w:val="2"/>
        </w:numPr>
        <w:spacing w:after="80"/>
      </w:pPr>
      <w:r>
        <w:t xml:space="preserve">B. Whether programme outcomes are improved with the tool present.</w:t>
      </w:r>
    </w:p>
    <w:p>
      <w:pPr>
        <w:spacing w:after="120"/>
      </w:pPr>
      <w:r>
        <w:t xml:space="preserve">Punchline: Option (a) is what most evaluations measure. Option (b) is what Ministries actually want to know. Implementing partners are often the only actor positioned to produce (b).</w:t>
      </w:r>
    </w:p>
    <w:p>
      <w:pPr>
        <w:pStyle w:val="Heading1"/>
        <w:pBdr>
          <w:top w:val="single" w:color="E6354F" w:sz="16" w:space="8"/>
        </w:pBdr>
        <w:spacing w:after="160" w:before="320"/>
      </w:pPr>
      <w:r>
        <w:t xml:space="preserve">Term 6 — AI Governance</w:t>
      </w:r>
    </w:p>
    <w:p>
      <w:pPr>
        <w:pStyle w:val="Heading2"/>
        <w:spacing w:after="120" w:before="240"/>
      </w:pPr>
      <w:r>
        <w:t xml:space="preserve">Format A — How Do You Define It?</w:t>
      </w:r>
    </w:p>
    <w:p>
      <w:pPr>
        <w:spacing w:after="120"/>
      </w:pPr>
      <w:r>
        <w:t xml:space="preserve">Prompt to participants: 'Four definitions of AI Governance in the context of health. Which one matches what YOU mean by it in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840"/>
        <w:gridCol w:w="2800"/>
      </w:tblGrid>
      <w:tr>
        <w:trPr>
          <w:tblHeader/>
        </w:trPr>
        <w:tc>
          <w:tcPr>
            <w:tcW w:type="dxa" w:w="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 </w:t>
            </w:r>
          </w:p>
        </w:tc>
        <w:tc>
          <w:tcPr>
            <w:tcW w:type="dxa" w:w="58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Definition</w:t>
            </w:r>
          </w:p>
        </w:tc>
        <w:tc>
          <w:tcPr>
            <w:tcW w:type="dxa" w:w="28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Source / Stakeholder lens (reveal AFTER vote)</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A</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internal processes by which an organization managing or developing an AI system documents its decisions, manages its risks, and ensures accountability for the system's behaviour.</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Corporate / ML governance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set of laws, regulations, and oversight bodies that authorise, constrain, and audit the deployment of AI in health, including data protection, model approval, and post-market surveillance.</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Regulatory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framework of policies, ethical principles, transparency requirements, and consent mechanisms that ensure AI in health respects rights, prevents harm, and operates within publicly accountable boundaries.</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Ethics / human rights lens</w:t>
            </w:r>
          </w:p>
        </w:tc>
      </w:tr>
      <w:tr>
        <w:tc>
          <w:tcPr>
            <w:tcW w:type="dxa" w:w="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w:t>
            </w:r>
          </w:p>
        </w:tc>
        <w:tc>
          <w:tcPr>
            <w:tcW w:type="dxa" w:w="58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Government ownership and public stewardship of the foundational digital architecture — identifiers, registries, data pipelines, hosting, procurement terms — that determines what AI can be built on, who controls it, and who benefits from it over time.</w:t>
            </w:r>
          </w:p>
        </w:tc>
        <w:tc>
          <w:tcPr>
            <w:tcW w:type="dxa" w:w="2800"/>
            <w:tcBorders>
              <w:top w:val="single" w:color="BFBFBF" w:sz="4"/>
              <w:left w:val="single" w:color="BFBFBF" w:sz="4"/>
              <w:bottom w:val="single" w:color="BFBFBF" w:sz="4"/>
              <w:right w:val="single" w:color="BFBFBF" w:sz="4"/>
            </w:tcBorders>
            <w:shd w:fill="EAF2F8" w:val="clear"/>
            <w:tcMar>
              <w:top w:type="dxa" w:w="100"/>
              <w:left w:type="dxa" w:w="140"/>
              <w:bottom w:type="dxa" w:w="100"/>
              <w:right w:type="dxa" w:w="140"/>
            </w:tcMar>
          </w:tcPr>
          <w:p>
            <w:r>
              <w:rPr>
                <w:i/>
                <w:iCs/>
                <w:sz w:val="20"/>
                <w:szCs w:val="20"/>
              </w:rPr>
              <w:t xml:space="preserve">Data sovereignty lens</w:t>
            </w:r>
          </w:p>
        </w:tc>
      </w:tr>
    </w:tbl>
    <w:p>
      <w:pPr>
        <w:spacing w:after="120"/>
      </w:pPr>
      <w:r>
        <w:rPr>
          <w:i/>
          <w:iCs/>
          <w:color w:val="595959"/>
          <w:sz w:val="20"/>
          <w:szCs w:val="20"/>
        </w:rPr>
        <w:t xml:space="preserve">After the vote: reveal the source labels in the right column. Then hand to the panelists for reactions (2 min each). Moderator close: which lens does the split suggest the audience is operating from, and what does that tell us about how the term is being used across this community?</w:t>
      </w:r>
    </w:p>
    <w:p>
      <w:pPr>
        <w:pStyle w:val="Heading2"/>
        <w:spacing w:after="120" w:before="240"/>
      </w:pPr>
      <w:r>
        <w:t xml:space="preserve">Format B — Scenario Test</w:t>
      </w:r>
    </w:p>
    <w:p>
      <w:pPr>
        <w:spacing w:after="120"/>
      </w:pPr>
      <w:r>
        <w:t xml:space="preserve">Scenario: An AI tool for HIV cohort retention, built by a third-party vendor, has been operating in a country for 4 years, integrated with the national HIV programme. Your organization is the implementing partner — supporting deployment, training, and M&amp;E, but neither the developer nor the host of the tool. The donor has announced funding will end in 18 months. The Ministry discovers: the model is hosted on the vendor's cloud infrastructure; the training data and fine-tuned model weights are the vendor's IP; continued operation after funding ends would require a commercial licence the Ministry cannot afford.</w:t>
      </w:r>
    </w:p>
    <w:p>
      <w:pPr>
        <w:spacing w:after="120"/>
      </w:pPr>
      <w:r>
        <w:t xml:space="preserve">Vote: Is this an AI governance failure?</w:t>
      </w:r>
    </w:p>
    <w:p>
      <w:pPr>
        <w:pStyle w:val="ListParagraph"/>
        <w:numPr>
          <w:ilvl w:val="0"/>
          <w:numId w:val="2"/>
        </w:numPr>
        <w:spacing w:after="80"/>
      </w:pPr>
      <w:r>
        <w:t xml:space="preserve">A. Yes — the procurement and contracting were inadequate.</w:t>
      </w:r>
    </w:p>
    <w:p>
      <w:pPr>
        <w:pStyle w:val="ListParagraph"/>
        <w:numPr>
          <w:ilvl w:val="0"/>
          <w:numId w:val="2"/>
        </w:numPr>
        <w:spacing w:after="80"/>
      </w:pPr>
      <w:r>
        <w:t xml:space="preserve">B. Yes — but the failure was upstream, in the absence of a national framework that would have set the procurement terms.</w:t>
      </w:r>
    </w:p>
    <w:p>
      <w:pPr>
        <w:pStyle w:val="ListParagraph"/>
        <w:numPr>
          <w:ilvl w:val="0"/>
          <w:numId w:val="2"/>
        </w:numPr>
        <w:spacing w:after="80"/>
      </w:pPr>
      <w:r>
        <w:t xml:space="preserve">C. No — this is a sustainability failure, not a governance one.</w:t>
      </w:r>
    </w:p>
    <w:p>
      <w:pPr>
        <w:spacing w:after="120"/>
      </w:pPr>
      <w:r>
        <w:rPr>
          <w:i/>
          <w:iCs/>
          <w:color w:val="595959"/>
        </w:rPr>
        <w:t xml:space="preserve">Discussion prompts (for panelists to react to, not to read out in full):</w:t>
      </w:r>
    </w:p>
    <w:p>
      <w:pPr>
        <w:pStyle w:val="ListParagraph"/>
        <w:numPr>
          <w:ilvl w:val="0"/>
          <w:numId w:val="2"/>
        </w:numPr>
        <w:spacing w:after="80"/>
      </w:pPr>
      <w:r>
        <w:t xml:space="preserve">If we accept this is a governance failure, who in the country should have been positioned to prevent it? Was that role even funded? Did your organization, as the implementing partner, have a role to play?</w:t>
      </w:r>
    </w:p>
    <w:p>
      <w:pPr>
        <w:pStyle w:val="ListParagraph"/>
        <w:numPr>
          <w:ilvl w:val="0"/>
          <w:numId w:val="2"/>
        </w:numPr>
        <w:spacing w:after="80"/>
      </w:pPr>
      <w:r>
        <w:t xml:space="preserve">What contractual or policy terms, set at the start, would have prevented this outcome?</w:t>
      </w:r>
    </w:p>
    <w:p>
      <w:pPr>
        <w:pStyle w:val="ListParagraph"/>
        <w:numPr>
          <w:ilvl w:val="0"/>
          <w:numId w:val="2"/>
        </w:numPr>
        <w:spacing w:after="80"/>
      </w:pPr>
      <w:r>
        <w:t xml:space="preserve">Is it realistic for individual ministries to negotiate this, or does it require regional or peer-network leverage that implementing partners could help broker?</w:t>
      </w:r>
    </w:p>
    <w:p>
      <w:pPr>
        <w:spacing w:after="120"/>
      </w:pPr>
      <w:r>
        <w:rPr>
          <w:i/>
          <w:iCs/>
          <w:color w:val="595959"/>
          <w:sz w:val="20"/>
          <w:szCs w:val="20"/>
        </w:rPr>
        <w:t xml:space="preserve">After panelist reactions, moderator wrap: name one thing that surprised you, one tension you noticed across the panel responses.</w:t>
      </w:r>
    </w:p>
    <w:p>
      <w:pPr>
        <w:pStyle w:val="Heading2"/>
        <w:spacing w:after="120" w:before="240"/>
      </w:pPr>
      <w:r>
        <w:t xml:space="preserve">Format C — Lightning Vote</w:t>
      </w:r>
    </w:p>
    <w:p>
      <w:pPr>
        <w:spacing w:after="120"/>
      </w:pPr>
      <w:r>
        <w:t xml:space="preserve">Question: When we say "AI governance," the primary subject of the verb should be —</w:t>
      </w:r>
    </w:p>
    <w:p>
      <w:pPr>
        <w:pStyle w:val="ListParagraph"/>
        <w:numPr>
          <w:ilvl w:val="0"/>
          <w:numId w:val="2"/>
        </w:numPr>
        <w:spacing w:after="80"/>
      </w:pPr>
      <w:r>
        <w:t xml:space="preserve">A. The AI model and its developer</w:t>
      </w:r>
    </w:p>
    <w:p>
      <w:pPr>
        <w:pStyle w:val="ListParagraph"/>
        <w:numPr>
          <w:ilvl w:val="0"/>
          <w:numId w:val="2"/>
        </w:numPr>
        <w:spacing w:after="80"/>
      </w:pPr>
      <w:r>
        <w:t xml:space="preserve">B. The data and digital infrastructure the AI runs on</w:t>
      </w:r>
    </w:p>
    <w:p>
      <w:pPr>
        <w:spacing w:after="120"/>
      </w:pPr>
      <w:r>
        <w:t xml:space="preserve">Punchline: The regulatory community has spent the last 5 years building (a). The argument from public health is that without (b), (a) doesn't bite — you can't govern what you don't control.</w:t>
      </w:r>
    </w:p>
    <w:p>
      <w:pPr>
        <w:pStyle w:val="Heading1"/>
        <w:pBdr>
          <w:top w:val="single" w:color="E6354F" w:sz="16" w:space="8"/>
        </w:pBdr>
        <w:spacing w:after="160" w:before="320"/>
      </w:pPr>
      <w:r>
        <w:t xml:space="preserve">Appendix — Poll format reference for live platforms</w:t>
      </w:r>
    </w:p>
    <w:p>
      <w:pPr>
        <w:spacing w:after="120"/>
      </w:pPr>
      <w:r>
        <w:t xml:space="preserve">If running via Zoom, Teams, or Slido instead of the web app, here is how each format maps onto common platform polls. The web app supports all of these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Format</w:t>
            </w:r>
          </w:p>
        </w:tc>
        <w:tc>
          <w:tcPr>
            <w:tcW w:type="dxa" w:w="30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Poll type</w:t>
            </w:r>
          </w:p>
        </w:tc>
        <w:tc>
          <w:tcPr>
            <w:tcW w:type="dxa" w:w="436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rPr>
              <w:t xml:space="preserve">Fallback if platform doesn't support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Shortlist vote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Multi-select, choose 3 of 6</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Ask in chat: 'Type the three terms you want.' Slower, but works.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Format 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Single-select, 4 options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 out 4 definitions, ask 'Type A, B, C, or D in chat.'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Format 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Single-select, 3-4 options + open chat for comments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Chat poll + invite written reflections in the chat.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Format C</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Single-select binary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Reaction emojis: thumbs up = option A, thumbs down = option 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2851"/>
      <w:sz w:val="32"/>
      <w:szCs w:val="32"/>
    </w:rPr>
  </w:style>
  <w:style w:type="paragraph" w:styleId="Heading2">
    <w:name w:val="Heading 2"/>
    <w:basedOn w:val="Normal"/>
    <w:next w:val="Normal"/>
    <w:qFormat/>
    <w:pPr>
      <w:spacing w:after="120" w:before="240"/>
    </w:pPr>
    <w:rPr>
      <w:rFonts w:ascii="Arial" w:cs="Arial" w:eastAsia="Arial" w:hAnsi="Arial"/>
      <w:b/>
      <w:bCs/>
      <w:color w:val="2D3D6E"/>
      <w:sz w:val="26"/>
      <w:szCs w:val="26"/>
    </w:rPr>
  </w:style>
  <w:style w:type="paragraph" w:styleId="Heading3">
    <w:name w:val="Heading 3"/>
    <w:basedOn w:val="Normal"/>
    <w:next w:val="Normal"/>
    <w:qFormat/>
    <w:pPr>
      <w:spacing w:after="100" w:before="200"/>
    </w:pPr>
    <w:rPr>
      <w:rFonts w:ascii="Arial" w:cs="Arial" w:eastAsia="Arial" w:hAnsi="Arial"/>
      <w:b/>
      <w:bCs/>
      <w:color w:val="1A28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2026-05-12T09:58:00.987Z</dcterms:created>
  <dcterms:modified xsi:type="dcterms:W3CDTF">2026-05-12T09:58:01.004Z</dcterms:modified>
</cp:coreProperties>
</file>

<file path=docProps/custom.xml><?xml version="1.0" encoding="utf-8"?>
<Properties xmlns="http://schemas.openxmlformats.org/officeDocument/2006/custom-properties" xmlns:vt="http://schemas.openxmlformats.org/officeDocument/2006/docPropsVTypes"/>
</file>