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10080"/>
            <w:tcBorders>
              <w:top w:val="none" w:color="FFFFFF" w:sz="0"/>
              <w:left w:val="none" w:color="FFFFFF" w:sz="0"/>
              <w:bottom w:val="none" w:color="FFFFFF" w:sz="0"/>
              <w:right w:val="none" w:color="FFFFFF" w:sz="0"/>
            </w:tcBorders>
            <w:shd w:fill="1A2851" w:val="clear"/>
            <w:tcMar>
              <w:top w:type="dxa" w:w="240"/>
              <w:left w:type="dxa" w:w="280"/>
              <w:bottom w:type="dxa" w:w="240"/>
              <w:right w:type="dxa" w:w="280"/>
            </w:tcMar>
          </w:tcPr>
          <w:p>
            <w:pPr>
              <w:spacing w:after="60"/>
            </w:pPr>
            <w:r>
              <w:rPr>
                <w:rFonts w:ascii="Arial" w:cs="Arial" w:eastAsia="Arial" w:hAnsi="Arial"/>
                <w:b/>
                <w:bCs/>
                <w:color w:val="FFFFFF"/>
                <w:sz w:val="22"/>
                <w:szCs w:val="22"/>
              </w:rPr>
              <w:t xml:space="preserve">AI </w:t>
            </w:r>
            <w:r>
              <w:rPr>
                <w:rFonts w:ascii="Arial" w:cs="Arial" w:eastAsia="Arial" w:hAnsi="Arial"/>
                <w:b/>
                <w:bCs/>
                <w:color w:val="E6354F"/>
                <w:sz w:val="22"/>
                <w:szCs w:val="22"/>
              </w:rPr>
              <w:t xml:space="preserve">TERMINOLOGY</w:t>
            </w:r>
            <w:r>
              <w:rPr>
                <w:rFonts w:ascii="Arial" w:cs="Arial" w:eastAsia="Arial" w:hAnsi="Arial"/>
                <w:b/>
                <w:bCs/>
                <w:color w:val="FFFFFF"/>
                <w:sz w:val="22"/>
                <w:szCs w:val="22"/>
              </w:rPr>
              <w:t xml:space="preserve"> WEBINAR</w:t>
            </w:r>
          </w:p>
          <w:p>
            <w:pPr>
              <w:spacing w:after="40"/>
            </w:pPr>
            <w:r>
              <w:rPr>
                <w:rFonts w:ascii="Arial" w:cs="Arial" w:eastAsia="Arial" w:hAnsi="Arial"/>
                <w:b/>
                <w:bCs/>
                <w:color w:val="FFFFFF"/>
                <w:sz w:val="36"/>
                <w:szCs w:val="36"/>
              </w:rPr>
              <w:t xml:space="preserve">AI Terminology for Public Health</w:t>
            </w:r>
          </w:p>
          <w:p>
            <w:r>
              <w:rPr>
                <w:rFonts w:ascii="Arial" w:cs="Arial" w:eastAsia="Arial" w:hAnsi="Arial"/>
                <w:i/>
                <w:iCs/>
                <w:color w:val="B8C0D8"/>
                <w:sz w:val="20"/>
                <w:szCs w:val="20"/>
              </w:rPr>
              <w:t xml:space="preserve">Run-Sheet &amp; Moderator Notes  ·  60 minutes  ·  Moderator + 2 panelists</w:t>
            </w:r>
          </w:p>
        </w:tc>
      </w:tr>
      <w:tr>
        <w:trPr>
          <w:trHeight w:val="80" w:hRule="atLeast"/>
        </w:trPr>
        <w:tc>
          <w:tcPr>
            <w:tcW w:type="dxa" w:w="10080"/>
            <w:tcBorders>
              <w:top w:val="none" w:color="FFFFFF" w:sz="0"/>
              <w:left w:val="none" w:color="FFFFFF" w:sz="0"/>
              <w:bottom w:val="none" w:color="FFFFFF" w:sz="0"/>
              <w:right w:val="none" w:color="FFFFFF" w:sz="0"/>
            </w:tcBorders>
            <w:shd w:fill="E6354F" w:val="clear"/>
            <w:tcMar>
              <w:top w:type="dxa" w:w="0"/>
              <w:left w:type="dxa" w:w="0"/>
              <w:bottom w:type="dxa" w:w="0"/>
              <w:right w:type="dxa" w:w="0"/>
            </w:tcMar>
          </w:tcPr>
          <w:p>
            <w:r>
              <w:rPr>
                <w:sz w:val="2"/>
                <w:szCs w:val="2"/>
              </w:rPr>
              <w:t xml:space="preserve"/>
            </w:r>
          </w:p>
        </w:tc>
      </w:tr>
    </w:tbl>
    <w:p>
      <w:pPr>
        <w:spacing w:after="240"/>
      </w:pPr>
      <w:r>
        <w:t xml:space="preserve"/>
      </w:r>
    </w:p>
    <w:p>
      <w:pPr>
        <w:pStyle w:val="Heading1"/>
        <w:pBdr>
          <w:top w:val="single" w:color="E6354F" w:sz="16" w:space="8"/>
        </w:pBdr>
        <w:spacing w:after="160" w:before="320"/>
      </w:pPr>
      <w:r>
        <w:t xml:space="preserve">1. Session at a glance</w:t>
      </w:r>
    </w:p>
    <w:p>
      <w:pPr>
        <w:spacing w:after="120"/>
      </w:pPr>
      <w:r>
        <w:t xml:space="preserve">This is a 60-minute interactive webinar designed to do three things at once: (1) build a shared vocabulary around AI terms commonly used in health, (2) stress-test those terms against the realities of public health work in low- and middle-income settings, and (3) generate input that feeds the broader community-of-practice conversation about how the AI-for-health field uses these terms.</w:t>
      </w:r>
    </w:p>
    <w:p>
      <w:pPr>
        <w:spacing w:after="120"/>
      </w:pPr>
      <w:r>
        <w:t xml:space="preserve">Audience profile: most attendees are practitioners working on AI for health from implementing organizations and the development sector — programme leads, technical advisors, M&amp;E specialists, country directors, and digital health implementers. They are usually NOT model developers, regulators, or front-line clinicians. The scenarios reflect that: "your organization supports a tool…", "the Ministry is deciding whether…", "a donor approaches your team…". The discussion questions push on the trade-offs this audience faces: donor exits, vendor lock-in, scale-up decisions with thin evidence, and how to advocate to Ministries.</w:t>
      </w:r>
    </w:p>
    <w:p>
      <w:pPr>
        <w:spacing w:after="120"/>
      </w:pPr>
      <w:r>
        <w:t xml:space="preserve">Format: this is a moderated session with the moderator plus two panelists working on AI for health. The audience drives the agenda by voting which three terms to deep-dive. For each term, the audience votes first, then the two panelists react (2 minutes each), then the moderator wraps the segment. Voting and chat happen through a lightweight web app (provided alongside this run-sheet) that supports real-time multi-user voting from any browser; Zoom/Teams polls are an acceptable fallback.</w:t>
      </w:r>
    </w:p>
    <w:p>
      <w:pPr>
        <w:pStyle w:val="Heading2"/>
        <w:spacing w:after="120" w:before="240"/>
      </w:pPr>
      <w:r>
        <w:t xml:space="preserve">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sz w:val="22"/>
                <w:szCs w:val="22"/>
              </w:rPr>
              <w:t xml:space="preserve">Time</w:t>
            </w:r>
          </w:p>
        </w:tc>
        <w:tc>
          <w:tcPr>
            <w:tcW w:type="dxa" w:w="22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sz w:val="22"/>
                <w:szCs w:val="22"/>
              </w:rPr>
              <w:t xml:space="preserve">Segment</w:t>
            </w:r>
          </w:p>
        </w:tc>
        <w:tc>
          <w:tcPr>
            <w:tcW w:type="dxa" w:w="572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sz w:val="22"/>
                <w:szCs w:val="22"/>
              </w:rPr>
              <w:t xml:space="preserve">Purpose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0:00–0:05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Welcome &amp; framing</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Set context, introduce panelists, name the problem ('common terms ≠ common meaning'), explain how the session works.</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0:05–0:10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Term shortlist vote</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Live poll: which 3 of 6 shortlisted terms to deep-dive. Sets the agenda from the audience.</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0:10–0:25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Term 1 — full exercise</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Definition vote → panelist reactions → scenario vote → panelist reactions → moderator wrap. ~15 min.</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0:25–0:40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Term 2 — full exercise</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Same structure, different term. ~15 min.</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0:40–0:52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Term 3 — lightning round</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Tighter format: single binary vote, panelist reactions, brief discussion. ~12 min.</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0:52–1:00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Synthesis &amp; next steps</w:t>
            </w:r>
          </w:p>
        </w:tc>
        <w:tc>
          <w:tcPr>
            <w:tcW w:type="dxa" w:w="57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Pull out cross-cutting tensions, panelist closing reflections, invite contributions to the ongoing conversation.</w:t>
            </w:r>
          </w:p>
        </w:tc>
      </w:tr>
    </w:tbl>
    <w:p>
      <w:pPr>
        <w:spacing w:after="120"/>
      </w:pPr>
      <w:r>
        <w:rPr>
          <w:i/>
          <w:iCs/>
          <w:color w:val="595959"/>
          <w:sz w:val="20"/>
          <w:szCs w:val="20"/>
        </w:rPr>
        <w:t xml:space="preserve">Within each 15-minute term slot: ~3 min for the vote, ~4 min for panelist reactions (2 min each), ~6 min discussion (chat surfacing + cross-panelist exchange), ~2 min moderator wrap.</w:t>
      </w:r>
    </w:p>
    <w:p>
      <w:pPr>
        <w:pStyle w:val="Heading1"/>
        <w:pBdr>
          <w:top w:val="single" w:color="E6354F" w:sz="16" w:space="8"/>
        </w:pBdr>
        <w:spacing w:after="160" w:before="320"/>
      </w:pPr>
      <w:r>
        <w:t xml:space="preserve">2. Term shortlist (6 terms, participants pick 3)</w:t>
      </w:r>
    </w:p>
    <w:p>
      <w:pPr>
        <w:spacing w:after="120"/>
      </w:pPr>
      <w:r>
        <w:t xml:space="preserve">These six are picked because each one has a meaningfully different reading in a public-health implementation context compared to its standard clinical-AI or regulatory definition. That gap is the discussion fuel — and it's the gap practitioners hit most often in their day-to-day work, when they're translating between donor expectations, vendor claims, Ministry concerns, and operational realities.</w:t>
      </w:r>
    </w:p>
    <w:p>
      <w:pPr>
        <w:pStyle w:val="Heading2"/>
        <w:spacing w:after="120" w:before="240"/>
      </w:pPr>
      <w:r>
        <w:t xml:space="preserve">The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sz w:val="22"/>
                <w:szCs w:val="22"/>
              </w:rPr>
              <w:t xml:space="preserve">Term</w:t>
            </w:r>
          </w:p>
        </w:tc>
        <w:tc>
          <w:tcPr>
            <w:tcW w:type="dxa" w:w="7160"/>
            <w:tcBorders>
              <w:top w:val="single" w:color="BFBFBF" w:sz="4"/>
              <w:left w:val="single" w:color="BFBFBF" w:sz="4"/>
              <w:bottom w:val="single" w:color="BFBFBF" w:sz="4"/>
              <w:right w:val="single" w:color="BFBFBF" w:sz="4"/>
            </w:tcBorders>
            <w:shd w:fill="1A2851" w:val="clear"/>
            <w:tcMar>
              <w:top w:type="dxa" w:w="100"/>
              <w:left w:type="dxa" w:w="140"/>
              <w:bottom w:type="dxa" w:w="100"/>
              <w:right w:type="dxa" w:w="140"/>
            </w:tcMar>
          </w:tcPr>
          <w:p>
            <w:r>
              <w:rPr>
                <w:b/>
                <w:bCs/>
                <w:color w:val="FFFFFF"/>
                <w:sz w:val="22"/>
                <w:szCs w:val="22"/>
              </w:rPr>
              <w:t xml:space="preserve">Why it's worth debating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Human in the Loop</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In high-income settings, HITL = a clinician supervising an AI output. Implementing partners deploying AI tools in low-resource settings are often doing so precisely because the specialist is absent. Donors and regulators import the term unchanged; implementers have to make it work on the ground.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Performance Metrics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Vendors report sensitivity/specificity. Donors want adoption numbers. Ministries want cost-per-case. Implementing partners sit in the middle, often the only actor positioned to translate between them — but rarely with funding to produce the metrics that matter most.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GenAI Hallucinations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Easy to spot in a chat-window demo. Much harder when a community health worker is reading the answer mid-home-visit. The conversation in the field has moved from 'do they hallucinate' to 'what is the right mitigation, who is responsible, and what is the right comparison group'.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Bias / Fairness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Often discussed as a model property (training data demographics). Implementing partners working in equity-focused programming see it as a system property — who is in the data system at all, who is connected, whose records exist. The fix is different depending on where you locate the problem.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Real World Evidence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In regulated markets, RWE has a fairly tight regulatory definition. In implementing-partner programmes, RWE is often the ONLY evidence available — there was never a controlled trial. The question is what threshold is sufficient to recommend scale to a Ministry.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AI Governance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'AI governance' often means model risk management. Implementing partners see what happens when donor funding ends and the Ministry is left with a vendor-locked tool it cannot afford. For this audience, governance has to also mean data sovereignty and procurement leverage.</w:t>
            </w:r>
          </w:p>
        </w:tc>
      </w:tr>
    </w:tbl>
    <w:p>
      <w:pPr>
        <w:spacing w:after="120"/>
      </w:pPr>
      <w:r>
        <w:rPr>
          <w:i/>
          <w:iCs/>
          <w:color w:val="595959"/>
          <w:sz w:val="20"/>
          <w:szCs w:val="20"/>
        </w:rPr>
        <w:t xml:space="preserve">The audience picks 3 of these 6 via the live shortlist vote at 0:05–0:10. The web app supports the multi-select natively; Zoom polls can do the same. Once the vote closes, take the top three.</w:t>
      </w:r>
    </w:p>
    <w:p>
      <w:pPr>
        <w:pStyle w:val="Heading1"/>
        <w:pBdr>
          <w:top w:val="single" w:color="E6354F" w:sz="16" w:space="8"/>
        </w:pBdr>
        <w:spacing w:after="160" w:before="320"/>
      </w:pPr>
      <w:r>
        <w:t xml:space="preserve">3. Three exercise formats (mix-and-match per term)</w:t>
      </w:r>
    </w:p>
    <w:p>
      <w:pPr>
        <w:spacing w:after="120"/>
      </w:pPr>
      <w:r>
        <w:t xml:space="preserve">Each term in the exercise pack has materials prepared for all three formats. On the day, run two formats per term in the 15-minute slot — typically Format A + Format B for the first two terms, and a single-format lightning round (usually Format C) for the third term.</w:t>
      </w:r>
    </w:p>
    <w:p>
      <w:pPr>
        <w:pStyle w:val="Heading2"/>
        <w:spacing w:after="120" w:before="240"/>
      </w:pPr>
      <w:r>
        <w:t xml:space="preserve">Format A — How Do You Define It? (~5 min)</w:t>
      </w:r>
    </w:p>
    <w:p>
      <w:pPr>
        <w:spacing w:after="120"/>
      </w:pPr>
      <w:r>
        <w:t xml:space="preserve">Show 4 candidate definitions, each written from a different stakeholder perspective (developer, clinical user, regulator, public health implementer). The audience votes which one most closely matches how THEY use the term. After the vote, reveal the stakeholder lens labels and hand to the panelists for reactions.</w:t>
      </w:r>
    </w:p>
    <w:p>
      <w:pPr>
        <w:spacing w:after="120"/>
      </w:pPr>
      <w:r>
        <w:rPr>
          <w:i/>
          <w:iCs/>
          <w:color w:val="595959"/>
          <w:sz w:val="20"/>
          <w:szCs w:val="20"/>
        </w:rPr>
        <w:t xml:space="preserve">Why it works: it surfaces, in 30 seconds, that the same word is being read differently by different parts of the audience — without anyone having to speak. The panelists then react to the split, which lands the point much more powerfully than a moderator monologue could.</w:t>
      </w:r>
    </w:p>
    <w:p>
      <w:pPr>
        <w:pStyle w:val="Heading2"/>
        <w:spacing w:after="120" w:before="240"/>
      </w:pPr>
      <w:r>
        <w:t xml:space="preserve">Format B — Scenario Test (~7 min)</w:t>
      </w:r>
    </w:p>
    <w:p>
      <w:pPr>
        <w:spacing w:after="120"/>
      </w:pPr>
      <w:r>
        <w:t xml:space="preserve">Present a real-world scenario (X-ray AI in a rural hospital with no radiologist; an AI tool whose donor funding is ending; etc.) and ask: does the term, as commonly used, work in this context? Voting options reveal where the friction is. After the vote, hand to the panelists for reactions, then open chat for the audience to respond.</w:t>
      </w:r>
    </w:p>
    <w:p>
      <w:pPr>
        <w:spacing w:after="120"/>
      </w:pPr>
      <w:r>
        <w:rPr>
          <w:i/>
          <w:iCs/>
          <w:color w:val="595959"/>
          <w:sz w:val="20"/>
          <w:szCs w:val="20"/>
        </w:rPr>
        <w:t xml:space="preserve">Why it works: scenarios are concrete enough that the audience starts replying in chat before the moderator even prompts them, and the panelists have something specific to react to rather than a definitional abstraction.</w:t>
      </w:r>
    </w:p>
    <w:p>
      <w:pPr>
        <w:pStyle w:val="Heading2"/>
        <w:spacing w:after="120" w:before="240"/>
      </w:pPr>
      <w:r>
        <w:t xml:space="preserve">Format C — Lightning Vote (~3 min)</w:t>
      </w:r>
    </w:p>
    <w:p>
      <w:pPr>
        <w:spacing w:after="120"/>
      </w:pPr>
      <w:r>
        <w:t xml:space="preserve">A single binary question. Audience votes one of two options. Panelists react briefly. The split itself is the discussion punchline. Used as the third-term format when time is tight.</w:t>
      </w:r>
    </w:p>
    <w:p>
      <w:pPr>
        <w:pStyle w:val="Heading1"/>
        <w:pBdr>
          <w:top w:val="single" w:color="E6354F" w:sz="16" w:space="8"/>
        </w:pBdr>
        <w:spacing w:after="160" w:before="320"/>
      </w:pPr>
      <w:r>
        <w:t xml:space="preserve">4. Opening and closing — talking points</w:t>
      </w:r>
    </w:p>
    <w:p>
      <w:pPr>
        <w:pStyle w:val="Heading2"/>
        <w:spacing w:after="120" w:before="240"/>
      </w:pPr>
      <w:r>
        <w:t xml:space="preserve">Opening (0:00–0:05)</w:t>
      </w:r>
    </w:p>
    <w:p>
      <w:pPr>
        <w:spacing w:after="120"/>
      </w:pPr>
      <w:r>
        <w:t xml:space="preserve">"Welcome. I'm [name]. With me today are [panelist 1] and [panelist 2], both of whom are working at the intersection of AI and public health. The reason we're spending an hour together on terminology may seem unusual — but stay with me."</w:t>
      </w:r>
    </w:p>
    <w:p>
      <w:pPr>
        <w:spacing w:after="120"/>
      </w:pPr>
      <w:r>
        <w:t xml:space="preserve">"In the AI-for-health conversation, we increasingly use a shared vocabulary: human in the loop, performance metrics, GenAI hallucinations, bias, real world evidence, governance. Different actors — ministries, developers, donors, evaluators, regulators, frontline workers — use these same words and assume they mean the same thing. They usually don't."</w:t>
      </w:r>
    </w:p>
    <w:p>
      <w:pPr>
        <w:spacing w:after="120"/>
      </w:pPr>
      <w:r>
        <w:t xml:space="preserve">"That gap is most acute when AI tools designed in one setting get deployed in another. 'Bias' isn't only about training data; it's about who is even in the data system. 'Human in the loop' isn't only about clinician oversight; it's about whether the human exists at all in the setting where the tool is deployed."</w:t>
      </w:r>
    </w:p>
    <w:p>
      <w:pPr>
        <w:spacing w:after="120"/>
      </w:pPr>
      <w:r>
        <w:rPr>
          <w:i/>
          <w:iCs/>
          <w:color w:val="595959"/>
          <w:sz w:val="20"/>
          <w:szCs w:val="20"/>
        </w:rPr>
        <w:t xml:space="preserve">[Hand to panelists for a one-line opening — "What's the term you find yourself constantly having to redefine in your work?" Panelist 1 (30 sec), Panelist 2 (30 sec). This warms them up for later reactions.]</w:t>
      </w:r>
    </w:p>
    <w:p>
      <w:pPr>
        <w:spacing w:after="120"/>
      </w:pPr>
      <w:r>
        <w:t xml:space="preserve">"Here's how we'll work. I'll give you six terms in a moment. You'll vote for the three you most want to unpack. For each, we'll do a short structured exercise — a definition vote, or a scenario vote, or both. After each vote, our panelists react — that's where the depth comes from. Your participation drives the agenda: the chat and the polls are where the value lands."</w:t>
      </w:r>
    </w:p>
    <w:p>
      <w:pPr>
        <w:pStyle w:val="Heading2"/>
        <w:spacing w:after="120" w:before="240"/>
      </w:pPr>
      <w:r>
        <w:t xml:space="preserve">Closing (0:52–1:00)</w:t>
      </w:r>
    </w:p>
    <w:p>
      <w:pPr>
        <w:spacing w:after="120"/>
      </w:pPr>
      <w:r>
        <w:t xml:space="preserve">Pull out cross-cutting tensions surfaced during the session. Typical ones:</w:t>
      </w:r>
    </w:p>
    <w:p>
      <w:pPr>
        <w:pStyle w:val="ListParagraph"/>
        <w:numPr>
          <w:ilvl w:val="0"/>
          <w:numId w:val="2"/>
        </w:numPr>
        <w:spacing w:after="80"/>
      </w:pPr>
      <w:r>
        <w:t xml:space="preserve">"In several of these terms, we saw the same pattern: a term that was defined by one community (regulators, developers) being applied in a context (implementation in low-resource settings) where it doesn't quite fit. The question is whether we redefine, supplement, or push back — and that's a strategic choice each of you has to make for your own work."</w:t>
      </w:r>
    </w:p>
    <w:p>
      <w:pPr>
        <w:pStyle w:val="ListParagraph"/>
        <w:numPr>
          <w:ilvl w:val="0"/>
          <w:numId w:val="2"/>
        </w:numPr>
        <w:spacing w:after="80"/>
      </w:pPr>
      <w:r>
        <w:t xml:space="preserve">"The chat thread today has more insight than most published papers on this topic. We'll synthesise and share back with the community."</w:t>
      </w:r>
    </w:p>
    <w:p>
      <w:pPr>
        <w:spacing w:after="120"/>
      </w:pPr>
      <w:r>
        <w:rPr>
          <w:i/>
          <w:iCs/>
          <w:color w:val="595959"/>
          <w:sz w:val="20"/>
          <w:szCs w:val="20"/>
        </w:rPr>
        <w:t xml:space="preserve">[Hand to panelists for closing reflections — 60 sec each. "What's the one thing you'll take away from the audience input today?"]</w:t>
      </w:r>
    </w:p>
    <w:p>
      <w:pPr>
        <w:pStyle w:val="ListParagraph"/>
        <w:numPr>
          <w:ilvl w:val="0"/>
          <w:numId w:val="2"/>
        </w:numPr>
        <w:spacing w:after="80"/>
      </w:pPr>
      <w:r>
        <w:t xml:space="preserve">"What this conversation needs next: more cross-stakeholder formats like this, more written contributions to ongoing dictionary/terminology work in the community, more sharing of how these terms get re-defined in real procurement and programme conversations."</w:t>
      </w:r>
    </w:p>
    <w:p>
      <w:pPr>
        <w:pStyle w:val="Heading1"/>
        <w:pBdr>
          <w:top w:val="single" w:color="E6354F" w:sz="16" w:space="8"/>
        </w:pBdr>
        <w:spacing w:after="160" w:before="320"/>
      </w:pPr>
      <w:r>
        <w:t xml:space="preserve">5. Tech and prep</w:t>
      </w:r>
    </w:p>
    <w:p>
      <w:pPr>
        <w:pStyle w:val="Heading2"/>
        <w:spacing w:after="120" w:before="240"/>
      </w:pPr>
      <w:r>
        <w:t xml:space="preserve">Before the session</w:t>
      </w:r>
    </w:p>
    <w:p>
      <w:pPr>
        <w:pStyle w:val="ListParagraph"/>
        <w:numPr>
          <w:ilvl w:val="0"/>
          <w:numId w:val="2"/>
        </w:numPr>
        <w:spacing w:after="80"/>
      </w:pPr>
      <w:r>
        <w:t xml:space="preserve">Test the web app with two devices 24 hours before the session. Open it on two devices, switch one to participant mode, vote, confirm the moderator view sees the vote within 3 seconds.</w:t>
      </w:r>
    </w:p>
    <w:p>
      <w:pPr>
        <w:pStyle w:val="ListParagraph"/>
        <w:numPr>
          <w:ilvl w:val="0"/>
          <w:numId w:val="2"/>
        </w:numPr>
        <w:spacing w:after="80"/>
      </w:pPr>
      <w:r>
        <w:t xml:space="preserve">Decide on hosting and have the URL ready. Put it in your opening slide.</w:t>
      </w:r>
    </w:p>
    <w:p>
      <w:pPr>
        <w:pStyle w:val="ListParagraph"/>
        <w:numPr>
          <w:ilvl w:val="0"/>
          <w:numId w:val="2"/>
        </w:numPr>
        <w:spacing w:after="80"/>
      </w:pPr>
      <w:r>
        <w:t xml:space="preserve">Brief the two panelists ahead: which terms are most likely to come up, what 'reactions' means in this format (90-second react, not a mini-presentation), and that the audience vote, not the panelist, sets the topic.</w:t>
      </w:r>
    </w:p>
    <w:p>
      <w:pPr>
        <w:pStyle w:val="ListParagraph"/>
        <w:numPr>
          <w:ilvl w:val="0"/>
          <w:numId w:val="2"/>
        </w:numPr>
        <w:spacing w:after="80"/>
      </w:pPr>
      <w:r>
        <w:t xml:space="preserve">Set sessionStorage on your own device so you stay in facilitator mode across reloads.</w:t>
      </w:r>
    </w:p>
    <w:p>
      <w:pPr>
        <w:pStyle w:val="ListParagraph"/>
        <w:numPr>
          <w:ilvl w:val="0"/>
          <w:numId w:val="2"/>
        </w:numPr>
        <w:spacing w:after="80"/>
      </w:pPr>
      <w:r>
        <w:t xml:space="preserve">Use the reset button (top-right of the role bar) to wipe all votes and chat between rehearsal and the live session.</w:t>
      </w:r>
    </w:p>
    <w:p>
      <w:pPr>
        <w:pStyle w:val="Heading2"/>
        <w:spacing w:after="120" w:before="240"/>
      </w:pPr>
      <w:r>
        <w:t xml:space="preserve">Co-host</w:t>
      </w:r>
    </w:p>
    <w:p>
      <w:pPr>
        <w:spacing w:after="120"/>
      </w:pPr>
      <w:r>
        <w:t xml:space="preserve">You can't run a poll, present a slide, manage panelist hand-offs, and triage chat at the same time. Brief a co-host to: surface 2–3 chat responses per exercise, manage the panelist transitions if you go over time, and keep an eye on the chat for off-topic moderation.</w:t>
      </w:r>
    </w:p>
    <w:p>
      <w:pPr>
        <w:pStyle w:val="Heading2"/>
        <w:spacing w:after="120" w:before="240"/>
      </w:pPr>
      <w:r>
        <w:t xml:space="preserve">If something goes wrong</w:t>
      </w:r>
    </w:p>
    <w:p>
      <w:pPr>
        <w:pStyle w:val="ListParagraph"/>
        <w:numPr>
          <w:ilvl w:val="0"/>
          <w:numId w:val="2"/>
        </w:numPr>
        <w:spacing w:after="80"/>
      </w:pPr>
      <w:r>
        <w:t xml:space="preserve">If the app doesn't load for some participants, fall back to Zoom polls or chat-based voting ("Type A, B, C or D"). Don't waste time troubleshooting live.</w:t>
      </w:r>
    </w:p>
    <w:p>
      <w:pPr>
        <w:pStyle w:val="ListParagraph"/>
        <w:numPr>
          <w:ilvl w:val="0"/>
          <w:numId w:val="2"/>
        </w:numPr>
        <w:spacing w:after="80"/>
      </w:pPr>
      <w:r>
        <w:t xml:space="preserve">If a panelist goes long, let them finish the sentence and then transition: "That's a great segue to [other panelist] — would love your reaction to that."</w:t>
      </w:r>
    </w:p>
    <w:p>
      <w:pPr>
        <w:pStyle w:val="ListParagraph"/>
        <w:numPr>
          <w:ilvl w:val="0"/>
          <w:numId w:val="2"/>
        </w:numPr>
        <w:spacing w:after="80"/>
      </w:pPr>
      <w:r>
        <w:t xml:space="preserve">If voting feels slow on the participant side, ask people to refresh the page once.</w:t>
      </w:r>
    </w:p>
    <w:p>
      <w:pPr>
        <w:pStyle w:val="Heading1"/>
        <w:pBdr>
          <w:top w:val="single" w:color="E6354F" w:sz="16" w:space="8"/>
        </w:pBdr>
        <w:spacing w:after="160" w:before="320"/>
      </w:pPr>
      <w:r>
        <w:t xml:space="preserve">6. Using the voting web app</w:t>
      </w:r>
    </w:p>
    <w:p>
      <w:pPr>
        <w:spacing w:after="120"/>
      </w:pPr>
      <w:r>
        <w:t xml:space="preserve">Alongside this run-sheet, you have a single-file web app (AI_Terminology_Webinar_App.html) that handles all the voting and chat. It's designed so you don't need to use Zoom polls — though you can fall back to those if needed.</w:t>
      </w:r>
    </w:p>
    <w:p>
      <w:pPr>
        <w:pStyle w:val="Heading2"/>
        <w:spacing w:after="120" w:before="240"/>
      </w:pPr>
      <w:r>
        <w:t xml:space="preserve">How it works</w:t>
      </w:r>
    </w:p>
    <w:p>
      <w:pPr>
        <w:pStyle w:val="ListParagraph"/>
        <w:numPr>
          <w:ilvl w:val="0"/>
          <w:numId w:val="2"/>
        </w:numPr>
        <w:spacing w:after="80"/>
      </w:pPr>
      <w:r>
        <w:t xml:space="preserve">Open the HTML file in any modern browser. It's a single file — no install, no server needed for local testing.</w:t>
      </w:r>
    </w:p>
    <w:p>
      <w:pPr>
        <w:pStyle w:val="ListParagraph"/>
        <w:numPr>
          <w:ilvl w:val="0"/>
          <w:numId w:val="2"/>
        </w:numPr>
        <w:spacing w:after="80"/>
      </w:pPr>
      <w:r>
        <w:t xml:space="preserve">The app has two views: moderator and participant, switched via the toggle at the top. (The app still uses the word 'facilitator' in the UI — equivalent to moderator in this run-sheet.)</w:t>
      </w:r>
    </w:p>
    <w:p>
      <w:pPr>
        <w:pStyle w:val="ListParagraph"/>
        <w:numPr>
          <w:ilvl w:val="0"/>
          <w:numId w:val="2"/>
        </w:numPr>
        <w:spacing w:after="80"/>
      </w:pPr>
      <w:r>
        <w:t xml:space="preserve">As moderator, you control which 'stage' (welcome, shortlist vote, term 1 Format A, etc.) is active. Participants' screens update within ~2 seconds.</w:t>
      </w:r>
    </w:p>
    <w:p>
      <w:pPr>
        <w:pStyle w:val="ListParagraph"/>
        <w:numPr>
          <w:ilvl w:val="0"/>
          <w:numId w:val="2"/>
        </w:numPr>
        <w:spacing w:after="80"/>
      </w:pPr>
      <w:r>
        <w:t xml:space="preserve">Participants vote by tapping options. The moderator view shows live tallies and the chat thread.</w:t>
      </w:r>
    </w:p>
    <w:p>
      <w:pPr>
        <w:pStyle w:val="ListParagraph"/>
        <w:numPr>
          <w:ilvl w:val="0"/>
          <w:numId w:val="2"/>
        </w:numPr>
        <w:spacing w:after="80"/>
      </w:pPr>
      <w:r>
        <w:t xml:space="preserve">All voting and chat data is stored in shared persistent storage — votes from different devices appear in the same room.</w:t>
      </w:r>
    </w:p>
    <w:p>
      <w:pPr>
        <w:pStyle w:val="Heading2"/>
        <w:spacing w:after="120" w:before="240"/>
      </w:pPr>
      <w:r>
        <w:t xml:space="preserve">Two ways to use it on the day</w:t>
      </w:r>
    </w:p>
    <w:p>
      <w:pPr>
        <w:pStyle w:val="Heading3"/>
        <w:spacing w:after="100" w:before="200"/>
      </w:pPr>
      <w:r>
        <w:t xml:space="preserve">Option A: full-app mode (recommended if you can host it)</w:t>
      </w:r>
    </w:p>
    <w:p>
      <w:pPr>
        <w:spacing w:after="120"/>
      </w:pPr>
      <w:r>
        <w:t xml:space="preserve">Host the HTML file on a simple static URL (GitHub Pages, Vercel, Netlify, your own server, or even a Google Drive shared link in some cases). Share the URL in the webinar chat at the start. Participants open it in a second browser tab while watching the webinar. You drive the stages from your moderator view; their screens follow.</w:t>
      </w:r>
    </w:p>
    <w:p>
      <w:pPr>
        <w:pStyle w:val="Heading3"/>
        <w:spacing w:after="100" w:before="200"/>
      </w:pPr>
      <w:r>
        <w:t xml:space="preserve">Option B: moderator-only with Zoom polls as fallback</w:t>
      </w:r>
    </w:p>
    <w:p>
      <w:pPr>
        <w:spacing w:after="120"/>
      </w:pPr>
      <w:r>
        <w:t xml:space="preserve">If hosting is impractical, run only the moderator view yourself for your own pacing reference, and use Zoom/Teams native polls for the participant voting. The exercise pack lists every poll you need. The app still gives you a fast way to see the question, the options, and the discussion prompts in one place during each segment.</w:t>
      </w:r>
    </w:p>
    <w:p>
      <w:pPr>
        <w:pStyle w:val="Heading1"/>
        <w:pBdr>
          <w:top w:val="single" w:color="E6354F" w:sz="16" w:space="8"/>
        </w:pBdr>
        <w:spacing w:after="160" w:before="320"/>
      </w:pPr>
      <w:r>
        <w:t xml:space="preserve">7. How this differs from a typical AI panel</w:t>
      </w:r>
    </w:p>
    <w:p>
      <w:pPr>
        <w:spacing w:after="120"/>
      </w:pPr>
      <w:r>
        <w:t xml:space="preserve">Most AI-for-health panel discussions sit at one of two poles. At one pole: panelists representing different stakeholder groups (developer, regulator, clinical user, programme evaluator) speaking to each other in a recorded session, with the audience watching. At the other: a Q&amp;A where the panelists answer individual audience questions.</w:t>
      </w:r>
    </w:p>
    <w:p>
      <w:pPr>
        <w:spacing w:after="120"/>
      </w:pPr>
      <w:r>
        <w:t xml:space="preserve">This session sits in the middle. The audience drives the agenda (which terms get deep-dived), the moderator drives the structure (when to vote, when to hand to panelists), and the panelists drive the depth (their reactions are the analytic content, not the slides). It works when three conditions hold: the audience is large enough that votes produce a meaningful signal, the panelists are willing to react rather than present, and the moderator is willing to give the floor away repeatedly.</w:t>
      </w:r>
    </w:p>
    <w:p>
      <w:pPr>
        <w:spacing w:after="120"/>
      </w:pPr>
      <w:r>
        <w:t xml:space="preserve">If the session generates strong material, there's a natural follow-up: a written companion piece combining the audience polling results from this webinar with the panelists' reactions and the broader community-of-practice work on these terms. That gives you something to point attendees toward at the close, and a concrete way to extend the conversation beyond the hour.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2851"/>
      <w:sz w:val="32"/>
      <w:szCs w:val="32"/>
    </w:rPr>
  </w:style>
  <w:style w:type="paragraph" w:styleId="Heading2">
    <w:name w:val="Heading 2"/>
    <w:basedOn w:val="Normal"/>
    <w:next w:val="Normal"/>
    <w:qFormat/>
    <w:pPr>
      <w:spacing w:after="120" w:before="240"/>
    </w:pPr>
    <w:rPr>
      <w:rFonts w:ascii="Arial" w:cs="Arial" w:eastAsia="Arial" w:hAnsi="Arial"/>
      <w:b/>
      <w:bCs/>
      <w:color w:val="2D3D6E"/>
      <w:sz w:val="26"/>
      <w:szCs w:val="26"/>
    </w:rPr>
  </w:style>
  <w:style w:type="paragraph" w:styleId="Heading3">
    <w:name w:val="Heading 3"/>
    <w:basedOn w:val="Normal"/>
    <w:next w:val="Normal"/>
    <w:qFormat/>
    <w:pPr>
      <w:spacing w:after="100" w:before="200"/>
    </w:pPr>
    <w:rPr>
      <w:rFonts w:ascii="Arial" w:cs="Arial" w:eastAsia="Arial" w:hAnsi="Arial"/>
      <w:b/>
      <w:bCs/>
      <w:color w:val="1A28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2026-05-12T09:59:36.678Z</dcterms:created>
  <dcterms:modified xsi:type="dcterms:W3CDTF">2026-05-12T09:59:36.678Z</dcterms:modified>
</cp:coreProperties>
</file>

<file path=docProps/custom.xml><?xml version="1.0" encoding="utf-8"?>
<Properties xmlns="http://schemas.openxmlformats.org/officeDocument/2006/custom-properties" xmlns:vt="http://schemas.openxmlformats.org/officeDocument/2006/docPropsVTypes"/>
</file>