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proofErr w:type="spellStart"/>
            <w:r w:rsidRPr="0004094E">
              <w:rPr>
                <w:sz w:val="24"/>
              </w:rPr>
              <w:t>Nguyễn</w:t>
            </w:r>
            <w:proofErr w:type="spellEnd"/>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I declared that in submitting all work for this assessment I have read, understood and agree to the content and expectations of the Assessment Declaration</w:t>
      </w:r>
    </w:p>
    <w:p w14:paraId="2C4B34BA" w14:textId="77777777" w:rsidR="0004094E" w:rsidRDefault="0004094E" w:rsidP="0004094E">
      <w:pPr>
        <w:jc w:val="center"/>
        <w:rPr>
          <w:i/>
          <w:sz w:val="24"/>
        </w:rPr>
      </w:pPr>
    </w:p>
    <w:p w14:paraId="5C328402" w14:textId="77777777" w:rsidR="0004094E" w:rsidRDefault="0004094E" w:rsidP="0004094E">
      <w:pPr>
        <w:jc w:val="center"/>
        <w:rPr>
          <w:i/>
          <w:sz w:val="24"/>
        </w:rPr>
      </w:pPr>
    </w:p>
    <w:p w14:paraId="18FF22A9" w14:textId="77777777" w:rsidR="0004094E" w:rsidRDefault="0004094E" w:rsidP="0004094E">
      <w:pPr>
        <w:jc w:val="center"/>
        <w:rPr>
          <w:i/>
          <w:sz w:val="24"/>
        </w:rPr>
      </w:pPr>
    </w:p>
    <w:p w14:paraId="0EE17062" w14:textId="77777777" w:rsidR="0004094E" w:rsidRDefault="0004094E" w:rsidP="0004094E">
      <w:pPr>
        <w:jc w:val="center"/>
        <w:rPr>
          <w:i/>
          <w:sz w:val="24"/>
        </w:rPr>
      </w:pPr>
    </w:p>
    <w:p w14:paraId="79A121E9" w14:textId="77777777" w:rsidR="0004094E" w:rsidRDefault="0004094E" w:rsidP="0004094E">
      <w:pPr>
        <w:rPr>
          <w:sz w:val="24"/>
        </w:rPr>
      </w:pPr>
    </w:p>
    <w:p w14:paraId="359EDE55" w14:textId="77777777" w:rsidR="0004094E" w:rsidRDefault="0004094E" w:rsidP="0004094E">
      <w:pPr>
        <w:rPr>
          <w:sz w:val="24"/>
        </w:rPr>
      </w:pPr>
    </w:p>
    <w:p w14:paraId="2AC431EE" w14:textId="77777777" w:rsidR="0004094E" w:rsidRDefault="0004094E" w:rsidP="0004094E">
      <w:pPr>
        <w:rPr>
          <w:sz w:val="24"/>
        </w:rPr>
      </w:pPr>
    </w:p>
    <w:p w14:paraId="43BC4323" w14:textId="77777777" w:rsidR="0004094E" w:rsidRDefault="0004094E" w:rsidP="0004094E">
      <w:pPr>
        <w:rPr>
          <w:sz w:val="24"/>
        </w:rPr>
      </w:pPr>
    </w:p>
    <w:p w14:paraId="28688117" w14:textId="77777777" w:rsidR="0004094E" w:rsidRDefault="0004094E" w:rsidP="0004094E">
      <w:pPr>
        <w:rPr>
          <w:sz w:val="24"/>
        </w:rPr>
      </w:pPr>
    </w:p>
    <w:p w14:paraId="4C2D0DFF" w14:textId="77777777" w:rsidR="0004094E" w:rsidRDefault="0004094E" w:rsidP="006513E2">
      <w:pPr>
        <w:pStyle w:val="Heading1"/>
        <w:rPr>
          <w:sz w:val="20"/>
          <w:szCs w:val="20"/>
          <w:shd w:val="clear" w:color="auto" w:fill="FFFFFF"/>
        </w:rPr>
      </w:pPr>
      <w:r>
        <w:lastRenderedPageBreak/>
        <w:t xml:space="preserve">Abstract </w:t>
      </w:r>
    </w:p>
    <w:p w14:paraId="777EC3C7" w14:textId="77777777" w:rsidR="006513E2" w:rsidRPr="00695B2C" w:rsidRDefault="006513E2" w:rsidP="006513E2">
      <w:pPr>
        <w:pStyle w:val="NormalWeb"/>
        <w:rPr>
          <w:rFonts w:asciiTheme="minorHAnsi" w:eastAsiaTheme="minorHAnsi" w:hAnsiTheme="minorHAnsi" w:cstheme="minorBidi"/>
          <w:kern w:val="2"/>
          <w:sz w:val="20"/>
          <w:szCs w:val="20"/>
          <w14:ligatures w14:val="standardContextual"/>
        </w:rPr>
      </w:pPr>
      <w:r w:rsidRPr="00695B2C">
        <w:rPr>
          <w:rFonts w:asciiTheme="minorHAnsi" w:eastAsiaTheme="minorHAnsi" w:hAnsiTheme="minorHAnsi" w:cstheme="minorBidi"/>
          <w:kern w:val="2"/>
          <w:sz w:val="20"/>
          <w:szCs w:val="20"/>
          <w14:ligatures w14:val="standardContextual"/>
        </w:rPr>
        <w:t>Obesity is a medical condition characterized by an excessive accumulation of body fat, which can negatively impact an individual’s health. This study aimed to classify obesity levels using two machine learning approaches (Classification and Regression), with a focus on physical activity, nutritional habits, and genetic factors. The study utilized an observational design, collecting data from the UCI repository [</w:t>
      </w:r>
      <w:commentRangeStart w:id="0"/>
      <w:r w:rsidRPr="00695B2C">
        <w:rPr>
          <w:rFonts w:asciiTheme="minorHAnsi" w:eastAsiaTheme="minorHAnsi" w:hAnsiTheme="minorHAnsi" w:cstheme="minorBidi"/>
          <w:kern w:val="2"/>
          <w:sz w:val="20"/>
          <w:szCs w:val="20"/>
          <w14:ligatures w14:val="standardContextual"/>
        </w:rPr>
        <w:t>ref</w:t>
      </w:r>
      <w:commentRangeEnd w:id="0"/>
      <w:r w:rsidRPr="00695B2C">
        <w:rPr>
          <w:rStyle w:val="CommentReference"/>
          <w:rFonts w:asciiTheme="minorHAnsi" w:eastAsiaTheme="minorHAnsi" w:hAnsiTheme="minorHAnsi" w:cstheme="minorBidi"/>
          <w:kern w:val="2"/>
          <w:sz w:val="20"/>
          <w:szCs w:val="20"/>
          <w14:ligatures w14:val="standardContextual"/>
        </w:rPr>
        <w:commentReference w:id="0"/>
      </w:r>
      <w:r w:rsidRPr="00695B2C">
        <w:rPr>
          <w:rFonts w:asciiTheme="minorHAnsi" w:eastAsiaTheme="minorHAnsi" w:hAnsiTheme="minorHAnsi" w:cstheme="minorBidi"/>
          <w:kern w:val="2"/>
          <w:sz w:val="20"/>
          <w:szCs w:val="20"/>
          <w14:ligatures w14:val="standardContextual"/>
        </w:rPr>
        <w:t>] through a web-based survey to assess participants' eating habits and physical activity levels. The dataset included variables such as gender, age, height, weight, family history of obesity, dietary patterns, and physical activity frequency.</w:t>
      </w:r>
      <w:r w:rsidRPr="00695B2C">
        <w:rPr>
          <w:rFonts w:asciiTheme="minorHAnsi" w:eastAsiaTheme="minorHAnsi" w:hAnsiTheme="minorHAnsi" w:cstheme="minorBidi"/>
          <w:kern w:val="2"/>
          <w:sz w:val="20"/>
          <w:szCs w:val="20"/>
          <w14:ligatures w14:val="standardContextual"/>
        </w:rPr>
        <w:t xml:space="preserve"> </w:t>
      </w:r>
      <w:r w:rsidRPr="00695B2C">
        <w:rPr>
          <w:rFonts w:asciiTheme="minorHAnsi" w:eastAsiaTheme="minorHAnsi" w:hAnsiTheme="minorHAnsi" w:cstheme="minorBidi"/>
          <w:kern w:val="2"/>
          <w:sz w:val="20"/>
          <w:szCs w:val="20"/>
          <w14:ligatures w14:val="standardContextual"/>
        </w:rPr>
        <w:t xml:space="preserve">For the modeling process, three classification algorithms were employed to predict obesity levels, including Random Forest (for both classification and regression tasks), Extreme Gradient Boosting (for classification), and k-nearest neighbors with grid search optimization for </w:t>
      </w:r>
      <w:proofErr w:type="spellStart"/>
      <w:r w:rsidRPr="00695B2C">
        <w:rPr>
          <w:rFonts w:asciiTheme="minorHAnsi" w:eastAsiaTheme="minorHAnsi" w:hAnsiTheme="minorHAnsi" w:cstheme="minorBidi"/>
          <w:kern w:val="2"/>
          <w:sz w:val="20"/>
          <w:szCs w:val="20"/>
          <w14:ligatures w14:val="standardContextual"/>
        </w:rPr>
        <w:t>hyperparameter</w:t>
      </w:r>
      <w:proofErr w:type="spellEnd"/>
      <w:r w:rsidRPr="00695B2C">
        <w:rPr>
          <w:rFonts w:asciiTheme="minorHAnsi" w:eastAsiaTheme="minorHAnsi" w:hAnsiTheme="minorHAnsi" w:cstheme="minorBidi"/>
          <w:kern w:val="2"/>
          <w:sz w:val="20"/>
          <w:szCs w:val="20"/>
          <w14:ligatures w14:val="standardContextual"/>
        </w:rPr>
        <w:t xml:space="preserve"> tuning. Model performance was evaluated using various metrics: accuracy, recall, precision, F1-score, area under the curve (AUC), and precision-recall curve for classification tasks, and Mean Squared Error (MSE), Root Mean Squared Error (RMSE), and R-squared (R²) for regression tasks.</w:t>
      </w:r>
      <w:r w:rsidRPr="00695B2C">
        <w:rPr>
          <w:rFonts w:asciiTheme="minorHAnsi" w:eastAsiaTheme="minorHAnsi" w:hAnsiTheme="minorHAnsi" w:cstheme="minorBidi"/>
          <w:kern w:val="2"/>
          <w:sz w:val="20"/>
          <w:szCs w:val="20"/>
          <w14:ligatures w14:val="standardContextual"/>
        </w:rPr>
        <w:t xml:space="preserve"> </w:t>
      </w:r>
      <w:r w:rsidRPr="00695B2C">
        <w:rPr>
          <w:rFonts w:asciiTheme="minorHAnsi" w:eastAsiaTheme="minorHAnsi" w:hAnsiTheme="minorHAnsi" w:cstheme="minorBidi"/>
          <w:kern w:val="2"/>
          <w:sz w:val="20"/>
          <w:szCs w:val="20"/>
          <w14:ligatures w14:val="standardContextual"/>
        </w:rPr>
        <w:t>The Random Forest model exhibited the most robust performance, and feature selection was shown to improve model efficiency. These findings emphasize the critical role of physical activity and nutritional habits in addressing the growing obesity epidemic.</w:t>
      </w:r>
    </w:p>
    <w:p w14:paraId="5529A8D2" w14:textId="77777777" w:rsidR="0091113C" w:rsidRDefault="006513E2" w:rsidP="006513E2">
      <w:pPr>
        <w:pStyle w:val="Heading1"/>
        <w:rPr>
          <w:shd w:val="clear" w:color="auto" w:fill="FFFFFF"/>
        </w:rPr>
      </w:pPr>
      <w:r>
        <w:rPr>
          <w:shd w:val="clear" w:color="auto" w:fill="FFFFFF"/>
        </w:rPr>
        <w:t xml:space="preserve">Introduction </w:t>
      </w:r>
    </w:p>
    <w:p w14:paraId="3A3E601F" w14:textId="77777777" w:rsidR="0091113C" w:rsidRPr="00695B2C" w:rsidRDefault="006513E2" w:rsidP="0091113C">
      <w:pPr>
        <w:rPr>
          <w:sz w:val="20"/>
          <w:szCs w:val="20"/>
        </w:rPr>
      </w:pPr>
      <w:r w:rsidRPr="00695B2C">
        <w:rPr>
          <w:sz w:val="20"/>
          <w:szCs w:val="20"/>
        </w:rPr>
        <w:t>The rise in obesity has become a significant public health concern worldwide.</w:t>
      </w:r>
      <w:r w:rsidRPr="00695B2C">
        <w:rPr>
          <w:sz w:val="20"/>
          <w:szCs w:val="20"/>
        </w:rPr>
        <w:t xml:space="preserve"> </w:t>
      </w:r>
      <w:r w:rsidR="0091113C" w:rsidRPr="00695B2C">
        <w:rPr>
          <w:sz w:val="20"/>
          <w:szCs w:val="20"/>
        </w:rPr>
        <w:t xml:space="preserve">According to WHO, </w:t>
      </w:r>
      <w:r w:rsidRPr="00695B2C">
        <w:rPr>
          <w:sz w:val="20"/>
          <w:szCs w:val="20"/>
        </w:rPr>
        <w:t>o</w:t>
      </w:r>
      <w:r w:rsidRPr="00695B2C">
        <w:rPr>
          <w:sz w:val="20"/>
          <w:szCs w:val="20"/>
        </w:rPr>
        <w:t>ver the past few decades, obesity rates have steadily increased, driven by factors such as</w:t>
      </w:r>
      <w:r w:rsidRPr="00695B2C">
        <w:rPr>
          <w:sz w:val="20"/>
          <w:szCs w:val="20"/>
        </w:rPr>
        <w:t xml:space="preserve"> </w:t>
      </w:r>
      <w:r w:rsidR="0091113C" w:rsidRPr="00695B2C">
        <w:rPr>
          <w:sz w:val="20"/>
          <w:szCs w:val="20"/>
        </w:rPr>
        <w:t>genetics, environment, diet, physical activity levels, and behaviors [</w:t>
      </w:r>
      <w:commentRangeStart w:id="1"/>
      <w:r w:rsidR="0091113C" w:rsidRPr="00695B2C">
        <w:rPr>
          <w:sz w:val="20"/>
          <w:szCs w:val="20"/>
        </w:rPr>
        <w:t>ref</w:t>
      </w:r>
      <w:commentRangeEnd w:id="1"/>
      <w:r w:rsidR="0091113C" w:rsidRPr="00695B2C">
        <w:rPr>
          <w:sz w:val="20"/>
          <w:szCs w:val="20"/>
        </w:rPr>
        <w:commentReference w:id="1"/>
      </w:r>
      <w:r w:rsidR="0091113C" w:rsidRPr="00695B2C">
        <w:rPr>
          <w:sz w:val="20"/>
          <w:szCs w:val="20"/>
        </w:rPr>
        <w:t xml:space="preserve">]. Poor diet (high in calories), lack of physical activity, genetics, and certain medical conditions or medications can all contribute to obesity. </w:t>
      </w:r>
    </w:p>
    <w:p w14:paraId="05FA6B51" w14:textId="77777777" w:rsidR="0091113C" w:rsidRPr="00695B2C" w:rsidRDefault="006513E2" w:rsidP="0004094E">
      <w:pPr>
        <w:rPr>
          <w:sz w:val="20"/>
          <w:szCs w:val="20"/>
        </w:rPr>
      </w:pPr>
      <w:r w:rsidRPr="00695B2C">
        <w:rPr>
          <w:sz w:val="20"/>
          <w:szCs w:val="20"/>
        </w:rPr>
        <w:t>Addressing obesity is not only essential for individual well-being but also for reducing the overall burden on healthcare systems and improving societal health outcomes. Immediate and sustained efforts to prevent obesity are necessary to ensure healthier futures for individuals and communities around the world.</w:t>
      </w:r>
      <w:r w:rsidRPr="00695B2C">
        <w:rPr>
          <w:sz w:val="20"/>
          <w:szCs w:val="20"/>
        </w:rPr>
        <w:t xml:space="preserve"> </w:t>
      </w:r>
      <w:r w:rsidRPr="00695B2C">
        <w:rPr>
          <w:sz w:val="20"/>
          <w:szCs w:val="20"/>
        </w:rPr>
        <w:t>Preventing obesity is crucial to reversing these trends and improving public health. Prevention strategies should focus on promoting healthier eating habits, increasing physical activity, and fostering environments that support healthier choices.</w:t>
      </w:r>
    </w:p>
    <w:p w14:paraId="72F3C509" w14:textId="77777777" w:rsidR="006513E2" w:rsidRPr="006513E2" w:rsidRDefault="006513E2" w:rsidP="00651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3E2">
        <w:rPr>
          <w:sz w:val="20"/>
          <w:szCs w:val="20"/>
        </w:rPr>
        <w:t xml:space="preserve">Obesity levels are commonly calculated using </w:t>
      </w:r>
      <w:r w:rsidRPr="00695B2C">
        <w:rPr>
          <w:b/>
          <w:sz w:val="20"/>
          <w:szCs w:val="20"/>
        </w:rPr>
        <w:t>Body Mass Index (BMI)</w:t>
      </w:r>
      <w:r w:rsidRPr="006513E2">
        <w:rPr>
          <w:sz w:val="20"/>
          <w:szCs w:val="20"/>
        </w:rPr>
        <w:t>, a simple and widely used measure that helps categorize individuals based on their weight relative to their height. BMI is calculated using the following formula</w:t>
      </w:r>
      <w:r w:rsidRPr="00695B2C">
        <w:rPr>
          <w:sz w:val="20"/>
          <w:szCs w:val="20"/>
        </w:rPr>
        <w:t xml:space="preserve"> [</w:t>
      </w:r>
      <w:commentRangeStart w:id="2"/>
      <w:r w:rsidRPr="00695B2C">
        <w:rPr>
          <w:sz w:val="20"/>
          <w:szCs w:val="20"/>
        </w:rPr>
        <w:t>ref</w:t>
      </w:r>
      <w:commentRangeEnd w:id="2"/>
      <w:r w:rsidRPr="00695B2C">
        <w:rPr>
          <w:sz w:val="20"/>
          <w:szCs w:val="20"/>
        </w:rPr>
        <w:commentReference w:id="2"/>
      </w:r>
      <w:r w:rsidRPr="00695B2C">
        <w:rPr>
          <w:sz w:val="20"/>
          <w:szCs w:val="20"/>
        </w:rPr>
        <w:t>]</w:t>
      </w:r>
      <w:r w:rsidRPr="006513E2">
        <w:rPr>
          <w:sz w:val="20"/>
          <w:szCs w:val="20"/>
        </w:rPr>
        <w:t>:</w:t>
      </w:r>
    </w:p>
    <w:p w14:paraId="0CDAD678" w14:textId="77777777" w:rsidR="006513E2" w:rsidRDefault="00695B2C" w:rsidP="006513E2">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42627829" w14:textId="77777777" w:rsidR="00695B2C" w:rsidRPr="00695B2C" w:rsidRDefault="00695B2C" w:rsidP="00695B2C">
      <w:pPr>
        <w:spacing w:before="100" w:beforeAutospacing="1" w:after="100" w:afterAutospacing="1" w:line="240" w:lineRule="auto"/>
        <w:rPr>
          <w:sz w:val="20"/>
          <w:szCs w:val="20"/>
        </w:rPr>
      </w:pPr>
      <w:r w:rsidRPr="00695B2C">
        <w:rPr>
          <w:sz w:val="20"/>
          <w:szCs w:val="20"/>
        </w:rPr>
        <w:t>Where:</w:t>
      </w:r>
    </w:p>
    <w:p w14:paraId="56A88A12" w14:textId="77777777" w:rsidR="00695B2C" w:rsidRPr="00695B2C" w:rsidRDefault="00695B2C" w:rsidP="00695B2C">
      <w:pPr>
        <w:numPr>
          <w:ilvl w:val="0"/>
          <w:numId w:val="1"/>
        </w:numPr>
        <w:spacing w:before="100" w:beforeAutospacing="1" w:after="100" w:afterAutospacing="1" w:line="240" w:lineRule="auto"/>
        <w:rPr>
          <w:sz w:val="20"/>
          <w:szCs w:val="20"/>
        </w:rPr>
      </w:pPr>
      <w:r w:rsidRPr="00695B2C">
        <w:rPr>
          <w:sz w:val="20"/>
          <w:szCs w:val="20"/>
        </w:rPr>
        <w:t>Weight is in kilograms (kg)</w:t>
      </w:r>
    </w:p>
    <w:p w14:paraId="1AC5B1D4" w14:textId="77777777" w:rsidR="00695B2C" w:rsidRDefault="00695B2C" w:rsidP="00695B2C">
      <w:pPr>
        <w:numPr>
          <w:ilvl w:val="0"/>
          <w:numId w:val="1"/>
        </w:numPr>
        <w:spacing w:before="100" w:beforeAutospacing="1" w:after="100" w:afterAutospacing="1" w:line="240" w:lineRule="auto"/>
        <w:rPr>
          <w:sz w:val="20"/>
          <w:szCs w:val="20"/>
        </w:rPr>
      </w:pPr>
      <w:r w:rsidRPr="00695B2C">
        <w:rPr>
          <w:sz w:val="20"/>
          <w:szCs w:val="20"/>
        </w:rPr>
        <w:t>Height is in meters (m)</w:t>
      </w:r>
    </w:p>
    <w:p w14:paraId="2D43CAF6" w14:textId="77777777" w:rsidR="00695B2C" w:rsidRPr="00695B2C" w:rsidRDefault="00695B2C" w:rsidP="00695B2C">
      <w:pPr>
        <w:shd w:val="clear" w:color="auto" w:fill="FFFFFF"/>
        <w:spacing w:before="450" w:after="0" w:line="240" w:lineRule="auto"/>
        <w:rPr>
          <w:sz w:val="20"/>
          <w:szCs w:val="20"/>
        </w:rPr>
      </w:pPr>
      <w:r w:rsidRPr="00695B2C">
        <w:rPr>
          <w:sz w:val="20"/>
          <w:szCs w:val="20"/>
        </w:rPr>
        <w:t xml:space="preserve">After all calculation was made to obtain the mass body index for each individual, the results were </w:t>
      </w:r>
      <w:r>
        <w:rPr>
          <w:sz w:val="20"/>
          <w:szCs w:val="20"/>
        </w:rPr>
        <w:t>classified as [</w:t>
      </w:r>
      <w:commentRangeStart w:id="3"/>
      <w:r>
        <w:rPr>
          <w:sz w:val="20"/>
          <w:szCs w:val="20"/>
        </w:rPr>
        <w:t>ref</w:t>
      </w:r>
      <w:commentRangeEnd w:id="3"/>
      <w:r>
        <w:rPr>
          <w:rStyle w:val="CommentReference"/>
        </w:rPr>
        <w:commentReference w:id="3"/>
      </w:r>
      <w:r>
        <w:rPr>
          <w:sz w:val="20"/>
          <w:szCs w:val="20"/>
        </w:rPr>
        <w:t xml:space="preserve">]: </w:t>
      </w:r>
    </w:p>
    <w:p w14:paraId="1CCE1B02" w14:textId="77777777" w:rsidR="00695B2C" w:rsidRP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Underweight Less than 18.5</w:t>
      </w:r>
    </w:p>
    <w:p w14:paraId="29EED4D3" w14:textId="77777777" w:rsidR="00695B2C" w:rsidRP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Normal 18.5 to 24.9</w:t>
      </w:r>
    </w:p>
    <w:p w14:paraId="4A6765DD" w14:textId="77777777" w:rsidR="00695B2C" w:rsidRP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Overweight 25.0 to 29.9</w:t>
      </w:r>
    </w:p>
    <w:p w14:paraId="7BBBA680" w14:textId="77777777" w:rsidR="00695B2C" w:rsidRP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Obesity I 30.0 to 34.9</w:t>
      </w:r>
    </w:p>
    <w:p w14:paraId="68EF66D2" w14:textId="77777777" w:rsidR="00695B2C" w:rsidRP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Obesity II 35.0 to 39.9</w:t>
      </w:r>
    </w:p>
    <w:p w14:paraId="43487CE7" w14:textId="77777777" w:rsidR="00695B2C" w:rsidRDefault="00695B2C" w:rsidP="00695B2C">
      <w:pPr>
        <w:pStyle w:val="ListParagraph"/>
        <w:numPr>
          <w:ilvl w:val="0"/>
          <w:numId w:val="3"/>
        </w:numPr>
        <w:shd w:val="clear" w:color="auto" w:fill="FFFFFF"/>
        <w:spacing w:after="0" w:line="240" w:lineRule="auto"/>
        <w:rPr>
          <w:sz w:val="20"/>
          <w:szCs w:val="20"/>
        </w:rPr>
      </w:pPr>
      <w:r w:rsidRPr="00695B2C">
        <w:rPr>
          <w:sz w:val="20"/>
          <w:szCs w:val="20"/>
        </w:rPr>
        <w:t>Obesity III Higher than 40</w:t>
      </w:r>
    </w:p>
    <w:p w14:paraId="4EEC7200" w14:textId="77777777" w:rsidR="00695B2C" w:rsidRPr="00695B2C" w:rsidRDefault="00695B2C" w:rsidP="00695B2C">
      <w:pPr>
        <w:shd w:val="clear" w:color="auto" w:fill="FFFFFF"/>
        <w:spacing w:after="0" w:line="240" w:lineRule="auto"/>
        <w:rPr>
          <w:sz w:val="20"/>
          <w:szCs w:val="20"/>
        </w:rPr>
      </w:pPr>
      <w:r>
        <w:rPr>
          <w:sz w:val="20"/>
          <w:szCs w:val="20"/>
        </w:rPr>
        <w:lastRenderedPageBreak/>
        <w:t xml:space="preserve">This report will outline the efficiency of using Machine Learning methodologies in detecting and preventing obesity based variables such as </w:t>
      </w:r>
      <w:r w:rsidRPr="00695B2C">
        <w:rPr>
          <w:sz w:val="20"/>
          <w:szCs w:val="20"/>
        </w:rPr>
        <w:t>gender, age, height, weight, family history of obesity, dietary patterns, and physical activity frequency</w:t>
      </w:r>
      <w:r>
        <w:rPr>
          <w:sz w:val="20"/>
          <w:szCs w:val="20"/>
        </w:rPr>
        <w:t xml:space="preserve"> provided by UCI’s “</w:t>
      </w:r>
      <w:r w:rsidRPr="00695B2C">
        <w:rPr>
          <w:sz w:val="20"/>
          <w:szCs w:val="20"/>
        </w:rPr>
        <w:t>Estimation of Obesity Levels Based On Eating Habits and Physical Condition</w:t>
      </w:r>
      <w:r>
        <w:rPr>
          <w:sz w:val="20"/>
          <w:szCs w:val="20"/>
        </w:rPr>
        <w:t xml:space="preserve">” dataset </w:t>
      </w:r>
      <w:commentRangeStart w:id="4"/>
      <w:r>
        <w:rPr>
          <w:sz w:val="20"/>
          <w:szCs w:val="20"/>
        </w:rPr>
        <w:t>[ref]</w:t>
      </w:r>
      <w:commentRangeEnd w:id="4"/>
      <w:r>
        <w:rPr>
          <w:rStyle w:val="CommentReference"/>
        </w:rPr>
        <w:commentReference w:id="4"/>
      </w:r>
    </w:p>
    <w:p w14:paraId="5FDE39CC" w14:textId="77777777" w:rsidR="00695B2C" w:rsidRPr="00695B2C" w:rsidRDefault="00695B2C" w:rsidP="00695B2C">
      <w:pPr>
        <w:shd w:val="clear" w:color="auto" w:fill="FFFFFF"/>
        <w:spacing w:after="0" w:line="240" w:lineRule="auto"/>
        <w:rPr>
          <w:sz w:val="20"/>
          <w:szCs w:val="20"/>
        </w:rPr>
      </w:pPr>
    </w:p>
    <w:p w14:paraId="6B5C321B" w14:textId="77777777" w:rsidR="00695B2C" w:rsidRDefault="00695B2C" w:rsidP="009E5131">
      <w:pPr>
        <w:pStyle w:val="Heading1"/>
      </w:pPr>
      <w:r>
        <w:t>Methodology</w:t>
      </w:r>
    </w:p>
    <w:p w14:paraId="4AFB1E55" w14:textId="77777777" w:rsidR="009E5131" w:rsidRDefault="009E5131" w:rsidP="009E5131">
      <w:pPr>
        <w:pStyle w:val="Heading2"/>
      </w:pPr>
      <w:r>
        <w:t>Data Preparation and e</w:t>
      </w:r>
      <w:r w:rsidRPr="009E5131">
        <w:t>xploratory data analysis</w:t>
      </w:r>
      <w:r>
        <w:t xml:space="preserve"> (EDA)</w:t>
      </w:r>
    </w:p>
    <w:p w14:paraId="1EC78BB5" w14:textId="77777777" w:rsidR="009E5131" w:rsidRPr="009E5131" w:rsidRDefault="009E5131" w:rsidP="009E5131"/>
    <w:p w14:paraId="684756A6" w14:textId="77777777" w:rsidR="00695B2C" w:rsidRDefault="009E5131" w:rsidP="009E5131">
      <w:pPr>
        <w:pStyle w:val="Heading2"/>
      </w:pPr>
      <w:r>
        <w:t>Machine learning algorithms</w:t>
      </w:r>
    </w:p>
    <w:p w14:paraId="4D18406F" w14:textId="77777777" w:rsidR="00D97966" w:rsidRDefault="00D97966" w:rsidP="00D97966">
      <w:pPr>
        <w:rPr>
          <w:b/>
        </w:rPr>
      </w:pPr>
      <w:r w:rsidRPr="00280A39">
        <w:rPr>
          <w:b/>
        </w:rPr>
        <w:t>Classification</w:t>
      </w:r>
    </w:p>
    <w:p w14:paraId="30EF9C21" w14:textId="73455A14" w:rsidR="00D97966" w:rsidRDefault="00D97966" w:rsidP="00D97966">
      <w:pPr>
        <w:rPr>
          <w:sz w:val="20"/>
          <w:szCs w:val="20"/>
        </w:rPr>
      </w:pPr>
      <w:r w:rsidRPr="00280A39">
        <w:rPr>
          <w:sz w:val="20"/>
          <w:szCs w:val="20"/>
        </w:rPr>
        <w:t>Random Forest</w:t>
      </w:r>
    </w:p>
    <w:p w14:paraId="728CB21C" w14:textId="1A99DB2E" w:rsidR="00D97966" w:rsidRPr="00280A39" w:rsidRDefault="00D97966" w:rsidP="00D97966">
      <w:pPr>
        <w:rPr>
          <w:b/>
        </w:rPr>
      </w:pPr>
      <w:proofErr w:type="spellStart"/>
      <w:r w:rsidRPr="00280A39">
        <w:rPr>
          <w:sz w:val="20"/>
          <w:szCs w:val="20"/>
        </w:rPr>
        <w:t>XGBoost</w:t>
      </w:r>
      <w:proofErr w:type="spellEnd"/>
    </w:p>
    <w:p w14:paraId="075867F5" w14:textId="77777777" w:rsidR="00D97966" w:rsidRPr="00280A39" w:rsidRDefault="00D97966" w:rsidP="00D97966">
      <w:pPr>
        <w:rPr>
          <w:b/>
        </w:rPr>
      </w:pPr>
      <w:r>
        <w:rPr>
          <w:b/>
        </w:rPr>
        <w:t>Regression</w:t>
      </w:r>
    </w:p>
    <w:p w14:paraId="6BFAF01F" w14:textId="77777777" w:rsidR="00D97966" w:rsidRPr="00485CAE" w:rsidRDefault="00D97966" w:rsidP="00D97966">
      <w:pPr>
        <w:rPr>
          <w:sz w:val="20"/>
          <w:szCs w:val="20"/>
        </w:rPr>
      </w:pPr>
      <w:r w:rsidRPr="00485CAE">
        <w:rPr>
          <w:sz w:val="20"/>
          <w:szCs w:val="20"/>
        </w:rPr>
        <w:t>KNN</w:t>
      </w:r>
    </w:p>
    <w:p w14:paraId="0347A818" w14:textId="66B4F1ED" w:rsidR="00D97966" w:rsidRPr="00D97966" w:rsidRDefault="00D97966" w:rsidP="00D97966">
      <w:r w:rsidRPr="00485CAE">
        <w:rPr>
          <w:sz w:val="20"/>
          <w:szCs w:val="20"/>
        </w:rPr>
        <w:t>Random Forest</w:t>
      </w:r>
    </w:p>
    <w:p w14:paraId="13D40B7A" w14:textId="1059AF56" w:rsidR="009E5131" w:rsidRDefault="00280A39" w:rsidP="009E5131">
      <w:pPr>
        <w:pStyle w:val="Heading2"/>
      </w:pPr>
      <w:r>
        <w:t>Grid search o</w:t>
      </w:r>
      <w:r w:rsidR="009E5131">
        <w:t>ptimiz</w:t>
      </w:r>
      <w:r>
        <w:t>ation and hyper-parameter tuning</w:t>
      </w:r>
    </w:p>
    <w:p w14:paraId="3D41E33E" w14:textId="659BDA20" w:rsidR="00280A39" w:rsidRPr="00280A39" w:rsidRDefault="00280A39" w:rsidP="00280A39">
      <w:pPr>
        <w:rPr>
          <w:b/>
        </w:rPr>
      </w:pPr>
      <w:r w:rsidRPr="00280A39">
        <w:rPr>
          <w:b/>
        </w:rPr>
        <w:t>Classification</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w:t>
            </w:r>
            <w:proofErr w:type="spellStart"/>
            <w:r w:rsidRPr="00280A39">
              <w:rPr>
                <w:sz w:val="20"/>
                <w:szCs w:val="20"/>
              </w:rPr>
              <w:t>min_samples_split</w:t>
            </w:r>
            <w:proofErr w:type="spellEnd"/>
            <w:r w:rsidRPr="00280A39">
              <w:rPr>
                <w:sz w:val="20"/>
                <w:szCs w:val="20"/>
              </w:rPr>
              <w: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w:t>
            </w:r>
            <w:proofErr w:type="spellStart"/>
            <w:r w:rsidRPr="00280A39">
              <w:rPr>
                <w:sz w:val="20"/>
                <w:szCs w:val="20"/>
              </w:rPr>
              <w:t>min_samples_leaf</w:t>
            </w:r>
            <w:proofErr w:type="spellEnd"/>
            <w:r w:rsidRPr="00280A39">
              <w:rPr>
                <w:sz w:val="20"/>
                <w:szCs w:val="20"/>
              </w:rPr>
              <w:t>'</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w:t>
            </w:r>
            <w:proofErr w:type="spellStart"/>
            <w:r w:rsidRPr="00280A39">
              <w:rPr>
                <w:sz w:val="20"/>
                <w:szCs w:val="20"/>
              </w:rPr>
              <w:t>max_features</w:t>
            </w:r>
            <w:proofErr w:type="spellEnd"/>
            <w:r w:rsidRPr="00280A39">
              <w:rPr>
                <w:sz w:val="20"/>
                <w:szCs w:val="20"/>
              </w:rPr>
              <w:t>'</w:t>
            </w:r>
          </w:p>
        </w:tc>
        <w:tc>
          <w:tcPr>
            <w:tcW w:w="2621" w:type="dxa"/>
          </w:tcPr>
          <w:p w14:paraId="48FF4FC5" w14:textId="21C9416E" w:rsidR="00280A39" w:rsidRPr="00280A39" w:rsidRDefault="00280A39" w:rsidP="00280A39">
            <w:pPr>
              <w:rPr>
                <w:sz w:val="20"/>
                <w:szCs w:val="20"/>
              </w:rPr>
            </w:pPr>
            <w:r w:rsidRPr="00280A39">
              <w:rPr>
                <w:sz w:val="20"/>
                <w:szCs w:val="20"/>
              </w:rPr>
              <w:t>None, '</w:t>
            </w:r>
            <w:proofErr w:type="spellStart"/>
            <w:r w:rsidRPr="00280A39">
              <w:rPr>
                <w:sz w:val="20"/>
                <w:szCs w:val="20"/>
              </w:rPr>
              <w:t>sqrt</w:t>
            </w:r>
            <w:proofErr w:type="spellEnd"/>
            <w:r w:rsidRPr="00280A39">
              <w:rPr>
                <w:sz w:val="20"/>
                <w:szCs w:val="20"/>
              </w:rPr>
              <w:t>', 'log2'</w:t>
            </w:r>
          </w:p>
        </w:tc>
        <w:tc>
          <w:tcPr>
            <w:tcW w:w="2578" w:type="dxa"/>
          </w:tcPr>
          <w:p w14:paraId="7796990D" w14:textId="0FA301CD" w:rsidR="00280A39" w:rsidRPr="00280A39" w:rsidRDefault="00280A39" w:rsidP="00280A39">
            <w:pPr>
              <w:rPr>
                <w:sz w:val="20"/>
                <w:szCs w:val="20"/>
              </w:rPr>
            </w:pPr>
            <w:r w:rsidRPr="00280A39">
              <w:rPr>
                <w:sz w:val="20"/>
                <w:szCs w:val="20"/>
              </w:rPr>
              <w:t>'</w:t>
            </w:r>
            <w:proofErr w:type="spellStart"/>
            <w:r w:rsidRPr="00280A39">
              <w:rPr>
                <w:sz w:val="20"/>
                <w:szCs w:val="20"/>
              </w:rPr>
              <w:t>sqrt</w:t>
            </w:r>
            <w:proofErr w:type="spellEnd"/>
            <w:r w:rsidRPr="00280A39">
              <w:rPr>
                <w:sz w:val="20"/>
                <w:szCs w:val="20"/>
              </w:rPr>
              <w: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proofErr w:type="spellStart"/>
            <w:r w:rsidRPr="00280A39">
              <w:rPr>
                <w:sz w:val="20"/>
                <w:szCs w:val="20"/>
              </w:rPr>
              <w:t>XGBoost</w:t>
            </w:r>
            <w:proofErr w:type="spellEnd"/>
          </w:p>
        </w:tc>
        <w:tc>
          <w:tcPr>
            <w:tcW w:w="2497" w:type="dxa"/>
          </w:tcPr>
          <w:p w14:paraId="5D7E8B80" w14:textId="275E8AF1" w:rsidR="00280A39" w:rsidRPr="00280A39" w:rsidRDefault="00280A39" w:rsidP="00280A39">
            <w:pPr>
              <w:rPr>
                <w:sz w:val="20"/>
                <w:szCs w:val="20"/>
              </w:rPr>
            </w:pPr>
            <w:r w:rsidRPr="00280A39">
              <w:rPr>
                <w:sz w:val="20"/>
                <w:szCs w:val="20"/>
              </w:rPr>
              <w:t>'</w:t>
            </w:r>
            <w:proofErr w:type="spellStart"/>
            <w:r w:rsidRPr="00280A39">
              <w:rPr>
                <w:sz w:val="20"/>
                <w:szCs w:val="20"/>
              </w:rPr>
              <w:t>n_estimators</w:t>
            </w:r>
            <w:proofErr w:type="spellEnd"/>
            <w:r w:rsidRPr="00280A39">
              <w:rPr>
                <w:sz w:val="20"/>
                <w:szCs w:val="20"/>
              </w:rPr>
              <w:t>'</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w:t>
            </w:r>
            <w:proofErr w:type="spellStart"/>
            <w:r w:rsidRPr="00280A39">
              <w:rPr>
                <w:sz w:val="20"/>
                <w:szCs w:val="20"/>
              </w:rPr>
              <w:t>learning_rate</w:t>
            </w:r>
            <w:proofErr w:type="spellEnd"/>
            <w:r w:rsidRPr="00280A39">
              <w:rPr>
                <w:sz w:val="20"/>
                <w:szCs w:val="20"/>
              </w:rPr>
              <w:t>'</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03E51B41" w14:textId="3D7ACC89" w:rsidR="00280A39" w:rsidRPr="00280A39" w:rsidRDefault="00280A39" w:rsidP="00280A39">
      <w:pPr>
        <w:rPr>
          <w:b/>
        </w:rPr>
      </w:pPr>
      <w:r>
        <w:rPr>
          <w:b/>
        </w:rPr>
        <w:t>Regression</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n_neighbors</w:t>
            </w:r>
            <w:proofErr w:type="spellEnd"/>
            <w:r w:rsidRPr="00485CAE">
              <w:rPr>
                <w:rStyle w:val="s1"/>
                <w:color w:val="212121"/>
                <w:sz w:val="20"/>
                <w:szCs w:val="20"/>
              </w:rPr>
              <w:t>'</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euclidean</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manhattan</w:t>
            </w:r>
            <w:proofErr w:type="spellEnd"/>
            <w:r w:rsidRPr="00485CAE">
              <w:rPr>
                <w:rStyle w:val="s1"/>
                <w:color w:val="212121"/>
                <w:sz w:val="20"/>
                <w:szCs w:val="20"/>
              </w:rPr>
              <w:t>'</w:t>
            </w:r>
          </w:p>
        </w:tc>
        <w:tc>
          <w:tcPr>
            <w:tcW w:w="2578" w:type="dxa"/>
          </w:tcPr>
          <w:p w14:paraId="59C4F0C9" w14:textId="2581EA4C" w:rsidR="00485CAE" w:rsidRPr="00485CAE" w:rsidRDefault="00485CAE" w:rsidP="0055456F">
            <w:pPr>
              <w:rPr>
                <w:sz w:val="20"/>
                <w:szCs w:val="20"/>
              </w:rPr>
            </w:pPr>
            <w:r w:rsidRPr="00485CAE">
              <w:rPr>
                <w:sz w:val="20"/>
                <w:szCs w:val="20"/>
              </w:rPr>
              <w:t>'</w:t>
            </w:r>
            <w:proofErr w:type="spellStart"/>
            <w:r w:rsidRPr="00485CAE">
              <w:rPr>
                <w:sz w:val="20"/>
                <w:szCs w:val="20"/>
              </w:rPr>
              <w:t>manhattan</w:t>
            </w:r>
            <w:proofErr w:type="spellEnd"/>
            <w:r w:rsidRPr="00485CAE">
              <w:rPr>
                <w:sz w:val="20"/>
                <w:szCs w:val="20"/>
              </w:rPr>
              <w:t>'</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n_estimators</w:t>
            </w:r>
            <w:proofErr w:type="spellEnd"/>
            <w:r w:rsidRPr="00485CAE">
              <w:rPr>
                <w:rStyle w:val="s1"/>
                <w:color w:val="212121"/>
                <w:sz w:val="20"/>
                <w:szCs w:val="20"/>
              </w:rPr>
              <w:t>'</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max_depth</w:t>
            </w:r>
            <w:proofErr w:type="spellEnd"/>
            <w:r w:rsidRPr="00485CAE">
              <w:rPr>
                <w:rStyle w:val="s1"/>
                <w:color w:val="212121"/>
                <w:sz w:val="20"/>
                <w:szCs w:val="20"/>
              </w:rPr>
              <w:t>'</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min_samples_split</w:t>
            </w:r>
            <w:proofErr w:type="spellEnd"/>
            <w:r w:rsidRPr="00485CAE">
              <w:rPr>
                <w:rStyle w:val="s1"/>
                <w:color w:val="212121"/>
                <w:sz w:val="20"/>
                <w:szCs w:val="20"/>
              </w:rPr>
              <w: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min_samples_leaf</w:t>
            </w:r>
            <w:proofErr w:type="spellEnd"/>
            <w:r w:rsidRPr="00485CAE">
              <w:rPr>
                <w:rStyle w:val="s1"/>
                <w:color w:val="212121"/>
                <w:sz w:val="20"/>
                <w:szCs w:val="20"/>
              </w:rPr>
              <w:t>'</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max_features</w:t>
            </w:r>
            <w:proofErr w:type="spellEnd"/>
            <w:r w:rsidRPr="00485CAE">
              <w:rPr>
                <w:rStyle w:val="s1"/>
                <w:color w:val="212121"/>
                <w:sz w:val="20"/>
                <w:szCs w:val="20"/>
              </w:rPr>
              <w:t>'</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sqrt</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w:t>
            </w:r>
            <w:proofErr w:type="spellStart"/>
            <w:r w:rsidRPr="00485CAE">
              <w:rPr>
                <w:sz w:val="20"/>
                <w:szCs w:val="20"/>
              </w:rPr>
              <w:t>sqrt</w:t>
            </w:r>
            <w:proofErr w:type="spellEnd"/>
            <w:r w:rsidRPr="00485CAE">
              <w:rPr>
                <w:sz w:val="20"/>
                <w:szCs w:val="20"/>
              </w:rPr>
              <w:t>'</w:t>
            </w:r>
          </w:p>
        </w:tc>
      </w:tr>
    </w:tbl>
    <w:p w14:paraId="410A1FAB" w14:textId="77777777" w:rsidR="00280A39" w:rsidRDefault="00280A39" w:rsidP="00280A39"/>
    <w:p w14:paraId="0DE10397" w14:textId="10BC9B90" w:rsidR="007F299F" w:rsidRDefault="007F299F" w:rsidP="007F299F">
      <w:pPr>
        <w:pStyle w:val="Heading1"/>
      </w:pPr>
      <w:r>
        <w:t>Results</w:t>
      </w:r>
    </w:p>
    <w:p w14:paraId="7855C7DB" w14:textId="77777777" w:rsidR="007F299F" w:rsidRPr="00280A39" w:rsidRDefault="007F299F" w:rsidP="00280A39">
      <w:bookmarkStart w:id="5" w:name="_GoBack"/>
      <w:bookmarkEnd w:id="5"/>
    </w:p>
    <w:sectPr w:rsidR="007F299F" w:rsidRPr="00280A39" w:rsidSect="0004094E">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4-12-19T00:06:00Z" w:initials="A">
    <w:p w14:paraId="3FD5268A" w14:textId="77777777" w:rsidR="006513E2" w:rsidRDefault="006513E2">
      <w:pPr>
        <w:pStyle w:val="CommentText"/>
      </w:pPr>
      <w:r>
        <w:rPr>
          <w:rStyle w:val="CommentReference"/>
        </w:rPr>
        <w:annotationRef/>
      </w:r>
      <w:r w:rsidRPr="004B398F">
        <w:t>https://archive.ics.uci.edu/dataset/544/estimation+of+obesity+levels+based+on+eating+habits+and+physical+condition</w:t>
      </w:r>
    </w:p>
  </w:comment>
  <w:comment w:id="1" w:author="Admin" w:date="2024-12-18T23:47:00Z" w:initials="A">
    <w:p w14:paraId="6F344051" w14:textId="77777777" w:rsidR="0091113C" w:rsidRDefault="0091113C" w:rsidP="0091113C">
      <w:pPr>
        <w:pStyle w:val="CommentText"/>
      </w:pPr>
      <w:r>
        <w:rPr>
          <w:rStyle w:val="CommentReference"/>
        </w:rPr>
        <w:annotationRef/>
      </w:r>
      <w:r w:rsidRPr="0091113C">
        <w:t>https://www.who.int/news-room/fact-sheets/detail/obesity-and-overweight</w:t>
      </w:r>
    </w:p>
  </w:comment>
  <w:comment w:id="2" w:author="Admin" w:date="2024-12-19T00:13:00Z" w:initials="A">
    <w:p w14:paraId="42944881" w14:textId="77777777" w:rsidR="006513E2" w:rsidRDefault="006513E2">
      <w:pPr>
        <w:pStyle w:val="CommentText"/>
      </w:pPr>
      <w:r>
        <w:rPr>
          <w:rStyle w:val="CommentReference"/>
        </w:rPr>
        <w:annotationRef/>
      </w:r>
      <w:r w:rsidRPr="006513E2">
        <w:t>https://pubmed.ncbi.nlm.nih.gov/31467953/</w:t>
      </w:r>
    </w:p>
  </w:comment>
  <w:comment w:id="3" w:author="Admin" w:date="2024-12-19T00:21:00Z" w:initials="A">
    <w:p w14:paraId="4DAE580D" w14:textId="77777777" w:rsidR="00695B2C" w:rsidRDefault="00695B2C">
      <w:pPr>
        <w:pStyle w:val="CommentText"/>
      </w:pPr>
      <w:r>
        <w:rPr>
          <w:rStyle w:val="CommentReference"/>
        </w:rPr>
        <w:annotationRef/>
      </w:r>
      <w:r w:rsidRPr="006513E2">
        <w:t>https://pubmed.ncbi.nlm.nih.gov/31467953/</w:t>
      </w:r>
    </w:p>
  </w:comment>
  <w:comment w:id="4" w:author="Admin" w:date="2024-12-19T00:24:00Z" w:initials="A">
    <w:p w14:paraId="3474C6BC" w14:textId="77777777" w:rsidR="00695B2C" w:rsidRDefault="00695B2C">
      <w:pPr>
        <w:pStyle w:val="CommentText"/>
      </w:pPr>
      <w:r>
        <w:rPr>
          <w:rStyle w:val="CommentReference"/>
        </w:rPr>
        <w:annotationRef/>
      </w:r>
      <w:r w:rsidRPr="004B398F">
        <w:t>https://archive.ics.uci.edu/dataset/544/estimation+of+obesity+levels+based+on+eating+habits+and+physical+condition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D5268A" w15:done="0"/>
  <w15:commentEx w15:paraId="6F344051" w15:done="0"/>
  <w15:commentEx w15:paraId="42944881" w15:done="0"/>
  <w15:commentEx w15:paraId="4DAE580D" w15:done="0"/>
  <w15:commentEx w15:paraId="3474C6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66B0E" w14:textId="77777777" w:rsidR="00A54224" w:rsidRDefault="00A54224" w:rsidP="006C13B0">
      <w:pPr>
        <w:spacing w:after="0" w:line="240" w:lineRule="auto"/>
      </w:pPr>
      <w:r>
        <w:separator/>
      </w:r>
    </w:p>
  </w:endnote>
  <w:endnote w:type="continuationSeparator" w:id="0">
    <w:p w14:paraId="02A4A15B" w14:textId="77777777" w:rsidR="00A54224" w:rsidRDefault="00A54224"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E05CF" w14:textId="77777777" w:rsidR="00A54224" w:rsidRDefault="00A54224" w:rsidP="006C13B0">
      <w:pPr>
        <w:spacing w:after="0" w:line="240" w:lineRule="auto"/>
      </w:pPr>
      <w:r>
        <w:separator/>
      </w:r>
    </w:p>
  </w:footnote>
  <w:footnote w:type="continuationSeparator" w:id="0">
    <w:p w14:paraId="7BB64A8E" w14:textId="77777777" w:rsidR="00A54224" w:rsidRDefault="00A54224" w:rsidP="006C1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78FA7" w14:textId="77777777" w:rsidR="0004094E" w:rsidRDefault="0004094E">
    <w:pPr>
      <w:pStyle w:val="Header"/>
    </w:pPr>
    <w:r>
      <w:rPr>
        <w:noProof/>
      </w:rPr>
      <w:drawing>
        <wp:inline distT="0" distB="0" distL="0" distR="0" wp14:anchorId="55CA01BA" wp14:editId="41B1168F">
          <wp:extent cx="1191971" cy="419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1216543" cy="42773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50F24"/>
    <w:multiLevelType w:val="multilevel"/>
    <w:tmpl w:val="FE7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Windows Live" w15:userId="2ec013e6d6a11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1C"/>
    <w:rsid w:val="0004094E"/>
    <w:rsid w:val="001B3444"/>
    <w:rsid w:val="001B457E"/>
    <w:rsid w:val="00280A39"/>
    <w:rsid w:val="00485CAE"/>
    <w:rsid w:val="004A5C1C"/>
    <w:rsid w:val="004B398F"/>
    <w:rsid w:val="006513E2"/>
    <w:rsid w:val="00695B2C"/>
    <w:rsid w:val="006C13B0"/>
    <w:rsid w:val="007F299F"/>
    <w:rsid w:val="0091113C"/>
    <w:rsid w:val="009E5131"/>
    <w:rsid w:val="00A54224"/>
    <w:rsid w:val="00D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966"/>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semiHidden/>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semiHidden/>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semiHidden/>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semiHidden/>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2024-12-18T16:22:00Z</dcterms:created>
  <dcterms:modified xsi:type="dcterms:W3CDTF">2024-12-18T18:01:00Z</dcterms:modified>
</cp:coreProperties>
</file>