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Microsoft YaHei"/>
          <w:b/>
          <w:color w:val="111111"/>
          <w:sz w:val="44"/>
        </w:rPr>
        <w:t>A 股中低频量化交易辅助平台项目排期表</w:t>
      </w:r>
    </w:p>
    <w:p>
      <w:pPr>
        <w:spacing w:after="280"/>
        <w:jc w:val="center"/>
      </w:pPr>
      <w:r>
        <w:rPr>
          <w:rFonts w:ascii="Arial" w:hAnsi="Arial" w:eastAsia="Microsoft YaHei"/>
          <w:color w:val="646464"/>
          <w:sz w:val="22"/>
        </w:rPr>
        <w:t>2026-06-17 至 2026-06-27 | 作业交付版 Milestone 与时间线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85"/>
        <w:gridCol w:w="5185"/>
      </w:tblGrid>
      <w:tr>
        <w:tc>
          <w:tcPr>
            <w:tcW w:type="dxa" w:w="1757"/>
            <w:shd w:fill="1111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767"/>
            <w:shd w:fill="1111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757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项目定位</w:t>
            </w:r>
          </w:p>
        </w:tc>
        <w:tc>
          <w:tcPr>
            <w:tcW w:type="dxa" w:w="7767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 股市场中低频量化交易辅助平台，聚焦方案设计与 POC 演示。</w:t>
            </w:r>
          </w:p>
        </w:tc>
      </w:tr>
      <w:tr>
        <w:tc>
          <w:tcPr>
            <w:tcW w:type="dxa" w:w="1757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交付目标</w:t>
            </w:r>
          </w:p>
        </w:tc>
        <w:tc>
          <w:tcPr>
            <w:tcW w:type="dxa" w:w="7767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完整 PRD、系统架构、UML / 流程图、前端 POC、项目计划书与答辩材料。</w:t>
            </w:r>
          </w:p>
        </w:tc>
      </w:tr>
      <w:tr>
        <w:tc>
          <w:tcPr>
            <w:tcW w:type="dxa" w:w="1757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范围边界</w:t>
            </w:r>
          </w:p>
        </w:tc>
        <w:tc>
          <w:tcPr>
            <w:tcW w:type="dxa" w:w="7767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不做自动实盘下单，不承诺生产级交易系统，不公开策略核心细节。</w:t>
            </w:r>
          </w:p>
        </w:tc>
      </w:tr>
      <w:tr>
        <w:tc>
          <w:tcPr>
            <w:tcW w:type="dxa" w:w="1757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交付日期</w:t>
            </w:r>
          </w:p>
        </w:tc>
        <w:tc>
          <w:tcPr>
            <w:tcW w:type="dxa" w:w="7767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2026-06-27</w:t>
            </w:r>
          </w:p>
        </w:tc>
      </w:tr>
    </w:tbl>
    <w:p/>
    <w:p>
      <w:pPr>
        <w:spacing w:before="320" w:after="160"/>
      </w:pPr>
      <w:r>
        <w:rPr>
          <w:rFonts w:ascii="Arial" w:hAnsi="Arial" w:eastAsia="Microsoft YaHei"/>
          <w:b/>
          <w:color w:val="111111"/>
          <w:sz w:val="32"/>
        </w:rPr>
        <w:t>1. 排期原则</w:t>
      </w:r>
    </w:p>
    <w:p>
      <w:pPr>
        <w:spacing w:after="100" w:line="276" w:lineRule="auto"/>
      </w:pPr>
      <w:r>
        <w:rPr>
          <w:rFonts w:ascii="Arial" w:hAnsi="Arial" w:eastAsia="Microsoft YaHei"/>
          <w:color w:val="232323"/>
          <w:sz w:val="21"/>
        </w:rPr>
        <w:t>本项目从 2026-06-17 启动，到 2026-06-27 提交，整体周期为 10 天。由于周期较短，建议将目标控制为“完整方案 + 静态或半静态演示”，而不是完整可上线交易系统。</w:t>
      </w:r>
    </w:p>
    <w:p>
      <w:pPr>
        <w:spacing w:after="60"/>
        <w:ind w:left="312" w:hanging="142"/>
      </w:pPr>
      <w:r>
        <w:rPr>
          <w:rFonts w:ascii="Arial" w:hAnsi="Arial" w:eastAsia="Microsoft YaHei"/>
          <w:color w:val="FF8A00"/>
          <w:sz w:val="20"/>
        </w:rPr>
        <w:t xml:space="preserve">• </w:t>
      </w:r>
      <w:r>
        <w:rPr>
          <w:rFonts w:ascii="Arial" w:hAnsi="Arial" w:eastAsia="Microsoft YaHei"/>
          <w:sz w:val="20"/>
        </w:rPr>
        <w:t>优先保证产品范围、三大模块和交付物清晰。</w:t>
      </w:r>
    </w:p>
    <w:p>
      <w:pPr>
        <w:spacing w:after="60"/>
        <w:ind w:left="312" w:hanging="142"/>
      </w:pPr>
      <w:r>
        <w:rPr>
          <w:rFonts w:ascii="Arial" w:hAnsi="Arial" w:eastAsia="Microsoft YaHei"/>
          <w:color w:val="FF8A00"/>
          <w:sz w:val="20"/>
        </w:rPr>
        <w:t xml:space="preserve">• </w:t>
      </w:r>
      <w:r>
        <w:rPr>
          <w:rFonts w:ascii="Arial" w:hAnsi="Arial" w:eastAsia="Microsoft YaHei"/>
          <w:sz w:val="20"/>
        </w:rPr>
        <w:t>优先交付可展示的 POC 页面和清晰的架构图。</w:t>
      </w:r>
    </w:p>
    <w:p>
      <w:pPr>
        <w:spacing w:after="60"/>
        <w:ind w:left="312" w:hanging="142"/>
      </w:pPr>
      <w:r>
        <w:rPr>
          <w:rFonts w:ascii="Arial" w:hAnsi="Arial" w:eastAsia="Microsoft YaHei"/>
          <w:color w:val="FF8A00"/>
          <w:sz w:val="20"/>
        </w:rPr>
        <w:t xml:space="preserve">• </w:t>
      </w:r>
      <w:r>
        <w:rPr>
          <w:rFonts w:ascii="Arial" w:hAnsi="Arial" w:eastAsia="Microsoft YaHei"/>
          <w:sz w:val="20"/>
        </w:rPr>
        <w:t>策略部分以可配置接口和脱敏解释为主，不展开完整策略细节。</w:t>
      </w:r>
    </w:p>
    <w:p>
      <w:pPr>
        <w:spacing w:after="60"/>
        <w:ind w:left="312" w:hanging="142"/>
      </w:pPr>
      <w:r>
        <w:rPr>
          <w:rFonts w:ascii="Arial" w:hAnsi="Arial" w:eastAsia="Microsoft YaHei"/>
          <w:color w:val="FF8A00"/>
          <w:sz w:val="20"/>
        </w:rPr>
        <w:t xml:space="preserve">• </w:t>
      </w:r>
      <w:r>
        <w:rPr>
          <w:rFonts w:ascii="Arial" w:hAnsi="Arial" w:eastAsia="Microsoft YaHei"/>
          <w:sz w:val="20"/>
        </w:rPr>
        <w:t>6.26 后原则上停止新增大功能，只做校对、整理和包装。</w:t>
      </w:r>
    </w:p>
    <w:p>
      <w:pPr>
        <w:spacing w:before="320" w:after="160"/>
      </w:pPr>
      <w:r>
        <w:rPr>
          <w:rFonts w:ascii="Arial" w:hAnsi="Arial" w:eastAsia="Microsoft YaHei"/>
          <w:b/>
          <w:color w:val="111111"/>
          <w:sz w:val="32"/>
        </w:rPr>
        <w:t>2. 总体时间线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3"/>
            <w:shd w:fill="1111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417"/>
            <w:shd w:fill="1111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1757"/>
            <w:shd w:fill="1111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阶段目标</w:t>
            </w:r>
          </w:p>
        </w:tc>
        <w:tc>
          <w:tcPr>
            <w:tcW w:type="dxa" w:w="2948"/>
            <w:shd w:fill="1111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主要任务</w:t>
            </w:r>
          </w:p>
        </w:tc>
        <w:tc>
          <w:tcPr>
            <w:tcW w:type="dxa" w:w="2608"/>
            <w:shd w:fill="1111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793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6.17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M0 需求冻结</w:t>
            </w:r>
          </w:p>
        </w:tc>
        <w:tc>
          <w:tcPr>
            <w:tcW w:type="dxa" w:w="175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明确产品范围和交付边界</w:t>
            </w:r>
          </w:p>
        </w:tc>
        <w:tc>
          <w:tcPr>
            <w:tcW w:type="dxa" w:w="294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确认三大模块、非目标、交付标准</w:t>
            </w:r>
          </w:p>
        </w:tc>
        <w:tc>
          <w:tcPr>
            <w:tcW w:type="dxa" w:w="260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PRD v1.0、范围说明</w:t>
            </w:r>
          </w:p>
        </w:tc>
      </w:tr>
      <w:tr>
        <w:tc>
          <w:tcPr>
            <w:tcW w:type="dxa" w:w="793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6.18</w:t>
            </w:r>
          </w:p>
        </w:tc>
        <w:tc>
          <w:tcPr>
            <w:tcW w:type="dxa" w:w="1417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M1 信息架构</w:t>
            </w:r>
          </w:p>
        </w:tc>
        <w:tc>
          <w:tcPr>
            <w:tcW w:type="dxa" w:w="1757"/>
            <w:shd w:fill="F7F7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拆清产品结构和用户流程</w:t>
            </w:r>
          </w:p>
        </w:tc>
        <w:tc>
          <w:tcPr>
            <w:tcW w:type="dxa" w:w="2948"/>
            <w:shd w:fill="F7F7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梳理角色、页面、业务主流程</w:t>
            </w:r>
          </w:p>
        </w:tc>
        <w:tc>
          <w:tcPr>
            <w:tcW w:type="dxa" w:w="2608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产品结构图、页面清单、用户流程</w:t>
            </w:r>
          </w:p>
        </w:tc>
      </w:tr>
      <w:tr>
        <w:tc>
          <w:tcPr>
            <w:tcW w:type="dxa" w:w="793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6.19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M2 系统架构</w:t>
            </w:r>
          </w:p>
        </w:tc>
        <w:tc>
          <w:tcPr>
            <w:tcW w:type="dxa" w:w="175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证明方案技术上可落地</w:t>
            </w:r>
          </w:p>
        </w:tc>
        <w:tc>
          <w:tcPr>
            <w:tcW w:type="dxa" w:w="294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设计前后端、数据、AI、策略、推送链路</w:t>
            </w:r>
          </w:p>
        </w:tc>
        <w:tc>
          <w:tcPr>
            <w:tcW w:type="dxa" w:w="260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系统架构图、数据流图、技术选型</w:t>
            </w:r>
          </w:p>
        </w:tc>
      </w:tr>
      <w:tr>
        <w:tc>
          <w:tcPr>
            <w:tcW w:type="dxa" w:w="793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6.20</w:t>
            </w:r>
          </w:p>
        </w:tc>
        <w:tc>
          <w:tcPr>
            <w:tcW w:type="dxa" w:w="1417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M3 新闻模块设计</w:t>
            </w:r>
          </w:p>
        </w:tc>
        <w:tc>
          <w:tcPr>
            <w:tcW w:type="dxa" w:w="1757"/>
            <w:shd w:fill="F7F7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完成新闻采集、分析、告警方案</w:t>
            </w:r>
          </w:p>
        </w:tc>
        <w:tc>
          <w:tcPr>
            <w:tcW w:type="dxa" w:w="2948"/>
            <w:shd w:fill="F7F7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设计三次定时分析、突发事件告警、AI 输出字段</w:t>
            </w:r>
          </w:p>
        </w:tc>
        <w:tc>
          <w:tcPr>
            <w:tcW w:type="dxa" w:w="2608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新闻模块设计、告警规则</w:t>
            </w:r>
          </w:p>
        </w:tc>
      </w:tr>
      <w:tr>
        <w:tc>
          <w:tcPr>
            <w:tcW w:type="dxa" w:w="793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6.21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M4 交易看板设计</w:t>
            </w:r>
          </w:p>
        </w:tc>
        <w:tc>
          <w:tcPr>
            <w:tcW w:type="dxa" w:w="175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完成标的展示和建议框架</w:t>
            </w:r>
          </w:p>
        </w:tc>
        <w:tc>
          <w:tcPr>
            <w:tcW w:type="dxa" w:w="294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设计板块分类、买卖建议、信号解释、风险字段</w:t>
            </w:r>
          </w:p>
        </w:tc>
        <w:tc>
          <w:tcPr>
            <w:tcW w:type="dxa" w:w="260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交易看板需求、标的详情结构</w:t>
            </w:r>
          </w:p>
        </w:tc>
      </w:tr>
      <w:tr>
        <w:tc>
          <w:tcPr>
            <w:tcW w:type="dxa" w:w="793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6.22</w:t>
            </w:r>
          </w:p>
        </w:tc>
        <w:tc>
          <w:tcPr>
            <w:tcW w:type="dxa" w:w="1417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M5 参数配置设计</w:t>
            </w:r>
          </w:p>
        </w:tc>
        <w:tc>
          <w:tcPr>
            <w:tcW w:type="dxa" w:w="1757"/>
            <w:shd w:fill="F7F7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完成交易员参数配置和权限设计</w:t>
            </w:r>
          </w:p>
        </w:tc>
        <w:tc>
          <w:tcPr>
            <w:tcW w:type="dxa" w:w="2948"/>
            <w:shd w:fill="F7F7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设计参数类型、权限矩阵、版本、审计、脱敏展示</w:t>
            </w:r>
          </w:p>
        </w:tc>
        <w:tc>
          <w:tcPr>
            <w:tcW w:type="dxa" w:w="2608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参数配置需求、权限矩阵</w:t>
            </w:r>
          </w:p>
        </w:tc>
      </w:tr>
      <w:tr>
        <w:tc>
          <w:tcPr>
            <w:tcW w:type="dxa" w:w="793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6.23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M6 前端 POC</w:t>
            </w:r>
          </w:p>
        </w:tc>
        <w:tc>
          <w:tcPr>
            <w:tcW w:type="dxa" w:w="175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做出可展示的静态产品页面</w:t>
            </w:r>
          </w:p>
        </w:tc>
        <w:tc>
          <w:tcPr>
            <w:tcW w:type="dxa" w:w="294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搭建 HTML 页面，展示三大模块和核心数据关系</w:t>
            </w:r>
          </w:p>
        </w:tc>
        <w:tc>
          <w:tcPr>
            <w:tcW w:type="dxa" w:w="260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POC 页面</w:t>
            </w:r>
          </w:p>
        </w:tc>
      </w:tr>
      <w:tr>
        <w:tc>
          <w:tcPr>
            <w:tcW w:type="dxa" w:w="793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6.24</w:t>
            </w:r>
          </w:p>
        </w:tc>
        <w:tc>
          <w:tcPr>
            <w:tcW w:type="dxa" w:w="1417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M7 UML 与流程图</w:t>
            </w:r>
          </w:p>
        </w:tc>
        <w:tc>
          <w:tcPr>
            <w:tcW w:type="dxa" w:w="1757"/>
            <w:shd w:fill="F7F7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补齐系统表达材料</w:t>
            </w:r>
          </w:p>
        </w:tc>
        <w:tc>
          <w:tcPr>
            <w:tcW w:type="dxa" w:w="2948"/>
            <w:shd w:fill="F7F7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绘制业务流程图、时序图、参数配置流程图</w:t>
            </w:r>
          </w:p>
        </w:tc>
        <w:tc>
          <w:tcPr>
            <w:tcW w:type="dxa" w:w="2608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UML 文件、渲染图</w:t>
            </w:r>
          </w:p>
        </w:tc>
      </w:tr>
      <w:tr>
        <w:tc>
          <w:tcPr>
            <w:tcW w:type="dxa" w:w="793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6.25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M8 项目计划书</w:t>
            </w:r>
          </w:p>
        </w:tc>
        <w:tc>
          <w:tcPr>
            <w:tcW w:type="dxa" w:w="175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整理为正式项目方案</w:t>
            </w:r>
          </w:p>
        </w:tc>
        <w:tc>
          <w:tcPr>
            <w:tcW w:type="dxa" w:w="294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合并 PRD、架构、风险、里程碑和后续路线</w:t>
            </w:r>
          </w:p>
        </w:tc>
        <w:tc>
          <w:tcPr>
            <w:tcW w:type="dxa" w:w="260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项目计划书</w:t>
            </w:r>
          </w:p>
        </w:tc>
      </w:tr>
      <w:tr>
        <w:tc>
          <w:tcPr>
            <w:tcW w:type="dxa" w:w="793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6.26</w:t>
            </w:r>
          </w:p>
        </w:tc>
        <w:tc>
          <w:tcPr>
            <w:tcW w:type="dxa" w:w="1417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M9 最终包装</w:t>
            </w:r>
          </w:p>
        </w:tc>
        <w:tc>
          <w:tcPr>
            <w:tcW w:type="dxa" w:w="1757"/>
            <w:shd w:fill="F7F7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统一文档与演示材料</w:t>
            </w:r>
          </w:p>
        </w:tc>
        <w:tc>
          <w:tcPr>
            <w:tcW w:type="dxa" w:w="2948"/>
            <w:shd w:fill="F7F7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校对文档、检查页面、准备答辩稿</w:t>
            </w:r>
          </w:p>
        </w:tc>
        <w:tc>
          <w:tcPr>
            <w:tcW w:type="dxa" w:w="2608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最终文档包、演示脚本</w:t>
            </w:r>
          </w:p>
        </w:tc>
      </w:tr>
      <w:tr>
        <w:tc>
          <w:tcPr>
            <w:tcW w:type="dxa" w:w="793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6.27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M10 提交</w:t>
            </w:r>
          </w:p>
        </w:tc>
        <w:tc>
          <w:tcPr>
            <w:tcW w:type="dxa" w:w="175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提交作业</w:t>
            </w:r>
          </w:p>
        </w:tc>
        <w:tc>
          <w:tcPr>
            <w:tcW w:type="dxa" w:w="294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整理文件、压缩或上传、最终检查</w:t>
            </w:r>
          </w:p>
        </w:tc>
        <w:tc>
          <w:tcPr>
            <w:tcW w:type="dxa" w:w="260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最终交付包</w:t>
            </w:r>
          </w:p>
        </w:tc>
      </w:tr>
    </w:tbl>
    <w:p/>
    <w:p>
      <w:pPr>
        <w:spacing w:before="320" w:after="160"/>
      </w:pPr>
      <w:r>
        <w:rPr>
          <w:rFonts w:ascii="Arial" w:hAnsi="Arial" w:eastAsia="Microsoft YaHei"/>
          <w:b/>
          <w:color w:val="111111"/>
          <w:sz w:val="32"/>
        </w:rPr>
        <w:t>3. Milestone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85"/>
        <w:gridCol w:w="5185"/>
      </w:tblGrid>
      <w:tr>
        <w:tc>
          <w:tcPr>
            <w:tcW w:type="dxa" w:w="1701"/>
            <w:shd w:fill="1111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7824"/>
            <w:shd w:fill="1111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M0</w:t>
            </w:r>
          </w:p>
        </w:tc>
        <w:tc>
          <w:tcPr>
            <w:tcW w:type="dxa" w:w="782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PRD 形成 v1.0；产品范围和非目标写清楚；团队对交付边界达成一致。</w:t>
            </w:r>
          </w:p>
        </w:tc>
      </w:tr>
      <w:tr>
        <w:tc>
          <w:tcPr>
            <w:tcW w:type="dxa" w:w="1701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M1</w:t>
            </w:r>
          </w:p>
        </w:tc>
        <w:tc>
          <w:tcPr>
            <w:tcW w:type="dxa" w:w="7824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产品模块结构图、用户路径图、页面清单完成。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M2</w:t>
            </w:r>
          </w:p>
        </w:tc>
        <w:tc>
          <w:tcPr>
            <w:tcW w:type="dxa" w:w="782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系统架构图、数据流图、技术选型说明完成。</w:t>
            </w:r>
          </w:p>
        </w:tc>
      </w:tr>
      <w:tr>
        <w:tc>
          <w:tcPr>
            <w:tcW w:type="dxa" w:w="1701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M3</w:t>
            </w:r>
          </w:p>
        </w:tc>
        <w:tc>
          <w:tcPr>
            <w:tcW w:type="dxa" w:w="7824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新闻处理流程、三次推送模板、突发告警规则完成。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M4</w:t>
            </w:r>
          </w:p>
        </w:tc>
        <w:tc>
          <w:tcPr>
            <w:tcW w:type="dxa" w:w="782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交易看板字段、买卖建议解释框架、标的详情结构完成。</w:t>
            </w:r>
          </w:p>
        </w:tc>
      </w:tr>
      <w:tr>
        <w:tc>
          <w:tcPr>
            <w:tcW w:type="dxa" w:w="1701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M5</w:t>
            </w:r>
          </w:p>
        </w:tc>
        <w:tc>
          <w:tcPr>
            <w:tcW w:type="dxa" w:w="7824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参数配置流程、权限矩阵、参数版本与回滚机制完成。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M6</w:t>
            </w:r>
          </w:p>
        </w:tc>
        <w:tc>
          <w:tcPr>
            <w:tcW w:type="dxa" w:w="782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POC 页面可本地打开，能够在 3-5 分钟内演示产品价值。</w:t>
            </w:r>
          </w:p>
        </w:tc>
      </w:tr>
      <w:tr>
        <w:tc>
          <w:tcPr>
            <w:tcW w:type="dxa" w:w="1701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M7</w:t>
            </w:r>
          </w:p>
        </w:tc>
        <w:tc>
          <w:tcPr>
            <w:tcW w:type="dxa" w:w="7824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至少 3 张关键图完成，并能和 PRD、POC 对应。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M8</w:t>
            </w:r>
          </w:p>
        </w:tc>
        <w:tc>
          <w:tcPr>
            <w:tcW w:type="dxa" w:w="782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项目计划书结构完整，可作为作业主体提交。</w:t>
            </w:r>
          </w:p>
        </w:tc>
      </w:tr>
      <w:tr>
        <w:tc>
          <w:tcPr>
            <w:tcW w:type="dxa" w:w="1701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M9</w:t>
            </w:r>
          </w:p>
        </w:tc>
        <w:tc>
          <w:tcPr>
            <w:tcW w:type="dxa" w:w="7824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交付包完整，文档命名清楚，答辩逻辑顺畅。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M10</w:t>
            </w:r>
          </w:p>
        </w:tc>
        <w:tc>
          <w:tcPr>
            <w:tcW w:type="dxa" w:w="782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所有文件可打开，版本号和日期正确，提交成功。</w:t>
            </w:r>
          </w:p>
        </w:tc>
      </w:tr>
    </w:tbl>
    <w:p/>
    <w:p>
      <w:pPr>
        <w:spacing w:before="320" w:after="160"/>
      </w:pPr>
      <w:r>
        <w:rPr>
          <w:rFonts w:ascii="Arial" w:hAnsi="Arial" w:eastAsia="Microsoft YaHei"/>
          <w:b/>
          <w:color w:val="111111"/>
          <w:sz w:val="32"/>
        </w:rPr>
        <w:t>4. 交付物清单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381"/>
            <w:shd w:fill="1111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3742"/>
            <w:shd w:fill="1111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文件建议</w:t>
            </w:r>
          </w:p>
        </w:tc>
        <w:tc>
          <w:tcPr>
            <w:tcW w:type="dxa" w:w="1587"/>
            <w:shd w:fill="1111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截止时间</w:t>
            </w:r>
          </w:p>
        </w:tc>
        <w:tc>
          <w:tcPr>
            <w:tcW w:type="dxa" w:w="1814"/>
            <w:shd w:fill="1111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23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产品需求文档</w:t>
            </w:r>
          </w:p>
        </w:tc>
        <w:tc>
          <w:tcPr>
            <w:tcW w:type="dxa" w:w="37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PRD.md / PRD.docx</w:t>
            </w:r>
          </w:p>
        </w:tc>
        <w:tc>
          <w:tcPr>
            <w:tcW w:type="dxa" w:w="158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6.17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2381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系统架构设计</w:t>
            </w:r>
          </w:p>
        </w:tc>
        <w:tc>
          <w:tcPr>
            <w:tcW w:type="dxa" w:w="3742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Architecture.md</w:t>
            </w:r>
          </w:p>
        </w:tc>
        <w:tc>
          <w:tcPr>
            <w:tcW w:type="dxa" w:w="1587"/>
            <w:shd w:fill="F7F7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6.19</w:t>
            </w:r>
          </w:p>
        </w:tc>
        <w:tc>
          <w:tcPr>
            <w:tcW w:type="dxa" w:w="1814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23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新闻模块设计</w:t>
            </w:r>
          </w:p>
        </w:tc>
        <w:tc>
          <w:tcPr>
            <w:tcW w:type="dxa" w:w="37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NewsModule.md</w:t>
            </w:r>
          </w:p>
        </w:tc>
        <w:tc>
          <w:tcPr>
            <w:tcW w:type="dxa" w:w="158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6.20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2381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交易看板设计</w:t>
            </w:r>
          </w:p>
        </w:tc>
        <w:tc>
          <w:tcPr>
            <w:tcW w:type="dxa" w:w="3742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TradingDashboard.md</w:t>
            </w:r>
          </w:p>
        </w:tc>
        <w:tc>
          <w:tcPr>
            <w:tcW w:type="dxa" w:w="1587"/>
            <w:shd w:fill="F7F7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6.21</w:t>
            </w:r>
          </w:p>
        </w:tc>
        <w:tc>
          <w:tcPr>
            <w:tcW w:type="dxa" w:w="1814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23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参数配置设计</w:t>
            </w:r>
          </w:p>
        </w:tc>
        <w:tc>
          <w:tcPr>
            <w:tcW w:type="dxa" w:w="37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ParameterConfig.md</w:t>
            </w:r>
          </w:p>
        </w:tc>
        <w:tc>
          <w:tcPr>
            <w:tcW w:type="dxa" w:w="158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6.22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2381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前端 POC</w:t>
            </w:r>
          </w:p>
        </w:tc>
        <w:tc>
          <w:tcPr>
            <w:tcW w:type="dxa" w:w="3742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poc.html</w:t>
            </w:r>
          </w:p>
        </w:tc>
        <w:tc>
          <w:tcPr>
            <w:tcW w:type="dxa" w:w="1587"/>
            <w:shd w:fill="F7F7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6.23</w:t>
            </w:r>
          </w:p>
        </w:tc>
        <w:tc>
          <w:tcPr>
            <w:tcW w:type="dxa" w:w="1814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23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UML / 流程图</w:t>
            </w:r>
          </w:p>
        </w:tc>
        <w:tc>
          <w:tcPr>
            <w:tcW w:type="dxa" w:w="37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UML.puml / PNG</w:t>
            </w:r>
          </w:p>
        </w:tc>
        <w:tc>
          <w:tcPr>
            <w:tcW w:type="dxa" w:w="158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6.24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P1</w:t>
            </w:r>
          </w:p>
        </w:tc>
      </w:tr>
      <w:tr>
        <w:tc>
          <w:tcPr>
            <w:tcW w:type="dxa" w:w="2381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项目计划书</w:t>
            </w:r>
          </w:p>
        </w:tc>
        <w:tc>
          <w:tcPr>
            <w:tcW w:type="dxa" w:w="3742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ProjectPlan.docx</w:t>
            </w:r>
          </w:p>
        </w:tc>
        <w:tc>
          <w:tcPr>
            <w:tcW w:type="dxa" w:w="1587"/>
            <w:shd w:fill="F7F7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6.25</w:t>
            </w:r>
          </w:p>
        </w:tc>
        <w:tc>
          <w:tcPr>
            <w:tcW w:type="dxa" w:w="1814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238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答辩稿</w:t>
            </w:r>
          </w:p>
        </w:tc>
        <w:tc>
          <w:tcPr>
            <w:tcW w:type="dxa" w:w="37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Presentation.md / PPT</w:t>
            </w:r>
          </w:p>
        </w:tc>
        <w:tc>
          <w:tcPr>
            <w:tcW w:type="dxa" w:w="158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6.26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P1</w:t>
            </w:r>
          </w:p>
        </w:tc>
      </w:tr>
      <w:tr>
        <w:tc>
          <w:tcPr>
            <w:tcW w:type="dxa" w:w="2381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最终提交包</w:t>
            </w:r>
          </w:p>
        </w:tc>
        <w:tc>
          <w:tcPr>
            <w:tcW w:type="dxa" w:w="3742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zip 或目录</w:t>
            </w:r>
          </w:p>
        </w:tc>
        <w:tc>
          <w:tcPr>
            <w:tcW w:type="dxa" w:w="1587"/>
            <w:shd w:fill="F7F7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6.27</w:t>
            </w:r>
          </w:p>
        </w:tc>
        <w:tc>
          <w:tcPr>
            <w:tcW w:type="dxa" w:w="1814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P0</w:t>
            </w:r>
          </w:p>
        </w:tc>
      </w:tr>
    </w:tbl>
    <w:p/>
    <w:p>
      <w:pPr>
        <w:spacing w:before="320" w:after="160"/>
      </w:pPr>
      <w:r>
        <w:rPr>
          <w:rFonts w:ascii="Arial" w:hAnsi="Arial" w:eastAsia="Microsoft YaHei"/>
          <w:b/>
          <w:color w:val="111111"/>
          <w:sz w:val="32"/>
        </w:rPr>
        <w:t>5. 人员分工建议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85"/>
        <w:gridCol w:w="5185"/>
      </w:tblGrid>
      <w:tr>
        <w:tc>
          <w:tcPr>
            <w:tcW w:type="dxa" w:w="2268"/>
            <w:shd w:fill="1111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7257"/>
            <w:shd w:fill="1111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主要负责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产品负责人</w:t>
            </w:r>
          </w:p>
        </w:tc>
        <w:tc>
          <w:tcPr>
            <w:tcW w:type="dxa" w:w="7257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PRD、模块边界、页面设计、答辩逻辑。</w:t>
            </w:r>
          </w:p>
        </w:tc>
      </w:tr>
      <w:tr>
        <w:tc>
          <w:tcPr>
            <w:tcW w:type="dxa" w:w="2268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技术负责人</w:t>
            </w:r>
          </w:p>
        </w:tc>
        <w:tc>
          <w:tcPr>
            <w:tcW w:type="dxa" w:w="7257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系统架构、数据流、UML、技术可行性。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前端负责人</w:t>
            </w:r>
          </w:p>
        </w:tc>
        <w:tc>
          <w:tcPr>
            <w:tcW w:type="dxa" w:w="7257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POC 页面、页面交互、视觉统一。</w:t>
            </w:r>
          </w:p>
        </w:tc>
      </w:tr>
      <w:tr>
        <w:tc>
          <w:tcPr>
            <w:tcW w:type="dxa" w:w="2268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策略负责人</w:t>
            </w:r>
          </w:p>
        </w:tc>
        <w:tc>
          <w:tcPr>
            <w:tcW w:type="dxa" w:w="7257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交易看板信号解释、参数配置边界。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项目负责人</w:t>
            </w:r>
          </w:p>
        </w:tc>
        <w:tc>
          <w:tcPr>
            <w:tcW w:type="dxa" w:w="7257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时间推进、文档整合、最终提交。</w:t>
            </w:r>
          </w:p>
        </w:tc>
      </w:tr>
    </w:tbl>
    <w:p/>
    <w:p>
      <w:pPr>
        <w:spacing w:before="320" w:after="160"/>
      </w:pPr>
      <w:r>
        <w:rPr>
          <w:rFonts w:ascii="Arial" w:hAnsi="Arial" w:eastAsia="Microsoft YaHei"/>
          <w:b/>
          <w:color w:val="111111"/>
          <w:sz w:val="32"/>
        </w:rPr>
        <w:t>6. 风险与应对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57"/>
        <w:gridCol w:w="3457"/>
        <w:gridCol w:w="3457"/>
      </w:tblGrid>
      <w:tr>
        <w:tc>
          <w:tcPr>
            <w:tcW w:type="dxa" w:w="2324"/>
            <w:shd w:fill="1111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494"/>
            <w:shd w:fill="1111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4706"/>
            <w:shd w:fill="11111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应对</w:t>
            </w:r>
          </w:p>
        </w:tc>
      </w:tr>
      <w:tr>
        <w:tc>
          <w:tcPr>
            <w:tcW w:type="dxa" w:w="232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范围过大</w:t>
            </w:r>
          </w:p>
        </w:tc>
        <w:tc>
          <w:tcPr>
            <w:tcW w:type="dxa" w:w="249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无法按期完成</w:t>
            </w:r>
          </w:p>
        </w:tc>
        <w:tc>
          <w:tcPr>
            <w:tcW w:type="dxa" w:w="470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只交付方案和 POC，不承诺生产级系统。</w:t>
            </w:r>
          </w:p>
        </w:tc>
      </w:tr>
      <w:tr>
        <w:tc>
          <w:tcPr>
            <w:tcW w:type="dxa" w:w="2324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策略细节不足</w:t>
            </w:r>
          </w:p>
        </w:tc>
        <w:tc>
          <w:tcPr>
            <w:tcW w:type="dxa" w:w="2494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看板说服力弱</w:t>
            </w:r>
          </w:p>
        </w:tc>
        <w:tc>
          <w:tcPr>
            <w:tcW w:type="dxa" w:w="4706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用可解释框架和参数接口替代完整策略。</w:t>
            </w:r>
          </w:p>
        </w:tc>
      </w:tr>
      <w:tr>
        <w:tc>
          <w:tcPr>
            <w:tcW w:type="dxa" w:w="232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前端时间不足</w:t>
            </w:r>
          </w:p>
        </w:tc>
        <w:tc>
          <w:tcPr>
            <w:tcW w:type="dxa" w:w="249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演示效果差</w:t>
            </w:r>
          </w:p>
        </w:tc>
        <w:tc>
          <w:tcPr>
            <w:tcW w:type="dxa" w:w="470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优先做静态 HTML，后续再做真实交互。</w:t>
            </w:r>
          </w:p>
        </w:tc>
      </w:tr>
      <w:tr>
        <w:tc>
          <w:tcPr>
            <w:tcW w:type="dxa" w:w="2324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文档口径不一致</w:t>
            </w:r>
          </w:p>
        </w:tc>
        <w:tc>
          <w:tcPr>
            <w:tcW w:type="dxa" w:w="2494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评审理解困难</w:t>
            </w:r>
          </w:p>
        </w:tc>
        <w:tc>
          <w:tcPr>
            <w:tcW w:type="dxa" w:w="4706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6.26 统一术语、模块名称、时间线。</w:t>
            </w:r>
          </w:p>
        </w:tc>
      </w:tr>
      <w:tr>
        <w:tc>
          <w:tcPr>
            <w:tcW w:type="dxa" w:w="232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合规表达不清</w:t>
            </w:r>
          </w:p>
        </w:tc>
        <w:tc>
          <w:tcPr>
            <w:tcW w:type="dxa" w:w="249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风险较高</w:t>
            </w:r>
          </w:p>
        </w:tc>
        <w:tc>
          <w:tcPr>
            <w:tcW w:type="dxa" w:w="470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明确内部辅助、不自动下单、人工确认。</w:t>
            </w:r>
          </w:p>
        </w:tc>
      </w:tr>
      <w:tr>
        <w:tc>
          <w:tcPr>
            <w:tcW w:type="dxa" w:w="2324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图表不足</w:t>
            </w:r>
          </w:p>
        </w:tc>
        <w:tc>
          <w:tcPr>
            <w:tcW w:type="dxa" w:w="2494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技术路线不直观</w:t>
            </w:r>
          </w:p>
        </w:tc>
        <w:tc>
          <w:tcPr>
            <w:tcW w:type="dxa" w:w="4706"/>
            <w:shd w:fill="F7F7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至少完成架构图、业务流程图、时序图。</w:t>
            </w:r>
          </w:p>
        </w:tc>
      </w:tr>
    </w:tbl>
    <w:p/>
    <w:p>
      <w:pPr>
        <w:spacing w:before="320" w:after="160"/>
      </w:pPr>
      <w:r>
        <w:rPr>
          <w:rFonts w:ascii="Arial" w:hAnsi="Arial" w:eastAsia="Microsoft YaHei"/>
          <w:b/>
          <w:color w:val="111111"/>
          <w:sz w:val="32"/>
        </w:rPr>
        <w:t>7. 最终提交包建议</w:t>
      </w:r>
    </w:p>
    <w:p>
      <w:pPr>
        <w:spacing w:after="100" w:line="276" w:lineRule="auto"/>
      </w:pPr>
      <w:r>
        <w:rPr>
          <w:rFonts w:ascii="Arial" w:hAnsi="Arial" w:eastAsia="Microsoft YaHei"/>
          <w:color w:val="232323"/>
          <w:sz w:val="21"/>
        </w:rPr>
        <w:t>最终提交包建议包含 README、PRD、项目计划书、架构文档、UML 图、POC 页面和答辩材料。若时间紧张，应优先保证 PRD、POC 页面、系统架构图和项目计划书四项完整。</w:t>
      </w:r>
    </w:p>
    <w:p>
      <w:pPr>
        <w:spacing w:before="320" w:after="160"/>
      </w:pPr>
      <w:r>
        <w:rPr>
          <w:rFonts w:ascii="Arial" w:hAnsi="Arial" w:eastAsia="Microsoft YaHei"/>
          <w:b/>
          <w:color w:val="111111"/>
          <w:sz w:val="32"/>
        </w:rPr>
        <w:t>8. 结论</w:t>
      </w:r>
    </w:p>
    <w:p>
      <w:pPr>
        <w:spacing w:after="100" w:line="276" w:lineRule="auto"/>
      </w:pPr>
      <w:r>
        <w:rPr>
          <w:rFonts w:ascii="Arial" w:hAnsi="Arial" w:eastAsia="Microsoft YaHei"/>
          <w:color w:val="232323"/>
          <w:sz w:val="21"/>
        </w:rPr>
        <w:t>在 6.17 到 6.27 的周期内，最合理的目标是完成一套高质量的产品方案和演示原型。交付重点应放在逻辑完整、模块清晰、架构可信、展示直观，而不是追求真实交易系统的完整实现。</w:t>
      </w:r>
    </w:p>
    <w:sectPr w:rsidR="00FC693F" w:rsidRPr="0006063C" w:rsidSect="00034616">
      <w:footerReference w:type="default" r:id="rId9"/>
      <w:pgSz w:w="12240" w:h="15840"/>
      <w:pgMar w:top="964" w:right="935" w:bottom="964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828282"/>
        <w:sz w:val="16"/>
      </w:rPr>
      <w:t>A 股中低频量化交易辅助平台项目排期表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