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378E82">
      <w:pPr>
        <w:spacing w:after="40" w:line="276" w:lineRule="auto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>PHIẾU TRẢ LỜI</w:t>
      </w:r>
    </w:p>
    <w:p w14:paraId="1662DD6E">
      <w:pPr>
        <w:spacing w:after="40" w:line="276" w:lineRule="auto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>AGILE SCRUM PRACTITIONER</w:t>
      </w:r>
    </w:p>
    <w:p w14:paraId="69D59462">
      <w:pPr>
        <w:spacing w:after="40" w:line="276" w:lineRule="auto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>ÔN TẬP NGÀY 2 – AG202</w:t>
      </w:r>
    </w:p>
    <w:p w14:paraId="41AA621F">
      <w:pPr>
        <w:spacing w:after="40" w:line="276" w:lineRule="auto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>[Thứ Tư, 21/10/2026]</w:t>
      </w:r>
    </w:p>
    <w:p w14:paraId="40831607">
      <w:pPr>
        <w:spacing w:after="200" w:line="276" w:lineRule="auto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>********************</w:t>
      </w:r>
    </w:p>
    <w:tbl>
      <w:tblPr>
        <w:tblStyle w:val="3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3505"/>
        <w:gridCol w:w="2015"/>
        <w:gridCol w:w="1753"/>
      </w:tblGrid>
      <w:tr w14:paraId="6E7492E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3" w:type="dxa"/>
          </w:tcPr>
          <w:p w14:paraId="7FF0F16A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Họ và tên</w:t>
            </w:r>
          </w:p>
        </w:tc>
        <w:tc>
          <w:tcPr>
            <w:tcW w:w="3505" w:type="dxa"/>
          </w:tcPr>
          <w:p w14:paraId="596A7EC5">
            <w:pPr>
              <w:spacing w:after="20" w:line="264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Trần Gia Huy</w:t>
            </w:r>
          </w:p>
        </w:tc>
        <w:tc>
          <w:tcPr>
            <w:tcW w:w="2015" w:type="dxa"/>
          </w:tcPr>
          <w:p w14:paraId="658E30CB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Mã sinh viên</w:t>
            </w:r>
          </w:p>
        </w:tc>
        <w:tc>
          <w:tcPr>
            <w:tcW w:w="1753" w:type="dxa"/>
          </w:tcPr>
          <w:p w14:paraId="1AF2C4CC">
            <w:pPr>
              <w:spacing w:after="20" w:line="264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B25DTRCN180</w:t>
            </w:r>
          </w:p>
        </w:tc>
      </w:tr>
      <w:tr w14:paraId="7973033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3" w:type="dxa"/>
          </w:tcPr>
          <w:p w14:paraId="0934D575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Lớp</w:t>
            </w:r>
          </w:p>
        </w:tc>
        <w:tc>
          <w:tcPr>
            <w:tcW w:w="3505" w:type="dxa"/>
          </w:tcPr>
          <w:p w14:paraId="4AED90B1">
            <w:pPr>
              <w:spacing w:after="20" w:line="264" w:lineRule="auto"/>
              <w:rPr>
                <w:rFonts w:hint="default"/>
                <w:lang w:val="vi-VN"/>
              </w:rPr>
            </w:pPr>
            <w:r>
              <w:t>CNTT</w:t>
            </w:r>
            <w:r>
              <w:rPr>
                <w:rFonts w:hint="default"/>
                <w:lang w:val="vi-VN"/>
              </w:rPr>
              <w:t>4</w:t>
            </w:r>
          </w:p>
        </w:tc>
        <w:tc>
          <w:tcPr>
            <w:tcW w:w="2015" w:type="dxa"/>
          </w:tcPr>
          <w:p w14:paraId="16D4B011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Ngày ôn tập</w:t>
            </w:r>
          </w:p>
        </w:tc>
        <w:tc>
          <w:tcPr>
            <w:tcW w:w="1753" w:type="dxa"/>
          </w:tcPr>
          <w:p w14:paraId="787346E0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2</w:t>
            </w:r>
          </w:p>
        </w:tc>
      </w:tr>
    </w:tbl>
    <w:p w14:paraId="4C507C1A">
      <w:pPr>
        <w:spacing w:after="80" w:line="276" w:lineRule="auto"/>
      </w:pPr>
    </w:p>
    <w:p w14:paraId="46B5C0CB">
      <w:pPr>
        <w:spacing w:after="120" w:line="276" w:lineRule="auto"/>
        <w:jc w:val="both"/>
      </w:pPr>
      <w:r>
        <w:rPr>
          <w:rFonts w:ascii="Times New Roman" w:hAnsi="Times New Roman" w:eastAsia="Times New Roman" w:cs="Times New Roman"/>
          <w:i/>
          <w:color w:val="000000"/>
          <w:sz w:val="26"/>
        </w:rPr>
        <w:t>Điền câu trả lời vào các ô trống. Không xoá hoặc đổi thứ tự các bảng. Lưu tệp với tên ngay2_agile.docx.</w:t>
      </w:r>
    </w:p>
    <w:p w14:paraId="45B2134C">
      <w:pPr>
        <w:keepNext/>
        <w:spacing w:before="160" w:after="80" w:line="276" w:lineRule="auto"/>
      </w:pPr>
      <w:r>
        <w:rPr>
          <w:rFonts w:ascii="Times New Roman" w:hAnsi="Times New Roman" w:eastAsia="Times New Roman" w:cs="Times New Roman"/>
          <w:b/>
          <w:color w:val="000000"/>
          <w:sz w:val="26"/>
        </w:rPr>
        <w:t>Bài 1. Acceptance Criteria bằng Gherkin</w:t>
      </w:r>
      <w:bookmarkStart w:id="0" w:name="_GoBack"/>
      <w:bookmarkEnd w:id="0"/>
    </w:p>
    <w:tbl>
      <w:tblPr>
        <w:tblStyle w:val="3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1"/>
        <w:gridCol w:w="2579"/>
        <w:gridCol w:w="1977"/>
        <w:gridCol w:w="2579"/>
      </w:tblGrid>
      <w:tr w14:paraId="42531CC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91" w:type="dxa"/>
            <w:shd w:val="clear" w:color="auto" w:fill="8EAADB"/>
          </w:tcPr>
          <w:p w14:paraId="5B9B257F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Kịch bản</w:t>
            </w:r>
          </w:p>
        </w:tc>
        <w:tc>
          <w:tcPr>
            <w:tcW w:w="2579" w:type="dxa"/>
            <w:shd w:val="clear" w:color="auto" w:fill="8EAADB"/>
          </w:tcPr>
          <w:p w14:paraId="69FA5FA3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Given</w:t>
            </w:r>
          </w:p>
        </w:tc>
        <w:tc>
          <w:tcPr>
            <w:tcW w:w="1977" w:type="dxa"/>
            <w:shd w:val="clear" w:color="auto" w:fill="8EAADB"/>
          </w:tcPr>
          <w:p w14:paraId="4533DCA3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When</w:t>
            </w:r>
          </w:p>
        </w:tc>
        <w:tc>
          <w:tcPr>
            <w:tcW w:w="2579" w:type="dxa"/>
            <w:shd w:val="clear" w:color="auto" w:fill="8EAADB"/>
          </w:tcPr>
          <w:p w14:paraId="71A42CAF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Then</w:t>
            </w:r>
          </w:p>
        </w:tc>
      </w:tr>
      <w:tr w14:paraId="055D4EC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74" w:hRule="atLeast"/>
          <w:jc w:val="center"/>
        </w:trPr>
        <w:tc>
          <w:tcPr>
            <w:tcW w:w="1891" w:type="dxa"/>
          </w:tcPr>
          <w:p w14:paraId="0982D03D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(1) Thành công</w:t>
            </w:r>
          </w:p>
        </w:tc>
        <w:tc>
          <w:tcPr>
            <w:tcW w:w="2579" w:type="dxa"/>
          </w:tcPr>
          <w:p w14:paraId="7A7B6982">
            <w:r>
              <w:rPr>
                <w:rFonts w:ascii="Times New Roman" w:hAnsi="Times New Roman"/>
                <w:color w:val="000000"/>
                <w:sz w:val="22"/>
              </w:rPr>
              <w:t>Đơn hàng 250.000đ, ngày 20/10/2026, mã GREEN20 còn hạn và tài khoản chưa dùng mã</w:t>
            </w:r>
          </w:p>
        </w:tc>
        <w:tc>
          <w:tcPr>
            <w:tcW w:w="1977" w:type="dxa"/>
          </w:tcPr>
          <w:p w14:paraId="6B8B86A7">
            <w:r>
              <w:rPr>
                <w:rFonts w:ascii="Times New Roman" w:hAnsi="Times New Roman"/>
                <w:color w:val="000000"/>
                <w:sz w:val="22"/>
              </w:rPr>
              <w:t>Khách nhập GREEN20 và bấm áp dụng</w:t>
            </w:r>
          </w:p>
        </w:tc>
        <w:tc>
          <w:tcPr>
            <w:tcW w:w="2579" w:type="dxa"/>
          </w:tcPr>
          <w:p w14:paraId="62B99A32">
            <w:r>
              <w:rPr>
                <w:rFonts w:ascii="Times New Roman" w:hAnsi="Times New Roman"/>
                <w:color w:val="000000"/>
                <w:sz w:val="22"/>
              </w:rPr>
              <w:t>Giảm 20.000đ, số tiền cần trả còn 230.000đ</w:t>
            </w:r>
          </w:p>
        </w:tc>
      </w:tr>
      <w:tr w14:paraId="7E50EDF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74" w:hRule="atLeast"/>
          <w:jc w:val="center"/>
        </w:trPr>
        <w:tc>
          <w:tcPr>
            <w:tcW w:w="1891" w:type="dxa"/>
          </w:tcPr>
          <w:p w14:paraId="67A4D1C2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(2a) Mã đã hết hạn</w:t>
            </w:r>
          </w:p>
        </w:tc>
        <w:tc>
          <w:tcPr>
            <w:tcW w:w="2579" w:type="dxa"/>
          </w:tcPr>
          <w:p w14:paraId="390FDDAA">
            <w:r>
              <w:rPr>
                <w:rFonts w:ascii="Times New Roman" w:hAnsi="Times New Roman"/>
                <w:color w:val="000000"/>
                <w:sz w:val="22"/>
              </w:rPr>
              <w:t>Đơn hàng 250.000đ, ngày 01/11/2026, mã GREEN20 đã hết hạn</w:t>
            </w:r>
          </w:p>
        </w:tc>
        <w:tc>
          <w:tcPr>
            <w:tcW w:w="1977" w:type="dxa"/>
          </w:tcPr>
          <w:p w14:paraId="30B78299">
            <w:r>
              <w:rPr>
                <w:rFonts w:ascii="Times New Roman" w:hAnsi="Times New Roman"/>
                <w:color w:val="000000"/>
                <w:sz w:val="22"/>
              </w:rPr>
              <w:t>Khách nhập GREEN20 và bấm áp dụng</w:t>
            </w:r>
          </w:p>
        </w:tc>
        <w:tc>
          <w:tcPr>
            <w:tcW w:w="2579" w:type="dxa"/>
          </w:tcPr>
          <w:p w14:paraId="0B19F822">
            <w:r>
              <w:rPr>
                <w:rFonts w:ascii="Times New Roman" w:hAnsi="Times New Roman"/>
                <w:color w:val="000000"/>
                <w:sz w:val="22"/>
              </w:rPr>
              <w:t>Không giảm tiền, báo “Mã đã hết hạn”, tổng tiền vẫn là 250.000đ</w:t>
            </w:r>
          </w:p>
        </w:tc>
      </w:tr>
      <w:tr w14:paraId="1852732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74" w:hRule="atLeast"/>
          <w:jc w:val="center"/>
        </w:trPr>
        <w:tc>
          <w:tcPr>
            <w:tcW w:w="1891" w:type="dxa"/>
          </w:tcPr>
          <w:p w14:paraId="01C51C3C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(2b) Đơn dưới 200.000đ</w:t>
            </w:r>
          </w:p>
        </w:tc>
        <w:tc>
          <w:tcPr>
            <w:tcW w:w="2579" w:type="dxa"/>
          </w:tcPr>
          <w:p w14:paraId="01D8C9A5">
            <w:r>
              <w:rPr>
                <w:rFonts w:ascii="Times New Roman" w:hAnsi="Times New Roman"/>
                <w:color w:val="000000"/>
                <w:sz w:val="22"/>
              </w:rPr>
              <w:t>Đơn hàng 180.000đ, ngày 20/10/2026, mã GREEN20 còn hạn và chưa sử dụng</w:t>
            </w:r>
          </w:p>
        </w:tc>
        <w:tc>
          <w:tcPr>
            <w:tcW w:w="1977" w:type="dxa"/>
          </w:tcPr>
          <w:p w14:paraId="74BC79FC">
            <w:r>
              <w:rPr>
                <w:rFonts w:ascii="Times New Roman" w:hAnsi="Times New Roman"/>
                <w:color w:val="000000"/>
                <w:sz w:val="22"/>
              </w:rPr>
              <w:t>Khách nhập GREEN20 và bấm áp dụng</w:t>
            </w:r>
          </w:p>
        </w:tc>
        <w:tc>
          <w:tcPr>
            <w:tcW w:w="2579" w:type="dxa"/>
          </w:tcPr>
          <w:p w14:paraId="7DA0AE7A">
            <w:r>
              <w:rPr>
                <w:rFonts w:ascii="Times New Roman" w:hAnsi="Times New Roman"/>
                <w:color w:val="000000"/>
                <w:sz w:val="22"/>
              </w:rPr>
              <w:t>Không áp dụng mã, báo “Đơn hàng phải từ 200.000đ”, tổng tiền vẫn là 180.000đ</w:t>
            </w:r>
          </w:p>
        </w:tc>
      </w:tr>
    </w:tbl>
    <w:p w14:paraId="2E17C016">
      <w:pPr>
        <w:spacing w:after="80" w:line="276" w:lineRule="auto"/>
      </w:pPr>
    </w:p>
    <w:p w14:paraId="6030D293">
      <w:pPr>
        <w:keepNext/>
        <w:spacing w:before="160" w:after="80" w:line="276" w:lineRule="auto"/>
      </w:pPr>
      <w:r>
        <w:rPr>
          <w:rFonts w:ascii="Times New Roman" w:hAnsi="Times New Roman" w:eastAsia="Times New Roman" w:cs="Times New Roman"/>
          <w:b/>
          <w:color w:val="000000"/>
          <w:sz w:val="26"/>
        </w:rPr>
        <w:t>Bài 2. Acceptance Criteria và Definition of Done</w:t>
      </w:r>
    </w:p>
    <w:p w14:paraId="4C0B2F49">
      <w:pPr>
        <w:spacing w:after="120" w:line="276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6"/>
        </w:rPr>
        <w:t>a) Phân loại (ghi AC hoặc DoD)</w:t>
      </w:r>
    </w:p>
    <w:tbl>
      <w:tblPr>
        <w:tblStyle w:val="3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"/>
        <w:gridCol w:w="3610"/>
        <w:gridCol w:w="903"/>
        <w:gridCol w:w="3610"/>
      </w:tblGrid>
      <w:tr w14:paraId="5F2AA25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3" w:type="dxa"/>
            <w:shd w:val="clear" w:color="auto" w:fill="8EAADB"/>
          </w:tcPr>
          <w:p w14:paraId="6421F436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STT</w:t>
            </w:r>
          </w:p>
        </w:tc>
        <w:tc>
          <w:tcPr>
            <w:tcW w:w="3610" w:type="dxa"/>
            <w:shd w:val="clear" w:color="auto" w:fill="8EAADB"/>
          </w:tcPr>
          <w:p w14:paraId="05A29CA7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AC / DoD</w:t>
            </w:r>
          </w:p>
        </w:tc>
        <w:tc>
          <w:tcPr>
            <w:tcW w:w="903" w:type="dxa"/>
            <w:shd w:val="clear" w:color="auto" w:fill="8EAADB"/>
          </w:tcPr>
          <w:p w14:paraId="4A606EC3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STT</w:t>
            </w:r>
          </w:p>
        </w:tc>
        <w:tc>
          <w:tcPr>
            <w:tcW w:w="3610" w:type="dxa"/>
            <w:shd w:val="clear" w:color="auto" w:fill="8EAADB"/>
          </w:tcPr>
          <w:p w14:paraId="7085FC3D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AC / DoD</w:t>
            </w:r>
          </w:p>
        </w:tc>
      </w:tr>
      <w:tr w14:paraId="6CA073C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  <w:jc w:val="center"/>
        </w:trPr>
        <w:tc>
          <w:tcPr>
            <w:tcW w:w="903" w:type="dxa"/>
          </w:tcPr>
          <w:p w14:paraId="01A329A5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3610" w:type="dxa"/>
          </w:tcPr>
          <w:p w14:paraId="6B815556">
            <w:r>
              <w:rPr>
                <w:rFonts w:ascii="Times New Roman" w:hAnsi="Times New Roman"/>
                <w:color w:val="000000"/>
                <w:sz w:val="22"/>
              </w:rPr>
              <w:t>AC</w:t>
            </w:r>
          </w:p>
        </w:tc>
        <w:tc>
          <w:tcPr>
            <w:tcW w:w="903" w:type="dxa"/>
          </w:tcPr>
          <w:p w14:paraId="5BB3BF80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5</w:t>
            </w:r>
          </w:p>
        </w:tc>
        <w:tc>
          <w:tcPr>
            <w:tcW w:w="3610" w:type="dxa"/>
          </w:tcPr>
          <w:p w14:paraId="19C66F17">
            <w:r>
              <w:rPr>
                <w:rFonts w:ascii="Times New Roman" w:hAnsi="Times New Roman"/>
                <w:color w:val="000000"/>
                <w:sz w:val="22"/>
              </w:rPr>
              <w:t>AC</w:t>
            </w:r>
          </w:p>
        </w:tc>
      </w:tr>
      <w:tr w14:paraId="0CF70BA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  <w:jc w:val="center"/>
        </w:trPr>
        <w:tc>
          <w:tcPr>
            <w:tcW w:w="903" w:type="dxa"/>
          </w:tcPr>
          <w:p w14:paraId="6287BDB7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3610" w:type="dxa"/>
          </w:tcPr>
          <w:p w14:paraId="0C85F684">
            <w:r>
              <w:rPr>
                <w:rFonts w:ascii="Times New Roman" w:hAnsi="Times New Roman"/>
                <w:color w:val="000000"/>
                <w:sz w:val="22"/>
              </w:rPr>
              <w:t>DoD</w:t>
            </w:r>
          </w:p>
        </w:tc>
        <w:tc>
          <w:tcPr>
            <w:tcW w:w="903" w:type="dxa"/>
          </w:tcPr>
          <w:p w14:paraId="0A4EE20D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6</w:t>
            </w:r>
          </w:p>
        </w:tc>
        <w:tc>
          <w:tcPr>
            <w:tcW w:w="3610" w:type="dxa"/>
          </w:tcPr>
          <w:p w14:paraId="0F42B3C3">
            <w:r>
              <w:rPr>
                <w:rFonts w:ascii="Times New Roman" w:hAnsi="Times New Roman"/>
                <w:color w:val="000000"/>
                <w:sz w:val="22"/>
              </w:rPr>
              <w:t>DoD</w:t>
            </w:r>
          </w:p>
        </w:tc>
      </w:tr>
      <w:tr w14:paraId="148E837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  <w:jc w:val="center"/>
        </w:trPr>
        <w:tc>
          <w:tcPr>
            <w:tcW w:w="903" w:type="dxa"/>
          </w:tcPr>
          <w:p w14:paraId="7C877210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3</w:t>
            </w:r>
          </w:p>
        </w:tc>
        <w:tc>
          <w:tcPr>
            <w:tcW w:w="3610" w:type="dxa"/>
          </w:tcPr>
          <w:p w14:paraId="732FD2EF">
            <w:r>
              <w:rPr>
                <w:rFonts w:ascii="Times New Roman" w:hAnsi="Times New Roman"/>
                <w:color w:val="000000"/>
                <w:sz w:val="22"/>
              </w:rPr>
              <w:t>AC</w:t>
            </w:r>
          </w:p>
        </w:tc>
        <w:tc>
          <w:tcPr>
            <w:tcW w:w="903" w:type="dxa"/>
          </w:tcPr>
          <w:p w14:paraId="0CBC1616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7</w:t>
            </w:r>
          </w:p>
        </w:tc>
        <w:tc>
          <w:tcPr>
            <w:tcW w:w="3610" w:type="dxa"/>
          </w:tcPr>
          <w:p w14:paraId="26A7F5D4">
            <w:r>
              <w:rPr>
                <w:rFonts w:ascii="Times New Roman" w:hAnsi="Times New Roman"/>
                <w:color w:val="000000"/>
                <w:sz w:val="22"/>
              </w:rPr>
              <w:t>AC</w:t>
            </w:r>
          </w:p>
        </w:tc>
      </w:tr>
      <w:tr w14:paraId="353FB93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  <w:jc w:val="center"/>
        </w:trPr>
        <w:tc>
          <w:tcPr>
            <w:tcW w:w="903" w:type="dxa"/>
          </w:tcPr>
          <w:p w14:paraId="3A55F73F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4</w:t>
            </w:r>
          </w:p>
        </w:tc>
        <w:tc>
          <w:tcPr>
            <w:tcW w:w="3610" w:type="dxa"/>
          </w:tcPr>
          <w:p w14:paraId="0EFAFA44">
            <w:r>
              <w:rPr>
                <w:rFonts w:ascii="Times New Roman" w:hAnsi="Times New Roman"/>
                <w:color w:val="000000"/>
                <w:sz w:val="22"/>
              </w:rPr>
              <w:t>DoD</w:t>
            </w:r>
          </w:p>
        </w:tc>
        <w:tc>
          <w:tcPr>
            <w:tcW w:w="903" w:type="dxa"/>
          </w:tcPr>
          <w:p w14:paraId="4D5FB607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8</w:t>
            </w:r>
          </w:p>
        </w:tc>
        <w:tc>
          <w:tcPr>
            <w:tcW w:w="3610" w:type="dxa"/>
          </w:tcPr>
          <w:p w14:paraId="6BD714A4">
            <w:r>
              <w:rPr>
                <w:rFonts w:ascii="Times New Roman" w:hAnsi="Times New Roman"/>
                <w:color w:val="000000"/>
                <w:sz w:val="22"/>
              </w:rPr>
              <w:t>DoD</w:t>
            </w:r>
          </w:p>
        </w:tc>
      </w:tr>
    </w:tbl>
    <w:p w14:paraId="68B11A2A">
      <w:pPr>
        <w:spacing w:after="80" w:line="276" w:lineRule="auto"/>
      </w:pPr>
    </w:p>
    <w:tbl>
      <w:tblPr>
        <w:tblStyle w:val="3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277F49A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6D45BD62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b) AC và DoD khác nhau thế nào về phạm vi áp dụng?</w:t>
            </w:r>
          </w:p>
        </w:tc>
      </w:tr>
      <w:tr w14:paraId="2186AE9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  <w:jc w:val="center"/>
        </w:trPr>
        <w:tc>
          <w:tcPr>
            <w:tcW w:w="9026" w:type="dxa"/>
          </w:tcPr>
          <w:p w14:paraId="593A02B5">
            <w:r>
              <w:rPr>
                <w:rFonts w:ascii="Times New Roman" w:hAnsi="Times New Roman"/>
                <w:color w:val="000000"/>
                <w:sz w:val="22"/>
              </w:rPr>
              <w:t>AC là yêu cầu riêng để kiểm tra một chức năng có đúng mong muốn hay không</w:t>
            </w:r>
            <w:r>
              <w:rPr>
                <w:rFonts w:ascii="Times New Roman" w:hAnsi="Times New Roman"/>
                <w:color w:val="000000"/>
                <w:sz w:val="22"/>
              </w:rPr>
              <w:br w:type="textWrapping"/>
            </w:r>
            <w:r>
              <w:rPr>
                <w:rFonts w:ascii="Times New Roman" w:hAnsi="Times New Roman"/>
                <w:color w:val="000000"/>
                <w:sz w:val="22"/>
              </w:rPr>
              <w:t>DoD là điều kiện chung để biết một công việc đã hoàn thành và đạt chất lượng</w:t>
            </w:r>
          </w:p>
        </w:tc>
      </w:tr>
    </w:tbl>
    <w:p w14:paraId="46E4088E">
      <w:pPr>
        <w:spacing w:after="80" w:line="276" w:lineRule="auto"/>
      </w:pPr>
    </w:p>
    <w:tbl>
      <w:tblPr>
        <w:tblStyle w:val="3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8"/>
        <w:gridCol w:w="6137"/>
      </w:tblGrid>
      <w:tr w14:paraId="7476B81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88" w:type="dxa"/>
            <w:shd w:val="clear" w:color="auto" w:fill="8EAADB"/>
          </w:tcPr>
          <w:p w14:paraId="3529108B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Nội dung</w:t>
            </w:r>
          </w:p>
        </w:tc>
        <w:tc>
          <w:tcPr>
            <w:tcW w:w="6137" w:type="dxa"/>
            <w:shd w:val="clear" w:color="auto" w:fill="8EAADB"/>
          </w:tcPr>
          <w:p w14:paraId="036C7FFD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Trả lời</w:t>
            </w:r>
          </w:p>
        </w:tc>
      </w:tr>
      <w:tr w14:paraId="2A516EE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  <w:jc w:val="center"/>
        </w:trPr>
        <w:tc>
          <w:tcPr>
            <w:tcW w:w="2888" w:type="dxa"/>
          </w:tcPr>
          <w:p w14:paraId="098055FF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c) Ví dụ AC (theo dõi trạng thái đơn giao)</w:t>
            </w:r>
          </w:p>
        </w:tc>
        <w:tc>
          <w:tcPr>
            <w:tcW w:w="6137" w:type="dxa"/>
          </w:tcPr>
          <w:p w14:paraId="1B6FC7D1">
            <w:r>
              <w:rPr>
                <w:rFonts w:ascii="Times New Roman" w:hAnsi="Times New Roman"/>
                <w:color w:val="000000"/>
                <w:sz w:val="22"/>
              </w:rPr>
              <w:t>Khi đơn chuyển sang “Đang giao”, khách xem đơn sẽ thấy trạng thái “Đang giao”</w:t>
            </w:r>
          </w:p>
        </w:tc>
      </w:tr>
      <w:tr w14:paraId="07CCC82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  <w:jc w:val="center"/>
        </w:trPr>
        <w:tc>
          <w:tcPr>
            <w:tcW w:w="2888" w:type="dxa"/>
          </w:tcPr>
          <w:p w14:paraId="11183C75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c) Ví dụ DoD (theo dõi trạng thái đơn giao)</w:t>
            </w:r>
          </w:p>
        </w:tc>
        <w:tc>
          <w:tcPr>
            <w:tcW w:w="6137" w:type="dxa"/>
          </w:tcPr>
          <w:p w14:paraId="69D4123E">
            <w:r>
              <w:rPr>
                <w:rFonts w:ascii="Times New Roman" w:hAnsi="Times New Roman"/>
                <w:color w:val="000000"/>
                <w:sz w:val="22"/>
              </w:rPr>
              <w:t>Chức năng đã được người khác xem lại code, kiểm thử đạt và đưa lên môi trường thử</w:t>
            </w:r>
          </w:p>
        </w:tc>
      </w:tr>
    </w:tbl>
    <w:p w14:paraId="5626CAF8">
      <w:pPr>
        <w:spacing w:after="80" w:line="276" w:lineRule="auto"/>
      </w:pPr>
    </w:p>
    <w:p w14:paraId="29456748">
      <w:pPr>
        <w:keepNext/>
        <w:spacing w:before="160" w:after="80" w:line="276" w:lineRule="auto"/>
      </w:pPr>
      <w:r>
        <w:rPr>
          <w:rFonts w:ascii="Times New Roman" w:hAnsi="Times New Roman" w:eastAsia="Times New Roman" w:cs="Times New Roman"/>
          <w:b/>
          <w:color w:val="000000"/>
          <w:sz w:val="26"/>
        </w:rPr>
        <w:t>Bài 3. Ước lượng Story Point</w:t>
      </w:r>
    </w:p>
    <w:tbl>
      <w:tblPr>
        <w:tblStyle w:val="3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"/>
        <w:gridCol w:w="1625"/>
        <w:gridCol w:w="6498"/>
      </w:tblGrid>
      <w:tr w14:paraId="52AED47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3" w:type="dxa"/>
            <w:shd w:val="clear" w:color="auto" w:fill="8EAADB"/>
          </w:tcPr>
          <w:p w14:paraId="6698112B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Mã</w:t>
            </w:r>
          </w:p>
        </w:tc>
        <w:tc>
          <w:tcPr>
            <w:tcW w:w="1625" w:type="dxa"/>
            <w:shd w:val="clear" w:color="auto" w:fill="8EAADB"/>
          </w:tcPr>
          <w:p w14:paraId="72D77A8E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Story Point</w:t>
            </w:r>
          </w:p>
        </w:tc>
        <w:tc>
          <w:tcPr>
            <w:tcW w:w="6498" w:type="dxa"/>
            <w:shd w:val="clear" w:color="auto" w:fill="8EAADB"/>
          </w:tcPr>
          <w:p w14:paraId="4F8594EB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Lý do (so sánh với R = 3 SP)</w:t>
            </w:r>
          </w:p>
        </w:tc>
      </w:tr>
      <w:tr w14:paraId="0850B01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903" w:type="dxa"/>
          </w:tcPr>
          <w:p w14:paraId="18198B96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S1</w:t>
            </w:r>
          </w:p>
        </w:tc>
        <w:tc>
          <w:tcPr>
            <w:tcW w:w="1625" w:type="dxa"/>
          </w:tcPr>
          <w:p w14:paraId="270CAF5E">
            <w:r>
              <w:rPr>
                <w:rFonts w:ascii="Times New Roman" w:hAnsi="Times New Roman"/>
                <w:color w:val="000000"/>
                <w:sz w:val="22"/>
              </w:rPr>
              <w:t>1</w:t>
            </w:r>
          </w:p>
        </w:tc>
        <w:tc>
          <w:tcPr>
            <w:tcW w:w="6498" w:type="dxa"/>
          </w:tcPr>
          <w:p w14:paraId="2CB073A1">
            <w:r>
              <w:rPr>
                <w:rFonts w:ascii="Times New Roman" w:hAnsi="Times New Roman"/>
                <w:color w:val="000000"/>
                <w:sz w:val="22"/>
              </w:rPr>
              <w:t>Đăng xuất đơn giản hơn đăng nhập bằng số điện thoại và OTP</w:t>
            </w:r>
          </w:p>
        </w:tc>
      </w:tr>
      <w:tr w14:paraId="2809716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903" w:type="dxa"/>
          </w:tcPr>
          <w:p w14:paraId="1A8062EF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S2</w:t>
            </w:r>
          </w:p>
        </w:tc>
        <w:tc>
          <w:tcPr>
            <w:tcW w:w="1625" w:type="dxa"/>
          </w:tcPr>
          <w:p w14:paraId="4A6038F9">
            <w:r>
              <w:rPr>
                <w:rFonts w:ascii="Times New Roman" w:hAnsi="Times New Roman"/>
                <w:color w:val="000000"/>
                <w:sz w:val="22"/>
              </w:rPr>
              <w:t>3</w:t>
            </w:r>
          </w:p>
        </w:tc>
        <w:tc>
          <w:tcPr>
            <w:tcW w:w="6498" w:type="dxa"/>
          </w:tcPr>
          <w:p w14:paraId="6876939A">
            <w:r>
              <w:rPr>
                <w:rFonts w:ascii="Times New Roman" w:hAnsi="Times New Roman"/>
                <w:color w:val="000000"/>
                <w:sz w:val="22"/>
              </w:rPr>
              <w:t>Xem danh sách đơn có độ khó gần bằng phần đăng nhập R</w:t>
            </w:r>
          </w:p>
        </w:tc>
      </w:tr>
      <w:tr w14:paraId="4AB0C4C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903" w:type="dxa"/>
          </w:tcPr>
          <w:p w14:paraId="0D50834B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S3</w:t>
            </w:r>
          </w:p>
        </w:tc>
        <w:tc>
          <w:tcPr>
            <w:tcW w:w="1625" w:type="dxa"/>
          </w:tcPr>
          <w:p w14:paraId="64C985EC">
            <w:r>
              <w:rPr>
                <w:rFonts w:ascii="Times New Roman" w:hAnsi="Times New Roman"/>
                <w:color w:val="000000"/>
                <w:sz w:val="22"/>
              </w:rPr>
              <w:t>8</w:t>
            </w:r>
          </w:p>
        </w:tc>
        <w:tc>
          <w:tcPr>
            <w:tcW w:w="6498" w:type="dxa"/>
          </w:tcPr>
          <w:p w14:paraId="222398FC">
            <w:r>
              <w:rPr>
                <w:rFonts w:ascii="Times New Roman" w:hAnsi="Times New Roman"/>
                <w:color w:val="000000"/>
                <w:sz w:val="22"/>
              </w:rPr>
              <w:t>Thanh toán ví khó hơn R vì còn kết nối và xử lý lỗi từ bên ngoài</w:t>
            </w:r>
          </w:p>
        </w:tc>
      </w:tr>
      <w:tr w14:paraId="26F5757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903" w:type="dxa"/>
          </w:tcPr>
          <w:p w14:paraId="7A78E558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S4</w:t>
            </w:r>
          </w:p>
        </w:tc>
        <w:tc>
          <w:tcPr>
            <w:tcW w:w="1625" w:type="dxa"/>
          </w:tcPr>
          <w:p w14:paraId="0B035AE1">
            <w:r>
              <w:rPr>
                <w:rFonts w:ascii="Times New Roman" w:hAnsi="Times New Roman"/>
                <w:color w:val="000000"/>
                <w:sz w:val="22"/>
              </w:rPr>
              <w:t>8</w:t>
            </w:r>
          </w:p>
        </w:tc>
        <w:tc>
          <w:tcPr>
            <w:tcW w:w="6498" w:type="dxa"/>
          </w:tcPr>
          <w:p w14:paraId="1AC23199">
            <w:r>
              <w:rPr>
                <w:rFonts w:ascii="Times New Roman" w:hAnsi="Times New Roman"/>
                <w:color w:val="000000"/>
                <w:sz w:val="22"/>
              </w:rPr>
              <w:t>Gợi ý theo lịch sử mua phức tạp hơn R vì cần xem dữ liệu mua trước đó</w:t>
            </w:r>
          </w:p>
        </w:tc>
      </w:tr>
    </w:tbl>
    <w:p w14:paraId="31A89A52">
      <w:pPr>
        <w:spacing w:after="80" w:line="276" w:lineRule="auto"/>
      </w:pPr>
    </w:p>
    <w:tbl>
      <w:tblPr>
        <w:tblStyle w:val="3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07D41DF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2C34FCD4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b) Planning Poker: thẻ 3, 5, 5, 13 – đội nên làm gì tiếp theo?</w:t>
            </w:r>
          </w:p>
        </w:tc>
      </w:tr>
      <w:tr w14:paraId="4823BCA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47" w:hRule="atLeast"/>
          <w:jc w:val="center"/>
        </w:trPr>
        <w:tc>
          <w:tcPr>
            <w:tcW w:w="9026" w:type="dxa"/>
          </w:tcPr>
          <w:p w14:paraId="6F8E7B79">
            <w:r>
              <w:rPr>
                <w:rFonts w:ascii="Times New Roman" w:hAnsi="Times New Roman"/>
                <w:color w:val="000000"/>
                <w:sz w:val="22"/>
              </w:rPr>
              <w:t>Cho người chọn 3 và 13 giải thích lý do chênh lệch, nhất là phần kết nối và xử lý lỗi thanh toán</w:t>
            </w:r>
            <w:r>
              <w:rPr>
                <w:rFonts w:ascii="Times New Roman" w:hAnsi="Times New Roman"/>
                <w:color w:val="000000"/>
                <w:sz w:val="22"/>
              </w:rPr>
              <w:br w:type="textWrapping"/>
            </w:r>
            <w:r>
              <w:rPr>
                <w:rFonts w:ascii="Times New Roman" w:hAnsi="Times New Roman"/>
                <w:color w:val="000000"/>
                <w:sz w:val="22"/>
              </w:rPr>
              <w:t>Sau đó cả nhóm trao đổi để hiểu giống nhau rồi bỏ phiếu lại, không lấy trung bình hay chọn theo số đông</w:t>
            </w:r>
          </w:p>
        </w:tc>
      </w:tr>
    </w:tbl>
    <w:p w14:paraId="1E084714">
      <w:pPr>
        <w:spacing w:after="80" w:line="276" w:lineRule="auto"/>
      </w:pPr>
    </w:p>
    <w:tbl>
      <w:tblPr>
        <w:tblStyle w:val="3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6"/>
      </w:tblGrid>
      <w:tr w14:paraId="71ABEBB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3E9B94E5">
            <w:pPr>
              <w:spacing w:after="20" w:line="264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c) Vì sao dùng Story Point thay vì chỉ ước lượng giờ/ngày công?</w:t>
            </w:r>
          </w:p>
        </w:tc>
      </w:tr>
      <w:tr w14:paraId="1029EEF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47" w:hRule="atLeast"/>
          <w:jc w:val="center"/>
        </w:trPr>
        <w:tc>
          <w:tcPr>
            <w:tcW w:w="9026" w:type="dxa"/>
          </w:tcPr>
          <w:p w14:paraId="6B7F5D44">
            <w:r>
              <w:rPr>
                <w:rFonts w:ascii="Times New Roman" w:hAnsi="Times New Roman"/>
                <w:color w:val="000000"/>
                <w:sz w:val="22"/>
              </w:rPr>
              <w:t>Story Point dùng để so sánh độ khó, khối lượng và rủi ro giữa các công việc, không phải số giờ cố định</w:t>
            </w:r>
            <w:r>
              <w:rPr>
                <w:rFonts w:ascii="Times New Roman" w:hAnsi="Times New Roman"/>
                <w:color w:val="000000"/>
                <w:sz w:val="22"/>
              </w:rPr>
              <w:br w:type="textWrapping"/>
            </w:r>
            <w:r>
              <w:rPr>
                <w:rFonts w:ascii="Times New Roman" w:hAnsi="Times New Roman"/>
                <w:color w:val="000000"/>
                <w:sz w:val="22"/>
              </w:rPr>
              <w:t>Thời gian làm của mỗi người có thể khác nhau nên nhóm dựa vào Velocity các Sprint trước để chọn lượng việc phù hợp</w:t>
            </w:r>
          </w:p>
        </w:tc>
      </w:tr>
    </w:tbl>
    <w:p w14:paraId="33C15DE9">
      <w:pPr>
        <w:spacing w:after="80" w:line="276" w:lineRule="auto"/>
      </w:pPr>
    </w:p>
    <w:p w14:paraId="1C3C87DE">
      <w:pPr>
        <w:keepNext/>
        <w:spacing w:before="160" w:after="80" w:line="276" w:lineRule="auto"/>
      </w:pPr>
      <w:r>
        <w:rPr>
          <w:rFonts w:ascii="Times New Roman" w:hAnsi="Times New Roman" w:eastAsia="Times New Roman" w:cs="Times New Roman"/>
          <w:b/>
          <w:color w:val="000000"/>
          <w:sz w:val="26"/>
        </w:rPr>
        <w:t>Tự chấm (điền sau khi có đáp án)</w:t>
      </w:r>
    </w:p>
    <w:tbl>
      <w:tblPr>
        <w:tblStyle w:val="3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8"/>
        <w:gridCol w:w="6318"/>
      </w:tblGrid>
      <w:tr w14:paraId="27BD5FD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2708" w:type="dxa"/>
          </w:tcPr>
          <w:p w14:paraId="5935096B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Điểm tự chấm</w:t>
            </w:r>
          </w:p>
        </w:tc>
        <w:tc>
          <w:tcPr>
            <w:tcW w:w="6318" w:type="dxa"/>
          </w:tcPr>
          <w:p w14:paraId="62B7296F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..../100</w:t>
            </w:r>
          </w:p>
        </w:tc>
      </w:tr>
      <w:tr w14:paraId="63094DC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2708" w:type="dxa"/>
          </w:tcPr>
          <w:p w14:paraId="27119C42">
            <w:pPr>
              <w:spacing w:after="20" w:line="264" w:lineRule="auto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Lỗi mình đã mắc và cách sửa</w:t>
            </w:r>
          </w:p>
        </w:tc>
        <w:tc>
          <w:tcPr>
            <w:tcW w:w="6318" w:type="dxa"/>
          </w:tcPr>
          <w:p w14:paraId="69A466D1">
            <w:pPr>
              <w:spacing w:after="20" w:line="264" w:lineRule="auto"/>
            </w:pPr>
          </w:p>
        </w:tc>
      </w:tr>
    </w:tbl>
    <w:p w14:paraId="76F96358">
      <w:pPr>
        <w:spacing w:after="80" w:line="276" w:lineRule="auto"/>
      </w:pPr>
    </w:p>
    <w:p w14:paraId="2A83A4D4"/>
    <w:sectPr>
      <w:headerReference r:id="rId3" w:type="default"/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DC0865">
    <w:pPr>
      <w:jc w:val="right"/>
    </w:pPr>
    <w:r>
      <w:drawing>
        <wp:inline distT="114300" distB="114300" distL="114300" distR="114300">
          <wp:extent cx="1802130" cy="631190"/>
          <wp:effectExtent l="0" t="0" r="7620" b="1651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C3AB2B3">
    <w:pP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0974FF"/>
    <w:rsid w:val="0609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2026-10-21T06:26:00Z</dcterms:created>
  <dc:creator>huy trangia</dc:creator>
  <cp:lastModifiedBy>huy trangia</cp:lastModifiedBy>
  <dcterms:modified xsi:type="dcterms:W3CDTF">2026-10-21T06:27:10Z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2D050253C9014993B36C696D1A61A2EF_11</vt:lpwstr>
  </property>
  <property fmtid="{D5CDD505-2E9C-101B-9397-08002B2CF9AE}" pid="4" name="KSOTemplateDocerSaveRecord">
    <vt:lpwstr>eyJoZGlkIjoiYWNlNzNhNmIzOTIzZGY2M2QzZGFjMTM3NDZmMGZlYmUiLCJ1c2VySWQiOiIxMzc0Mzk0NDYzODg4In0=</vt:lpwstr>
  </property>
</Properties>
</file>