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269D60AC" w14:textId="5FF8C142" w:rsidR="008352E0" w:rsidRDefault="008352E0" w:rsidP="008352E0">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Shein</w:t>
      </w:r>
      <w:proofErr w:type="spellEnd"/>
      <w:r>
        <w:rPr>
          <w:rFonts w:ascii="Times New Roman" w:eastAsia="Times New Roman" w:hAnsi="Times New Roman" w:cs="Times New Roman"/>
          <w:bCs/>
          <w:color w:val="000000"/>
          <w:sz w:val="24"/>
          <w:szCs w:val="24"/>
        </w:rPr>
        <w:t>-Chung Chow</w:t>
      </w:r>
      <w:r>
        <w:rPr>
          <w:rFonts w:ascii="Times New Roman" w:eastAsia="Times New Roman" w:hAnsi="Times New Roman" w:cs="Times New Roman"/>
          <w:bCs/>
          <w:color w:val="000000"/>
          <w:sz w:val="24"/>
          <w:szCs w:val="24"/>
          <w:vertAlign w:val="superscript"/>
        </w:rPr>
        <w:t>2</w:t>
      </w:r>
    </w:p>
    <w:p w14:paraId="614BE253" w14:textId="77777777" w:rsidR="00AD12BD" w:rsidRDefault="008352E0" w:rsidP="008352E0">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Biostatistics Program, </w:t>
      </w:r>
      <w:r w:rsidR="00947D78">
        <w:rPr>
          <w:rFonts w:ascii="Times New Roman" w:eastAsia="Times New Roman" w:hAnsi="Times New Roman" w:cs="Times New Roman"/>
          <w:bCs/>
          <w:color w:val="000000"/>
          <w:sz w:val="24"/>
          <w:szCs w:val="24"/>
        </w:rPr>
        <w:t xml:space="preserve">Public Health Sciences, </w:t>
      </w:r>
      <w:r>
        <w:rPr>
          <w:rFonts w:ascii="Times New Roman" w:eastAsia="Times New Roman" w:hAnsi="Times New Roman" w:cs="Times New Roman"/>
          <w:bCs/>
          <w:color w:val="000000"/>
          <w:sz w:val="24"/>
          <w:szCs w:val="24"/>
        </w:rPr>
        <w:t>Fred Hutchinson Cancer Re</w:t>
      </w:r>
      <w:r w:rsidR="00AD12BD">
        <w:rPr>
          <w:rFonts w:ascii="Times New Roman" w:eastAsia="Times New Roman" w:hAnsi="Times New Roman" w:cs="Times New Roman"/>
          <w:bCs/>
          <w:color w:val="000000"/>
          <w:sz w:val="24"/>
          <w:szCs w:val="24"/>
        </w:rPr>
        <w:t xml:space="preserve">search Center, </w:t>
      </w:r>
    </w:p>
    <w:p w14:paraId="62963020" w14:textId="02CA328E" w:rsidR="00AD12BD" w:rsidRDefault="00AD12BD" w:rsidP="008352E0">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1100 Fairview Ave N, Seattle, WA 98109, USA</w:t>
      </w:r>
      <w:r w:rsidR="00841BBB">
        <w:rPr>
          <w:rFonts w:ascii="Times New Roman" w:eastAsia="Times New Roman" w:hAnsi="Times New Roman" w:cs="Times New Roman"/>
          <w:bCs/>
          <w:color w:val="000000"/>
          <w:sz w:val="24"/>
          <w:szCs w:val="24"/>
        </w:rPr>
        <w:t>.</w:t>
      </w:r>
    </w:p>
    <w:p w14:paraId="25C7FD0A" w14:textId="77777777" w:rsidR="00C74355" w:rsidRDefault="008352E0" w:rsidP="00947D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eastAsia="Times New Roman" w:hAnsi="Times New Roman" w:cs="Times New Roman"/>
          <w:bCs/>
          <w:color w:val="000000"/>
          <w:sz w:val="24"/>
          <w:szCs w:val="24"/>
          <w:vertAlign w:val="superscript"/>
        </w:rPr>
        <w:t>2</w:t>
      </w:r>
      <w:r>
        <w:rPr>
          <w:rFonts w:ascii="Times New Roman" w:hAnsi="Times New Roman" w:cs="Times New Roman"/>
          <w:sz w:val="24"/>
          <w:szCs w:val="24"/>
        </w:rPr>
        <w:t xml:space="preserve">Office of Biostatistics, Center for Drug Evaluation and Research, </w:t>
      </w:r>
    </w:p>
    <w:p w14:paraId="7FE4B46E" w14:textId="04433CB5" w:rsidR="00947D78" w:rsidRDefault="008352E0" w:rsidP="00947D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U.S. Food and Drug Administration, </w:t>
      </w:r>
    </w:p>
    <w:p w14:paraId="142335CA" w14:textId="03EAE842" w:rsidR="008352E0" w:rsidRPr="008352E0" w:rsidRDefault="008352E0" w:rsidP="00947D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10903 New Hampshire Avenue, Silver Spring, MD 20993, USA.</w:t>
      </w:r>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6643615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there are multiple references,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In practice, however, the following questions often encountered. Suppose there </w:t>
      </w:r>
      <w:proofErr w:type="gramStart"/>
      <w:r w:rsidRPr="00240E0D">
        <w:rPr>
          <w:rFonts w:ascii="Times New Roman" w:eastAsia="Times New Roman" w:hAnsi="Times New Roman" w:cs="Times New Roman"/>
          <w:color w:val="000000"/>
          <w:sz w:val="24"/>
          <w:szCs w:val="24"/>
        </w:rPr>
        <w:t>are</w:t>
      </w:r>
      <w:proofErr w:type="gramEnd"/>
      <w:r w:rsidRPr="00240E0D">
        <w:rPr>
          <w:rFonts w:ascii="Times New Roman" w:eastAsia="Times New Roman" w:hAnsi="Times New Roman" w:cs="Times New Roman"/>
          <w:color w:val="000000"/>
          <w:sz w:val="24"/>
          <w:szCs w:val="24"/>
        </w:rPr>
        <w:t xml:space="preserv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(2013) proposed a three-arm study design for biosimilarity assessment under a various scenarios of criteria related to multiple references.</w:t>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At the July 13</w:t>
      </w:r>
      <w:r w:rsidRPr="00240E0D">
        <w:rPr>
          <w:rFonts w:ascii="Times New Roman" w:eastAsia="Times New Roman" w:hAnsi="Times New Roman" w:cs="Times New Roman"/>
          <w:sz w:val="20"/>
          <w:szCs w:val="20"/>
          <w:bdr w:val="none" w:sz="0" w:space="0" w:color="auto" w:frame="1"/>
          <w:vertAlign w:val="superscript"/>
        </w:rPr>
        <w:t>th</w:t>
      </w:r>
      <w:r w:rsidRPr="00240E0D">
        <w:rPr>
          <w:rFonts w:ascii="Times New Roman" w:eastAsia="Times New Roman" w:hAnsi="Times New Roman" w:cs="Times New Roman"/>
          <w:sz w:val="24"/>
          <w:szCs w:val="24"/>
          <w:bdr w:val="none" w:sz="0" w:space="0" w:color="auto" w:frame="1"/>
        </w:rPr>
        <w:t xml:space="preserve"> Oncologic Drugs Advisory Committee (ODAC) meeting for review of biosimilar products of </w:t>
      </w:r>
      <w:proofErr w:type="spellStart"/>
      <w:r w:rsidRPr="00240E0D">
        <w:rPr>
          <w:rFonts w:ascii="Times New Roman" w:eastAsia="Times New Roman" w:hAnsi="Times New Roman" w:cs="Times New Roman"/>
          <w:sz w:val="24"/>
          <w:szCs w:val="24"/>
          <w:bdr w:val="none" w:sz="0" w:space="0" w:color="auto" w:frame="1"/>
        </w:rPr>
        <w:t>Avastin</w:t>
      </w:r>
      <w:proofErr w:type="spellEnd"/>
      <w:r w:rsidRPr="00240E0D">
        <w:rPr>
          <w:rFonts w:ascii="Times New Roman" w:eastAsia="Times New Roman" w:hAnsi="Times New Roman" w:cs="Times New Roman"/>
          <w:sz w:val="24"/>
          <w:szCs w:val="24"/>
          <w:bdr w:val="none" w:sz="0" w:space="0" w:color="auto" w:frame="1"/>
        </w:rPr>
        <w:t xml:space="preserve"> and Herceptin, the method of pairwise comparisons has been criticized.</w:t>
      </w:r>
      <w:r w:rsidRPr="00240E0D">
        <w:rPr>
          <w:rFonts w:ascii="Times New Roman" w:eastAsia="Times New Roman" w:hAnsi="Times New Roman" w:cs="Times New Roman"/>
          <w:sz w:val="24"/>
          <w:szCs w:val="24"/>
        </w:rPr>
        <w:t> </w:t>
      </w:r>
      <w:r w:rsidRPr="00240E0D">
        <w:rPr>
          <w:rFonts w:ascii="Times New Roman" w:eastAsia="Times New Roman" w:hAnsi="Times New Roman" w:cs="Times New Roman"/>
          <w:color w:val="000000"/>
          <w:sz w:val="24"/>
          <w:szCs w:val="24"/>
        </w:rPr>
        <w:t>For the method of pairwise comparisons, basically, there are three comparisons (i.e., a proposed biosimilar product versus a US-licensed reference product, the proposed biosimilar product versus an EU-approved reference product, and the US-licensed reference product versus the EU-</w:t>
      </w:r>
      <w:r w:rsidRPr="00240E0D">
        <w:rPr>
          <w:rFonts w:ascii="Times New Roman" w:eastAsia="Times New Roman" w:hAnsi="Times New Roman" w:cs="Times New Roman"/>
          <w:color w:val="000000"/>
          <w:sz w:val="24"/>
          <w:szCs w:val="24"/>
        </w:rPr>
        <w:lastRenderedPageBreak/>
        <w:t>approved reference product). The first criticism is related to the use of different EAC (equivalence acceptance criterion), which was developed based on data from test results from different reference products for the three comparisons. Different EACs may result in difference conclusions regarding the assessment of biosimilarity. The second criticism is related to the accuracy and reliability of each pairwise comparison because each comparison does not fully utilize all data collected from the three treatment groups. The third criticism is related the justification of bridging PK and/or clinical data. In marginal cases, pairwise comparisons may not be sufficient evidence to scientifically/statistically justify the validity of bridged PK and/or clinical data. As an alternative, the ODAC suggested the potential use of simultaneous confidence approach, which has the advantages of utilizing all data collected from the study and using single reference product. In other words, if submission occurs in the US, the US-licensed reference product will be selected as the single reference for the analytical similarity assessment with multiple reference products.</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77777777"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is briefly outlined. The simultaneous confidence interval approach as suggested by the ODAC is described in Section 3. Also included in this section is a simulation study for evaluation of relative performances between the method of pairwise comparisons and the simultaneous confidence interval approach for various scenarios of different reference products. </w:t>
      </w:r>
      <w:r w:rsidRPr="00F72578">
        <w:rPr>
          <w:rFonts w:ascii="Times New Roman" w:eastAsia="Times New Roman" w:hAnsi="Times New Roman" w:cs="Times New Roman"/>
          <w:color w:val="FF0000"/>
          <w:sz w:val="24"/>
          <w:szCs w:val="24"/>
        </w:rPr>
        <w:t>In section 4, Kang and Chow’s method for addressing the third question is discussed.</w:t>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bookmarkStart w:id="0" w:name="_GoBack"/>
      <w:bookmarkEnd w:id="0"/>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w:t>
      </w:r>
      <w:proofErr w:type="gramStart"/>
      <w:r w:rsidRPr="00C74355">
        <w:rPr>
          <w:rFonts w:ascii="Times New Roman" w:eastAsia="Times New Roman" w:hAnsi="Times New Roman" w:cs="Times New Roman"/>
          <w:color w:val="000000"/>
          <w:sz w:val="24"/>
          <w:szCs w:val="24"/>
        </w:rPr>
        <w:t>is</w:t>
      </w:r>
      <w:proofErr w:type="gramEnd"/>
      <w:r w:rsidRPr="00C74355">
        <w:rPr>
          <w:rFonts w:ascii="Times New Roman" w:eastAsia="Times New Roman" w:hAnsi="Times New Roman" w:cs="Times New Roman"/>
          <w:color w:val="000000"/>
          <w:sz w:val="24"/>
          <w:szCs w:val="24"/>
        </w:rPr>
        <w:t xml:space="preserve">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suggested EAC margin is considered as fixed margin conditioned on the observed test values from different reference lots. In equivalence test for CQAs from Tier 1, it is very challenging for </w:t>
      </w:r>
      <w:r w:rsidRPr="00C74355">
        <w:rPr>
          <w:rFonts w:ascii="Times New Roman" w:eastAsia="SimSun" w:hAnsi="Times New Roman" w:cs="Times New Roman"/>
          <w:sz w:val="24"/>
          <w:szCs w:val="24"/>
        </w:rPr>
        <w:lastRenderedPageBreak/>
        <w:t xml:space="preserve">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Suppose there are </w:t>
      </w:r>
      <w:proofErr w:type="spellStart"/>
      <w:r w:rsidRPr="00C74355">
        <w:rPr>
          <w:rFonts w:ascii="Times New Roman" w:eastAsia="Times New Roman" w:hAnsi="Times New Roman" w:cs="Times New Roman"/>
          <w:color w:val="000000"/>
          <w:sz w:val="24"/>
          <w:szCs w:val="24"/>
        </w:rPr>
        <w:t>n</w:t>
      </w:r>
      <w:r w:rsidRPr="00C74355">
        <w:rPr>
          <w:rFonts w:ascii="Times New Roman" w:eastAsia="Times New Roman" w:hAnsi="Times New Roman" w:cs="Times New Roman"/>
          <w:color w:val="000000"/>
          <w:sz w:val="24"/>
          <w:szCs w:val="24"/>
          <w:vertAlign w:val="subscript"/>
        </w:rPr>
        <w:t>R</w:t>
      </w:r>
      <w:proofErr w:type="spellEnd"/>
      <w:r w:rsidRPr="00C74355">
        <w:rPr>
          <w:rFonts w:ascii="Times New Roman" w:eastAsia="Times New Roman" w:hAnsi="Times New Roman" w:cs="Times New Roman"/>
          <w:color w:val="000000"/>
          <w:sz w:val="24"/>
          <w:szCs w:val="24"/>
        </w:rPr>
        <w:t xml:space="preserve"> reference lots and </w:t>
      </w:r>
      <w:proofErr w:type="spellStart"/>
      <w:proofErr w:type="gramStart"/>
      <w:r w:rsidRPr="00C74355">
        <w:rPr>
          <w:rFonts w:ascii="Times New Roman" w:eastAsia="Times New Roman" w:hAnsi="Times New Roman" w:cs="Times New Roman"/>
          <w:color w:val="000000"/>
          <w:sz w:val="24"/>
          <w:szCs w:val="24"/>
        </w:rPr>
        <w:t>n</w:t>
      </w:r>
      <w:r w:rsidRPr="00C74355">
        <w:rPr>
          <w:rFonts w:ascii="Times New Roman" w:eastAsia="Times New Roman" w:hAnsi="Times New Roman" w:cs="Times New Roman"/>
          <w:color w:val="000000"/>
          <w:sz w:val="24"/>
          <w:szCs w:val="24"/>
          <w:vertAlign w:val="subscript"/>
        </w:rPr>
        <w:t>T</w:t>
      </w:r>
      <w:proofErr w:type="spellEnd"/>
      <w:proofErr w:type="gramEnd"/>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CD3A2C"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proofErr w:type="gramStart"/>
      <w:r w:rsidRPr="00C74355">
        <w:rPr>
          <w:rFonts w:ascii="Bookman Old Style" w:eastAsia="Times New Roman" w:hAnsi="Bookman Old Style" w:cs="Times New Roman"/>
          <w:color w:val="000000"/>
          <w:sz w:val="20"/>
          <w:szCs w:val="20"/>
        </w:rPr>
        <w:t>and</w:t>
      </w:r>
      <w:proofErr w:type="gramEnd"/>
    </w:p>
    <w:p w14:paraId="0569F9F8" w14:textId="77777777" w:rsidR="00C74355" w:rsidRPr="00C74355" w:rsidRDefault="00CD3A2C"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roofErr w:type="gramStart"/>
      <w:r w:rsidRPr="00C74355">
        <w:rPr>
          <w:rFonts w:ascii="Bookman Old Style" w:eastAsia="Times New Roman" w:hAnsi="Bookman Old Style" w:cs="Times New Roman"/>
          <w:color w:val="000000"/>
          <w:sz w:val="20"/>
          <w:szCs w:val="20"/>
        </w:rPr>
        <w:t>where</w:t>
      </w:r>
      <w:proofErr w:type="gramEnd"/>
      <w:r w:rsidRPr="00C74355">
        <w:rPr>
          <w:rFonts w:ascii="Bookman Old Style" w:eastAsia="Times New Roman" w:hAnsi="Bookman Old Style" w:cs="Times New Roman"/>
          <w:color w:val="000000"/>
          <w:sz w:val="20"/>
          <w:szCs w:val="20"/>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w:t>
      </w:r>
      <w:proofErr w:type="gramStart"/>
      <w:r w:rsidRPr="00C74355">
        <w:rPr>
          <w:rFonts w:ascii="Times New Roman" w:eastAsia="SimSun" w:hAnsi="Times New Roman" w:cs="Times New Roman"/>
          <w:color w:val="000000"/>
          <w:sz w:val="24"/>
          <w:szCs w:val="24"/>
        </w:rPr>
        <w:t>is</w:t>
      </w:r>
      <w:proofErr w:type="gramEnd"/>
      <w:r w:rsidRPr="00C74355">
        <w:rPr>
          <w:rFonts w:ascii="Times New Roman" w:eastAsia="SimSun" w:hAnsi="Times New Roman" w:cs="Times New Roman"/>
          <w:color w:val="000000"/>
          <w:sz w:val="24"/>
          <w:szCs w:val="24"/>
        </w:rPr>
        <w:t xml:space="preserve">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CD3A2C"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CD3A2C"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proofErr w:type="gramStart"/>
      <w:r w:rsidRPr="00C74355">
        <w:rPr>
          <w:rFonts w:ascii="Times New Roman" w:eastAsia="Times New Roman" w:hAnsi="Times New Roman" w:cs="Times New Roman"/>
          <w:color w:val="000000"/>
          <w:sz w:val="24"/>
          <w:szCs w:val="24"/>
        </w:rPr>
        <w:t>where</w:t>
      </w:r>
      <w:proofErr w:type="gramEnd"/>
      <w:r w:rsidRPr="00C74355">
        <w:rPr>
          <w:rFonts w:ascii="Times New Roman" w:eastAsia="Times New Roman" w:hAnsi="Times New Roman" w:cs="Times New Roman"/>
          <w:color w:val="000000"/>
          <w:sz w:val="24"/>
          <w:szCs w:val="24"/>
        </w:rPr>
        <w:t xml:space="preserv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w:t>
      </w:r>
      <w:proofErr w:type="gramStart"/>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w:t>
      </w:r>
      <w:proofErr w:type="gramEnd"/>
      <w:r w:rsidRPr="00C74355">
        <w:rPr>
          <w:rFonts w:ascii="Times New Roman" w:eastAsia="Times New Roman" w:hAnsi="Times New Roman" w:cs="Times New Roman"/>
          <w:color w:val="000000"/>
          <w:sz w:val="24"/>
          <w:szCs w:val="24"/>
        </w:rPr>
        <w:t xml:space="preserve">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1D49A6" w14:textId="144DC62F" w:rsidR="00C74355" w:rsidRPr="00B12875" w:rsidRDefault="00C74355" w:rsidP="00C74355">
      <w:pPr>
        <w:spacing w:after="0" w:line="240" w:lineRule="auto"/>
        <w:jc w:val="both"/>
        <w:rPr>
          <w:rFonts w:ascii="Times New Roman" w:eastAsia="Times New Roman" w:hAnsi="Times New Roman" w:cs="Times New Roman"/>
          <w:b/>
          <w:sz w:val="24"/>
          <w:szCs w:val="24"/>
        </w:rPr>
      </w:pPr>
      <w:r w:rsidRPr="00B12875">
        <w:rPr>
          <w:rFonts w:ascii="Times New Roman" w:eastAsia="Times New Roman" w:hAnsi="Times New Roman" w:cs="Times New Roman"/>
          <w:b/>
          <w:sz w:val="24"/>
          <w:szCs w:val="24"/>
        </w:rPr>
        <w:t>2.3 An Example</w:t>
      </w:r>
    </w:p>
    <w:p w14:paraId="74EACBAB" w14:textId="77777777" w:rsidR="00FE22F3" w:rsidRPr="00B12875" w:rsidRDefault="00FE22F3" w:rsidP="00C74355">
      <w:pPr>
        <w:spacing w:after="0" w:line="240" w:lineRule="auto"/>
        <w:jc w:val="both"/>
        <w:rPr>
          <w:rFonts w:ascii="Times New Roman" w:eastAsia="Times New Roman" w:hAnsi="Times New Roman" w:cs="Times New Roman"/>
          <w:b/>
          <w:sz w:val="24"/>
          <w:szCs w:val="24"/>
        </w:rPr>
      </w:pPr>
    </w:p>
    <w:p w14:paraId="66AF01CA" w14:textId="7E56FE82" w:rsidR="007D3DE4" w:rsidRPr="007547FC" w:rsidRDefault="007D3DE4" w:rsidP="007D3DE4">
      <w:pPr>
        <w:jc w:val="both"/>
        <w:rPr>
          <w:rFonts w:ascii="Times New Roman" w:hAnsi="Times New Roman" w:cs="Times New Roman"/>
          <w:sz w:val="24"/>
          <w:szCs w:val="24"/>
        </w:rPr>
      </w:pPr>
      <w:r w:rsidRPr="00B12875">
        <w:rPr>
          <w:rFonts w:ascii="Times New Roman" w:eastAsia="Times New Roman" w:hAnsi="Times New Roman" w:cs="Times New Roman"/>
          <w:sz w:val="24"/>
          <w:szCs w:val="24"/>
        </w:rPr>
        <w:t>Here we provide a numeric example in which</w:t>
      </w:r>
      <w:r w:rsidR="00FE22F3" w:rsidRPr="00B12875">
        <w:rPr>
          <w:rFonts w:ascii="Times New Roman" w:eastAsia="Times New Roman" w:hAnsi="Times New Roman" w:cs="Times New Roman"/>
          <w:sz w:val="24"/>
          <w:szCs w:val="24"/>
        </w:rPr>
        <w:t xml:space="preserve"> 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Pr>
          <w:rFonts w:ascii="Times New Roman" w:eastAsia="Times New Roman" w:hAnsi="Times New Roman" w:cs="Times New Roman"/>
          <w:sz w:val="24"/>
          <w:szCs w:val="24"/>
        </w:rPr>
        <w:t xml:space="preserve"> are highly similar, 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Pr>
          <w:rFonts w:ascii="Times New Roman" w:eastAsia="Times New Roman" w:hAnsi="Times New Roman" w:cs="Times New Roman"/>
          <w:sz w:val="24"/>
          <w:szCs w:val="24"/>
        </w:rPr>
        <w:t xml:space="preserve"> are highly similar, but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Pr>
          <w:rFonts w:ascii="Times New Roman" w:eastAsia="Times New Roman" w:hAnsi="Times New Roman" w:cs="Times New Roman"/>
          <w:sz w:val="24"/>
          <w:szCs w:val="24"/>
        </w:rPr>
        <w:t xml:space="preserve"> are not highly similar.</w:t>
      </w:r>
      <w:r w:rsidRPr="00B940D0">
        <w:rPr>
          <w:rFonts w:ascii="Times New Roman" w:eastAsia="Times New Roman" w:hAnsi="Times New Roman" w:cs="Times New Roman"/>
          <w:color w:val="C00000"/>
          <w:sz w:val="24"/>
          <w:szCs w:val="24"/>
        </w:rPr>
        <w:t xml:space="preserve"> </w:t>
      </w:r>
      <w:r w:rsidRPr="00A0104C">
        <w:rPr>
          <w:rFonts w:ascii="Times New Roman" w:hAnsi="Times New Roman" w:cs="Times New Roman"/>
          <w:sz w:val="24"/>
          <w:szCs w:val="24"/>
        </w:rPr>
        <w:t xml:space="preserve">Denote US, EU and T as the US reference, the EU reference and the test biosimilar. Assume US, EU and T follow normal distributions. In this numerical example, the true means of US, EU and T were </w:t>
      </w:r>
      <w:r w:rsidRPr="00B12875">
        <w:rPr>
          <w:rFonts w:ascii="Times New Roman" w:hAnsi="Times New Roman" w:cs="Times New Roman"/>
          <w:sz w:val="24"/>
          <w:szCs w:val="24"/>
        </w:rPr>
        <w:t>0, 2 and 1;</w:t>
      </w:r>
      <w:r w:rsidRPr="00A0104C">
        <w:rPr>
          <w:rFonts w:ascii="Times New Roman" w:hAnsi="Times New Roman" w:cs="Times New Roman"/>
          <w:sz w:val="24"/>
          <w:szCs w:val="24"/>
        </w:rPr>
        <w:t xml:space="preserve"> the true standard deviations of US, EU and T were identical, and equal </w:t>
      </w:r>
      <w:r w:rsidRPr="00B12875">
        <w:rPr>
          <w:rFonts w:ascii="Times New Roman" w:hAnsi="Times New Roman" w:cs="Times New Roman"/>
          <w:sz w:val="24"/>
          <w:szCs w:val="24"/>
        </w:rPr>
        <w:t>to 8.</w:t>
      </w:r>
      <w:r w:rsidRPr="00A0104C">
        <w:rPr>
          <w:rFonts w:ascii="Times New Roman" w:hAnsi="Times New Roman" w:cs="Times New Roman"/>
          <w:sz w:val="24"/>
          <w:szCs w:val="24"/>
        </w:rPr>
        <w:t xml:space="preserve"> The sample size was set to be </w:t>
      </w:r>
      <w:r w:rsidRPr="00B12875">
        <w:rPr>
          <w:rFonts w:ascii="Times New Roman" w:hAnsi="Times New Roman" w:cs="Times New Roman"/>
          <w:sz w:val="24"/>
          <w:szCs w:val="24"/>
        </w:rPr>
        <w:t xml:space="preserve">10 </w:t>
      </w:r>
      <w:r w:rsidRPr="00A0104C">
        <w:rPr>
          <w:rFonts w:ascii="Times New Roman" w:hAnsi="Times New Roman" w:cs="Times New Roman"/>
          <w:sz w:val="24"/>
          <w:szCs w:val="24"/>
        </w:rPr>
        <w:t>for the datasets of US, EU and T, as well as the US dataset</w:t>
      </w:r>
      <w:r w:rsidR="001A35EE">
        <w:rPr>
          <w:rFonts w:ascii="Times New Roman" w:hAnsi="Times New Roman" w:cs="Times New Roman"/>
          <w:sz w:val="24"/>
          <w:szCs w:val="24"/>
        </w:rPr>
        <w:t xml:space="preserve"> and EU dataset</w:t>
      </w:r>
      <w:r w:rsidRPr="00A0104C">
        <w:rPr>
          <w:rFonts w:ascii="Times New Roman" w:hAnsi="Times New Roman" w:cs="Times New Roman"/>
          <w:sz w:val="24"/>
          <w:szCs w:val="24"/>
        </w:rPr>
        <w:t xml:space="preserve">, which </w:t>
      </w:r>
      <w:r w:rsidR="001A35EE">
        <w:rPr>
          <w:rFonts w:ascii="Times New Roman" w:hAnsi="Times New Roman" w:cs="Times New Roman"/>
          <w:sz w:val="24"/>
          <w:szCs w:val="24"/>
        </w:rPr>
        <w:t>were</w:t>
      </w:r>
      <w:r w:rsidRPr="00A0104C">
        <w:rPr>
          <w:rFonts w:ascii="Times New Roman" w:hAnsi="Times New Roman" w:cs="Times New Roman"/>
          <w:sz w:val="24"/>
          <w:szCs w:val="24"/>
        </w:rPr>
        <w:t xml:space="preserve"> used to obtain the “true” standard deviation. The </w:t>
      </w:r>
      <w:r w:rsidR="00537B31">
        <w:rPr>
          <w:rFonts w:ascii="Times New Roman" w:hAnsi="Times New Roman" w:cs="Times New Roman"/>
          <w:sz w:val="24"/>
          <w:szCs w:val="24"/>
        </w:rPr>
        <w:t xml:space="preserve">allowed </w:t>
      </w:r>
      <w:r w:rsidRPr="00A0104C">
        <w:rPr>
          <w:rFonts w:ascii="Times New Roman" w:hAnsi="Times New Roman" w:cs="Times New Roman"/>
          <w:sz w:val="24"/>
          <w:szCs w:val="24"/>
        </w:rPr>
        <w:t>type I error was set to 10%. Three pairwise comparisons, EU v</w:t>
      </w:r>
      <w:r w:rsidR="00B42BD6">
        <w:rPr>
          <w:rFonts w:ascii="Times New Roman" w:hAnsi="Times New Roman" w:cs="Times New Roman"/>
          <w:sz w:val="24"/>
          <w:szCs w:val="24"/>
        </w:rPr>
        <w:t>ersu</w:t>
      </w:r>
      <w:r w:rsidRPr="00A0104C">
        <w:rPr>
          <w:rFonts w:ascii="Times New Roman" w:hAnsi="Times New Roman" w:cs="Times New Roman"/>
          <w:sz w:val="24"/>
          <w:szCs w:val="24"/>
        </w:rPr>
        <w:t>s</w:t>
      </w:r>
      <w:r w:rsidR="00537B31">
        <w:rPr>
          <w:rFonts w:ascii="Times New Roman" w:hAnsi="Times New Roman" w:cs="Times New Roman"/>
          <w:sz w:val="24"/>
          <w:szCs w:val="24"/>
        </w:rPr>
        <w:t xml:space="preserve"> US, T v</w:t>
      </w:r>
      <w:r w:rsidR="00B42BD6">
        <w:rPr>
          <w:rFonts w:ascii="Times New Roman" w:hAnsi="Times New Roman" w:cs="Times New Roman"/>
          <w:sz w:val="24"/>
          <w:szCs w:val="24"/>
        </w:rPr>
        <w:t>ersu</w:t>
      </w:r>
      <w:r w:rsidR="00537B31">
        <w:rPr>
          <w:rFonts w:ascii="Times New Roman" w:hAnsi="Times New Roman" w:cs="Times New Roman"/>
          <w:sz w:val="24"/>
          <w:szCs w:val="24"/>
        </w:rPr>
        <w:t>s US, T v</w:t>
      </w:r>
      <w:r w:rsidR="00B42BD6">
        <w:rPr>
          <w:rFonts w:ascii="Times New Roman" w:hAnsi="Times New Roman" w:cs="Times New Roman"/>
          <w:sz w:val="24"/>
          <w:szCs w:val="24"/>
        </w:rPr>
        <w:t>ersu</w:t>
      </w:r>
      <w:r w:rsidR="00537B31">
        <w:rPr>
          <w:rFonts w:ascii="Times New Roman" w:hAnsi="Times New Roman" w:cs="Times New Roman"/>
          <w:sz w:val="24"/>
          <w:szCs w:val="24"/>
        </w:rPr>
        <w:t>s EU, were analyzed</w:t>
      </w:r>
      <w:r w:rsidRPr="00A0104C">
        <w:rPr>
          <w:rFonts w:ascii="Times New Roman" w:hAnsi="Times New Roman" w:cs="Times New Roman"/>
          <w:sz w:val="24"/>
          <w:szCs w:val="24"/>
        </w:rPr>
        <w:t xml:space="preserve"> using the FDA recommended approach, with US, US, and EU as the references</w:t>
      </w:r>
      <w:r w:rsidR="00537B31">
        <w:rPr>
          <w:rFonts w:ascii="Times New Roman" w:hAnsi="Times New Roman" w:cs="Times New Roman"/>
          <w:sz w:val="24"/>
          <w:szCs w:val="24"/>
        </w:rPr>
        <w:t>, respectively. The data listing is in Table 1</w:t>
      </w:r>
      <w:r w:rsidR="00067FFC">
        <w:rPr>
          <w:rFonts w:ascii="Times New Roman" w:hAnsi="Times New Roman" w:cs="Times New Roman"/>
          <w:sz w:val="24"/>
          <w:szCs w:val="24"/>
        </w:rPr>
        <w:t xml:space="preserve"> with the corresponding</w:t>
      </w:r>
      <w:r w:rsidR="00067FFC" w:rsidRPr="00A0104C">
        <w:rPr>
          <w:rFonts w:ascii="Times New Roman" w:hAnsi="Times New Roman" w:cs="Times New Roman"/>
          <w:sz w:val="24"/>
          <w:szCs w:val="24"/>
        </w:rPr>
        <w:t xml:space="preserve"> scatter plot </w:t>
      </w:r>
      <w:r w:rsidR="00555F41">
        <w:rPr>
          <w:rFonts w:ascii="Times New Roman" w:hAnsi="Times New Roman" w:cs="Times New Roman"/>
          <w:sz w:val="24"/>
          <w:szCs w:val="24"/>
        </w:rPr>
        <w:t>in F</w:t>
      </w:r>
      <w:r w:rsidR="00067FFC">
        <w:rPr>
          <w:rFonts w:ascii="Times New Roman" w:hAnsi="Times New Roman" w:cs="Times New Roman"/>
          <w:sz w:val="24"/>
          <w:szCs w:val="24"/>
        </w:rPr>
        <w:t>igure 1</w:t>
      </w:r>
      <w:r w:rsidR="00067FFC" w:rsidRPr="00A0104C">
        <w:rPr>
          <w:rFonts w:ascii="Times New Roman" w:hAnsi="Times New Roman" w:cs="Times New Roman"/>
          <w:sz w:val="24"/>
          <w:szCs w:val="24"/>
        </w:rPr>
        <w:t>.</w:t>
      </w:r>
    </w:p>
    <w:p w14:paraId="6F84CCF1" w14:textId="15261E8A" w:rsidR="00FB64CB" w:rsidRDefault="00FB64CB" w:rsidP="00FB64CB">
      <w:pPr>
        <w:pStyle w:val="Caption"/>
        <w:keepNext/>
      </w:pPr>
      <w:r>
        <w:lastRenderedPageBreak/>
        <w:t xml:space="preserve">Table </w:t>
      </w:r>
      <w:fldSimple w:instr=" SEQ Table \* ARABIC ">
        <w:r w:rsidR="00EC7A1B">
          <w:rPr>
            <w:noProof/>
          </w:rPr>
          <w:t>1</w:t>
        </w:r>
      </w:fldSimple>
      <w:r>
        <w:t>: data listing of the numeric example</w:t>
      </w:r>
    </w:p>
    <w:tbl>
      <w:tblPr>
        <w:tblW w:w="8635" w:type="dxa"/>
        <w:tblInd w:w="113" w:type="dxa"/>
        <w:tblLayout w:type="fixed"/>
        <w:tblLook w:val="04A0" w:firstRow="1" w:lastRow="0" w:firstColumn="1" w:lastColumn="0" w:noHBand="0" w:noVBand="1"/>
      </w:tblPr>
      <w:tblGrid>
        <w:gridCol w:w="1525"/>
        <w:gridCol w:w="630"/>
        <w:gridCol w:w="720"/>
        <w:gridCol w:w="810"/>
        <w:gridCol w:w="720"/>
        <w:gridCol w:w="720"/>
        <w:gridCol w:w="630"/>
        <w:gridCol w:w="720"/>
        <w:gridCol w:w="810"/>
        <w:gridCol w:w="720"/>
        <w:gridCol w:w="630"/>
      </w:tblGrid>
      <w:tr w:rsidR="007D3DE4" w:rsidRPr="0037144D" w14:paraId="143F2335" w14:textId="77777777" w:rsidTr="00B940D0">
        <w:trPr>
          <w:trHeight w:val="300"/>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F089A7" w14:textId="3EF02771" w:rsidR="007D3DE4" w:rsidRPr="0037144D" w:rsidRDefault="00FF389C" w:rsidP="00FF389C">
            <w:pPr>
              <w:jc w:val="cente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D</w:t>
            </w:r>
            <w:r w:rsidR="007D3DE4" w:rsidRPr="0037144D">
              <w:rPr>
                <w:rFonts w:ascii="Times New Roman" w:eastAsia="Times New Roman" w:hAnsi="Times New Roman" w:cs="Times New Roman"/>
                <w:color w:val="000000"/>
                <w:sz w:val="16"/>
                <w:szCs w:val="16"/>
              </w:rPr>
              <w:t>ata</w:t>
            </w:r>
            <w:r>
              <w:rPr>
                <w:rFonts w:ascii="Times New Roman" w:eastAsia="Times New Roman" w:hAnsi="Times New Roman" w:cs="Times New Roman"/>
                <w:color w:val="000000"/>
                <w:sz w:val="16"/>
                <w:szCs w:val="16"/>
              </w:rPr>
              <w:t xml:space="preserve"> L</w:t>
            </w:r>
            <w:r w:rsidR="007D3DE4" w:rsidRPr="0037144D">
              <w:rPr>
                <w:rFonts w:ascii="Times New Roman" w:eastAsia="Times New Roman" w:hAnsi="Times New Roman" w:cs="Times New Roman"/>
                <w:color w:val="000000"/>
                <w:sz w:val="16"/>
                <w:szCs w:val="16"/>
              </w:rPr>
              <w:t>isting</w:t>
            </w:r>
          </w:p>
        </w:tc>
        <w:tc>
          <w:tcPr>
            <w:tcW w:w="711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61DDC799" w14:textId="3112E31D" w:rsidR="007D3DE4" w:rsidRPr="0037144D" w:rsidRDefault="00FF389C" w:rsidP="00B940D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w:t>
            </w:r>
            <w:r w:rsidR="007D3DE4" w:rsidRPr="0037144D">
              <w:rPr>
                <w:rFonts w:ascii="Times New Roman" w:eastAsia="Times New Roman" w:hAnsi="Times New Roman" w:cs="Times New Roman"/>
                <w:color w:val="000000"/>
                <w:sz w:val="16"/>
                <w:szCs w:val="16"/>
              </w:rPr>
              <w:t>ot</w:t>
            </w:r>
          </w:p>
        </w:tc>
      </w:tr>
      <w:tr w:rsidR="007D3DE4" w:rsidRPr="0037144D" w14:paraId="59E9B6C8" w14:textId="77777777" w:rsidTr="00B940D0">
        <w:trPr>
          <w:trHeight w:val="300"/>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55366DF0" w14:textId="77777777" w:rsidR="007D3DE4" w:rsidRPr="0037144D" w:rsidRDefault="007D3DE4" w:rsidP="00B940D0">
            <w:pP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single" w:sz="4" w:space="0" w:color="auto"/>
            </w:tcBorders>
            <w:shd w:val="clear" w:color="auto" w:fill="auto"/>
            <w:noWrap/>
            <w:vAlign w:val="bottom"/>
            <w:hideMark/>
          </w:tcPr>
          <w:p w14:paraId="2424672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bottom"/>
            <w:hideMark/>
          </w:tcPr>
          <w:p w14:paraId="2397252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w:t>
            </w:r>
          </w:p>
        </w:tc>
        <w:tc>
          <w:tcPr>
            <w:tcW w:w="810" w:type="dxa"/>
            <w:tcBorders>
              <w:top w:val="nil"/>
              <w:left w:val="nil"/>
              <w:bottom w:val="single" w:sz="4" w:space="0" w:color="auto"/>
              <w:right w:val="single" w:sz="4" w:space="0" w:color="auto"/>
            </w:tcBorders>
            <w:shd w:val="clear" w:color="auto" w:fill="auto"/>
            <w:noWrap/>
            <w:vAlign w:val="bottom"/>
            <w:hideMark/>
          </w:tcPr>
          <w:p w14:paraId="78783F86"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w:t>
            </w:r>
          </w:p>
        </w:tc>
        <w:tc>
          <w:tcPr>
            <w:tcW w:w="720" w:type="dxa"/>
            <w:tcBorders>
              <w:top w:val="nil"/>
              <w:left w:val="nil"/>
              <w:bottom w:val="single" w:sz="4" w:space="0" w:color="auto"/>
              <w:right w:val="single" w:sz="4" w:space="0" w:color="auto"/>
            </w:tcBorders>
            <w:shd w:val="clear" w:color="auto" w:fill="auto"/>
            <w:noWrap/>
            <w:vAlign w:val="bottom"/>
            <w:hideMark/>
          </w:tcPr>
          <w:p w14:paraId="3829DE08"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4</w:t>
            </w:r>
          </w:p>
        </w:tc>
        <w:tc>
          <w:tcPr>
            <w:tcW w:w="720" w:type="dxa"/>
            <w:tcBorders>
              <w:top w:val="nil"/>
              <w:left w:val="nil"/>
              <w:bottom w:val="single" w:sz="4" w:space="0" w:color="auto"/>
              <w:right w:val="single" w:sz="4" w:space="0" w:color="auto"/>
            </w:tcBorders>
            <w:shd w:val="clear" w:color="auto" w:fill="auto"/>
            <w:noWrap/>
            <w:vAlign w:val="bottom"/>
            <w:hideMark/>
          </w:tcPr>
          <w:p w14:paraId="3937B78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5</w:t>
            </w:r>
          </w:p>
        </w:tc>
        <w:tc>
          <w:tcPr>
            <w:tcW w:w="630" w:type="dxa"/>
            <w:tcBorders>
              <w:top w:val="nil"/>
              <w:left w:val="nil"/>
              <w:bottom w:val="single" w:sz="4" w:space="0" w:color="auto"/>
              <w:right w:val="single" w:sz="4" w:space="0" w:color="auto"/>
            </w:tcBorders>
            <w:shd w:val="clear" w:color="auto" w:fill="auto"/>
            <w:noWrap/>
            <w:vAlign w:val="bottom"/>
            <w:hideMark/>
          </w:tcPr>
          <w:p w14:paraId="298912C9"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6</w:t>
            </w:r>
          </w:p>
        </w:tc>
        <w:tc>
          <w:tcPr>
            <w:tcW w:w="720" w:type="dxa"/>
            <w:tcBorders>
              <w:top w:val="nil"/>
              <w:left w:val="nil"/>
              <w:bottom w:val="single" w:sz="4" w:space="0" w:color="auto"/>
              <w:right w:val="single" w:sz="4" w:space="0" w:color="auto"/>
            </w:tcBorders>
            <w:shd w:val="clear" w:color="auto" w:fill="auto"/>
            <w:noWrap/>
            <w:vAlign w:val="bottom"/>
            <w:hideMark/>
          </w:tcPr>
          <w:p w14:paraId="0AA260D8"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7</w:t>
            </w:r>
          </w:p>
        </w:tc>
        <w:tc>
          <w:tcPr>
            <w:tcW w:w="810" w:type="dxa"/>
            <w:tcBorders>
              <w:top w:val="nil"/>
              <w:left w:val="nil"/>
              <w:bottom w:val="single" w:sz="4" w:space="0" w:color="auto"/>
              <w:right w:val="single" w:sz="4" w:space="0" w:color="auto"/>
            </w:tcBorders>
            <w:shd w:val="clear" w:color="auto" w:fill="auto"/>
            <w:noWrap/>
            <w:vAlign w:val="bottom"/>
            <w:hideMark/>
          </w:tcPr>
          <w:p w14:paraId="1269FE5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8</w:t>
            </w:r>
          </w:p>
        </w:tc>
        <w:tc>
          <w:tcPr>
            <w:tcW w:w="720" w:type="dxa"/>
            <w:tcBorders>
              <w:top w:val="nil"/>
              <w:left w:val="nil"/>
              <w:bottom w:val="single" w:sz="4" w:space="0" w:color="auto"/>
              <w:right w:val="single" w:sz="4" w:space="0" w:color="auto"/>
            </w:tcBorders>
            <w:shd w:val="clear" w:color="auto" w:fill="auto"/>
            <w:noWrap/>
            <w:vAlign w:val="bottom"/>
            <w:hideMark/>
          </w:tcPr>
          <w:p w14:paraId="074DED4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9</w:t>
            </w:r>
          </w:p>
        </w:tc>
        <w:tc>
          <w:tcPr>
            <w:tcW w:w="630" w:type="dxa"/>
            <w:tcBorders>
              <w:top w:val="nil"/>
              <w:left w:val="nil"/>
              <w:bottom w:val="single" w:sz="4" w:space="0" w:color="auto"/>
              <w:right w:val="single" w:sz="4" w:space="0" w:color="auto"/>
            </w:tcBorders>
            <w:shd w:val="clear" w:color="auto" w:fill="auto"/>
            <w:noWrap/>
            <w:vAlign w:val="bottom"/>
            <w:hideMark/>
          </w:tcPr>
          <w:p w14:paraId="53936DD7"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10</w:t>
            </w:r>
          </w:p>
        </w:tc>
      </w:tr>
      <w:tr w:rsidR="007D3DE4" w:rsidRPr="0037144D" w14:paraId="49B0EE36" w14:textId="77777777" w:rsidTr="00B940D0">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160326" w14:textId="77777777" w:rsidR="007D3DE4" w:rsidRPr="0037144D" w:rsidRDefault="007D3DE4" w:rsidP="00B940D0">
            <w:pP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T</w:t>
            </w:r>
          </w:p>
        </w:tc>
        <w:tc>
          <w:tcPr>
            <w:tcW w:w="630" w:type="dxa"/>
            <w:tcBorders>
              <w:top w:val="nil"/>
              <w:left w:val="nil"/>
              <w:bottom w:val="single" w:sz="4" w:space="0" w:color="auto"/>
              <w:right w:val="single" w:sz="4" w:space="0" w:color="auto"/>
            </w:tcBorders>
            <w:shd w:val="clear" w:color="auto" w:fill="auto"/>
            <w:noWrap/>
            <w:vAlign w:val="bottom"/>
            <w:hideMark/>
          </w:tcPr>
          <w:p w14:paraId="4583C99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4.36</w:t>
            </w:r>
          </w:p>
        </w:tc>
        <w:tc>
          <w:tcPr>
            <w:tcW w:w="720" w:type="dxa"/>
            <w:tcBorders>
              <w:top w:val="nil"/>
              <w:left w:val="nil"/>
              <w:bottom w:val="single" w:sz="4" w:space="0" w:color="auto"/>
              <w:right w:val="single" w:sz="4" w:space="0" w:color="auto"/>
            </w:tcBorders>
            <w:shd w:val="clear" w:color="auto" w:fill="auto"/>
            <w:noWrap/>
            <w:vAlign w:val="bottom"/>
            <w:hideMark/>
          </w:tcPr>
          <w:p w14:paraId="6BDA227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4.17</w:t>
            </w:r>
          </w:p>
        </w:tc>
        <w:tc>
          <w:tcPr>
            <w:tcW w:w="810" w:type="dxa"/>
            <w:tcBorders>
              <w:top w:val="nil"/>
              <w:left w:val="nil"/>
              <w:bottom w:val="single" w:sz="4" w:space="0" w:color="auto"/>
              <w:right w:val="single" w:sz="4" w:space="0" w:color="auto"/>
            </w:tcBorders>
            <w:shd w:val="clear" w:color="auto" w:fill="auto"/>
            <w:noWrap/>
            <w:vAlign w:val="bottom"/>
            <w:hideMark/>
          </w:tcPr>
          <w:p w14:paraId="2A680871"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14.92</w:t>
            </w:r>
          </w:p>
        </w:tc>
        <w:tc>
          <w:tcPr>
            <w:tcW w:w="720" w:type="dxa"/>
            <w:tcBorders>
              <w:top w:val="nil"/>
              <w:left w:val="nil"/>
              <w:bottom w:val="single" w:sz="4" w:space="0" w:color="auto"/>
              <w:right w:val="single" w:sz="4" w:space="0" w:color="auto"/>
            </w:tcBorders>
            <w:shd w:val="clear" w:color="auto" w:fill="auto"/>
            <w:noWrap/>
            <w:vAlign w:val="bottom"/>
            <w:hideMark/>
          </w:tcPr>
          <w:p w14:paraId="7418A44D"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18.64</w:t>
            </w:r>
          </w:p>
        </w:tc>
        <w:tc>
          <w:tcPr>
            <w:tcW w:w="720" w:type="dxa"/>
            <w:tcBorders>
              <w:top w:val="nil"/>
              <w:left w:val="nil"/>
              <w:bottom w:val="single" w:sz="4" w:space="0" w:color="auto"/>
              <w:right w:val="single" w:sz="4" w:space="0" w:color="auto"/>
            </w:tcBorders>
            <w:shd w:val="clear" w:color="auto" w:fill="auto"/>
            <w:noWrap/>
            <w:vAlign w:val="bottom"/>
            <w:hideMark/>
          </w:tcPr>
          <w:p w14:paraId="70640239"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-18.42</w:t>
            </w:r>
          </w:p>
        </w:tc>
        <w:tc>
          <w:tcPr>
            <w:tcW w:w="630" w:type="dxa"/>
            <w:tcBorders>
              <w:top w:val="nil"/>
              <w:left w:val="nil"/>
              <w:bottom w:val="single" w:sz="4" w:space="0" w:color="auto"/>
              <w:right w:val="single" w:sz="4" w:space="0" w:color="auto"/>
            </w:tcBorders>
            <w:shd w:val="clear" w:color="auto" w:fill="auto"/>
            <w:noWrap/>
            <w:vAlign w:val="bottom"/>
            <w:hideMark/>
          </w:tcPr>
          <w:p w14:paraId="47B64668"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-6.36</w:t>
            </w:r>
          </w:p>
        </w:tc>
        <w:tc>
          <w:tcPr>
            <w:tcW w:w="720" w:type="dxa"/>
            <w:tcBorders>
              <w:top w:val="nil"/>
              <w:left w:val="nil"/>
              <w:bottom w:val="single" w:sz="4" w:space="0" w:color="auto"/>
              <w:right w:val="single" w:sz="4" w:space="0" w:color="auto"/>
            </w:tcBorders>
            <w:shd w:val="clear" w:color="auto" w:fill="auto"/>
            <w:noWrap/>
            <w:vAlign w:val="bottom"/>
            <w:hideMark/>
          </w:tcPr>
          <w:p w14:paraId="36B7EDC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-2.95</w:t>
            </w:r>
          </w:p>
        </w:tc>
        <w:tc>
          <w:tcPr>
            <w:tcW w:w="810" w:type="dxa"/>
            <w:tcBorders>
              <w:top w:val="nil"/>
              <w:left w:val="nil"/>
              <w:bottom w:val="single" w:sz="4" w:space="0" w:color="auto"/>
              <w:right w:val="single" w:sz="4" w:space="0" w:color="auto"/>
            </w:tcBorders>
            <w:shd w:val="clear" w:color="auto" w:fill="auto"/>
            <w:noWrap/>
            <w:vAlign w:val="bottom"/>
            <w:hideMark/>
          </w:tcPr>
          <w:p w14:paraId="492AD28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-7.51</w:t>
            </w:r>
          </w:p>
        </w:tc>
        <w:tc>
          <w:tcPr>
            <w:tcW w:w="720" w:type="dxa"/>
            <w:tcBorders>
              <w:top w:val="nil"/>
              <w:left w:val="nil"/>
              <w:bottom w:val="single" w:sz="4" w:space="0" w:color="auto"/>
              <w:right w:val="single" w:sz="4" w:space="0" w:color="auto"/>
            </w:tcBorders>
            <w:shd w:val="clear" w:color="auto" w:fill="auto"/>
            <w:noWrap/>
            <w:vAlign w:val="bottom"/>
            <w:hideMark/>
          </w:tcPr>
          <w:p w14:paraId="0ADA4A1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-2.78</w:t>
            </w:r>
          </w:p>
        </w:tc>
        <w:tc>
          <w:tcPr>
            <w:tcW w:w="630" w:type="dxa"/>
            <w:tcBorders>
              <w:top w:val="nil"/>
              <w:left w:val="nil"/>
              <w:bottom w:val="single" w:sz="4" w:space="0" w:color="auto"/>
              <w:right w:val="single" w:sz="4" w:space="0" w:color="auto"/>
            </w:tcBorders>
            <w:shd w:val="clear" w:color="auto" w:fill="auto"/>
            <w:noWrap/>
            <w:vAlign w:val="bottom"/>
            <w:hideMark/>
          </w:tcPr>
          <w:p w14:paraId="7359738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-4.81</w:t>
            </w:r>
          </w:p>
        </w:tc>
      </w:tr>
      <w:tr w:rsidR="007D3DE4" w:rsidRPr="0037144D" w14:paraId="34A58687" w14:textId="77777777" w:rsidTr="00B940D0">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3AF5912" w14:textId="77777777" w:rsidR="007D3DE4" w:rsidRPr="0037144D" w:rsidRDefault="007D3DE4" w:rsidP="00B940D0">
            <w:pP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US</w:t>
            </w:r>
          </w:p>
        </w:tc>
        <w:tc>
          <w:tcPr>
            <w:tcW w:w="630" w:type="dxa"/>
            <w:tcBorders>
              <w:top w:val="nil"/>
              <w:left w:val="nil"/>
              <w:bottom w:val="single" w:sz="4" w:space="0" w:color="auto"/>
              <w:right w:val="single" w:sz="4" w:space="0" w:color="auto"/>
            </w:tcBorders>
            <w:shd w:val="clear" w:color="auto" w:fill="auto"/>
            <w:noWrap/>
            <w:vAlign w:val="bottom"/>
            <w:hideMark/>
          </w:tcPr>
          <w:p w14:paraId="18F8DE0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-1.75</w:t>
            </w:r>
          </w:p>
        </w:tc>
        <w:tc>
          <w:tcPr>
            <w:tcW w:w="720" w:type="dxa"/>
            <w:tcBorders>
              <w:top w:val="nil"/>
              <w:left w:val="nil"/>
              <w:bottom w:val="single" w:sz="4" w:space="0" w:color="auto"/>
              <w:right w:val="single" w:sz="4" w:space="0" w:color="auto"/>
            </w:tcBorders>
            <w:shd w:val="clear" w:color="auto" w:fill="auto"/>
            <w:noWrap/>
            <w:vAlign w:val="bottom"/>
            <w:hideMark/>
          </w:tcPr>
          <w:p w14:paraId="1E69BDB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-21.87</w:t>
            </w:r>
          </w:p>
        </w:tc>
        <w:tc>
          <w:tcPr>
            <w:tcW w:w="810" w:type="dxa"/>
            <w:tcBorders>
              <w:top w:val="nil"/>
              <w:left w:val="nil"/>
              <w:bottom w:val="single" w:sz="4" w:space="0" w:color="auto"/>
              <w:right w:val="single" w:sz="4" w:space="0" w:color="auto"/>
            </w:tcBorders>
            <w:shd w:val="clear" w:color="auto" w:fill="auto"/>
            <w:noWrap/>
            <w:vAlign w:val="bottom"/>
            <w:hideMark/>
          </w:tcPr>
          <w:p w14:paraId="59A081F4"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-12.44</w:t>
            </w:r>
          </w:p>
        </w:tc>
        <w:tc>
          <w:tcPr>
            <w:tcW w:w="720" w:type="dxa"/>
            <w:tcBorders>
              <w:top w:val="nil"/>
              <w:left w:val="nil"/>
              <w:bottom w:val="single" w:sz="4" w:space="0" w:color="auto"/>
              <w:right w:val="single" w:sz="4" w:space="0" w:color="auto"/>
            </w:tcBorders>
            <w:shd w:val="clear" w:color="auto" w:fill="auto"/>
            <w:noWrap/>
            <w:vAlign w:val="bottom"/>
            <w:hideMark/>
          </w:tcPr>
          <w:p w14:paraId="7DA6515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1.35</w:t>
            </w:r>
          </w:p>
        </w:tc>
        <w:tc>
          <w:tcPr>
            <w:tcW w:w="720" w:type="dxa"/>
            <w:tcBorders>
              <w:top w:val="nil"/>
              <w:left w:val="nil"/>
              <w:bottom w:val="single" w:sz="4" w:space="0" w:color="auto"/>
              <w:right w:val="single" w:sz="4" w:space="0" w:color="auto"/>
            </w:tcBorders>
            <w:shd w:val="clear" w:color="auto" w:fill="auto"/>
            <w:noWrap/>
            <w:vAlign w:val="bottom"/>
            <w:hideMark/>
          </w:tcPr>
          <w:p w14:paraId="708C7A48"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0.01</w:t>
            </w:r>
          </w:p>
        </w:tc>
        <w:tc>
          <w:tcPr>
            <w:tcW w:w="630" w:type="dxa"/>
            <w:tcBorders>
              <w:top w:val="nil"/>
              <w:left w:val="nil"/>
              <w:bottom w:val="single" w:sz="4" w:space="0" w:color="auto"/>
              <w:right w:val="single" w:sz="4" w:space="0" w:color="auto"/>
            </w:tcBorders>
            <w:shd w:val="clear" w:color="auto" w:fill="auto"/>
            <w:noWrap/>
            <w:vAlign w:val="bottom"/>
            <w:hideMark/>
          </w:tcPr>
          <w:p w14:paraId="583C152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-1.74</w:t>
            </w:r>
          </w:p>
        </w:tc>
        <w:tc>
          <w:tcPr>
            <w:tcW w:w="720" w:type="dxa"/>
            <w:tcBorders>
              <w:top w:val="nil"/>
              <w:left w:val="nil"/>
              <w:bottom w:val="single" w:sz="4" w:space="0" w:color="auto"/>
              <w:right w:val="single" w:sz="4" w:space="0" w:color="auto"/>
            </w:tcBorders>
            <w:shd w:val="clear" w:color="auto" w:fill="auto"/>
            <w:noWrap/>
            <w:vAlign w:val="bottom"/>
            <w:hideMark/>
          </w:tcPr>
          <w:p w14:paraId="1404D396"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-23.02</w:t>
            </w:r>
          </w:p>
        </w:tc>
        <w:tc>
          <w:tcPr>
            <w:tcW w:w="810" w:type="dxa"/>
            <w:tcBorders>
              <w:top w:val="nil"/>
              <w:left w:val="nil"/>
              <w:bottom w:val="single" w:sz="4" w:space="0" w:color="auto"/>
              <w:right w:val="single" w:sz="4" w:space="0" w:color="auto"/>
            </w:tcBorders>
            <w:shd w:val="clear" w:color="auto" w:fill="auto"/>
            <w:noWrap/>
            <w:vAlign w:val="bottom"/>
            <w:hideMark/>
          </w:tcPr>
          <w:p w14:paraId="1835E77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2.49</w:t>
            </w:r>
          </w:p>
        </w:tc>
        <w:tc>
          <w:tcPr>
            <w:tcW w:w="720" w:type="dxa"/>
            <w:tcBorders>
              <w:top w:val="nil"/>
              <w:left w:val="nil"/>
              <w:bottom w:val="single" w:sz="4" w:space="0" w:color="auto"/>
              <w:right w:val="single" w:sz="4" w:space="0" w:color="auto"/>
            </w:tcBorders>
            <w:shd w:val="clear" w:color="auto" w:fill="auto"/>
            <w:noWrap/>
            <w:vAlign w:val="bottom"/>
            <w:hideMark/>
          </w:tcPr>
          <w:p w14:paraId="66FDFFD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5.26</w:t>
            </w:r>
          </w:p>
        </w:tc>
        <w:tc>
          <w:tcPr>
            <w:tcW w:w="630" w:type="dxa"/>
            <w:tcBorders>
              <w:top w:val="nil"/>
              <w:left w:val="nil"/>
              <w:bottom w:val="single" w:sz="4" w:space="0" w:color="auto"/>
              <w:right w:val="single" w:sz="4" w:space="0" w:color="auto"/>
            </w:tcBorders>
            <w:shd w:val="clear" w:color="auto" w:fill="auto"/>
            <w:noWrap/>
            <w:vAlign w:val="bottom"/>
            <w:hideMark/>
          </w:tcPr>
          <w:p w14:paraId="394C0696"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0.95</w:t>
            </w:r>
          </w:p>
        </w:tc>
      </w:tr>
      <w:tr w:rsidR="007D3DE4" w:rsidRPr="0037144D" w14:paraId="0CA1088F" w14:textId="77777777" w:rsidTr="00B940D0">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26C14F" w14:textId="77777777" w:rsidR="007D3DE4" w:rsidRPr="0037144D" w:rsidRDefault="007D3DE4" w:rsidP="00B940D0">
            <w:pP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EU</w:t>
            </w:r>
          </w:p>
        </w:tc>
        <w:tc>
          <w:tcPr>
            <w:tcW w:w="630" w:type="dxa"/>
            <w:tcBorders>
              <w:top w:val="nil"/>
              <w:left w:val="nil"/>
              <w:bottom w:val="single" w:sz="4" w:space="0" w:color="auto"/>
              <w:right w:val="single" w:sz="4" w:space="0" w:color="auto"/>
            </w:tcBorders>
            <w:shd w:val="clear" w:color="auto" w:fill="auto"/>
            <w:noWrap/>
            <w:vAlign w:val="bottom"/>
            <w:hideMark/>
          </w:tcPr>
          <w:p w14:paraId="62D2CC7D"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12.53</w:t>
            </w:r>
          </w:p>
        </w:tc>
        <w:tc>
          <w:tcPr>
            <w:tcW w:w="720" w:type="dxa"/>
            <w:tcBorders>
              <w:top w:val="nil"/>
              <w:left w:val="nil"/>
              <w:bottom w:val="single" w:sz="4" w:space="0" w:color="auto"/>
              <w:right w:val="single" w:sz="4" w:space="0" w:color="auto"/>
            </w:tcBorders>
            <w:shd w:val="clear" w:color="auto" w:fill="auto"/>
            <w:noWrap/>
            <w:vAlign w:val="bottom"/>
            <w:hideMark/>
          </w:tcPr>
          <w:p w14:paraId="4BFBBA9D"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-1.99</w:t>
            </w:r>
          </w:p>
        </w:tc>
        <w:tc>
          <w:tcPr>
            <w:tcW w:w="810" w:type="dxa"/>
            <w:tcBorders>
              <w:top w:val="nil"/>
              <w:left w:val="nil"/>
              <w:bottom w:val="single" w:sz="4" w:space="0" w:color="auto"/>
              <w:right w:val="single" w:sz="4" w:space="0" w:color="auto"/>
            </w:tcBorders>
            <w:shd w:val="clear" w:color="auto" w:fill="auto"/>
            <w:noWrap/>
            <w:vAlign w:val="bottom"/>
            <w:hideMark/>
          </w:tcPr>
          <w:p w14:paraId="133305C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-3.09</w:t>
            </w:r>
          </w:p>
        </w:tc>
        <w:tc>
          <w:tcPr>
            <w:tcW w:w="720" w:type="dxa"/>
            <w:tcBorders>
              <w:top w:val="nil"/>
              <w:left w:val="nil"/>
              <w:bottom w:val="single" w:sz="4" w:space="0" w:color="auto"/>
              <w:right w:val="single" w:sz="4" w:space="0" w:color="auto"/>
            </w:tcBorders>
            <w:shd w:val="clear" w:color="auto" w:fill="auto"/>
            <w:noWrap/>
            <w:vAlign w:val="bottom"/>
            <w:hideMark/>
          </w:tcPr>
          <w:p w14:paraId="2770AC75"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1.64</w:t>
            </w:r>
          </w:p>
        </w:tc>
        <w:tc>
          <w:tcPr>
            <w:tcW w:w="720" w:type="dxa"/>
            <w:tcBorders>
              <w:top w:val="nil"/>
              <w:left w:val="nil"/>
              <w:bottom w:val="single" w:sz="4" w:space="0" w:color="auto"/>
              <w:right w:val="single" w:sz="4" w:space="0" w:color="auto"/>
            </w:tcBorders>
            <w:shd w:val="clear" w:color="auto" w:fill="auto"/>
            <w:noWrap/>
            <w:vAlign w:val="bottom"/>
            <w:hideMark/>
          </w:tcPr>
          <w:p w14:paraId="2894DB33"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5.54</w:t>
            </w:r>
          </w:p>
        </w:tc>
        <w:tc>
          <w:tcPr>
            <w:tcW w:w="630" w:type="dxa"/>
            <w:tcBorders>
              <w:top w:val="nil"/>
              <w:left w:val="nil"/>
              <w:bottom w:val="single" w:sz="4" w:space="0" w:color="auto"/>
              <w:right w:val="single" w:sz="4" w:space="0" w:color="auto"/>
            </w:tcBorders>
            <w:shd w:val="clear" w:color="auto" w:fill="auto"/>
            <w:noWrap/>
            <w:vAlign w:val="bottom"/>
            <w:hideMark/>
          </w:tcPr>
          <w:p w14:paraId="71A9ED1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-0.72</w:t>
            </w:r>
          </w:p>
        </w:tc>
        <w:tc>
          <w:tcPr>
            <w:tcW w:w="720" w:type="dxa"/>
            <w:tcBorders>
              <w:top w:val="nil"/>
              <w:left w:val="nil"/>
              <w:bottom w:val="single" w:sz="4" w:space="0" w:color="auto"/>
              <w:right w:val="single" w:sz="4" w:space="0" w:color="auto"/>
            </w:tcBorders>
            <w:shd w:val="clear" w:color="auto" w:fill="auto"/>
            <w:noWrap/>
            <w:vAlign w:val="bottom"/>
            <w:hideMark/>
          </w:tcPr>
          <w:p w14:paraId="1EF8B890"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5.79</w:t>
            </w:r>
          </w:p>
        </w:tc>
        <w:tc>
          <w:tcPr>
            <w:tcW w:w="810" w:type="dxa"/>
            <w:tcBorders>
              <w:top w:val="nil"/>
              <w:left w:val="nil"/>
              <w:bottom w:val="single" w:sz="4" w:space="0" w:color="auto"/>
              <w:right w:val="single" w:sz="4" w:space="0" w:color="auto"/>
            </w:tcBorders>
            <w:shd w:val="clear" w:color="auto" w:fill="auto"/>
            <w:noWrap/>
            <w:vAlign w:val="bottom"/>
            <w:hideMark/>
          </w:tcPr>
          <w:p w14:paraId="46CD2AE1"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-7.67</w:t>
            </w:r>
          </w:p>
        </w:tc>
        <w:tc>
          <w:tcPr>
            <w:tcW w:w="720" w:type="dxa"/>
            <w:tcBorders>
              <w:top w:val="nil"/>
              <w:left w:val="nil"/>
              <w:bottom w:val="single" w:sz="4" w:space="0" w:color="auto"/>
              <w:right w:val="single" w:sz="4" w:space="0" w:color="auto"/>
            </w:tcBorders>
            <w:shd w:val="clear" w:color="auto" w:fill="auto"/>
            <w:noWrap/>
            <w:vAlign w:val="bottom"/>
            <w:hideMark/>
          </w:tcPr>
          <w:p w14:paraId="47F2C6E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-1.31</w:t>
            </w:r>
          </w:p>
        </w:tc>
        <w:tc>
          <w:tcPr>
            <w:tcW w:w="630" w:type="dxa"/>
            <w:tcBorders>
              <w:top w:val="nil"/>
              <w:left w:val="nil"/>
              <w:bottom w:val="single" w:sz="4" w:space="0" w:color="auto"/>
              <w:right w:val="single" w:sz="4" w:space="0" w:color="auto"/>
            </w:tcBorders>
            <w:shd w:val="clear" w:color="auto" w:fill="auto"/>
            <w:noWrap/>
            <w:vAlign w:val="bottom"/>
            <w:hideMark/>
          </w:tcPr>
          <w:p w14:paraId="47C5DC4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-3.59</w:t>
            </w:r>
          </w:p>
        </w:tc>
      </w:tr>
      <w:tr w:rsidR="007D3DE4" w:rsidRPr="0037144D" w14:paraId="4322EE17" w14:textId="77777777" w:rsidTr="00B940D0">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8D20B3A" w14:textId="77777777" w:rsidR="007D3DE4" w:rsidRPr="0037144D" w:rsidRDefault="007D3DE4" w:rsidP="00B940D0">
            <w:pP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 xml:space="preserve">US (for obtaining </w:t>
            </w:r>
            <w:proofErr w:type="spellStart"/>
            <w:r w:rsidRPr="0037144D">
              <w:rPr>
                <w:rFonts w:ascii="Times New Roman" w:eastAsia="Times New Roman" w:hAnsi="Times New Roman" w:cs="Times New Roman"/>
                <w:color w:val="000000"/>
                <w:sz w:val="16"/>
                <w:szCs w:val="16"/>
              </w:rPr>
              <w:t>var</w:t>
            </w:r>
            <w:proofErr w:type="spellEnd"/>
            <w:r w:rsidRPr="0037144D">
              <w:rPr>
                <w:rFonts w:ascii="Times New Roman" w:eastAsia="Times New Roman" w:hAnsi="Times New Roman"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bottom"/>
            <w:hideMark/>
          </w:tcPr>
          <w:p w14:paraId="4D05692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12.51</w:t>
            </w:r>
          </w:p>
        </w:tc>
        <w:tc>
          <w:tcPr>
            <w:tcW w:w="720" w:type="dxa"/>
            <w:tcBorders>
              <w:top w:val="nil"/>
              <w:left w:val="nil"/>
              <w:bottom w:val="single" w:sz="4" w:space="0" w:color="auto"/>
              <w:right w:val="single" w:sz="4" w:space="0" w:color="auto"/>
            </w:tcBorders>
            <w:shd w:val="clear" w:color="auto" w:fill="auto"/>
            <w:noWrap/>
            <w:vAlign w:val="bottom"/>
            <w:hideMark/>
          </w:tcPr>
          <w:p w14:paraId="63A059D4"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-3.10</w:t>
            </w:r>
          </w:p>
        </w:tc>
        <w:tc>
          <w:tcPr>
            <w:tcW w:w="810" w:type="dxa"/>
            <w:tcBorders>
              <w:top w:val="nil"/>
              <w:left w:val="nil"/>
              <w:bottom w:val="single" w:sz="4" w:space="0" w:color="auto"/>
              <w:right w:val="single" w:sz="4" w:space="0" w:color="auto"/>
            </w:tcBorders>
            <w:shd w:val="clear" w:color="auto" w:fill="auto"/>
            <w:noWrap/>
            <w:vAlign w:val="bottom"/>
            <w:hideMark/>
          </w:tcPr>
          <w:p w14:paraId="19A31799"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-3.61</w:t>
            </w:r>
          </w:p>
        </w:tc>
        <w:tc>
          <w:tcPr>
            <w:tcW w:w="720" w:type="dxa"/>
            <w:tcBorders>
              <w:top w:val="nil"/>
              <w:left w:val="nil"/>
              <w:bottom w:val="single" w:sz="4" w:space="0" w:color="auto"/>
              <w:right w:val="single" w:sz="4" w:space="0" w:color="auto"/>
            </w:tcBorders>
            <w:shd w:val="clear" w:color="auto" w:fill="auto"/>
            <w:noWrap/>
            <w:vAlign w:val="bottom"/>
            <w:hideMark/>
          </w:tcPr>
          <w:p w14:paraId="20CD0C8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9.75</w:t>
            </w:r>
          </w:p>
        </w:tc>
        <w:tc>
          <w:tcPr>
            <w:tcW w:w="720" w:type="dxa"/>
            <w:tcBorders>
              <w:top w:val="nil"/>
              <w:left w:val="nil"/>
              <w:bottom w:val="single" w:sz="4" w:space="0" w:color="auto"/>
              <w:right w:val="single" w:sz="4" w:space="0" w:color="auto"/>
            </w:tcBorders>
            <w:shd w:val="clear" w:color="auto" w:fill="auto"/>
            <w:noWrap/>
            <w:vAlign w:val="bottom"/>
            <w:hideMark/>
          </w:tcPr>
          <w:p w14:paraId="756700AB"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6.02</w:t>
            </w:r>
          </w:p>
        </w:tc>
        <w:tc>
          <w:tcPr>
            <w:tcW w:w="630" w:type="dxa"/>
            <w:tcBorders>
              <w:top w:val="nil"/>
              <w:left w:val="nil"/>
              <w:bottom w:val="single" w:sz="4" w:space="0" w:color="auto"/>
              <w:right w:val="single" w:sz="4" w:space="0" w:color="auto"/>
            </w:tcBorders>
            <w:shd w:val="clear" w:color="auto" w:fill="auto"/>
            <w:noWrap/>
            <w:vAlign w:val="bottom"/>
            <w:hideMark/>
          </w:tcPr>
          <w:p w14:paraId="0B91879A"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-8.02</w:t>
            </w:r>
          </w:p>
        </w:tc>
        <w:tc>
          <w:tcPr>
            <w:tcW w:w="720" w:type="dxa"/>
            <w:tcBorders>
              <w:top w:val="nil"/>
              <w:left w:val="nil"/>
              <w:bottom w:val="single" w:sz="4" w:space="0" w:color="auto"/>
              <w:right w:val="single" w:sz="4" w:space="0" w:color="auto"/>
            </w:tcBorders>
            <w:shd w:val="clear" w:color="auto" w:fill="auto"/>
            <w:noWrap/>
            <w:vAlign w:val="bottom"/>
            <w:hideMark/>
          </w:tcPr>
          <w:p w14:paraId="690BCC93"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-9.67</w:t>
            </w:r>
          </w:p>
        </w:tc>
        <w:tc>
          <w:tcPr>
            <w:tcW w:w="810" w:type="dxa"/>
            <w:tcBorders>
              <w:top w:val="nil"/>
              <w:left w:val="nil"/>
              <w:bottom w:val="single" w:sz="4" w:space="0" w:color="auto"/>
              <w:right w:val="single" w:sz="4" w:space="0" w:color="auto"/>
            </w:tcBorders>
            <w:shd w:val="clear" w:color="auto" w:fill="auto"/>
            <w:noWrap/>
            <w:vAlign w:val="bottom"/>
            <w:hideMark/>
          </w:tcPr>
          <w:p w14:paraId="04B414FF"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5.00</w:t>
            </w:r>
          </w:p>
        </w:tc>
        <w:tc>
          <w:tcPr>
            <w:tcW w:w="720" w:type="dxa"/>
            <w:tcBorders>
              <w:top w:val="nil"/>
              <w:left w:val="nil"/>
              <w:bottom w:val="single" w:sz="4" w:space="0" w:color="auto"/>
              <w:right w:val="single" w:sz="4" w:space="0" w:color="auto"/>
            </w:tcBorders>
            <w:shd w:val="clear" w:color="auto" w:fill="auto"/>
            <w:noWrap/>
            <w:vAlign w:val="bottom"/>
            <w:hideMark/>
          </w:tcPr>
          <w:p w14:paraId="0B963C34"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3.01</w:t>
            </w:r>
          </w:p>
        </w:tc>
        <w:tc>
          <w:tcPr>
            <w:tcW w:w="630" w:type="dxa"/>
            <w:tcBorders>
              <w:top w:val="nil"/>
              <w:left w:val="nil"/>
              <w:bottom w:val="single" w:sz="4" w:space="0" w:color="auto"/>
              <w:right w:val="single" w:sz="4" w:space="0" w:color="auto"/>
            </w:tcBorders>
            <w:shd w:val="clear" w:color="auto" w:fill="auto"/>
            <w:noWrap/>
            <w:vAlign w:val="bottom"/>
            <w:hideMark/>
          </w:tcPr>
          <w:p w14:paraId="1D9047E5"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-3.69</w:t>
            </w:r>
          </w:p>
        </w:tc>
      </w:tr>
      <w:tr w:rsidR="007D3DE4" w:rsidRPr="0037144D" w14:paraId="6F1112A7" w14:textId="77777777" w:rsidTr="00B940D0">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14B04A" w14:textId="77777777" w:rsidR="007D3DE4" w:rsidRPr="0037144D" w:rsidRDefault="007D3DE4" w:rsidP="00B940D0">
            <w:pPr>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 xml:space="preserve">EU (for obtaining </w:t>
            </w:r>
            <w:proofErr w:type="spellStart"/>
            <w:r w:rsidRPr="0037144D">
              <w:rPr>
                <w:rFonts w:ascii="Times New Roman" w:eastAsia="Times New Roman" w:hAnsi="Times New Roman" w:cs="Times New Roman"/>
                <w:color w:val="000000"/>
                <w:sz w:val="16"/>
                <w:szCs w:val="16"/>
              </w:rPr>
              <w:t>var</w:t>
            </w:r>
            <w:proofErr w:type="spellEnd"/>
            <w:r w:rsidRPr="0037144D">
              <w:rPr>
                <w:rFonts w:ascii="Times New Roman" w:eastAsia="Times New Roman" w:hAnsi="Times New Roman"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bottom"/>
            <w:hideMark/>
          </w:tcPr>
          <w:p w14:paraId="6ABBC8B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0.72</w:t>
            </w:r>
          </w:p>
        </w:tc>
        <w:tc>
          <w:tcPr>
            <w:tcW w:w="720" w:type="dxa"/>
            <w:tcBorders>
              <w:top w:val="nil"/>
              <w:left w:val="nil"/>
              <w:bottom w:val="single" w:sz="4" w:space="0" w:color="auto"/>
              <w:right w:val="single" w:sz="4" w:space="0" w:color="auto"/>
            </w:tcBorders>
            <w:shd w:val="clear" w:color="auto" w:fill="auto"/>
            <w:noWrap/>
            <w:vAlign w:val="bottom"/>
            <w:hideMark/>
          </w:tcPr>
          <w:p w14:paraId="41111443"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-6.28</w:t>
            </w:r>
          </w:p>
        </w:tc>
        <w:tc>
          <w:tcPr>
            <w:tcW w:w="810" w:type="dxa"/>
            <w:tcBorders>
              <w:top w:val="nil"/>
              <w:left w:val="nil"/>
              <w:bottom w:val="single" w:sz="4" w:space="0" w:color="auto"/>
              <w:right w:val="single" w:sz="4" w:space="0" w:color="auto"/>
            </w:tcBorders>
            <w:shd w:val="clear" w:color="auto" w:fill="auto"/>
            <w:noWrap/>
            <w:vAlign w:val="bottom"/>
            <w:hideMark/>
          </w:tcPr>
          <w:p w14:paraId="4743361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4.62</w:t>
            </w:r>
          </w:p>
        </w:tc>
        <w:tc>
          <w:tcPr>
            <w:tcW w:w="720" w:type="dxa"/>
            <w:tcBorders>
              <w:top w:val="nil"/>
              <w:left w:val="nil"/>
              <w:bottom w:val="single" w:sz="4" w:space="0" w:color="auto"/>
              <w:right w:val="single" w:sz="4" w:space="0" w:color="auto"/>
            </w:tcBorders>
            <w:shd w:val="clear" w:color="auto" w:fill="auto"/>
            <w:noWrap/>
            <w:vAlign w:val="bottom"/>
            <w:hideMark/>
          </w:tcPr>
          <w:p w14:paraId="787FE653"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-3.48</w:t>
            </w:r>
          </w:p>
        </w:tc>
        <w:tc>
          <w:tcPr>
            <w:tcW w:w="720" w:type="dxa"/>
            <w:tcBorders>
              <w:top w:val="nil"/>
              <w:left w:val="nil"/>
              <w:bottom w:val="single" w:sz="4" w:space="0" w:color="auto"/>
              <w:right w:val="single" w:sz="4" w:space="0" w:color="auto"/>
            </w:tcBorders>
            <w:shd w:val="clear" w:color="auto" w:fill="auto"/>
            <w:noWrap/>
            <w:vAlign w:val="bottom"/>
            <w:hideMark/>
          </w:tcPr>
          <w:p w14:paraId="5DB3FEA7"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-16.92</w:t>
            </w:r>
          </w:p>
        </w:tc>
        <w:tc>
          <w:tcPr>
            <w:tcW w:w="630" w:type="dxa"/>
            <w:tcBorders>
              <w:top w:val="nil"/>
              <w:left w:val="nil"/>
              <w:bottom w:val="single" w:sz="4" w:space="0" w:color="auto"/>
              <w:right w:val="single" w:sz="4" w:space="0" w:color="auto"/>
            </w:tcBorders>
            <w:shd w:val="clear" w:color="auto" w:fill="auto"/>
            <w:noWrap/>
            <w:vAlign w:val="bottom"/>
            <w:hideMark/>
          </w:tcPr>
          <w:p w14:paraId="5D3D3A49"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2.08</w:t>
            </w:r>
          </w:p>
        </w:tc>
        <w:tc>
          <w:tcPr>
            <w:tcW w:w="720" w:type="dxa"/>
            <w:tcBorders>
              <w:top w:val="nil"/>
              <w:left w:val="nil"/>
              <w:bottom w:val="single" w:sz="4" w:space="0" w:color="auto"/>
              <w:right w:val="single" w:sz="4" w:space="0" w:color="auto"/>
            </w:tcBorders>
            <w:shd w:val="clear" w:color="auto" w:fill="auto"/>
            <w:noWrap/>
            <w:vAlign w:val="bottom"/>
            <w:hideMark/>
          </w:tcPr>
          <w:p w14:paraId="10F1F8C2"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1.45</w:t>
            </w:r>
          </w:p>
        </w:tc>
        <w:tc>
          <w:tcPr>
            <w:tcW w:w="810" w:type="dxa"/>
            <w:tcBorders>
              <w:top w:val="nil"/>
              <w:left w:val="nil"/>
              <w:bottom w:val="single" w:sz="4" w:space="0" w:color="auto"/>
              <w:right w:val="single" w:sz="4" w:space="0" w:color="auto"/>
            </w:tcBorders>
            <w:shd w:val="clear" w:color="auto" w:fill="auto"/>
            <w:noWrap/>
            <w:vAlign w:val="bottom"/>
            <w:hideMark/>
          </w:tcPr>
          <w:p w14:paraId="2DE0F615"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-1.43</w:t>
            </w:r>
          </w:p>
        </w:tc>
        <w:tc>
          <w:tcPr>
            <w:tcW w:w="720" w:type="dxa"/>
            <w:tcBorders>
              <w:top w:val="nil"/>
              <w:left w:val="nil"/>
              <w:bottom w:val="single" w:sz="4" w:space="0" w:color="auto"/>
              <w:right w:val="single" w:sz="4" w:space="0" w:color="auto"/>
            </w:tcBorders>
            <w:shd w:val="clear" w:color="auto" w:fill="auto"/>
            <w:noWrap/>
            <w:vAlign w:val="bottom"/>
            <w:hideMark/>
          </w:tcPr>
          <w:p w14:paraId="2A4D41AC"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-2.35</w:t>
            </w:r>
          </w:p>
        </w:tc>
        <w:tc>
          <w:tcPr>
            <w:tcW w:w="630" w:type="dxa"/>
            <w:tcBorders>
              <w:top w:val="nil"/>
              <w:left w:val="nil"/>
              <w:bottom w:val="single" w:sz="4" w:space="0" w:color="auto"/>
              <w:right w:val="single" w:sz="4" w:space="0" w:color="auto"/>
            </w:tcBorders>
            <w:shd w:val="clear" w:color="auto" w:fill="auto"/>
            <w:noWrap/>
            <w:vAlign w:val="bottom"/>
            <w:hideMark/>
          </w:tcPr>
          <w:p w14:paraId="70DD263E" w14:textId="77777777" w:rsidR="007D3DE4" w:rsidRPr="0037144D" w:rsidRDefault="007D3DE4" w:rsidP="00B940D0">
            <w:pPr>
              <w:jc w:val="right"/>
              <w:rPr>
                <w:rFonts w:ascii="Times New Roman" w:eastAsia="Times New Roman" w:hAnsi="Times New Roman" w:cs="Times New Roman"/>
                <w:color w:val="000000"/>
                <w:sz w:val="16"/>
                <w:szCs w:val="16"/>
              </w:rPr>
            </w:pPr>
            <w:r w:rsidRPr="0037144D">
              <w:rPr>
                <w:rFonts w:ascii="Times New Roman" w:eastAsia="Times New Roman" w:hAnsi="Times New Roman" w:cs="Times New Roman"/>
                <w:color w:val="000000"/>
                <w:sz w:val="16"/>
                <w:szCs w:val="16"/>
              </w:rPr>
              <w:t>-6.54</w:t>
            </w:r>
          </w:p>
        </w:tc>
      </w:tr>
    </w:tbl>
    <w:p w14:paraId="522EFC89" w14:textId="2C839460" w:rsidR="00CA210B" w:rsidRDefault="00CA210B" w:rsidP="00CA210B">
      <w:pPr>
        <w:pStyle w:val="Caption"/>
        <w:keepNext/>
        <w:jc w:val="both"/>
      </w:pPr>
      <w:r>
        <w:t xml:space="preserve">Figure </w:t>
      </w:r>
      <w:fldSimple w:instr=" SEQ Figure \* ARABIC ">
        <w:r>
          <w:rPr>
            <w:noProof/>
          </w:rPr>
          <w:t>1</w:t>
        </w:r>
      </w:fldSimple>
      <w:r>
        <w:t>: scatter plot for the data of the example</w:t>
      </w:r>
    </w:p>
    <w:p w14:paraId="2260735C" w14:textId="77777777" w:rsidR="007D3DE4" w:rsidRPr="00A0104C" w:rsidRDefault="007D3DE4" w:rsidP="007D3DE4">
      <w:pPr>
        <w:jc w:val="both"/>
        <w:rPr>
          <w:rFonts w:ascii="Times New Roman" w:hAnsi="Times New Roman" w:cs="Times New Roman"/>
          <w:sz w:val="24"/>
          <w:szCs w:val="24"/>
        </w:rPr>
      </w:pPr>
      <w:r w:rsidRPr="00A0104C">
        <w:rPr>
          <w:rFonts w:ascii="Times New Roman" w:hAnsi="Times New Roman" w:cs="Times New Roman"/>
          <w:noProof/>
          <w:sz w:val="24"/>
          <w:szCs w:val="24"/>
          <w:lang w:eastAsia="en-US"/>
        </w:rPr>
        <w:drawing>
          <wp:inline distT="0" distB="0" distL="0" distR="0" wp14:anchorId="3F81FD96" wp14:editId="15AC49E7">
            <wp:extent cx="4000500" cy="2029752"/>
            <wp:effectExtent l="0" t="0" r="0" b="2540"/>
            <wp:docPr id="1" name="Picture 1" descr="C:\Users\jzheng\Desktop\R\simuCI\Rplot_example_scatterplot_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heng\Desktop\R\simuCI\Rplot_example_scatterplot_03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154" cy="2030084"/>
                    </a:xfrm>
                    <a:prstGeom prst="rect">
                      <a:avLst/>
                    </a:prstGeom>
                    <a:noFill/>
                    <a:ln>
                      <a:noFill/>
                    </a:ln>
                  </pic:spPr>
                </pic:pic>
              </a:graphicData>
            </a:graphic>
          </wp:inline>
        </w:drawing>
      </w:r>
    </w:p>
    <w:p w14:paraId="7FCBFAE8" w14:textId="776F0BA8" w:rsidR="007D3DE4" w:rsidRPr="00A0104C" w:rsidRDefault="007D3DE4" w:rsidP="007D3DE4">
      <w:pPr>
        <w:jc w:val="both"/>
        <w:rPr>
          <w:rFonts w:ascii="Times New Roman" w:hAnsi="Times New Roman" w:cs="Times New Roman"/>
          <w:sz w:val="24"/>
          <w:szCs w:val="24"/>
        </w:rPr>
      </w:pPr>
      <w:r w:rsidRPr="00A0104C">
        <w:rPr>
          <w:rFonts w:ascii="Times New Roman" w:hAnsi="Times New Roman" w:cs="Times New Roman"/>
          <w:sz w:val="24"/>
          <w:szCs w:val="24"/>
        </w:rPr>
        <w:t>Using the pairwise comparison approach, T v</w:t>
      </w:r>
      <w:r w:rsidR="007547FC">
        <w:rPr>
          <w:rFonts w:ascii="Times New Roman" w:hAnsi="Times New Roman" w:cs="Times New Roman"/>
          <w:sz w:val="24"/>
          <w:szCs w:val="24"/>
        </w:rPr>
        <w:t>ersu</w:t>
      </w:r>
      <w:r w:rsidRPr="00A0104C">
        <w:rPr>
          <w:rFonts w:ascii="Times New Roman" w:hAnsi="Times New Roman" w:cs="Times New Roman"/>
          <w:sz w:val="24"/>
          <w:szCs w:val="24"/>
        </w:rPr>
        <w:t>s US and T v</w:t>
      </w:r>
      <w:r w:rsidR="007547FC">
        <w:rPr>
          <w:rFonts w:ascii="Times New Roman" w:hAnsi="Times New Roman" w:cs="Times New Roman"/>
          <w:sz w:val="24"/>
          <w:szCs w:val="24"/>
        </w:rPr>
        <w:t>ersu</w:t>
      </w:r>
      <w:r w:rsidRPr="00A0104C">
        <w:rPr>
          <w:rFonts w:ascii="Times New Roman" w:hAnsi="Times New Roman" w:cs="Times New Roman"/>
          <w:sz w:val="24"/>
          <w:szCs w:val="24"/>
        </w:rPr>
        <w:t>s EU rejected the null hypothesis that the two drugs ar</w:t>
      </w:r>
      <w:r w:rsidR="007547FC">
        <w:rPr>
          <w:rFonts w:ascii="Times New Roman" w:hAnsi="Times New Roman" w:cs="Times New Roman"/>
          <w:sz w:val="24"/>
          <w:szCs w:val="24"/>
        </w:rPr>
        <w:t>e not similar enough, while EU versu</w:t>
      </w:r>
      <w:r w:rsidRPr="00A0104C">
        <w:rPr>
          <w:rFonts w:ascii="Times New Roman" w:hAnsi="Times New Roman" w:cs="Times New Roman"/>
          <w:sz w:val="24"/>
          <w:szCs w:val="24"/>
        </w:rPr>
        <w:t xml:space="preserve">s US did not reject the null hypothesis. Thus the pairwise comparisons failed to pass all. </w:t>
      </w:r>
    </w:p>
    <w:p w14:paraId="0A845868" w14:textId="263F40B8" w:rsidR="00DA4D00" w:rsidRDefault="00DA4D00" w:rsidP="00DA4D00">
      <w:pPr>
        <w:pStyle w:val="Caption"/>
        <w:keepNext/>
      </w:pPr>
      <w:r>
        <w:t xml:space="preserve">Table </w:t>
      </w:r>
      <w:fldSimple w:instr=" SEQ Table \* ARABIC ">
        <w:r w:rsidR="00EC7A1B">
          <w:rPr>
            <w:noProof/>
          </w:rPr>
          <w:t>2</w:t>
        </w:r>
      </w:fldSimple>
      <w:r>
        <w:t>: The results of pairwise comparison approach</w:t>
      </w:r>
    </w:p>
    <w:tbl>
      <w:tblPr>
        <w:tblW w:w="9085" w:type="dxa"/>
        <w:tblInd w:w="113" w:type="dxa"/>
        <w:tblLook w:val="04A0" w:firstRow="1" w:lastRow="0" w:firstColumn="1" w:lastColumn="0" w:noHBand="0" w:noVBand="1"/>
      </w:tblPr>
      <w:tblGrid>
        <w:gridCol w:w="1275"/>
        <w:gridCol w:w="831"/>
        <w:gridCol w:w="989"/>
        <w:gridCol w:w="1525"/>
        <w:gridCol w:w="1405"/>
        <w:gridCol w:w="3060"/>
      </w:tblGrid>
      <w:tr w:rsidR="007D3DE4" w:rsidRPr="00840961" w14:paraId="58A358E9" w14:textId="77777777" w:rsidTr="00857BA6">
        <w:trPr>
          <w:trHeight w:val="300"/>
        </w:trPr>
        <w:tc>
          <w:tcPr>
            <w:tcW w:w="127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65804E" w14:textId="77777777" w:rsidR="007D3DE4" w:rsidRPr="00840961" w:rsidRDefault="007D3DE4" w:rsidP="00B940D0">
            <w:pPr>
              <w:jc w:val="cente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Comparison</w:t>
            </w:r>
          </w:p>
        </w:tc>
        <w:tc>
          <w:tcPr>
            <w:tcW w:w="83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3F80B14" w14:textId="77777777" w:rsidR="007D3DE4" w:rsidRPr="00840961" w:rsidRDefault="007D3DE4" w:rsidP="00B940D0">
            <w:pPr>
              <w:jc w:val="cente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 xml:space="preserve"># </w:t>
            </w:r>
            <w:proofErr w:type="gramStart"/>
            <w:r w:rsidRPr="00840961">
              <w:rPr>
                <w:rFonts w:ascii="Times New Roman" w:eastAsia="Times New Roman" w:hAnsi="Times New Roman" w:cs="Times New Roman"/>
                <w:color w:val="000000"/>
                <w:sz w:val="16"/>
                <w:szCs w:val="16"/>
              </w:rPr>
              <w:t>of</w:t>
            </w:r>
            <w:proofErr w:type="gramEnd"/>
            <w:r w:rsidRPr="00840961">
              <w:rPr>
                <w:rFonts w:ascii="Times New Roman" w:eastAsia="Times New Roman" w:hAnsi="Times New Roman" w:cs="Times New Roman"/>
                <w:color w:val="000000"/>
                <w:sz w:val="16"/>
                <w:szCs w:val="16"/>
              </w:rPr>
              <w:t xml:space="preserve"> lots</w:t>
            </w:r>
          </w:p>
        </w:tc>
        <w:tc>
          <w:tcPr>
            <w:tcW w:w="9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CDB077" w14:textId="0F467087" w:rsidR="007D3DE4" w:rsidRPr="00840961" w:rsidRDefault="00CC5AC3" w:rsidP="00B940D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w:t>
            </w:r>
            <w:r w:rsidR="007D3DE4" w:rsidRPr="00840961">
              <w:rPr>
                <w:rFonts w:ascii="Times New Roman" w:eastAsia="Times New Roman" w:hAnsi="Times New Roman" w:cs="Times New Roman"/>
                <w:color w:val="000000"/>
                <w:sz w:val="16"/>
                <w:szCs w:val="16"/>
              </w:rPr>
              <w:t>ean diff</w:t>
            </w:r>
            <w:r>
              <w:rPr>
                <w:rFonts w:ascii="Times New Roman" w:eastAsia="Times New Roman" w:hAnsi="Times New Roman" w:cs="Times New Roman"/>
                <w:color w:val="000000"/>
                <w:sz w:val="16"/>
                <w:szCs w:val="16"/>
              </w:rPr>
              <w:t>erence</w:t>
            </w:r>
          </w:p>
        </w:tc>
        <w:tc>
          <w:tcPr>
            <w:tcW w:w="5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6F7B9E5" w14:textId="77777777" w:rsidR="007D3DE4" w:rsidRPr="00840961" w:rsidRDefault="007D3DE4" w:rsidP="00B940D0">
            <w:pPr>
              <w:jc w:val="cente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Pairwise comparisons</w:t>
            </w:r>
          </w:p>
        </w:tc>
      </w:tr>
      <w:tr w:rsidR="007D3DE4" w:rsidRPr="00840961" w14:paraId="01E6C6DC" w14:textId="77777777" w:rsidTr="00857BA6">
        <w:trPr>
          <w:trHeight w:val="300"/>
        </w:trPr>
        <w:tc>
          <w:tcPr>
            <w:tcW w:w="1275" w:type="dxa"/>
            <w:vMerge/>
            <w:tcBorders>
              <w:top w:val="single" w:sz="4" w:space="0" w:color="auto"/>
              <w:left w:val="single" w:sz="4" w:space="0" w:color="auto"/>
              <w:bottom w:val="single" w:sz="4" w:space="0" w:color="000000"/>
              <w:right w:val="single" w:sz="4" w:space="0" w:color="auto"/>
            </w:tcBorders>
            <w:vAlign w:val="center"/>
            <w:hideMark/>
          </w:tcPr>
          <w:p w14:paraId="0D96D0DE" w14:textId="77777777" w:rsidR="007D3DE4" w:rsidRPr="00840961" w:rsidRDefault="007D3DE4" w:rsidP="00B940D0">
            <w:pPr>
              <w:rPr>
                <w:rFonts w:ascii="Times New Roman" w:eastAsia="Times New Roman" w:hAnsi="Times New Roman" w:cs="Times New Roman"/>
                <w:color w:val="000000"/>
                <w:sz w:val="16"/>
                <w:szCs w:val="16"/>
              </w:rPr>
            </w:pPr>
          </w:p>
        </w:tc>
        <w:tc>
          <w:tcPr>
            <w:tcW w:w="831" w:type="dxa"/>
            <w:vMerge/>
            <w:tcBorders>
              <w:top w:val="single" w:sz="4" w:space="0" w:color="auto"/>
              <w:left w:val="single" w:sz="4" w:space="0" w:color="auto"/>
              <w:bottom w:val="single" w:sz="4" w:space="0" w:color="000000"/>
              <w:right w:val="single" w:sz="4" w:space="0" w:color="auto"/>
            </w:tcBorders>
            <w:vAlign w:val="center"/>
            <w:hideMark/>
          </w:tcPr>
          <w:p w14:paraId="6DD78F8A" w14:textId="77777777" w:rsidR="007D3DE4" w:rsidRPr="00840961" w:rsidRDefault="007D3DE4" w:rsidP="00B940D0">
            <w:pPr>
              <w:rPr>
                <w:rFonts w:ascii="Times New Roman" w:eastAsia="Times New Roman" w:hAnsi="Times New Roman" w:cs="Times New Roman"/>
                <w:color w:val="000000"/>
                <w:sz w:val="16"/>
                <w:szCs w:val="16"/>
              </w:rPr>
            </w:pPr>
          </w:p>
        </w:tc>
        <w:tc>
          <w:tcPr>
            <w:tcW w:w="989" w:type="dxa"/>
            <w:vMerge/>
            <w:tcBorders>
              <w:top w:val="single" w:sz="4" w:space="0" w:color="auto"/>
              <w:left w:val="single" w:sz="4" w:space="0" w:color="auto"/>
              <w:bottom w:val="single" w:sz="4" w:space="0" w:color="000000"/>
              <w:right w:val="single" w:sz="4" w:space="0" w:color="auto"/>
            </w:tcBorders>
            <w:vAlign w:val="center"/>
            <w:hideMark/>
          </w:tcPr>
          <w:p w14:paraId="01AA987F" w14:textId="77777777" w:rsidR="007D3DE4" w:rsidRPr="00840961" w:rsidRDefault="007D3DE4" w:rsidP="00B940D0">
            <w:pPr>
              <w:rPr>
                <w:rFonts w:ascii="Times New Roman" w:eastAsia="Times New Roman" w:hAnsi="Times New Roman" w:cs="Times New Roman"/>
                <w:color w:val="000000"/>
                <w:sz w:val="16"/>
                <w:szCs w:val="16"/>
              </w:rPr>
            </w:pPr>
          </w:p>
        </w:tc>
        <w:tc>
          <w:tcPr>
            <w:tcW w:w="1525" w:type="dxa"/>
            <w:tcBorders>
              <w:top w:val="nil"/>
              <w:left w:val="nil"/>
              <w:bottom w:val="single" w:sz="4" w:space="0" w:color="auto"/>
              <w:right w:val="single" w:sz="4" w:space="0" w:color="auto"/>
            </w:tcBorders>
            <w:shd w:val="clear" w:color="auto" w:fill="auto"/>
            <w:noWrap/>
            <w:vAlign w:val="bottom"/>
            <w:hideMark/>
          </w:tcPr>
          <w:p w14:paraId="08A90141"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CI</w:t>
            </w:r>
          </w:p>
        </w:tc>
        <w:tc>
          <w:tcPr>
            <w:tcW w:w="1405" w:type="dxa"/>
            <w:tcBorders>
              <w:top w:val="nil"/>
              <w:left w:val="nil"/>
              <w:bottom w:val="single" w:sz="4" w:space="0" w:color="auto"/>
              <w:right w:val="single" w:sz="4" w:space="0" w:color="auto"/>
            </w:tcBorders>
            <w:shd w:val="clear" w:color="auto" w:fill="auto"/>
            <w:noWrap/>
            <w:vAlign w:val="bottom"/>
            <w:hideMark/>
          </w:tcPr>
          <w:p w14:paraId="56A1C82C" w14:textId="3318E10C"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Equivalence</w:t>
            </w:r>
            <w:r w:rsidR="00CC5AC3">
              <w:rPr>
                <w:rFonts w:ascii="Times New Roman" w:eastAsia="Times New Roman" w:hAnsi="Times New Roman" w:cs="Times New Roman"/>
                <w:color w:val="000000"/>
                <w:sz w:val="16"/>
                <w:szCs w:val="16"/>
              </w:rPr>
              <w:t xml:space="preserve"> Test</w:t>
            </w:r>
          </w:p>
        </w:tc>
        <w:tc>
          <w:tcPr>
            <w:tcW w:w="3060" w:type="dxa"/>
            <w:tcBorders>
              <w:top w:val="nil"/>
              <w:left w:val="nil"/>
              <w:bottom w:val="single" w:sz="4" w:space="0" w:color="auto"/>
              <w:right w:val="single" w:sz="4" w:space="0" w:color="auto"/>
            </w:tcBorders>
            <w:shd w:val="clear" w:color="auto" w:fill="auto"/>
            <w:noWrap/>
            <w:vAlign w:val="bottom"/>
            <w:hideMark/>
          </w:tcPr>
          <w:p w14:paraId="17891B3E" w14:textId="124CEA8E" w:rsidR="007D3DE4" w:rsidRPr="00840961" w:rsidRDefault="007D3DE4" w:rsidP="00AA3ADF">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 xml:space="preserve">Similarity </w:t>
            </w:r>
            <w:r w:rsidRPr="00AA3ADF">
              <w:rPr>
                <w:rFonts w:ascii="Times New Roman" w:eastAsia="Times New Roman" w:hAnsi="Times New Roman" w:cs="Times New Roman"/>
                <w:color w:val="000000"/>
                <w:sz w:val="16"/>
                <w:szCs w:val="16"/>
              </w:rPr>
              <w:t>margin = 1.5*</w:t>
            </w:r>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σ</m:t>
                  </m:r>
                </m:e>
                <m:sub>
                  <m:r>
                    <w:rPr>
                      <w:rFonts w:ascii="Cambria Math" w:eastAsia="Times New Roman" w:hAnsi="Cambria Math" w:cs="Times New Roman"/>
                      <w:color w:val="000000"/>
                      <w:sz w:val="16"/>
                      <w:szCs w:val="16"/>
                    </w:rPr>
                    <m:t>US</m:t>
                  </m:r>
                </m:sub>
              </m:sSub>
            </m:oMath>
            <w:r w:rsidR="00CC5AC3">
              <w:rPr>
                <w:rFonts w:ascii="Times New Roman" w:eastAsia="Times New Roman" w:hAnsi="Times New Roman" w:cs="Times New Roman"/>
                <w:color w:val="000000"/>
                <w:sz w:val="16"/>
                <w:szCs w:val="16"/>
              </w:rPr>
              <w:t xml:space="preserve">  </w:t>
            </w:r>
            <w:r w:rsidR="00AA3ADF" w:rsidRPr="0067411A">
              <w:rPr>
                <w:rFonts w:ascii="Times New Roman" w:eastAsia="Times New Roman" w:hAnsi="Times New Roman" w:cs="Times New Roman"/>
                <w:color w:val="000000"/>
                <w:sz w:val="16"/>
                <w:szCs w:val="16"/>
              </w:rPr>
              <w:t xml:space="preserve">(or </w:t>
            </w:r>
            <w:r w:rsidR="00CC5AC3">
              <w:rPr>
                <w:rFonts w:ascii="Times New Roman" w:eastAsia="Times New Roman" w:hAnsi="Times New Roman" w:cs="Times New Roman"/>
                <w:color w:val="000000"/>
                <w:sz w:val="16"/>
                <w:szCs w:val="16"/>
              </w:rPr>
              <w:t>1.5*</w:t>
            </w:r>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σ</m:t>
                  </m:r>
                </m:e>
                <m:sub>
                  <m:r>
                    <w:rPr>
                      <w:rFonts w:ascii="Cambria Math" w:eastAsia="Times New Roman" w:hAnsi="Cambria Math" w:cs="Times New Roman"/>
                      <w:color w:val="000000"/>
                      <w:sz w:val="16"/>
                      <w:szCs w:val="16"/>
                    </w:rPr>
                    <m:t>EU</m:t>
                  </m:r>
                </m:sub>
              </m:sSub>
            </m:oMath>
            <w:r w:rsidR="00AA3ADF" w:rsidRPr="00AA3ADF">
              <w:rPr>
                <w:rFonts w:ascii="Times New Roman" w:eastAsia="Times New Roman" w:hAnsi="Times New Roman" w:cs="Times New Roman"/>
                <w:color w:val="000000"/>
                <w:sz w:val="16"/>
                <w:szCs w:val="16"/>
              </w:rPr>
              <w:t>)</w:t>
            </w:r>
          </w:p>
        </w:tc>
      </w:tr>
      <w:tr w:rsidR="007D3DE4" w:rsidRPr="00840961" w14:paraId="22FEE0FF" w14:textId="77777777" w:rsidTr="00857BA6">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D679548" w14:textId="192DFB8B"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 xml:space="preserve">T </w:t>
            </w:r>
            <w:r w:rsidR="00840961" w:rsidRPr="00840961">
              <w:rPr>
                <w:rFonts w:ascii="Times New Roman" w:eastAsia="Times New Roman" w:hAnsi="Times New Roman" w:cs="Times New Roman"/>
                <w:color w:val="000000"/>
                <w:sz w:val="16"/>
                <w:szCs w:val="16"/>
              </w:rPr>
              <w:t>vs.</w:t>
            </w:r>
            <w:r w:rsidRPr="00840961">
              <w:rPr>
                <w:rFonts w:ascii="Times New Roman" w:eastAsia="Times New Roman" w:hAnsi="Times New Roman" w:cs="Times New Roman"/>
                <w:color w:val="000000"/>
                <w:sz w:val="16"/>
                <w:szCs w:val="16"/>
              </w:rPr>
              <w:t xml:space="preserve"> US</w:t>
            </w:r>
          </w:p>
        </w:tc>
        <w:tc>
          <w:tcPr>
            <w:tcW w:w="831" w:type="dxa"/>
            <w:tcBorders>
              <w:top w:val="nil"/>
              <w:left w:val="nil"/>
              <w:bottom w:val="single" w:sz="4" w:space="0" w:color="auto"/>
              <w:right w:val="single" w:sz="4" w:space="0" w:color="auto"/>
            </w:tcBorders>
            <w:shd w:val="clear" w:color="auto" w:fill="auto"/>
            <w:noWrap/>
            <w:vAlign w:val="bottom"/>
            <w:hideMark/>
          </w:tcPr>
          <w:p w14:paraId="59D696D7"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10</w:t>
            </w:r>
          </w:p>
        </w:tc>
        <w:tc>
          <w:tcPr>
            <w:tcW w:w="989" w:type="dxa"/>
            <w:tcBorders>
              <w:top w:val="nil"/>
              <w:left w:val="nil"/>
              <w:bottom w:val="single" w:sz="4" w:space="0" w:color="auto"/>
              <w:right w:val="single" w:sz="4" w:space="0" w:color="auto"/>
            </w:tcBorders>
            <w:shd w:val="clear" w:color="auto" w:fill="auto"/>
            <w:noWrap/>
            <w:vAlign w:val="bottom"/>
            <w:hideMark/>
          </w:tcPr>
          <w:p w14:paraId="1865A2FB"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5</w:t>
            </w:r>
          </w:p>
        </w:tc>
        <w:tc>
          <w:tcPr>
            <w:tcW w:w="1525" w:type="dxa"/>
            <w:tcBorders>
              <w:top w:val="nil"/>
              <w:left w:val="nil"/>
              <w:bottom w:val="single" w:sz="4" w:space="0" w:color="auto"/>
              <w:right w:val="single" w:sz="4" w:space="0" w:color="auto"/>
            </w:tcBorders>
            <w:shd w:val="clear" w:color="auto" w:fill="auto"/>
            <w:noWrap/>
            <w:vAlign w:val="bottom"/>
            <w:hideMark/>
          </w:tcPr>
          <w:p w14:paraId="0E2A27BE"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(-0.53, 10.54)</w:t>
            </w:r>
          </w:p>
        </w:tc>
        <w:tc>
          <w:tcPr>
            <w:tcW w:w="1405" w:type="dxa"/>
            <w:tcBorders>
              <w:top w:val="nil"/>
              <w:left w:val="nil"/>
              <w:bottom w:val="single" w:sz="4" w:space="0" w:color="auto"/>
              <w:right w:val="single" w:sz="4" w:space="0" w:color="auto"/>
            </w:tcBorders>
            <w:shd w:val="clear" w:color="auto" w:fill="auto"/>
            <w:noWrap/>
            <w:vAlign w:val="bottom"/>
            <w:hideMark/>
          </w:tcPr>
          <w:p w14:paraId="02434C1D"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Pass</w:t>
            </w:r>
          </w:p>
        </w:tc>
        <w:tc>
          <w:tcPr>
            <w:tcW w:w="3060" w:type="dxa"/>
            <w:tcBorders>
              <w:top w:val="nil"/>
              <w:left w:val="nil"/>
              <w:bottom w:val="single" w:sz="4" w:space="0" w:color="auto"/>
              <w:right w:val="single" w:sz="4" w:space="0" w:color="auto"/>
            </w:tcBorders>
            <w:shd w:val="clear" w:color="auto" w:fill="auto"/>
            <w:noWrap/>
            <w:vAlign w:val="bottom"/>
            <w:hideMark/>
          </w:tcPr>
          <w:p w14:paraId="6ACBAED4"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11.28</w:t>
            </w:r>
          </w:p>
        </w:tc>
      </w:tr>
      <w:tr w:rsidR="007D3DE4" w:rsidRPr="00840961" w14:paraId="76D7F546" w14:textId="77777777" w:rsidTr="00857BA6">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70A6949" w14:textId="18A531BF"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 xml:space="preserve">T </w:t>
            </w:r>
            <w:r w:rsidR="00840961" w:rsidRPr="00840961">
              <w:rPr>
                <w:rFonts w:ascii="Times New Roman" w:eastAsia="Times New Roman" w:hAnsi="Times New Roman" w:cs="Times New Roman"/>
                <w:color w:val="000000"/>
                <w:sz w:val="16"/>
                <w:szCs w:val="16"/>
              </w:rPr>
              <w:t>vs.</w:t>
            </w:r>
            <w:r w:rsidRPr="00840961">
              <w:rPr>
                <w:rFonts w:ascii="Times New Roman" w:eastAsia="Times New Roman" w:hAnsi="Times New Roman" w:cs="Times New Roman"/>
                <w:color w:val="000000"/>
                <w:sz w:val="16"/>
                <w:szCs w:val="16"/>
              </w:rPr>
              <w:t xml:space="preserve"> EU</w:t>
            </w:r>
          </w:p>
        </w:tc>
        <w:tc>
          <w:tcPr>
            <w:tcW w:w="831" w:type="dxa"/>
            <w:tcBorders>
              <w:top w:val="nil"/>
              <w:left w:val="nil"/>
              <w:bottom w:val="single" w:sz="4" w:space="0" w:color="auto"/>
              <w:right w:val="single" w:sz="4" w:space="0" w:color="auto"/>
            </w:tcBorders>
            <w:shd w:val="clear" w:color="auto" w:fill="auto"/>
            <w:noWrap/>
            <w:vAlign w:val="bottom"/>
            <w:hideMark/>
          </w:tcPr>
          <w:p w14:paraId="5575D668"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10</w:t>
            </w:r>
          </w:p>
        </w:tc>
        <w:tc>
          <w:tcPr>
            <w:tcW w:w="989" w:type="dxa"/>
            <w:tcBorders>
              <w:top w:val="nil"/>
              <w:left w:val="nil"/>
              <w:bottom w:val="single" w:sz="4" w:space="0" w:color="auto"/>
              <w:right w:val="single" w:sz="4" w:space="0" w:color="auto"/>
            </w:tcBorders>
            <w:shd w:val="clear" w:color="auto" w:fill="auto"/>
            <w:noWrap/>
            <w:vAlign w:val="bottom"/>
            <w:hideMark/>
          </w:tcPr>
          <w:p w14:paraId="24AF3929"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-0.79</w:t>
            </w:r>
          </w:p>
        </w:tc>
        <w:tc>
          <w:tcPr>
            <w:tcW w:w="1525" w:type="dxa"/>
            <w:tcBorders>
              <w:top w:val="nil"/>
              <w:left w:val="nil"/>
              <w:bottom w:val="single" w:sz="4" w:space="0" w:color="auto"/>
              <w:right w:val="single" w:sz="4" w:space="0" w:color="auto"/>
            </w:tcBorders>
            <w:shd w:val="clear" w:color="auto" w:fill="auto"/>
            <w:noWrap/>
            <w:vAlign w:val="bottom"/>
            <w:hideMark/>
          </w:tcPr>
          <w:p w14:paraId="7130AA84"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(-5.29, 3.72)</w:t>
            </w:r>
          </w:p>
        </w:tc>
        <w:tc>
          <w:tcPr>
            <w:tcW w:w="1405" w:type="dxa"/>
            <w:tcBorders>
              <w:top w:val="nil"/>
              <w:left w:val="nil"/>
              <w:bottom w:val="single" w:sz="4" w:space="0" w:color="auto"/>
              <w:right w:val="single" w:sz="4" w:space="0" w:color="auto"/>
            </w:tcBorders>
            <w:shd w:val="clear" w:color="auto" w:fill="auto"/>
            <w:noWrap/>
            <w:vAlign w:val="bottom"/>
            <w:hideMark/>
          </w:tcPr>
          <w:p w14:paraId="730A74DF"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Pass</w:t>
            </w:r>
          </w:p>
        </w:tc>
        <w:tc>
          <w:tcPr>
            <w:tcW w:w="3060" w:type="dxa"/>
            <w:tcBorders>
              <w:top w:val="nil"/>
              <w:left w:val="nil"/>
              <w:bottom w:val="single" w:sz="4" w:space="0" w:color="auto"/>
              <w:right w:val="single" w:sz="4" w:space="0" w:color="auto"/>
            </w:tcBorders>
            <w:shd w:val="clear" w:color="auto" w:fill="auto"/>
            <w:noWrap/>
            <w:vAlign w:val="bottom"/>
            <w:hideMark/>
          </w:tcPr>
          <w:p w14:paraId="73329701"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9.18</w:t>
            </w:r>
          </w:p>
        </w:tc>
      </w:tr>
      <w:tr w:rsidR="007D3DE4" w:rsidRPr="00840961" w14:paraId="77ACE960" w14:textId="77777777" w:rsidTr="00857BA6">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5E97EA2" w14:textId="690C9525"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 xml:space="preserve">EU </w:t>
            </w:r>
            <w:r w:rsidR="00840961" w:rsidRPr="00840961">
              <w:rPr>
                <w:rFonts w:ascii="Times New Roman" w:eastAsia="Times New Roman" w:hAnsi="Times New Roman" w:cs="Times New Roman"/>
                <w:color w:val="000000"/>
                <w:sz w:val="16"/>
                <w:szCs w:val="16"/>
              </w:rPr>
              <w:t>vs.</w:t>
            </w:r>
            <w:r w:rsidRPr="00840961">
              <w:rPr>
                <w:rFonts w:ascii="Times New Roman" w:eastAsia="Times New Roman" w:hAnsi="Times New Roman" w:cs="Times New Roman"/>
                <w:color w:val="000000"/>
                <w:sz w:val="16"/>
                <w:szCs w:val="16"/>
              </w:rPr>
              <w:t xml:space="preserve"> US</w:t>
            </w:r>
          </w:p>
        </w:tc>
        <w:tc>
          <w:tcPr>
            <w:tcW w:w="831" w:type="dxa"/>
            <w:tcBorders>
              <w:top w:val="nil"/>
              <w:left w:val="nil"/>
              <w:bottom w:val="single" w:sz="4" w:space="0" w:color="auto"/>
              <w:right w:val="single" w:sz="4" w:space="0" w:color="auto"/>
            </w:tcBorders>
            <w:shd w:val="clear" w:color="auto" w:fill="auto"/>
            <w:noWrap/>
            <w:vAlign w:val="bottom"/>
            <w:hideMark/>
          </w:tcPr>
          <w:p w14:paraId="79ABDE98"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10</w:t>
            </w:r>
          </w:p>
        </w:tc>
        <w:tc>
          <w:tcPr>
            <w:tcW w:w="989" w:type="dxa"/>
            <w:tcBorders>
              <w:top w:val="nil"/>
              <w:left w:val="nil"/>
              <w:bottom w:val="single" w:sz="4" w:space="0" w:color="auto"/>
              <w:right w:val="single" w:sz="4" w:space="0" w:color="auto"/>
            </w:tcBorders>
            <w:shd w:val="clear" w:color="auto" w:fill="auto"/>
            <w:noWrap/>
            <w:vAlign w:val="bottom"/>
            <w:hideMark/>
          </w:tcPr>
          <w:p w14:paraId="518773F0"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5.79</w:t>
            </w:r>
          </w:p>
        </w:tc>
        <w:tc>
          <w:tcPr>
            <w:tcW w:w="1525" w:type="dxa"/>
            <w:tcBorders>
              <w:top w:val="nil"/>
              <w:left w:val="nil"/>
              <w:bottom w:val="single" w:sz="4" w:space="0" w:color="auto"/>
              <w:right w:val="single" w:sz="4" w:space="0" w:color="auto"/>
            </w:tcBorders>
            <w:shd w:val="clear" w:color="auto" w:fill="auto"/>
            <w:noWrap/>
            <w:vAlign w:val="bottom"/>
            <w:hideMark/>
          </w:tcPr>
          <w:p w14:paraId="5477AECE"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(0.25, 11.33)</w:t>
            </w:r>
          </w:p>
        </w:tc>
        <w:tc>
          <w:tcPr>
            <w:tcW w:w="1405" w:type="dxa"/>
            <w:tcBorders>
              <w:top w:val="nil"/>
              <w:left w:val="nil"/>
              <w:bottom w:val="single" w:sz="4" w:space="0" w:color="auto"/>
              <w:right w:val="single" w:sz="4" w:space="0" w:color="auto"/>
            </w:tcBorders>
            <w:shd w:val="clear" w:color="auto" w:fill="auto"/>
            <w:noWrap/>
            <w:vAlign w:val="bottom"/>
            <w:hideMark/>
          </w:tcPr>
          <w:p w14:paraId="0E79EEE7" w14:textId="77777777" w:rsidR="007D3DE4" w:rsidRPr="00840961" w:rsidRDefault="007D3DE4" w:rsidP="00B940D0">
            <w:pPr>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Fail</w:t>
            </w:r>
          </w:p>
        </w:tc>
        <w:tc>
          <w:tcPr>
            <w:tcW w:w="3060" w:type="dxa"/>
            <w:tcBorders>
              <w:top w:val="nil"/>
              <w:left w:val="nil"/>
              <w:bottom w:val="single" w:sz="4" w:space="0" w:color="auto"/>
              <w:right w:val="single" w:sz="4" w:space="0" w:color="auto"/>
            </w:tcBorders>
            <w:shd w:val="clear" w:color="auto" w:fill="auto"/>
            <w:noWrap/>
            <w:vAlign w:val="bottom"/>
            <w:hideMark/>
          </w:tcPr>
          <w:p w14:paraId="76CED421" w14:textId="77777777" w:rsidR="007D3DE4" w:rsidRPr="00840961" w:rsidRDefault="007D3DE4" w:rsidP="00B940D0">
            <w:pPr>
              <w:jc w:val="right"/>
              <w:rPr>
                <w:rFonts w:ascii="Times New Roman" w:eastAsia="Times New Roman" w:hAnsi="Times New Roman" w:cs="Times New Roman"/>
                <w:color w:val="000000"/>
                <w:sz w:val="16"/>
                <w:szCs w:val="16"/>
              </w:rPr>
            </w:pPr>
            <w:r w:rsidRPr="00840961">
              <w:rPr>
                <w:rFonts w:ascii="Times New Roman" w:eastAsia="Times New Roman" w:hAnsi="Times New Roman" w:cs="Times New Roman"/>
                <w:color w:val="000000"/>
                <w:sz w:val="16"/>
                <w:szCs w:val="16"/>
              </w:rPr>
              <w:t>11.28</w:t>
            </w:r>
          </w:p>
        </w:tc>
      </w:tr>
    </w:tbl>
    <w:p w14:paraId="6E9443BF" w14:textId="2081EFFA" w:rsidR="00FE22F3" w:rsidRPr="00A0104C" w:rsidRDefault="00FE22F3" w:rsidP="00C74355">
      <w:pPr>
        <w:spacing w:after="0" w:line="240" w:lineRule="auto"/>
        <w:jc w:val="both"/>
        <w:rPr>
          <w:rFonts w:ascii="Times New Roman" w:eastAsia="Times New Roman" w:hAnsi="Times New Roman" w:cs="Times New Roman"/>
          <w:color w:val="C00000"/>
          <w:sz w:val="24"/>
          <w:szCs w:val="24"/>
        </w:rPr>
      </w:pPr>
    </w:p>
    <w:p w14:paraId="749F4D27" w14:textId="77777777" w:rsidR="00C74355" w:rsidRPr="00A0104C" w:rsidRDefault="00C74355" w:rsidP="00C74355">
      <w:pPr>
        <w:spacing w:after="0" w:line="240" w:lineRule="auto"/>
        <w:jc w:val="both"/>
        <w:rPr>
          <w:rFonts w:ascii="Times New Roman" w:eastAsia="Times New Roman" w:hAnsi="Times New Roman" w:cs="Times New Roman"/>
          <w:b/>
          <w:color w:val="000000"/>
          <w:sz w:val="24"/>
          <w:szCs w:val="24"/>
        </w:rPr>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 an alternative to the pairwise comparisons approach, the ODAC panel suggested the potential use of simultaneous confidence approach, which allows us to fully utilize all data from the study </w:t>
      </w:r>
      <w:r w:rsidRPr="00C74355">
        <w:rPr>
          <w:rFonts w:ascii="Times New Roman" w:eastAsia="Times New Roman" w:hAnsi="Times New Roman" w:cs="Times New Roman"/>
          <w:color w:val="000000"/>
          <w:sz w:val="24"/>
          <w:szCs w:val="24"/>
        </w:rPr>
        <w:lastRenderedPageBreak/>
        <w:t>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w:t>
      </w:r>
      <w:proofErr w:type="gramStart"/>
      <w:r w:rsidRPr="00C74355">
        <w:rPr>
          <w:rFonts w:ascii="Times New Roman" w:eastAsia="Times New Roman" w:hAnsi="Times New Roman" w:cs="Times New Roman"/>
          <w:color w:val="000000"/>
          <w:sz w:val="24"/>
          <w:szCs w:val="24"/>
        </w:rPr>
        <w:t>be</w:t>
      </w:r>
      <w:proofErr w:type="gramEnd"/>
      <w:r w:rsidRPr="00C74355">
        <w:rPr>
          <w:rFonts w:ascii="Times New Roman" w:eastAsia="Times New Roman" w:hAnsi="Times New Roman" w:cs="Times New Roman"/>
          <w:color w:val="000000"/>
          <w:sz w:val="24"/>
          <w:szCs w:val="24"/>
        </w:rPr>
        <w:t xml:space="preserv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and var</w:t>
      </w:r>
      <w:proofErr w:type="spellStart"/>
      <w:r w:rsidRPr="00C74355">
        <w:rPr>
          <w:rFonts w:ascii="Times New Roman" w:eastAsia="Times New Roman" w:hAnsi="Times New Roman" w:cs="Times New Roman"/>
          <w:color w:val="000000"/>
          <w:sz w:val="24"/>
          <w:szCs w:val="24"/>
        </w:rPr>
        <w:t>iance</w:t>
      </w:r>
      <w:proofErr w:type="spellEnd"/>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w:t>
      </w:r>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w:t>
      </w:r>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and</w:t>
      </w:r>
      <w:proofErr w:type="gramEnd"/>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w:p>
    <w:p w14:paraId="64D0A15D" w14:textId="77777777"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and</w:t>
      </w:r>
      <w:proofErr w:type="gramEnd"/>
    </w:p>
    <w:p w14:paraId="3CB97ACD" w14:textId="77777777"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lastRenderedPageBreak/>
        <w:t>lots</w:t>
      </w:r>
      <w:proofErr w:type="gramEnd"/>
      <w:r w:rsidRPr="00C74355">
        <w:rPr>
          <w:rFonts w:ascii="Times New Roman" w:eastAsia="Times New Roman" w:hAnsi="Times New Roman" w:cs="Times New Roman"/>
          <w:color w:val="000000"/>
          <w:sz w:val="24"/>
          <w:szCs w:val="24"/>
        </w:rPr>
        <w:t xml:space="preserve">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CD3A2C"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CD3A2C"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where</w:t>
      </w:r>
      <w:proofErr w:type="gramEnd"/>
      <w:r w:rsidRPr="00C74355">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m:t>
        </m:r>
        <w:proofErr w:type="gramStart"/>
        <m:r>
          <w:rPr>
            <w:rFonts w:ascii="Cambria Math" w:eastAsia="Times New Roman" w:hAnsi="Cambria Math" w:cs="Times New Roman"/>
            <w:color w:val="000000"/>
            <w:sz w:val="24"/>
            <w:szCs w:val="24"/>
          </w:rPr>
          <m:t>1,…,</m:t>
        </m:r>
        <w:proofErr w:type="gramEn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To propose the simultaneous confidence interval methods under the framework described above, Zheng and Chow (2018) considered the scenarios of (</w:t>
      </w:r>
      <w:proofErr w:type="spellStart"/>
      <w:r>
        <w:rPr>
          <w:rFonts w:ascii="Times New Roman" w:eastAsia="Times New Roman" w:hAnsi="Times New Roman" w:cs="Times New Roman"/>
          <w:color w:val="000000"/>
          <w:sz w:val="24"/>
          <w:szCs w:val="24"/>
        </w:rPr>
        <w:t>i</w:t>
      </w:r>
      <w:proofErr w:type="spellEnd"/>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361580B8"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r w:rsidRPr="00C74355">
        <w:rPr>
          <w:rFonts w:ascii="Times New Roman" w:eastAsia="Times New Roman" w:hAnsi="Times New Roman" w:cs="Times New Roman" w:hint="eastAsia"/>
          <w:b/>
          <w:color w:val="000000"/>
          <w:sz w:val="24"/>
          <w:szCs w:val="24"/>
        </w:rPr>
        <w:t>With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w:p>
    <w:p w14:paraId="62AEA60D" w14:textId="77777777" w:rsidR="00C74355" w:rsidRPr="00C74355" w:rsidRDefault="00CD3A2C"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w:proofErr w:type="gramStart"/>
        <m:r>
          <w:rPr>
            <w:rFonts w:ascii="Cambria Math" w:eastAsia="Times New Roman" w:hAnsi="Cambria Math" w:cs="Times New Roman"/>
            <w:color w:val="000000"/>
            <w:sz w:val="24"/>
            <w:szCs w:val="24"/>
          </w:rPr>
          <m:t>N(</m:t>
        </m:r>
        <w:proofErr w:type="gramEn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CD3A2C"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and</w:t>
      </w:r>
      <w:proofErr w:type="gramEnd"/>
      <w:r w:rsidRPr="00C74355">
        <w:rPr>
          <w:rFonts w:ascii="Times New Roman" w:eastAsia="Times New Roman" w:hAnsi="Times New Roman" w:cs="Times New Roman"/>
          <w:color w:val="000000"/>
          <w:sz w:val="24"/>
          <w:szCs w:val="24"/>
        </w:rPr>
        <w:t xml:space="preserve">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roofErr w:type="gramStart"/>
      <w:r w:rsidRPr="00C74355">
        <w:rPr>
          <w:rFonts w:ascii="Times New Roman" w:eastAsia="Times New Roman" w:hAnsi="Times New Roman" w:cs="Times New Roman"/>
          <w:color w:val="000000"/>
          <w:sz w:val="24"/>
          <w:szCs w:val="24"/>
        </w:rPr>
        <w:t>are</w:t>
      </w:r>
      <w:proofErr w:type="gramEnd"/>
      <w:r w:rsidRPr="00C74355">
        <w:rPr>
          <w:rFonts w:ascii="Times New Roman" w:eastAsia="Times New Roman" w:hAnsi="Times New Roman" w:cs="Times New Roman"/>
          <w:color w:val="000000"/>
          <w:sz w:val="24"/>
          <w:szCs w:val="24"/>
        </w:rPr>
        <w:t xml:space="preserv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w:t>
      </w:r>
      <w:proofErr w:type="spellStart"/>
      <w:r w:rsidRPr="00C74355">
        <w:rPr>
          <w:rFonts w:ascii="Times New Roman" w:eastAsia="Times New Roman" w:hAnsi="Times New Roman" w:cs="Times New Roman"/>
          <w:color w:val="000000"/>
          <w:sz w:val="24"/>
          <w:szCs w:val="24"/>
        </w:rPr>
        <w:t>bility</w:t>
      </w:r>
      <w:proofErr w:type="spellEnd"/>
      <w:r w:rsidRPr="00C74355">
        <w:rPr>
          <w:rFonts w:ascii="Times New Roman" w:eastAsia="Times New Roman" w:hAnsi="Times New Roman" w:cs="Times New Roman"/>
          <w:color w:val="000000"/>
          <w:sz w:val="24"/>
          <w:szCs w:val="24"/>
        </w:rPr>
        <w:t>.</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CD3A2C"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w:t>
      </w:r>
      <w:proofErr w:type="spellStart"/>
      <w:r w:rsidRPr="00C74355">
        <w:rPr>
          <w:rFonts w:ascii="Times New Roman" w:eastAsia="Times New Roman" w:hAnsi="Times New Roman" w:cs="Times New Roman"/>
          <w:sz w:val="24"/>
          <w:szCs w:val="24"/>
        </w:rPr>
        <w:t>efly</w:t>
      </w:r>
      <w:proofErr w:type="spellEnd"/>
      <w:r w:rsidRPr="00C74355">
        <w:rPr>
          <w:rFonts w:ascii="Times New Roman" w:eastAsia="Times New Roman" w:hAnsi="Times New Roman" w:cs="Times New Roman"/>
          <w:sz w:val="24"/>
          <w:szCs w:val="24"/>
        </w:rPr>
        <w:t xml:space="preserve">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which</w:t>
      </w:r>
      <w:proofErr w:type="gramEnd"/>
      <w:r w:rsidRPr="00C74355">
        <w:rPr>
          <w:rFonts w:ascii="Times New Roman" w:eastAsia="Times New Roman" w:hAnsi="Times New Roman" w:cs="Times New Roman"/>
          <w:sz w:val="24"/>
          <w:szCs w:val="24"/>
        </w:rPr>
        <w:t xml:space="preserve">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oMath>
    </w:p>
    <w:p w14:paraId="28AEFC6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which</w:t>
      </w:r>
      <w:proofErr w:type="gramEnd"/>
      <w:r w:rsidRPr="00C74355">
        <w:rPr>
          <w:rFonts w:ascii="Times New Roman" w:eastAsia="Times New Roman" w:hAnsi="Times New Roman" w:cs="Times New Roman"/>
          <w:sz w:val="24"/>
          <w:szCs w:val="24"/>
        </w:rPr>
        <w:t xml:space="preserve">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w:t>
      </w:r>
      <w:proofErr w:type="spellStart"/>
      <w:r w:rsidRPr="00C74355">
        <w:rPr>
          <w:rFonts w:ascii="Times New Roman" w:eastAsia="Times New Roman" w:hAnsi="Times New Roman" w:cs="Times New Roman"/>
          <w:sz w:val="24"/>
          <w:szCs w:val="24"/>
        </w:rPr>
        <w:t>ence</w:t>
      </w:r>
      <w:proofErr w:type="spellEnd"/>
      <w:r w:rsidRPr="00C74355">
        <w:rPr>
          <w:rFonts w:ascii="Times New Roman" w:eastAsia="Times New Roman" w:hAnsi="Times New Roman" w:cs="Times New Roman"/>
          <w:sz w:val="24"/>
          <w:szCs w:val="24"/>
        </w:rPr>
        <w:t xml:space="preserve"> intervals. (</w:t>
      </w:r>
      <w:proofErr w:type="gramStart"/>
      <w:r w:rsidRPr="00C74355">
        <w:rPr>
          <w:rFonts w:ascii="Times New Roman" w:eastAsia="Times New Roman" w:hAnsi="Times New Roman" w:cs="Times New Roman"/>
          <w:sz w:val="24"/>
          <w:szCs w:val="24"/>
        </w:rPr>
        <w:t>i</w:t>
      </w:r>
      <w:proofErr w:type="gramEnd"/>
      <w:r w:rsidRPr="00C74355">
        <w:rPr>
          <w:rFonts w:ascii="Times New Roman" w:eastAsia="Times New Roman" w:hAnsi="Times New Roman" w:cs="Times New Roman"/>
          <w:sz w:val="24"/>
          <w:szCs w:val="24"/>
        </w:rPr>
        <w:t xml:space="preserve">.e.,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w:t>
      </w:r>
      <w:proofErr w:type="gramStart"/>
      <w:r w:rsidRPr="00C74355">
        <w:rPr>
          <w:rFonts w:ascii="Times New Roman" w:eastAsia="Times New Roman" w:hAnsi="Times New Roman" w:cs="Times New Roman"/>
          <w:sz w:val="24"/>
          <w:szCs w:val="24"/>
        </w:rPr>
        <w:t xml:space="preserve">that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where</w:t>
      </w:r>
      <w:proofErr w:type="gramEnd"/>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CD3A2C"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and</w:t>
      </w:r>
      <w:proofErr w:type="gramEnd"/>
      <w:r w:rsidRPr="00C74355">
        <w:rPr>
          <w:rFonts w:ascii="Times New Roman" w:eastAsia="Times New Roman" w:hAnsi="Times New Roman" w:cs="Times New Roman"/>
          <w:sz w:val="24"/>
          <w:szCs w:val="24"/>
        </w:rPr>
        <w:t xml:space="preserve">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simply</w:t>
      </w:r>
      <w:proofErr w:type="gramEnd"/>
      <w:r w:rsidRPr="00C74355">
        <w:rPr>
          <w:rFonts w:ascii="Times New Roman" w:eastAsia="Times New Roman" w:hAnsi="Times New Roman" w:cs="Times New Roman"/>
          <w:sz w:val="24"/>
          <w:szCs w:val="24"/>
        </w:rPr>
        <w:t xml:space="preserve">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and</w:t>
      </w:r>
      <w:proofErr w:type="gramEnd"/>
      <w:r w:rsidRPr="00C74355">
        <w:rPr>
          <w:rFonts w:ascii="Times New Roman" w:eastAsia="Times New Roman" w:hAnsi="Times New Roman" w:cs="Times New Roman"/>
          <w:sz w:val="24"/>
          <w:szCs w:val="24"/>
        </w:rPr>
        <w:t xml:space="preserve"> </w:t>
      </w:r>
    </w:p>
    <w:p w14:paraId="0727F988" w14:textId="19EADBED" w:rsidR="00C74355" w:rsidRPr="00C74355" w:rsidRDefault="00CD3A2C"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in</w:t>
      </w:r>
      <w:proofErr w:type="gramEnd"/>
      <w:r w:rsidRPr="00C74355">
        <w:rPr>
          <w:rFonts w:ascii="Times New Roman" w:eastAsia="Times New Roman" w:hAnsi="Times New Roman" w:cs="Times New Roman"/>
          <w:sz w:val="24"/>
          <w:szCs w:val="24"/>
        </w:rPr>
        <w:t xml:space="preserve">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w:proofErr w:type="gramStart"/>
            <m:r>
              <w:rPr>
                <w:rFonts w:ascii="Cambria Math" w:eastAsia="Times New Roman" w:hAnsi="Cambria Math" w:cs="Times New Roman"/>
                <w:sz w:val="24"/>
                <w:szCs w:val="24"/>
              </w:rPr>
              <m:t>,1-α</m:t>
            </m:r>
            <w:proofErr w:type="gramEnd"/>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is smaller, i.e., it’s hard to reject all three hypotheses with smal</w:t>
      </w:r>
      <w:proofErr w:type="spellStart"/>
      <w:r w:rsidRPr="00C74355">
        <w:rPr>
          <w:rFonts w:ascii="Times New Roman" w:eastAsia="Times New Roman" w:hAnsi="Times New Roman" w:cs="Times New Roman"/>
          <w:sz w:val="24"/>
          <w:szCs w:val="24"/>
        </w:rPr>
        <w:t>ler</w:t>
      </w:r>
      <w:proofErr w:type="spellEnd"/>
      <w:r w:rsidRPr="00C74355">
        <w:rPr>
          <w:rFonts w:ascii="Times New Roman" w:eastAsia="Times New Roman" w:hAnsi="Times New Roman" w:cs="Times New Roman"/>
          <w:sz w:val="24"/>
          <w:szCs w:val="24"/>
        </w:rPr>
        <w:t xml:space="preserv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where</w:t>
      </w:r>
      <w:proofErr w:type="gramEnd"/>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w:t>
      </w:r>
      <w:proofErr w:type="spellStart"/>
      <w:r w:rsidRPr="00C74355">
        <w:rPr>
          <w:rFonts w:ascii="Times New Roman" w:eastAsia="Times New Roman" w:hAnsi="Times New Roman" w:cs="Times New Roman"/>
          <w:sz w:val="24"/>
          <w:szCs w:val="24"/>
        </w:rPr>
        <w:t>ibution</w:t>
      </w:r>
      <w:proofErr w:type="spellEnd"/>
      <w:r w:rsidRPr="00C74355">
        <w:rPr>
          <w:rFonts w:ascii="Times New Roman" w:eastAsia="Times New Roman" w:hAnsi="Times New Roman" w:cs="Times New Roman"/>
          <w:sz w:val="24"/>
          <w:szCs w:val="24"/>
        </w:rPr>
        <w:t xml:space="preserve">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m:t>
            </m:r>
            <w:proofErr w:type="gramStart"/>
            <m:r>
              <w:rPr>
                <w:rFonts w:ascii="Cambria Math" w:eastAsia="Times New Roman" w:hAnsi="Cambria Math" w:cs="Times New Roman"/>
                <w:sz w:val="24"/>
                <w:szCs w:val="24"/>
              </w:rPr>
              <m:t>,1-α</m:t>
            </m:r>
            <w:proofErr w:type="gramEnd"/>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CD3A2C"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and</w:t>
      </w:r>
      <w:proofErr w:type="gramEnd"/>
      <w:r w:rsidRPr="00C74355">
        <w:rPr>
          <w:rFonts w:ascii="Times New Roman" w:eastAsia="Times New Roman" w:hAnsi="Times New Roman" w:cs="Times New Roman"/>
          <w:sz w:val="24"/>
          <w:szCs w:val="24"/>
        </w:rPr>
        <w:t xml:space="preserve"> </w:t>
      </w:r>
    </w:p>
    <w:p w14:paraId="33DD6753" w14:textId="61765E34" w:rsidR="00C74355" w:rsidRPr="00C74355" w:rsidRDefault="00CD3A2C"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CD3A2C"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and</w:t>
      </w:r>
      <w:proofErr w:type="gramEnd"/>
      <w:r w:rsidRPr="00C74355">
        <w:rPr>
          <w:rFonts w:ascii="Times New Roman" w:eastAsia="Times New Roman" w:hAnsi="Times New Roman" w:cs="Times New Roman"/>
          <w:sz w:val="24"/>
          <w:szCs w:val="24"/>
        </w:rPr>
        <w:t xml:space="preserve"> </w:t>
      </w:r>
    </w:p>
    <w:p w14:paraId="7B300774" w14:textId="77777777" w:rsidR="00C74355" w:rsidRPr="00C74355" w:rsidRDefault="00CD3A2C"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where</w:t>
      </w:r>
      <w:proofErr w:type="gramEnd"/>
      <w:r w:rsidRPr="00C7435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proofErr w:type="spellStart"/>
      <w:r w:rsidR="000D2D76">
        <w:rPr>
          <w:rFonts w:ascii="Times New Roman" w:eastAsia="Times New Roman" w:hAnsi="Times New Roman" w:cs="Times New Roman"/>
          <w:sz w:val="24"/>
          <w:szCs w:val="24"/>
        </w:rPr>
        <w:t>ucial</w:t>
      </w:r>
      <w:proofErr w:type="spellEnd"/>
      <w:r w:rsidR="000D2D76">
        <w:rPr>
          <w:rFonts w:ascii="Times New Roman" w:eastAsia="Times New Roman" w:hAnsi="Times New Roman" w:cs="Times New Roman"/>
          <w:sz w:val="24"/>
          <w:szCs w:val="24"/>
        </w:rPr>
        <w:t xml:space="preserve">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proofErr w:type="spellStart"/>
      <w:r w:rsidR="00B005FF">
        <w:rPr>
          <w:rFonts w:ascii="Times New Roman" w:eastAsia="Times New Roman" w:hAnsi="Times New Roman" w:cs="Times New Roman"/>
          <w:sz w:val="24"/>
          <w:szCs w:val="24"/>
        </w:rPr>
        <w:t>ity</w:t>
      </w:r>
      <w:proofErr w:type="spellEnd"/>
      <w:r w:rsidR="00B005FF">
        <w:rPr>
          <w:rFonts w:ascii="Times New Roman" w:eastAsia="Times New Roman" w:hAnsi="Times New Roman" w:cs="Times New Roman"/>
          <w:sz w:val="24"/>
          <w:szCs w:val="24"/>
        </w:rPr>
        <w:t xml:space="preserve">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and</w:t>
      </w:r>
      <w:proofErr w:type="gramEnd"/>
      <w:r w:rsidRPr="00C74355">
        <w:rPr>
          <w:rFonts w:ascii="Times New Roman" w:eastAsia="Times New Roman" w:hAnsi="Times New Roman" w:cs="Times New Roman"/>
          <w:sz w:val="24"/>
          <w:szCs w:val="24"/>
        </w:rPr>
        <w:t xml:space="preserve">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are</w:t>
      </w:r>
      <w:proofErr w:type="gramEnd"/>
      <w:r w:rsidRPr="00C74355">
        <w:rPr>
          <w:rFonts w:ascii="Times New Roman" w:eastAsia="Times New Roman" w:hAnsi="Times New Roman" w:cs="Times New Roman"/>
          <w:sz w:val="24"/>
          <w:szCs w:val="24"/>
        </w:rPr>
        <w:t xml:space="preserv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CD3A2C"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III restricted simultan</w:t>
      </w:r>
      <w:proofErr w:type="spellStart"/>
      <w:r w:rsidRPr="00C74355">
        <w:rPr>
          <w:rFonts w:ascii="Times New Roman" w:eastAsia="Times New Roman" w:hAnsi="Times New Roman" w:cs="Times New Roman"/>
          <w:sz w:val="24"/>
          <w:szCs w:val="24"/>
        </w:rPr>
        <w:t>eous</w:t>
      </w:r>
      <w:proofErr w:type="spellEnd"/>
      <w:r w:rsidRPr="00C74355">
        <w:rPr>
          <w:rFonts w:ascii="Times New Roman" w:eastAsia="Times New Roman" w:hAnsi="Times New Roman" w:cs="Times New Roman"/>
          <w:sz w:val="24"/>
          <w:szCs w:val="24"/>
        </w:rPr>
        <w:t xml:space="preserve">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we calculate the following fiducial pro</w:t>
      </w:r>
      <w:proofErr w:type="spellStart"/>
      <w:r w:rsidRPr="00C74355">
        <w:rPr>
          <w:rFonts w:ascii="Times New Roman" w:eastAsia="Times New Roman" w:hAnsi="Times New Roman" w:cs="Times New Roman"/>
          <w:sz w:val="24"/>
          <w:szCs w:val="24"/>
        </w:rPr>
        <w:t>bability</w:t>
      </w:r>
      <w:proofErr w:type="spellEnd"/>
      <w:r w:rsidRPr="00C74355">
        <w:rPr>
          <w:rFonts w:ascii="Times New Roman" w:eastAsia="Times New Roman" w:hAnsi="Times New Roman" w:cs="Times New Roman"/>
          <w:sz w:val="24"/>
          <w:szCs w:val="24"/>
        </w:rPr>
        <w:t xml:space="preserve">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which</w:t>
      </w:r>
      <w:proofErr w:type="gramEnd"/>
      <w:r w:rsidRPr="00C74355">
        <w:rPr>
          <w:rFonts w:ascii="Times New Roman" w:eastAsia="Times New Roman" w:hAnsi="Times New Roman" w:cs="Times New Roman"/>
          <w:sz w:val="24"/>
          <w:szCs w:val="24"/>
        </w:rPr>
        <w:t xml:space="preserve">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which</w:t>
      </w:r>
      <w:proofErr w:type="gramEnd"/>
      <w:r w:rsidRPr="00C74355">
        <w:rPr>
          <w:rFonts w:ascii="Times New Roman" w:eastAsia="Times New Roman" w:hAnsi="Times New Roman" w:cs="Times New Roman"/>
          <w:sz w:val="24"/>
          <w:szCs w:val="24"/>
        </w:rPr>
        <w:t xml:space="preserve">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w:t>
      </w:r>
      <w:proofErr w:type="gramStart"/>
      <w:r w:rsidRPr="00C74355">
        <w:rPr>
          <w:rFonts w:ascii="Times New Roman" w:eastAsia="Times New Roman" w:hAnsi="Times New Roman" w:cs="Times New Roman"/>
          <w:sz w:val="24"/>
          <w:szCs w:val="24"/>
        </w:rPr>
        <w:t>be</w:t>
      </w:r>
      <w:proofErr w:type="gramEnd"/>
      <w:r w:rsidRPr="00C74355">
        <w:rPr>
          <w:rFonts w:ascii="Times New Roman" w:eastAsia="Times New Roman" w:hAnsi="Times New Roman" w:cs="Times New Roman"/>
          <w:sz w:val="24"/>
          <w:szCs w:val="24"/>
        </w:rPr>
        <w:t xml:space="preserv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w:t>
      </w:r>
      <w:proofErr w:type="gramStart"/>
      <w:r w:rsidRPr="00C74355">
        <w:rPr>
          <w:rFonts w:ascii="Times New Roman" w:eastAsia="Times New Roman" w:hAnsi="Times New Roman" w:cs="Times New Roman"/>
          <w:sz w:val="24"/>
          <w:szCs w:val="24"/>
        </w:rPr>
        <w:t xml:space="preserve">that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w:proofErr w:type="gramStart"/>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w:proofErr w:type="gramEnd"/>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CD3A2C"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14:paraId="5712E863" w14:textId="2A7BEE0B" w:rsidR="004D1BEA" w:rsidRPr="00EB63DE" w:rsidRDefault="00CD3A2C"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in</w:t>
      </w:r>
      <w:proofErr w:type="gramEnd"/>
      <w:r w:rsidRPr="00EB63DE">
        <w:rPr>
          <w:rFonts w:ascii="Times New Roman" w:eastAsia="Times New Roman" w:hAnsi="Times New Roman" w:cs="Times New Roman"/>
          <w:sz w:val="24"/>
          <w:szCs w:val="24"/>
        </w:rPr>
        <w:t xml:space="preserve">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w:proofErr w:type="gramStart"/>
            <m:r>
              <w:rPr>
                <w:rFonts w:ascii="Cambria Math" w:eastAsia="Times New Roman" w:hAnsi="Cambria Math" w:cs="Times New Roman"/>
                <w:sz w:val="24"/>
                <w:szCs w:val="24"/>
              </w:rPr>
              <m:t>,1-α</m:t>
            </m:r>
            <w:proofErr w:type="gramEnd"/>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CD3A2C"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where</w:t>
      </w:r>
      <w:proofErr w:type="gramEnd"/>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m:t>
            </m:r>
            <w:proofErr w:type="gramStart"/>
            <m:r>
              <w:rPr>
                <w:rFonts w:ascii="Cambria Math" w:eastAsia="Times New Roman" w:hAnsi="Cambria Math" w:cs="Times New Roman"/>
                <w:sz w:val="24"/>
                <w:szCs w:val="24"/>
              </w:rPr>
              <m:t>,1-α</m:t>
            </m:r>
            <w:proofErr w:type="gramEnd"/>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w:t>
      </w:r>
      <w:proofErr w:type="spellStart"/>
      <w:r w:rsidRPr="00EB63DE">
        <w:rPr>
          <w:rFonts w:ascii="Times New Roman" w:eastAsia="Times New Roman" w:hAnsi="Times New Roman" w:cs="Times New Roman"/>
          <w:sz w:val="24"/>
          <w:szCs w:val="24"/>
        </w:rPr>
        <w:t>es</w:t>
      </w:r>
      <w:proofErr w:type="spellEnd"/>
      <w:r w:rsidRPr="00EB63DE">
        <w:rPr>
          <w:rFonts w:ascii="Times New Roman" w:eastAsia="Times New Roman" w:hAnsi="Times New Roman" w:cs="Times New Roman"/>
          <w:sz w:val="24"/>
          <w:szCs w:val="24"/>
        </w:rPr>
        <w:t xml:space="preserve">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CD3A2C"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denoted</w:t>
      </w:r>
      <w:proofErr w:type="gramEnd"/>
      <w:r w:rsidRPr="00EB63DE">
        <w:rPr>
          <w:rFonts w:ascii="Times New Roman" w:eastAsia="Times New Roman" w:hAnsi="Times New Roman" w:cs="Times New Roman"/>
          <w:sz w:val="24"/>
          <w:szCs w:val="24"/>
        </w:rPr>
        <w:t xml:space="preserve">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lastRenderedPageBreak/>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w:proofErr w:type="gramStart"/>
            <m:r>
              <w:rPr>
                <w:rFonts w:ascii="Cambria Math" w:eastAsia="Times New Roman" w:hAnsi="Cambria Math" w:cs="Times New Roman"/>
                <w:sz w:val="24"/>
                <w:szCs w:val="24"/>
              </w:rPr>
              <m:t>,y,z</m:t>
            </m:r>
            <w:proofErr w:type="gramEnd"/>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proofErr w:type="gramStart"/>
      <w:r w:rsidRPr="00C74355">
        <w:rPr>
          <w:rFonts w:ascii="Times New Roman" w:eastAsia="Times New Roman" w:hAnsi="Times New Roman" w:cs="Times New Roman"/>
          <w:sz w:val="24"/>
          <w:szCs w:val="24"/>
        </w:rPr>
        <w:t>which</w:t>
      </w:r>
      <w:proofErr w:type="gramEnd"/>
      <w:r w:rsidRPr="00C74355">
        <w:rPr>
          <w:rFonts w:ascii="Times New Roman" w:eastAsia="Times New Roman" w:hAnsi="Times New Roman" w:cs="Times New Roman"/>
          <w:sz w:val="24"/>
          <w:szCs w:val="24"/>
        </w:rPr>
        <w:t xml:space="preserve">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proofErr w:type="spellStart"/>
      <w:r w:rsidR="0011432A">
        <w:rPr>
          <w:rFonts w:ascii="Times New Roman" w:eastAsia="Times New Roman" w:hAnsi="Times New Roman" w:cs="Times New Roman"/>
          <w:sz w:val="24"/>
          <w:szCs w:val="24"/>
        </w:rPr>
        <w:t>xists</w:t>
      </w:r>
      <w:proofErr w:type="spellEnd"/>
      <w:r w:rsidR="0011432A">
        <w:rPr>
          <w:rFonts w:ascii="Times New Roman" w:eastAsia="Times New Roman" w:hAnsi="Times New Roman" w:cs="Times New Roman"/>
          <w:sz w:val="24"/>
          <w:szCs w:val="24"/>
        </w:rPr>
        <w:t xml:space="preserve">.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w:t>
      </w:r>
      <w:proofErr w:type="gramStart"/>
      <w:r w:rsidRPr="00C74355">
        <w:rPr>
          <w:rFonts w:ascii="Times New Roman" w:eastAsia="Times New Roman" w:hAnsi="Times New Roman" w:cs="Times New Roman"/>
          <w:sz w:val="24"/>
          <w:szCs w:val="24"/>
        </w:rPr>
        <w:t>be</w:t>
      </w:r>
      <w:proofErr w:type="gramEnd"/>
      <w:r w:rsidRPr="00C74355">
        <w:rPr>
          <w:rFonts w:ascii="Times New Roman" w:eastAsia="Times New Roman" w:hAnsi="Times New Roman" w:cs="Times New Roman"/>
          <w:sz w:val="24"/>
          <w:szCs w:val="24"/>
        </w:rPr>
        <w:t xml:space="preserv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5791D894"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taken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lastRenderedPageBreak/>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and</w:t>
      </w:r>
      <w:proofErr w:type="gramEnd"/>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respectively</w:t>
      </w:r>
      <w:proofErr w:type="gramEnd"/>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w:t>
      </w:r>
      <w:proofErr w:type="spellStart"/>
      <w:r w:rsidRPr="00EB63DE">
        <w:rPr>
          <w:rFonts w:ascii="Times New Roman" w:eastAsia="Times New Roman" w:hAnsi="Times New Roman" w:cs="Times New Roman"/>
          <w:sz w:val="24"/>
          <w:szCs w:val="24"/>
        </w:rPr>
        <w:t>ee</w:t>
      </w:r>
      <w:proofErr w:type="spellEnd"/>
      <w:r w:rsidRPr="00EB63DE">
        <w:rPr>
          <w:rFonts w:ascii="Times New Roman" w:eastAsia="Times New Roman" w:hAnsi="Times New Roman" w:cs="Times New Roman"/>
          <w:sz w:val="24"/>
          <w:szCs w:val="24"/>
        </w:rPr>
        <w:t xml:space="preserv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CD3A2C"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CD3A2C"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CD3A2C"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t>in</w:t>
      </w:r>
      <w:proofErr w:type="gramEnd"/>
      <w:r w:rsidRPr="00EB63DE">
        <w:rPr>
          <w:rFonts w:ascii="Times New Roman" w:eastAsia="Times New Roman" w:hAnsi="Times New Roman" w:cs="Times New Roman"/>
          <w:sz w:val="24"/>
          <w:szCs w:val="24"/>
        </w:rPr>
        <w:t xml:space="preserve">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CD3A2C"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roofErr w:type="gramStart"/>
      <w:r w:rsidRPr="00EB63DE">
        <w:rPr>
          <w:rFonts w:ascii="Times New Roman" w:eastAsia="Times New Roman" w:hAnsi="Times New Roman" w:cs="Times New Roman"/>
          <w:sz w:val="24"/>
          <w:szCs w:val="24"/>
        </w:rPr>
        <w:lastRenderedPageBreak/>
        <w:t>where</w:t>
      </w:r>
      <w:proofErr w:type="gramEnd"/>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CD3A2C"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606F7D49" w14:textId="5580D7A4" w:rsidR="00C74355" w:rsidRPr="003D06CE" w:rsidRDefault="00C74355" w:rsidP="00C74355">
      <w:pPr>
        <w:spacing w:after="0" w:line="240" w:lineRule="auto"/>
        <w:jc w:val="both"/>
        <w:rPr>
          <w:rFonts w:ascii="Times New Roman" w:eastAsia="Calibri" w:hAnsi="Times New Roman" w:cs="Times New Roman"/>
          <w:b/>
          <w:sz w:val="24"/>
          <w:szCs w:val="24"/>
          <w:lang w:eastAsia="en-US"/>
        </w:rPr>
      </w:pPr>
      <w:r w:rsidRPr="003D06CE">
        <w:rPr>
          <w:rFonts w:ascii="Times New Roman" w:eastAsia="Calibri" w:hAnsi="Times New Roman" w:cs="Times New Roman"/>
          <w:b/>
          <w:sz w:val="24"/>
          <w:szCs w:val="24"/>
          <w:lang w:eastAsia="en-US"/>
        </w:rPr>
        <w:t xml:space="preserve">3.4 </w:t>
      </w:r>
      <w:r w:rsidR="000057C2">
        <w:rPr>
          <w:rFonts w:ascii="Times New Roman" w:eastAsia="Calibri" w:hAnsi="Times New Roman" w:cs="Times New Roman"/>
          <w:b/>
          <w:sz w:val="24"/>
          <w:szCs w:val="24"/>
          <w:lang w:eastAsia="en-US"/>
        </w:rPr>
        <w:t>Illustration with the</w:t>
      </w:r>
      <w:r w:rsidR="00EB63DE" w:rsidRPr="003D06CE">
        <w:rPr>
          <w:rFonts w:ascii="Times New Roman" w:eastAsia="Calibri" w:hAnsi="Times New Roman" w:cs="Times New Roman"/>
          <w:b/>
          <w:sz w:val="24"/>
          <w:szCs w:val="24"/>
          <w:lang w:eastAsia="en-US"/>
        </w:rPr>
        <w:t xml:space="preserve"> Example</w:t>
      </w:r>
      <w:r w:rsidRPr="003D06CE">
        <w:rPr>
          <w:rFonts w:ascii="Times New Roman" w:eastAsia="Calibri" w:hAnsi="Times New Roman" w:cs="Times New Roman"/>
          <w:b/>
          <w:sz w:val="24"/>
          <w:szCs w:val="24"/>
          <w:lang w:eastAsia="en-US"/>
        </w:rPr>
        <w:t xml:space="preserve"> </w:t>
      </w:r>
    </w:p>
    <w:p w14:paraId="3637D77E" w14:textId="77777777" w:rsidR="00FE22F3" w:rsidRPr="003D06CE" w:rsidRDefault="00FE22F3" w:rsidP="00C74355">
      <w:pPr>
        <w:spacing w:after="0" w:line="240" w:lineRule="auto"/>
        <w:jc w:val="both"/>
        <w:rPr>
          <w:rFonts w:ascii="Times New Roman" w:eastAsia="Calibri" w:hAnsi="Times New Roman" w:cs="Times New Roman"/>
          <w:b/>
          <w:sz w:val="24"/>
          <w:szCs w:val="24"/>
          <w:lang w:eastAsia="en-US"/>
        </w:rPr>
      </w:pPr>
    </w:p>
    <w:p w14:paraId="3F1FAC35" w14:textId="028043E9" w:rsidR="00DA4D00" w:rsidRDefault="00FE22F3" w:rsidP="00C74355">
      <w:pPr>
        <w:spacing w:after="0" w:line="240" w:lineRule="auto"/>
        <w:jc w:val="both"/>
        <w:rPr>
          <w:rFonts w:ascii="Times New Roman" w:eastAsia="Calibri" w:hAnsi="Times New Roman" w:cs="Times New Roman"/>
          <w:sz w:val="24"/>
          <w:szCs w:val="24"/>
          <w:lang w:eastAsia="en-US"/>
        </w:rPr>
      </w:pPr>
      <w:r w:rsidRPr="003D06CE">
        <w:rPr>
          <w:rFonts w:ascii="Times New Roman" w:eastAsia="Calibri" w:hAnsi="Times New Roman" w:cs="Times New Roman"/>
          <w:sz w:val="24"/>
          <w:szCs w:val="24"/>
          <w:lang w:eastAsia="en-US"/>
        </w:rPr>
        <w:t>Based on the same example</w:t>
      </w:r>
      <w:r w:rsidR="003D06CE">
        <w:rPr>
          <w:rFonts w:ascii="Times New Roman" w:eastAsia="Calibri" w:hAnsi="Times New Roman" w:cs="Times New Roman"/>
          <w:sz w:val="24"/>
          <w:szCs w:val="24"/>
          <w:lang w:eastAsia="en-US"/>
        </w:rPr>
        <w:t xml:space="preserve"> given in Section 2.3</w:t>
      </w:r>
      <w:r w:rsidRPr="003D06CE">
        <w:rPr>
          <w:rFonts w:ascii="Times New Roman" w:eastAsia="Calibri" w:hAnsi="Times New Roman" w:cs="Times New Roman"/>
          <w:sz w:val="24"/>
          <w:szCs w:val="24"/>
          <w:lang w:eastAsia="en-US"/>
        </w:rPr>
        <w:t xml:space="preserve">, </w:t>
      </w:r>
      <w:r w:rsidR="00206D12">
        <w:rPr>
          <w:rFonts w:ascii="Times New Roman" w:eastAsia="Calibri" w:hAnsi="Times New Roman" w:cs="Times New Roman"/>
          <w:sz w:val="24"/>
          <w:szCs w:val="24"/>
          <w:lang w:eastAsia="en-US"/>
        </w:rPr>
        <w:t xml:space="preserve">we </w:t>
      </w:r>
      <w:r w:rsidRPr="003D06CE">
        <w:rPr>
          <w:rFonts w:ascii="Times New Roman" w:eastAsia="Calibri" w:hAnsi="Times New Roman" w:cs="Times New Roman"/>
          <w:sz w:val="24"/>
          <w:szCs w:val="24"/>
          <w:lang w:eastAsia="en-US"/>
        </w:rPr>
        <w:t>calculate</w:t>
      </w:r>
      <w:r w:rsidR="00206D12">
        <w:rPr>
          <w:rFonts w:ascii="Times New Roman" w:eastAsia="Calibri" w:hAnsi="Times New Roman" w:cs="Times New Roman"/>
          <w:sz w:val="24"/>
          <w:szCs w:val="24"/>
          <w:lang w:eastAsia="en-US"/>
        </w:rPr>
        <w:t xml:space="preserve">d the fiducial probabilities and </w:t>
      </w:r>
      <w:r w:rsidR="00206D12" w:rsidRPr="003D06CE">
        <w:rPr>
          <w:rFonts w:ascii="Times New Roman" w:eastAsia="Calibri" w:hAnsi="Times New Roman" w:cs="Times New Roman"/>
          <w:sz w:val="24"/>
          <w:szCs w:val="24"/>
          <w:lang w:eastAsia="en-US"/>
        </w:rPr>
        <w:t>simultaneous</w:t>
      </w:r>
      <w:r w:rsidRPr="003D06CE">
        <w:rPr>
          <w:rFonts w:ascii="Times New Roman" w:eastAsia="Calibri" w:hAnsi="Times New Roman" w:cs="Times New Roman"/>
          <w:sz w:val="24"/>
          <w:szCs w:val="24"/>
          <w:lang w:eastAsia="en-US"/>
        </w:rPr>
        <w:t xml:space="preserve"> confidence intervals to illustrate the proposed method</w:t>
      </w:r>
      <w:r w:rsidR="00206D12">
        <w:rPr>
          <w:rFonts w:ascii="Times New Roman" w:eastAsia="Calibri" w:hAnsi="Times New Roman" w:cs="Times New Roman"/>
          <w:sz w:val="24"/>
          <w:szCs w:val="24"/>
          <w:lang w:eastAsia="en-US"/>
        </w:rPr>
        <w:t>s</w:t>
      </w:r>
      <w:r w:rsidRPr="003D06CE">
        <w:rPr>
          <w:rFonts w:ascii="Times New Roman" w:eastAsia="Calibri" w:hAnsi="Times New Roman" w:cs="Times New Roman"/>
          <w:sz w:val="24"/>
          <w:szCs w:val="24"/>
          <w:lang w:eastAsia="en-US"/>
        </w:rPr>
        <w:t>.</w:t>
      </w:r>
      <w:r w:rsidR="00DA4D00">
        <w:rPr>
          <w:rFonts w:ascii="Times New Roman" w:eastAsia="Calibri" w:hAnsi="Times New Roman" w:cs="Times New Roman"/>
          <w:sz w:val="24"/>
          <w:szCs w:val="24"/>
          <w:lang w:eastAsia="en-US"/>
        </w:rPr>
        <w:t xml:space="preserve"> Using the data as in the numerical example, the results from the proposed methods are in Table </w:t>
      </w:r>
      <w:r w:rsidR="008D132B">
        <w:rPr>
          <w:rFonts w:ascii="Times New Roman" w:eastAsia="Calibri" w:hAnsi="Times New Roman" w:cs="Times New Roman"/>
          <w:sz w:val="24"/>
          <w:szCs w:val="24"/>
          <w:lang w:eastAsia="en-US"/>
        </w:rPr>
        <w:t xml:space="preserve">3. </w:t>
      </w:r>
    </w:p>
    <w:p w14:paraId="207C91CC" w14:textId="77777777" w:rsidR="006E3CBF" w:rsidRDefault="006E3CBF" w:rsidP="00C74355">
      <w:pPr>
        <w:spacing w:after="0" w:line="240" w:lineRule="auto"/>
        <w:jc w:val="both"/>
        <w:rPr>
          <w:rFonts w:ascii="Times New Roman" w:eastAsia="Calibri" w:hAnsi="Times New Roman" w:cs="Times New Roman"/>
          <w:sz w:val="24"/>
          <w:szCs w:val="24"/>
          <w:lang w:eastAsia="en-US"/>
        </w:rPr>
      </w:pPr>
    </w:p>
    <w:p w14:paraId="4BC2510D" w14:textId="3C3B960A" w:rsidR="006E3CBF" w:rsidRDefault="006E3CBF" w:rsidP="006E3CBF">
      <w:pPr>
        <w:pStyle w:val="Caption"/>
        <w:keepNext/>
      </w:pPr>
      <w:r>
        <w:t xml:space="preserve">Table </w:t>
      </w:r>
      <w:fldSimple w:instr=" SEQ Table \* ARABIC ">
        <w:r w:rsidR="00EC7A1B">
          <w:rPr>
            <w:noProof/>
          </w:rPr>
          <w:t>3</w:t>
        </w:r>
      </w:fldSimple>
      <w:r>
        <w:t>:</w:t>
      </w:r>
      <w:r w:rsidR="00DE50EA">
        <w:t xml:space="preserve"> </w:t>
      </w:r>
      <w:r w:rsidR="00DE50EA">
        <w:rPr>
          <w:rFonts w:hint="eastAsia"/>
        </w:rPr>
        <w:t xml:space="preserve">applying </w:t>
      </w:r>
      <w:r w:rsidR="00196539">
        <w:t>the proposed methods for the example</w:t>
      </w:r>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6E3CBF" w:rsidRPr="006E3CBF" w14:paraId="66EA1268" w14:textId="77777777" w:rsidTr="00EF795D">
        <w:trPr>
          <w:trHeight w:val="300"/>
          <w:jc w:val="center"/>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38A753" w14:textId="3093479C"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w:r w:rsidR="00465B38" w:rsidRPr="00562CAB">
              <w:rPr>
                <w:rFonts w:eastAsia="Times New Roman" w:cs="Times New Roman"/>
                <w:color w:val="000000"/>
                <w:sz w:val="20"/>
                <w:szCs w:val="20"/>
                <w:lang w:eastAsia="en-US"/>
              </w:rPr>
              <w:t>Original version</w:t>
            </w:r>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77EB53" w14:textId="374EF415" w:rsidR="006E3CBF" w:rsidRPr="00562CAB" w:rsidRDefault="00465B38"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The integrated</w:t>
            </w:r>
            <w:r w:rsidR="006E3CBF" w:rsidRPr="00562CAB">
              <w:rPr>
                <w:rFonts w:eastAsia="Times New Roman" w:cs="Times New Roman"/>
                <w:color w:val="000000"/>
                <w:sz w:val="20"/>
                <w:szCs w:val="20"/>
                <w:lang w:eastAsia="en-US"/>
              </w:rPr>
              <w:t> </w:t>
            </w:r>
            <w:r w:rsidRPr="00562CAB">
              <w:rPr>
                <w:rFonts w:eastAsia="Times New Roman" w:cs="Times New Roman"/>
                <w:color w:val="000000"/>
                <w:sz w:val="20"/>
                <w:szCs w:val="20"/>
                <w:lang w:eastAsia="en-US"/>
              </w:rPr>
              <w:t>version</w:t>
            </w:r>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0C8BB6A2" w14:textId="6BFE5DAD" w:rsidR="006E3CBF" w:rsidRPr="00562CAB" w:rsidRDefault="00465B38"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The least favorable version</w:t>
            </w:r>
            <w:r w:rsidR="006E3CBF" w:rsidRPr="00562CAB">
              <w:rPr>
                <w:rFonts w:eastAsia="Times New Roman" w:cs="Times New Roman"/>
                <w:color w:val="000000"/>
                <w:sz w:val="20"/>
                <w:szCs w:val="20"/>
                <w:lang w:eastAsia="en-US"/>
              </w:rPr>
              <w:t> </w:t>
            </w:r>
          </w:p>
        </w:tc>
      </w:tr>
      <w:tr w:rsidR="006E3CBF" w:rsidRPr="006E3CBF" w14:paraId="2CC689CE"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3CD10A68" w14:textId="2F988972"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1091" w:type="dxa"/>
            <w:tcBorders>
              <w:top w:val="nil"/>
              <w:left w:val="nil"/>
              <w:bottom w:val="single" w:sz="4" w:space="0" w:color="auto"/>
              <w:right w:val="single" w:sz="4" w:space="0" w:color="auto"/>
            </w:tcBorders>
            <w:shd w:val="clear" w:color="auto" w:fill="auto"/>
            <w:noWrap/>
            <w:vAlign w:val="bottom"/>
            <w:hideMark/>
          </w:tcPr>
          <w:p w14:paraId="3A88FD77" w14:textId="788D03ED"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p>
        </w:tc>
        <w:tc>
          <w:tcPr>
            <w:tcW w:w="1091" w:type="dxa"/>
            <w:tcBorders>
              <w:top w:val="nil"/>
              <w:left w:val="nil"/>
              <w:bottom w:val="single" w:sz="4" w:space="0" w:color="auto"/>
              <w:right w:val="single" w:sz="4" w:space="0" w:color="auto"/>
            </w:tcBorders>
            <w:shd w:val="clear" w:color="auto" w:fill="auto"/>
            <w:noWrap/>
            <w:vAlign w:val="bottom"/>
            <w:hideMark/>
          </w:tcPr>
          <w:p w14:paraId="34709539" w14:textId="5AB4C5C6"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5E198120" w14:textId="3EFEFCE5"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p>
        </w:tc>
        <w:tc>
          <w:tcPr>
            <w:tcW w:w="1031" w:type="dxa"/>
            <w:tcBorders>
              <w:top w:val="nil"/>
              <w:left w:val="nil"/>
              <w:bottom w:val="single" w:sz="4" w:space="0" w:color="auto"/>
              <w:right w:val="single" w:sz="4" w:space="0" w:color="auto"/>
            </w:tcBorders>
            <w:shd w:val="clear" w:color="auto" w:fill="auto"/>
            <w:noWrap/>
            <w:vAlign w:val="bottom"/>
            <w:hideMark/>
          </w:tcPr>
          <w:p w14:paraId="137B852A" w14:textId="22A6A430"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04B05C40" w14:textId="2BDC4CB5"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7CCFBB5E" w14:textId="085D0248"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48540739" w14:textId="267E4DD2"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AA5FC22" w14:textId="0DB9E2FE" w:rsidR="006E3CBF" w:rsidRPr="00562CAB" w:rsidRDefault="006E3CBF" w:rsidP="006E3CBF">
            <w:pPr>
              <w:spacing w:after="0" w:line="240" w:lineRule="auto"/>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p>
        </w:tc>
      </w:tr>
      <w:tr w:rsidR="006E3CBF" w:rsidRPr="006E3CBF" w14:paraId="424ADDC7"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7A17B6D"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0.927</w:t>
            </w:r>
          </w:p>
        </w:tc>
        <w:tc>
          <w:tcPr>
            <w:tcW w:w="1091" w:type="dxa"/>
            <w:tcBorders>
              <w:top w:val="nil"/>
              <w:left w:val="nil"/>
              <w:bottom w:val="single" w:sz="4" w:space="0" w:color="auto"/>
              <w:right w:val="single" w:sz="4" w:space="0" w:color="auto"/>
            </w:tcBorders>
            <w:shd w:val="clear" w:color="auto" w:fill="auto"/>
            <w:noWrap/>
            <w:vAlign w:val="bottom"/>
            <w:hideMark/>
          </w:tcPr>
          <w:p w14:paraId="6908EB66"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10.116</w:t>
            </w:r>
          </w:p>
        </w:tc>
        <w:tc>
          <w:tcPr>
            <w:tcW w:w="1091" w:type="dxa"/>
            <w:tcBorders>
              <w:top w:val="nil"/>
              <w:left w:val="nil"/>
              <w:bottom w:val="single" w:sz="4" w:space="0" w:color="auto"/>
              <w:right w:val="single" w:sz="4" w:space="0" w:color="auto"/>
            </w:tcBorders>
            <w:shd w:val="clear" w:color="auto" w:fill="auto"/>
            <w:noWrap/>
            <w:vAlign w:val="bottom"/>
            <w:hideMark/>
          </w:tcPr>
          <w:p w14:paraId="163B89FD"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10.792</w:t>
            </w:r>
          </w:p>
        </w:tc>
        <w:tc>
          <w:tcPr>
            <w:tcW w:w="1031" w:type="dxa"/>
            <w:tcBorders>
              <w:top w:val="nil"/>
              <w:left w:val="nil"/>
              <w:bottom w:val="single" w:sz="4" w:space="0" w:color="auto"/>
              <w:right w:val="single" w:sz="4" w:space="0" w:color="auto"/>
            </w:tcBorders>
            <w:shd w:val="clear" w:color="auto" w:fill="auto"/>
            <w:noWrap/>
            <w:vAlign w:val="bottom"/>
            <w:hideMark/>
          </w:tcPr>
          <w:p w14:paraId="052971E6"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0.915</w:t>
            </w:r>
          </w:p>
        </w:tc>
        <w:tc>
          <w:tcPr>
            <w:tcW w:w="1031" w:type="dxa"/>
            <w:tcBorders>
              <w:top w:val="nil"/>
              <w:left w:val="nil"/>
              <w:bottom w:val="single" w:sz="4" w:space="0" w:color="auto"/>
              <w:right w:val="single" w:sz="4" w:space="0" w:color="auto"/>
            </w:tcBorders>
            <w:shd w:val="clear" w:color="auto" w:fill="auto"/>
            <w:noWrap/>
            <w:vAlign w:val="bottom"/>
            <w:hideMark/>
          </w:tcPr>
          <w:p w14:paraId="220346DE"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0.947</w:t>
            </w:r>
          </w:p>
        </w:tc>
        <w:tc>
          <w:tcPr>
            <w:tcW w:w="1031" w:type="dxa"/>
            <w:tcBorders>
              <w:top w:val="nil"/>
              <w:left w:val="nil"/>
              <w:bottom w:val="single" w:sz="4" w:space="0" w:color="auto"/>
              <w:right w:val="single" w:sz="4" w:space="0" w:color="auto"/>
            </w:tcBorders>
            <w:shd w:val="clear" w:color="auto" w:fill="auto"/>
            <w:noWrap/>
            <w:vAlign w:val="bottom"/>
            <w:hideMark/>
          </w:tcPr>
          <w:p w14:paraId="72C282F8"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0.958</w:t>
            </w:r>
          </w:p>
        </w:tc>
        <w:tc>
          <w:tcPr>
            <w:tcW w:w="1112" w:type="dxa"/>
            <w:tcBorders>
              <w:top w:val="nil"/>
              <w:left w:val="nil"/>
              <w:bottom w:val="single" w:sz="4" w:space="0" w:color="auto"/>
              <w:right w:val="single" w:sz="4" w:space="0" w:color="auto"/>
            </w:tcBorders>
            <w:shd w:val="clear" w:color="auto" w:fill="auto"/>
            <w:noWrap/>
            <w:vAlign w:val="bottom"/>
            <w:hideMark/>
          </w:tcPr>
          <w:p w14:paraId="2B275982"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0.788</w:t>
            </w:r>
          </w:p>
        </w:tc>
        <w:tc>
          <w:tcPr>
            <w:tcW w:w="847" w:type="dxa"/>
            <w:tcBorders>
              <w:top w:val="nil"/>
              <w:left w:val="nil"/>
              <w:bottom w:val="single" w:sz="4" w:space="0" w:color="auto"/>
              <w:right w:val="single" w:sz="4" w:space="0" w:color="auto"/>
            </w:tcBorders>
            <w:shd w:val="clear" w:color="auto" w:fill="auto"/>
            <w:noWrap/>
            <w:vAlign w:val="bottom"/>
            <w:hideMark/>
          </w:tcPr>
          <w:p w14:paraId="1FA19BFB"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334" w:type="dxa"/>
            <w:tcBorders>
              <w:top w:val="nil"/>
              <w:left w:val="nil"/>
              <w:bottom w:val="single" w:sz="4" w:space="0" w:color="auto"/>
              <w:right w:val="single" w:sz="4" w:space="0" w:color="auto"/>
            </w:tcBorders>
            <w:shd w:val="clear" w:color="auto" w:fill="auto"/>
            <w:noWrap/>
            <w:vAlign w:val="bottom"/>
            <w:hideMark/>
          </w:tcPr>
          <w:p w14:paraId="15E9B82A" w14:textId="77777777" w:rsidR="006E3CBF" w:rsidRPr="00562CAB" w:rsidRDefault="006E3CBF"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9.323</w:t>
            </w:r>
          </w:p>
        </w:tc>
      </w:tr>
      <w:tr w:rsidR="006120F7" w:rsidRPr="006E3CBF" w14:paraId="38DF5D35"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2AEFD0" w14:textId="38B952E9"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1091" w:type="dxa"/>
            <w:tcBorders>
              <w:top w:val="nil"/>
              <w:left w:val="nil"/>
              <w:bottom w:val="single" w:sz="4" w:space="0" w:color="auto"/>
              <w:right w:val="single" w:sz="4" w:space="0" w:color="auto"/>
            </w:tcBorders>
            <w:shd w:val="clear" w:color="auto" w:fill="auto"/>
            <w:noWrap/>
            <w:vAlign w:val="bottom"/>
            <w:hideMark/>
          </w:tcPr>
          <w:p w14:paraId="033ED436" w14:textId="18FC5AFC"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p>
        </w:tc>
        <w:tc>
          <w:tcPr>
            <w:tcW w:w="1091" w:type="dxa"/>
            <w:tcBorders>
              <w:top w:val="nil"/>
              <w:left w:val="nil"/>
              <w:bottom w:val="single" w:sz="4" w:space="0" w:color="auto"/>
              <w:right w:val="single" w:sz="4" w:space="0" w:color="auto"/>
            </w:tcBorders>
            <w:shd w:val="clear" w:color="auto" w:fill="auto"/>
            <w:noWrap/>
            <w:vAlign w:val="bottom"/>
            <w:hideMark/>
          </w:tcPr>
          <w:p w14:paraId="1C5FC056" w14:textId="0D599494"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206256DF" w14:textId="533E10B1"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p>
        </w:tc>
        <w:tc>
          <w:tcPr>
            <w:tcW w:w="1031" w:type="dxa"/>
            <w:tcBorders>
              <w:top w:val="nil"/>
              <w:left w:val="nil"/>
              <w:bottom w:val="single" w:sz="4" w:space="0" w:color="auto"/>
              <w:right w:val="single" w:sz="4" w:space="0" w:color="auto"/>
            </w:tcBorders>
            <w:shd w:val="clear" w:color="auto" w:fill="auto"/>
            <w:noWrap/>
            <w:vAlign w:val="bottom"/>
            <w:hideMark/>
          </w:tcPr>
          <w:p w14:paraId="77AB7942" w14:textId="6CE0159F"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0857C76D" w14:textId="018D4524"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p>
        </w:tc>
        <w:tc>
          <w:tcPr>
            <w:tcW w:w="1112" w:type="dxa"/>
            <w:tcBorders>
              <w:top w:val="nil"/>
              <w:left w:val="nil"/>
              <w:bottom w:val="single" w:sz="4" w:space="0" w:color="auto"/>
              <w:right w:val="single" w:sz="4" w:space="0" w:color="auto"/>
            </w:tcBorders>
            <w:shd w:val="clear" w:color="auto" w:fill="auto"/>
            <w:noWrap/>
            <w:vAlign w:val="bottom"/>
            <w:hideMark/>
          </w:tcPr>
          <w:p w14:paraId="2A8A4A2F" w14:textId="1C919BBF"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p>
        </w:tc>
        <w:tc>
          <w:tcPr>
            <w:tcW w:w="847" w:type="dxa"/>
            <w:tcBorders>
              <w:top w:val="nil"/>
              <w:left w:val="nil"/>
              <w:bottom w:val="single" w:sz="4" w:space="0" w:color="auto"/>
              <w:right w:val="single" w:sz="4" w:space="0" w:color="auto"/>
            </w:tcBorders>
            <w:shd w:val="clear" w:color="auto" w:fill="auto"/>
            <w:noWrap/>
            <w:vAlign w:val="bottom"/>
            <w:hideMark/>
          </w:tcPr>
          <w:p w14:paraId="164CBFA6" w14:textId="329AC94B"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p>
        </w:tc>
        <w:tc>
          <w:tcPr>
            <w:tcW w:w="1334" w:type="dxa"/>
            <w:tcBorders>
              <w:top w:val="nil"/>
              <w:left w:val="nil"/>
              <w:bottom w:val="single" w:sz="4" w:space="0" w:color="auto"/>
              <w:right w:val="single" w:sz="4" w:space="0" w:color="auto"/>
            </w:tcBorders>
            <w:shd w:val="clear" w:color="auto" w:fill="auto"/>
            <w:noWrap/>
            <w:vAlign w:val="bottom"/>
            <w:hideMark/>
          </w:tcPr>
          <w:p w14:paraId="1960FD3A" w14:textId="656CF3BC"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p>
        </w:tc>
      </w:tr>
      <w:tr w:rsidR="006120F7" w:rsidRPr="006E3CBF" w14:paraId="5818A16A"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C078A80"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0.879</w:t>
            </w:r>
          </w:p>
        </w:tc>
        <w:tc>
          <w:tcPr>
            <w:tcW w:w="1091" w:type="dxa"/>
            <w:tcBorders>
              <w:top w:val="nil"/>
              <w:left w:val="nil"/>
              <w:bottom w:val="single" w:sz="4" w:space="0" w:color="auto"/>
              <w:right w:val="single" w:sz="4" w:space="0" w:color="auto"/>
            </w:tcBorders>
            <w:shd w:val="clear" w:color="auto" w:fill="auto"/>
            <w:noWrap/>
            <w:vAlign w:val="bottom"/>
            <w:hideMark/>
          </w:tcPr>
          <w:p w14:paraId="78593EF1"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091" w:type="dxa"/>
            <w:tcBorders>
              <w:top w:val="nil"/>
              <w:left w:val="nil"/>
              <w:bottom w:val="single" w:sz="4" w:space="0" w:color="auto"/>
              <w:right w:val="single" w:sz="4" w:space="0" w:color="auto"/>
            </w:tcBorders>
            <w:shd w:val="clear" w:color="auto" w:fill="auto"/>
            <w:noWrap/>
            <w:vAlign w:val="bottom"/>
            <w:hideMark/>
          </w:tcPr>
          <w:p w14:paraId="12D099DE"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11.75</w:t>
            </w:r>
          </w:p>
        </w:tc>
        <w:tc>
          <w:tcPr>
            <w:tcW w:w="1031" w:type="dxa"/>
            <w:tcBorders>
              <w:top w:val="nil"/>
              <w:left w:val="nil"/>
              <w:bottom w:val="single" w:sz="4" w:space="0" w:color="auto"/>
              <w:right w:val="single" w:sz="4" w:space="0" w:color="auto"/>
            </w:tcBorders>
            <w:shd w:val="clear" w:color="auto" w:fill="auto"/>
            <w:noWrap/>
            <w:vAlign w:val="bottom"/>
            <w:hideMark/>
          </w:tcPr>
          <w:p w14:paraId="67AB85EE"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0.866</w:t>
            </w:r>
          </w:p>
        </w:tc>
        <w:tc>
          <w:tcPr>
            <w:tcW w:w="1031" w:type="dxa"/>
            <w:tcBorders>
              <w:top w:val="nil"/>
              <w:left w:val="nil"/>
              <w:bottom w:val="single" w:sz="4" w:space="0" w:color="auto"/>
              <w:right w:val="single" w:sz="4" w:space="0" w:color="auto"/>
            </w:tcBorders>
            <w:shd w:val="clear" w:color="auto" w:fill="auto"/>
            <w:noWrap/>
            <w:vAlign w:val="bottom"/>
            <w:hideMark/>
          </w:tcPr>
          <w:p w14:paraId="3A3DE2B6"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031" w:type="dxa"/>
            <w:tcBorders>
              <w:top w:val="nil"/>
              <w:left w:val="nil"/>
              <w:bottom w:val="single" w:sz="4" w:space="0" w:color="auto"/>
              <w:right w:val="single" w:sz="4" w:space="0" w:color="auto"/>
            </w:tcBorders>
            <w:shd w:val="clear" w:color="auto" w:fill="auto"/>
            <w:noWrap/>
            <w:vAlign w:val="bottom"/>
            <w:hideMark/>
          </w:tcPr>
          <w:p w14:paraId="732F457E"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1.079</w:t>
            </w:r>
          </w:p>
        </w:tc>
        <w:tc>
          <w:tcPr>
            <w:tcW w:w="1112" w:type="dxa"/>
            <w:tcBorders>
              <w:top w:val="nil"/>
              <w:left w:val="nil"/>
              <w:bottom w:val="single" w:sz="4" w:space="0" w:color="auto"/>
              <w:right w:val="single" w:sz="4" w:space="0" w:color="auto"/>
            </w:tcBorders>
            <w:shd w:val="clear" w:color="auto" w:fill="auto"/>
            <w:noWrap/>
            <w:vAlign w:val="bottom"/>
            <w:hideMark/>
          </w:tcPr>
          <w:p w14:paraId="7789E9C2"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0.643</w:t>
            </w:r>
          </w:p>
        </w:tc>
        <w:tc>
          <w:tcPr>
            <w:tcW w:w="847" w:type="dxa"/>
            <w:tcBorders>
              <w:top w:val="nil"/>
              <w:left w:val="nil"/>
              <w:bottom w:val="single" w:sz="4" w:space="0" w:color="auto"/>
              <w:right w:val="single" w:sz="4" w:space="0" w:color="auto"/>
            </w:tcBorders>
            <w:shd w:val="clear" w:color="auto" w:fill="auto"/>
            <w:noWrap/>
            <w:vAlign w:val="bottom"/>
            <w:hideMark/>
          </w:tcPr>
          <w:p w14:paraId="00D9A267"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334" w:type="dxa"/>
            <w:tcBorders>
              <w:top w:val="nil"/>
              <w:left w:val="nil"/>
              <w:bottom w:val="single" w:sz="4" w:space="0" w:color="auto"/>
              <w:right w:val="single" w:sz="4" w:space="0" w:color="auto"/>
            </w:tcBorders>
            <w:shd w:val="clear" w:color="auto" w:fill="auto"/>
            <w:noWrap/>
            <w:vAlign w:val="bottom"/>
            <w:hideMark/>
          </w:tcPr>
          <w:p w14:paraId="383804B0" w14:textId="77777777" w:rsidR="006120F7" w:rsidRPr="00562CAB" w:rsidRDefault="006120F7"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11.238</w:t>
            </w:r>
          </w:p>
        </w:tc>
      </w:tr>
      <w:tr w:rsidR="00EF795D" w:rsidRPr="006E3CBF" w14:paraId="15B14C20"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3F53DC5" w14:textId="1E5620B2"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p>
        </w:tc>
        <w:tc>
          <w:tcPr>
            <w:tcW w:w="1091" w:type="dxa"/>
            <w:tcBorders>
              <w:top w:val="nil"/>
              <w:left w:val="nil"/>
              <w:bottom w:val="single" w:sz="4" w:space="0" w:color="auto"/>
              <w:right w:val="single" w:sz="4" w:space="0" w:color="auto"/>
            </w:tcBorders>
            <w:shd w:val="clear" w:color="auto" w:fill="auto"/>
            <w:noWrap/>
            <w:vAlign w:val="bottom"/>
            <w:hideMark/>
          </w:tcPr>
          <w:p w14:paraId="324F7560" w14:textId="51E45C78"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p>
        </w:tc>
        <w:tc>
          <w:tcPr>
            <w:tcW w:w="1091" w:type="dxa"/>
            <w:tcBorders>
              <w:top w:val="nil"/>
              <w:left w:val="nil"/>
              <w:bottom w:val="single" w:sz="4" w:space="0" w:color="auto"/>
              <w:right w:val="single" w:sz="4" w:space="0" w:color="auto"/>
            </w:tcBorders>
            <w:shd w:val="clear" w:color="auto" w:fill="auto"/>
            <w:noWrap/>
            <w:vAlign w:val="bottom"/>
            <w:hideMark/>
          </w:tcPr>
          <w:p w14:paraId="2D56B04E" w14:textId="0FD9A000"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71B65E4D" w14:textId="50E1E33F"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p>
        </w:tc>
        <w:tc>
          <w:tcPr>
            <w:tcW w:w="1031" w:type="dxa"/>
            <w:tcBorders>
              <w:top w:val="nil"/>
              <w:left w:val="nil"/>
              <w:bottom w:val="single" w:sz="4" w:space="0" w:color="auto"/>
              <w:right w:val="single" w:sz="4" w:space="0" w:color="auto"/>
            </w:tcBorders>
            <w:shd w:val="clear" w:color="auto" w:fill="auto"/>
            <w:noWrap/>
            <w:vAlign w:val="bottom"/>
            <w:hideMark/>
          </w:tcPr>
          <w:p w14:paraId="7C4C9220" w14:textId="65CDBB9E"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p>
        </w:tc>
        <w:tc>
          <w:tcPr>
            <w:tcW w:w="1031" w:type="dxa"/>
            <w:tcBorders>
              <w:top w:val="nil"/>
              <w:left w:val="nil"/>
              <w:bottom w:val="single" w:sz="4" w:space="0" w:color="auto"/>
              <w:right w:val="single" w:sz="4" w:space="0" w:color="auto"/>
            </w:tcBorders>
            <w:shd w:val="clear" w:color="auto" w:fill="auto"/>
            <w:noWrap/>
            <w:vAlign w:val="bottom"/>
            <w:hideMark/>
          </w:tcPr>
          <w:p w14:paraId="208ED408" w14:textId="3CF8716F"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p>
        </w:tc>
        <w:tc>
          <w:tcPr>
            <w:tcW w:w="1112" w:type="dxa"/>
            <w:tcBorders>
              <w:top w:val="nil"/>
              <w:left w:val="nil"/>
              <w:bottom w:val="single" w:sz="4" w:space="0" w:color="auto"/>
              <w:right w:val="single" w:sz="4" w:space="0" w:color="auto"/>
            </w:tcBorders>
            <w:shd w:val="clear" w:color="auto" w:fill="auto"/>
            <w:noWrap/>
            <w:vAlign w:val="bottom"/>
            <w:hideMark/>
          </w:tcPr>
          <w:p w14:paraId="2268FADE" w14:textId="6B5088BA"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p>
        </w:tc>
        <w:tc>
          <w:tcPr>
            <w:tcW w:w="847" w:type="dxa"/>
            <w:tcBorders>
              <w:top w:val="nil"/>
              <w:left w:val="nil"/>
              <w:bottom w:val="single" w:sz="4" w:space="0" w:color="auto"/>
              <w:right w:val="single" w:sz="4" w:space="0" w:color="auto"/>
            </w:tcBorders>
            <w:shd w:val="clear" w:color="auto" w:fill="auto"/>
            <w:noWrap/>
            <w:vAlign w:val="bottom"/>
            <w:hideMark/>
          </w:tcPr>
          <w:p w14:paraId="306CE6D3" w14:textId="343CBCAB"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p>
        </w:tc>
        <w:tc>
          <w:tcPr>
            <w:tcW w:w="1334" w:type="dxa"/>
            <w:tcBorders>
              <w:top w:val="nil"/>
              <w:left w:val="nil"/>
              <w:bottom w:val="single" w:sz="4" w:space="0" w:color="auto"/>
              <w:right w:val="single" w:sz="4" w:space="0" w:color="auto"/>
            </w:tcBorders>
            <w:shd w:val="clear" w:color="auto" w:fill="auto"/>
            <w:noWrap/>
            <w:vAlign w:val="bottom"/>
            <w:hideMark/>
          </w:tcPr>
          <w:p w14:paraId="5CDFEDC3" w14:textId="48E5CAD8"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p>
        </w:tc>
      </w:tr>
      <w:tr w:rsidR="00EF795D" w:rsidRPr="006E3CBF" w14:paraId="1491A22E" w14:textId="77777777" w:rsidTr="00EF795D">
        <w:trPr>
          <w:trHeight w:val="300"/>
          <w:jc w:val="center"/>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C22BE2"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0.867</w:t>
            </w:r>
          </w:p>
        </w:tc>
        <w:tc>
          <w:tcPr>
            <w:tcW w:w="1091" w:type="dxa"/>
            <w:tcBorders>
              <w:top w:val="nil"/>
              <w:left w:val="nil"/>
              <w:bottom w:val="single" w:sz="4" w:space="0" w:color="auto"/>
              <w:right w:val="single" w:sz="4" w:space="0" w:color="auto"/>
            </w:tcBorders>
            <w:shd w:val="clear" w:color="auto" w:fill="auto"/>
            <w:noWrap/>
            <w:vAlign w:val="bottom"/>
            <w:hideMark/>
          </w:tcPr>
          <w:p w14:paraId="2D1A6926"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091" w:type="dxa"/>
            <w:tcBorders>
              <w:top w:val="nil"/>
              <w:left w:val="nil"/>
              <w:bottom w:val="single" w:sz="4" w:space="0" w:color="auto"/>
              <w:right w:val="single" w:sz="4" w:space="0" w:color="auto"/>
            </w:tcBorders>
            <w:shd w:val="clear" w:color="auto" w:fill="auto"/>
            <w:noWrap/>
            <w:vAlign w:val="bottom"/>
            <w:hideMark/>
          </w:tcPr>
          <w:p w14:paraId="6940ADCB"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1.058</w:t>
            </w:r>
          </w:p>
        </w:tc>
        <w:tc>
          <w:tcPr>
            <w:tcW w:w="1031" w:type="dxa"/>
            <w:tcBorders>
              <w:top w:val="nil"/>
              <w:left w:val="nil"/>
              <w:bottom w:val="single" w:sz="4" w:space="0" w:color="auto"/>
              <w:right w:val="single" w:sz="4" w:space="0" w:color="auto"/>
            </w:tcBorders>
            <w:shd w:val="clear" w:color="auto" w:fill="auto"/>
            <w:noWrap/>
            <w:vAlign w:val="bottom"/>
            <w:hideMark/>
          </w:tcPr>
          <w:p w14:paraId="71584086"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0.94</w:t>
            </w:r>
          </w:p>
        </w:tc>
        <w:tc>
          <w:tcPr>
            <w:tcW w:w="1031" w:type="dxa"/>
            <w:tcBorders>
              <w:top w:val="nil"/>
              <w:left w:val="nil"/>
              <w:bottom w:val="single" w:sz="4" w:space="0" w:color="auto"/>
              <w:right w:val="single" w:sz="4" w:space="0" w:color="auto"/>
            </w:tcBorders>
            <w:shd w:val="clear" w:color="auto" w:fill="auto"/>
            <w:noWrap/>
            <w:vAlign w:val="bottom"/>
            <w:hideMark/>
          </w:tcPr>
          <w:p w14:paraId="61B05794"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0.869</w:t>
            </w:r>
          </w:p>
        </w:tc>
        <w:tc>
          <w:tcPr>
            <w:tcW w:w="1031" w:type="dxa"/>
            <w:tcBorders>
              <w:top w:val="nil"/>
              <w:left w:val="nil"/>
              <w:bottom w:val="single" w:sz="4" w:space="0" w:color="auto"/>
              <w:right w:val="single" w:sz="4" w:space="0" w:color="auto"/>
            </w:tcBorders>
            <w:shd w:val="clear" w:color="auto" w:fill="auto"/>
            <w:noWrap/>
            <w:vAlign w:val="bottom"/>
            <w:hideMark/>
          </w:tcPr>
          <w:p w14:paraId="451CAF31"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0.977</w:t>
            </w:r>
          </w:p>
        </w:tc>
        <w:tc>
          <w:tcPr>
            <w:tcW w:w="1112" w:type="dxa"/>
            <w:tcBorders>
              <w:top w:val="nil"/>
              <w:left w:val="nil"/>
              <w:bottom w:val="single" w:sz="4" w:space="0" w:color="auto"/>
              <w:right w:val="single" w:sz="4" w:space="0" w:color="auto"/>
            </w:tcBorders>
            <w:shd w:val="clear" w:color="auto" w:fill="auto"/>
            <w:noWrap/>
            <w:vAlign w:val="bottom"/>
            <w:hideMark/>
          </w:tcPr>
          <w:p w14:paraId="7879D040"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0.591</w:t>
            </w:r>
          </w:p>
        </w:tc>
        <w:tc>
          <w:tcPr>
            <w:tcW w:w="847" w:type="dxa"/>
            <w:tcBorders>
              <w:top w:val="nil"/>
              <w:left w:val="nil"/>
              <w:bottom w:val="single" w:sz="4" w:space="0" w:color="auto"/>
              <w:right w:val="single" w:sz="4" w:space="0" w:color="auto"/>
            </w:tcBorders>
            <w:shd w:val="clear" w:color="auto" w:fill="auto"/>
            <w:noWrap/>
            <w:vAlign w:val="bottom"/>
            <w:hideMark/>
          </w:tcPr>
          <w:p w14:paraId="74372534"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NA</w:t>
            </w:r>
          </w:p>
        </w:tc>
        <w:tc>
          <w:tcPr>
            <w:tcW w:w="1334" w:type="dxa"/>
            <w:tcBorders>
              <w:top w:val="nil"/>
              <w:left w:val="nil"/>
              <w:bottom w:val="single" w:sz="4" w:space="0" w:color="auto"/>
              <w:right w:val="single" w:sz="4" w:space="0" w:color="auto"/>
            </w:tcBorders>
            <w:shd w:val="clear" w:color="auto" w:fill="auto"/>
            <w:noWrap/>
            <w:vAlign w:val="bottom"/>
            <w:hideMark/>
          </w:tcPr>
          <w:p w14:paraId="029B22C5" w14:textId="77777777" w:rsidR="00EF795D" w:rsidRPr="00562CAB" w:rsidRDefault="00EF795D" w:rsidP="006E3CBF">
            <w:pPr>
              <w:spacing w:after="0" w:line="240" w:lineRule="auto"/>
              <w:jc w:val="center"/>
              <w:rPr>
                <w:rFonts w:eastAsia="Times New Roman" w:cs="Times New Roman"/>
                <w:color w:val="000000"/>
                <w:sz w:val="20"/>
                <w:szCs w:val="20"/>
                <w:lang w:eastAsia="en-US"/>
              </w:rPr>
            </w:pPr>
            <w:r w:rsidRPr="00562CAB">
              <w:rPr>
                <w:rFonts w:eastAsia="Times New Roman" w:cs="Times New Roman"/>
                <w:color w:val="000000"/>
                <w:sz w:val="20"/>
                <w:szCs w:val="20"/>
                <w:lang w:eastAsia="en-US"/>
              </w:rPr>
              <w:t>1.428</w:t>
            </w:r>
          </w:p>
        </w:tc>
      </w:tr>
    </w:tbl>
    <w:p w14:paraId="65F212E1" w14:textId="77777777" w:rsidR="006E3CBF" w:rsidRPr="003D06CE" w:rsidRDefault="006E3CBF" w:rsidP="00C74355">
      <w:pPr>
        <w:spacing w:after="0" w:line="240" w:lineRule="auto"/>
        <w:jc w:val="both"/>
        <w:rPr>
          <w:rFonts w:ascii="Times New Roman" w:eastAsia="Calibri" w:hAnsi="Times New Roman" w:cs="Times New Roman"/>
          <w:sz w:val="24"/>
          <w:szCs w:val="24"/>
          <w:lang w:eastAsia="en-US"/>
        </w:rPr>
      </w:pPr>
    </w:p>
    <w:p w14:paraId="118F0946" w14:textId="2C8A9D26" w:rsidR="00215DFE" w:rsidRPr="00E07146" w:rsidRDefault="00E07146"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 3, with a confidence level of 90%, three methods,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0714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E07146">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E07146">
        <w:rPr>
          <w:rFonts w:ascii="Times New Roman" w:eastAsia="Times New Roman" w:hAnsi="Times New Roman" w:cs="Times New Roman"/>
          <w:sz w:val="24"/>
          <w:szCs w:val="24"/>
        </w:rPr>
        <w:t xml:space="preserve"> will ha</w:t>
      </w:r>
      <w:r w:rsidR="00D070A6">
        <w:rPr>
          <w:rFonts w:ascii="Times New Roman" w:eastAsia="Times New Roman" w:hAnsi="Times New Roman" w:cs="Times New Roman"/>
          <w:sz w:val="24"/>
          <w:szCs w:val="24"/>
        </w:rPr>
        <w:t>ve</w:t>
      </w:r>
      <w:r w:rsidR="009E76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fiducial probabilities calculated as higher than 90%, thus concluding that all three hypotheses</w:t>
      </w:r>
      <w:r w:rsidR="00BE6773">
        <w:rPr>
          <w:rFonts w:ascii="Times New Roman" w:eastAsia="Times New Roman" w:hAnsi="Times New Roman" w:cs="Times New Roman"/>
          <w:sz w:val="24"/>
          <w:szCs w:val="24"/>
        </w:rPr>
        <w:t xml:space="preserve"> in (3), (4) and (5)</w:t>
      </w:r>
      <w:r w:rsidR="005733D0">
        <w:rPr>
          <w:rFonts w:ascii="Times New Roman" w:eastAsia="Times New Roman" w:hAnsi="Times New Roman" w:cs="Times New Roman"/>
          <w:sz w:val="24"/>
          <w:szCs w:val="24"/>
        </w:rPr>
        <w:t xml:space="preserve"> are rejected while o</w:t>
      </w:r>
      <w:r w:rsidR="00393681">
        <w:rPr>
          <w:rFonts w:ascii="Times New Roman" w:eastAsia="Times New Roman" w:hAnsi="Times New Roman" w:cs="Times New Roman"/>
          <w:sz w:val="24"/>
          <w:szCs w:val="24"/>
        </w:rPr>
        <w:t>ther methods were not able to do so.</w:t>
      </w:r>
      <w:r w:rsidR="00D070A6">
        <w:rPr>
          <w:rFonts w:ascii="Times New Roman" w:eastAsia="Times New Roman" w:hAnsi="Times New Roman" w:cs="Times New Roman"/>
          <w:sz w:val="24"/>
          <w:szCs w:val="24"/>
        </w:rPr>
        <w:t xml:space="preserve"> </w:t>
      </w:r>
      <w:r w:rsidR="007C30E6">
        <w:rPr>
          <w:rFonts w:ascii="Times New Roman" w:eastAsia="Times New Roman" w:hAnsi="Times New Roman" w:cs="Times New Roman"/>
          <w:sz w:val="24"/>
          <w:szCs w:val="24"/>
        </w:rPr>
        <w:t xml:space="preserve">Further discussion of this example </w:t>
      </w:r>
      <w:r w:rsidR="004D34CB">
        <w:rPr>
          <w:rFonts w:ascii="Times New Roman" w:eastAsia="Times New Roman" w:hAnsi="Times New Roman" w:cs="Times New Roman"/>
          <w:sz w:val="24"/>
          <w:szCs w:val="24"/>
        </w:rPr>
        <w:t>can be seen in the simulation studies of</w:t>
      </w:r>
      <w:r w:rsidR="007C30E6">
        <w:rPr>
          <w:rFonts w:ascii="Times New Roman" w:eastAsia="Times New Roman" w:hAnsi="Times New Roman" w:cs="Times New Roman"/>
          <w:sz w:val="24"/>
          <w:szCs w:val="24"/>
        </w:rPr>
        <w:t xml:space="preserve"> the following section.</w:t>
      </w: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59170793" w14:textId="28F8F5B2" w:rsidR="00070099" w:rsidRDefault="009E76BA"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studies were used to assess the performance of the proposed methods. For parameter specification, assume the three drugs, 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have the same variance.</w:t>
      </w:r>
      <w:r w:rsidR="00CD3A2C">
        <w:rPr>
          <w:rFonts w:ascii="Times New Roman" w:eastAsia="Times New Roman" w:hAnsi="Times New Roman" w:cs="Times New Roman"/>
          <w:sz w:val="24"/>
          <w:szCs w:val="24"/>
        </w:rPr>
        <w:t xml:space="preserve"> The expectations of the three drugs were set to be 1, 0 and 2. The observations of the three drugs all follow normal distributions</w:t>
      </w:r>
      <w:r w:rsidR="00380A0D">
        <w:rPr>
          <w:rFonts w:ascii="Times New Roman" w:eastAsia="Times New Roman" w:hAnsi="Times New Roman" w:cs="Times New Roman"/>
          <w:sz w:val="24"/>
          <w:szCs w:val="24"/>
        </w:rPr>
        <w:t xml:space="preserve"> and observations are statistically independent with each other.</w:t>
      </w:r>
      <w:r w:rsidR="00B10807">
        <w:rPr>
          <w:rFonts w:ascii="Times New Roman" w:eastAsia="Times New Roman" w:hAnsi="Times New Roman" w:cs="Times New Roman"/>
          <w:sz w:val="24"/>
          <w:szCs w:val="24"/>
        </w:rPr>
        <w:t xml:space="preserve"> 10 lots were sampled for each drug, as well as for estimating the variance of the reference drug.</w:t>
      </w:r>
      <w:r w:rsidR="008520ED">
        <w:rPr>
          <w:rFonts w:ascii="Times New Roman" w:eastAsia="Times New Roman" w:hAnsi="Times New Roman" w:cs="Times New Roman"/>
          <w:sz w:val="24"/>
          <w:szCs w:val="24"/>
        </w:rPr>
        <w:t xml:space="preserve"> The required type I error was set to be 0.1. </w:t>
      </w:r>
      <w:r w:rsidR="002E0E3C">
        <w:rPr>
          <w:rFonts w:ascii="Times New Roman" w:eastAsia="Times New Roman" w:hAnsi="Times New Roman" w:cs="Times New Roman"/>
          <w:sz w:val="24"/>
          <w:szCs w:val="24"/>
        </w:rPr>
        <w:t>A wide range of variance was considered to represent different signal-noise ratios. Specifically, the value</w:t>
      </w:r>
      <w:r w:rsidR="00E0283E">
        <w:rPr>
          <w:rFonts w:ascii="Times New Roman" w:eastAsia="Times New Roman" w:hAnsi="Times New Roman" w:cs="Times New Roman"/>
          <w:sz w:val="24"/>
          <w:szCs w:val="24"/>
        </w:rPr>
        <w:t>s</w:t>
      </w:r>
      <w:r w:rsidR="002E0E3C">
        <w:rPr>
          <w:rFonts w:ascii="Times New Roman" w:eastAsia="Times New Roman" w:hAnsi="Times New Roman" w:cs="Times New Roman"/>
          <w:sz w:val="24"/>
          <w:szCs w:val="24"/>
        </w:rPr>
        <w:t xml:space="preserve"> of variance are set to b</w:t>
      </w:r>
      <w:r w:rsidR="00E0283E">
        <w:rPr>
          <w:rFonts w:ascii="Times New Roman" w:eastAsia="Times New Roman" w:hAnsi="Times New Roman" w:cs="Times New Roman"/>
          <w:sz w:val="24"/>
          <w:szCs w:val="24"/>
        </w:rPr>
        <w:t xml:space="preserve">e 2/1.5, 2, 4, 6, 8, 10 and 12, of which </w:t>
      </w:r>
      <w:r w:rsidR="00E0283E">
        <w:rPr>
          <w:rFonts w:ascii="Times New Roman" w:eastAsia="Times New Roman" w:hAnsi="Times New Roman" w:cs="Times New Roman"/>
          <w:sz w:val="24"/>
          <w:szCs w:val="24"/>
        </w:rPr>
        <w:lastRenderedPageBreak/>
        <w:t xml:space="preserve">2/1.5 represents the edge between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Pr>
          <w:rFonts w:ascii="Times New Roman" w:eastAsia="Times New Roman" w:hAnsi="Times New Roman" w:cs="Times New Roman"/>
          <w:sz w:val="24"/>
          <w:szCs w:val="24"/>
        </w:rPr>
        <w:t xml:space="preserve"> and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&gt;1.5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Pr>
          <w:rFonts w:ascii="Times New Roman" w:eastAsia="Times New Roman" w:hAnsi="Times New Roman" w:cs="Times New Roman"/>
          <w:sz w:val="24"/>
          <w:szCs w:val="24"/>
        </w:rPr>
        <w:t xml:space="preserve">, and 8 represents the </w:t>
      </w:r>
      <w:r w:rsidR="003C43E6">
        <w:rPr>
          <w:rFonts w:ascii="Times New Roman" w:eastAsia="Times New Roman" w:hAnsi="Times New Roman" w:cs="Times New Roman"/>
          <w:sz w:val="24"/>
          <w:szCs w:val="24"/>
        </w:rPr>
        <w:t>scenario described in the section b. Margin determination in page 10 of the 2017 FDA guidance [FDA, 2017].</w:t>
      </w:r>
      <w:r w:rsidR="002C231D">
        <w:rPr>
          <w:rFonts w:ascii="Times New Roman" w:eastAsia="Times New Roman" w:hAnsi="Times New Roman" w:cs="Times New Roman"/>
          <w:sz w:val="24"/>
          <w:szCs w:val="24"/>
        </w:rPr>
        <w:t xml:space="preserve"> For each variance, 200 repetitions were simulated.</w:t>
      </w:r>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A42E5FB" w14:textId="3D30F5FB" w:rsidR="00891453" w:rsidRPr="00C46F2C" w:rsidRDefault="00891453"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summarization of the simulation </w:t>
      </w:r>
      <w:r w:rsidR="00A12541">
        <w:rPr>
          <w:rFonts w:ascii="Times New Roman" w:eastAsia="Times New Roman" w:hAnsi="Times New Roman" w:cs="Times New Roman"/>
          <w:sz w:val="24"/>
          <w:szCs w:val="24"/>
        </w:rPr>
        <w:t>results, we calculated the rate</w:t>
      </w:r>
      <w:r>
        <w:rPr>
          <w:rFonts w:ascii="Times New Roman" w:eastAsia="Times New Roman" w:hAnsi="Times New Roman" w:cs="Times New Roman"/>
          <w:sz w:val="24"/>
          <w:szCs w:val="24"/>
        </w:rPr>
        <w:t xml:space="preserve"> of rejecting all three hypotheses for each method</w:t>
      </w:r>
      <w:r w:rsidR="008724BB">
        <w:rPr>
          <w:rFonts w:ascii="Times New Roman" w:eastAsia="Times New Roman" w:hAnsi="Times New Roman" w:cs="Times New Roman"/>
          <w:sz w:val="24"/>
          <w:szCs w:val="24"/>
        </w:rPr>
        <w:t xml:space="preserve"> (i.e., power or type I error)</w:t>
      </w:r>
      <w:r>
        <w:rPr>
          <w:rFonts w:ascii="Times New Roman" w:eastAsia="Times New Roman" w:hAnsi="Times New Roman" w:cs="Times New Roman"/>
          <w:sz w:val="24"/>
          <w:szCs w:val="24"/>
        </w:rPr>
        <w:t>, and the coverage rate of each simultaneous CI.</w:t>
      </w:r>
      <w:r w:rsidR="00A12541">
        <w:rPr>
          <w:rFonts w:ascii="Times New Roman" w:eastAsia="Times New Roman" w:hAnsi="Times New Roman" w:cs="Times New Roman"/>
          <w:sz w:val="24"/>
          <w:szCs w:val="24"/>
        </w:rPr>
        <w:t xml:space="preserve"> Besides, the rate of rejecting all three hypotheses by the pairwise comparison approac</w:t>
      </w:r>
      <w:r w:rsidR="00D70D32">
        <w:rPr>
          <w:rFonts w:ascii="Times New Roman" w:eastAsia="Times New Roman" w:hAnsi="Times New Roman" w:cs="Times New Roman"/>
          <w:sz w:val="24"/>
          <w:szCs w:val="24"/>
        </w:rPr>
        <w:t>h was</w:t>
      </w:r>
      <w:r w:rsidR="0077020F">
        <w:rPr>
          <w:rFonts w:ascii="Times New Roman" w:eastAsia="Times New Roman" w:hAnsi="Times New Roman" w:cs="Times New Roman"/>
          <w:sz w:val="24"/>
          <w:szCs w:val="24"/>
        </w:rPr>
        <w:t xml:space="preserve"> also calculated for comparison</w:t>
      </w:r>
      <w:r w:rsidR="00A12541">
        <w:rPr>
          <w:rFonts w:ascii="Times New Roman" w:eastAsia="Times New Roman" w:hAnsi="Times New Roman" w:cs="Times New Roman"/>
          <w:sz w:val="24"/>
          <w:szCs w:val="24"/>
        </w:rPr>
        <w:t xml:space="preserve"> with the proposed methods.</w:t>
      </w:r>
      <w:r w:rsidR="000A4908">
        <w:rPr>
          <w:rFonts w:ascii="Times New Roman" w:eastAsia="Times New Roman" w:hAnsi="Times New Roman" w:cs="Times New Roman"/>
          <w:sz w:val="24"/>
          <w:szCs w:val="24"/>
        </w:rPr>
        <w:t xml:space="preserve"> The summary results are shown in Table 4.</w:t>
      </w:r>
      <w:r w:rsidR="00F424BF">
        <w:rPr>
          <w:rFonts w:ascii="Times New Roman" w:eastAsia="Times New Roman" w:hAnsi="Times New Roman" w:cs="Times New Roman"/>
          <w:sz w:val="24"/>
          <w:szCs w:val="24"/>
        </w:rPr>
        <w:t xml:space="preserve"> </w:t>
      </w:r>
      <w:r w:rsidR="0073789B">
        <w:rPr>
          <w:rFonts w:ascii="Times New Roman" w:eastAsia="Times New Roman" w:hAnsi="Times New Roman" w:cs="Times New Roman"/>
          <w:sz w:val="24"/>
          <w:szCs w:val="24"/>
        </w:rPr>
        <w:t>We see all methods con</w:t>
      </w:r>
      <w:r w:rsidR="00C46F2C">
        <w:rPr>
          <w:rFonts w:ascii="Times New Roman" w:eastAsia="Times New Roman" w:hAnsi="Times New Roman" w:cs="Times New Roman"/>
          <w:sz w:val="24"/>
          <w:szCs w:val="24"/>
        </w:rPr>
        <w:t>trol</w:t>
      </w:r>
      <w:r w:rsidR="0073789B">
        <w:rPr>
          <w:rFonts w:ascii="Times New Roman" w:eastAsia="Times New Roman" w:hAnsi="Times New Roman" w:cs="Times New Roman"/>
          <w:sz w:val="24"/>
          <w:szCs w:val="24"/>
        </w:rPr>
        <w:t xml:space="preserve"> the type I error no larger than the nominal level of 0.1. Two</w:t>
      </w:r>
      <w:r w:rsidR="00BE0F0C">
        <w:rPr>
          <w:rFonts w:ascii="Times New Roman" w:eastAsia="Times New Roman" w:hAnsi="Times New Roman" w:cs="Times New Roman"/>
          <w:sz w:val="24"/>
          <w:szCs w:val="24"/>
        </w:rPr>
        <w:t xml:space="preserve"> proposed methods,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BE0F0C" w:rsidRPr="00BE0F0C">
        <w:rPr>
          <w:rFonts w:ascii="Times New Roman" w:eastAsia="Times New Roman" w:hAnsi="Times New Roman" w:cs="Times New Roman"/>
          <w:sz w:val="24"/>
          <w:szCs w:val="24"/>
        </w:rPr>
        <w:t xml:space="preserve"> and</w:t>
      </w:r>
      <w:r w:rsidR="00BE0F0C">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00C46F2C">
        <w:rPr>
          <w:rFonts w:ascii="Times New Roman" w:eastAsia="Times New Roman" w:hAnsi="Times New Roman" w:cs="Times New Roman"/>
          <w:sz w:val="24"/>
          <w:szCs w:val="24"/>
        </w:rPr>
        <w:t>, have</w:t>
      </w:r>
      <w:r w:rsidR="0073789B">
        <w:rPr>
          <w:rFonts w:ascii="Times New Roman" w:eastAsia="Times New Roman" w:hAnsi="Times New Roman" w:cs="Times New Roman"/>
          <w:sz w:val="24"/>
          <w:szCs w:val="24"/>
        </w:rPr>
        <w:t xml:space="preserve"> significant larger power than the pairwise comparison method. One proposed method,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00C46F2C">
        <w:rPr>
          <w:rFonts w:ascii="Times New Roman" w:eastAsia="Times New Roman" w:hAnsi="Times New Roman" w:cs="Times New Roman"/>
          <w:sz w:val="24"/>
          <w:szCs w:val="24"/>
        </w:rPr>
        <w:t xml:space="preserve">, is comparable with the pairwise comparison method with </w:t>
      </w:r>
      <w:r w:rsidR="004D34CB">
        <w:rPr>
          <w:rFonts w:ascii="Times New Roman" w:eastAsia="Times New Roman" w:hAnsi="Times New Roman" w:cs="Times New Roman"/>
          <w:sz w:val="24"/>
          <w:szCs w:val="24"/>
        </w:rPr>
        <w:t>slightly higher</w:t>
      </w:r>
      <w:r w:rsidR="00C46F2C">
        <w:rPr>
          <w:rFonts w:ascii="Times New Roman" w:eastAsia="Times New Roman" w:hAnsi="Times New Roman" w:cs="Times New Roman"/>
          <w:sz w:val="24"/>
          <w:szCs w:val="24"/>
        </w:rPr>
        <w:t xml:space="preserve"> power.</w:t>
      </w:r>
      <w:r w:rsidR="00F90A78">
        <w:rPr>
          <w:rFonts w:ascii="Times New Roman" w:eastAsia="Times New Roman" w:hAnsi="Times New Roman" w:cs="Times New Roman"/>
          <w:sz w:val="24"/>
          <w:szCs w:val="24"/>
        </w:rPr>
        <w:t xml:space="preserve"> All proposed simultaneous CIs have promising coverage rates except </w:t>
      </w:r>
      <w:r w:rsidR="00B21952">
        <w:rPr>
          <w:rFonts w:ascii="Times New Roman" w:eastAsia="Times New Roman" w:hAnsi="Times New Roman" w:cs="Times New Roman"/>
          <w:sz w:val="24"/>
          <w:szCs w:val="24"/>
        </w:rPr>
        <w:t>three least favorable versions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m:t>
            </m:r>
            <w:proofErr w:type="gramStart"/>
            <m:r>
              <w:rPr>
                <w:rFonts w:ascii="Cambria Math" w:eastAsia="Times New Roman" w:hAnsi="Cambria Math" w:cs="Times New Roman"/>
                <w:sz w:val="24"/>
                <w:szCs w:val="24"/>
              </w:rPr>
              <m:t>,1-α</m:t>
            </m:r>
            <w:proofErr w:type="gramEnd"/>
          </m:sub>
          <m:sup>
            <m:r>
              <w:rPr>
                <w:rFonts w:ascii="Cambria Math" w:eastAsia="Times New Roman" w:hAnsi="Cambria Math" w:cs="Times New Roman"/>
                <w:sz w:val="24"/>
                <w:szCs w:val="24"/>
              </w:rPr>
              <m:t>1</m:t>
            </m:r>
          </m:sup>
        </m:sSubSup>
      </m:oMath>
      <w:r w:rsidR="00CC62AB" w:rsidRPr="00CC62A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CC62AB" w:rsidRPr="00CC62AB">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1952">
        <w:rPr>
          <w:rFonts w:ascii="Times New Roman" w:eastAsia="Times New Roman" w:hAnsi="Times New Roman" w:cs="Times New Roman"/>
          <w:sz w:val="24"/>
          <w:szCs w:val="24"/>
        </w:rPr>
        <w:t>).</w:t>
      </w:r>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4BB0A7FA" w14:textId="77777777" w:rsidR="0052226F" w:rsidRDefault="00EC7A1B" w:rsidP="00EC7A1B">
      <w:pPr>
        <w:pStyle w:val="Caption"/>
        <w:keepNext/>
      </w:pPr>
      <w:r>
        <w:t xml:space="preserve">Table </w:t>
      </w:r>
      <w:fldSimple w:instr=" SEQ Table \* ARABIC ">
        <w:r>
          <w:rPr>
            <w:noProof/>
          </w:rPr>
          <w:t>4</w:t>
        </w:r>
      </w:fldSimple>
      <w:r>
        <w:t>: Summary statistics of the simulations</w:t>
      </w:r>
      <w:r w:rsidR="00DE1D43">
        <w:t xml:space="preserve"> </w:t>
      </w:r>
    </w:p>
    <w:p w14:paraId="37784663" w14:textId="7EB2936D" w:rsidR="00EC7A1B" w:rsidRDefault="00DE1D43" w:rsidP="00EC7A1B">
      <w:pPr>
        <w:pStyle w:val="Caption"/>
        <w:keepNext/>
      </w:pPr>
      <w:r>
        <w:t>(For some columns, the darker the</w:t>
      </w:r>
      <w:r w:rsidR="008F5E9F">
        <w:t xml:space="preserve"> color</w:t>
      </w:r>
      <w:r>
        <w:t xml:space="preserve">, </w:t>
      </w:r>
      <w:proofErr w:type="gramStart"/>
      <w:r>
        <w:t>the</w:t>
      </w:r>
      <w:proofErr w:type="gramEnd"/>
      <w:r>
        <w:t xml:space="preserve"> larger the</w:t>
      </w:r>
      <w:r w:rsidR="008F5E9F">
        <w:t xml:space="preserve"> value</w:t>
      </w:r>
      <w:r w:rsidR="00F424BF">
        <w:t>.</w:t>
      </w:r>
      <w:r w:rsidR="0052226F">
        <w:t xml:space="preserve"> CR: coverage rate</w:t>
      </w:r>
      <w:r w:rsidR="008F5E9F">
        <w:t>)</w:t>
      </w:r>
    </w:p>
    <w:tbl>
      <w:tblPr>
        <w:tblW w:w="8356" w:type="dxa"/>
        <w:tblInd w:w="93" w:type="dxa"/>
        <w:tblLook w:val="04A0" w:firstRow="1" w:lastRow="0" w:firstColumn="1" w:lastColumn="0" w:noHBand="0" w:noVBand="1"/>
      </w:tblPr>
      <w:tblGrid>
        <w:gridCol w:w="692"/>
        <w:gridCol w:w="1386"/>
        <w:gridCol w:w="718"/>
        <w:gridCol w:w="718"/>
        <w:gridCol w:w="790"/>
        <w:gridCol w:w="757"/>
        <w:gridCol w:w="757"/>
        <w:gridCol w:w="804"/>
        <w:gridCol w:w="867"/>
        <w:gridCol w:w="867"/>
      </w:tblGrid>
      <w:tr w:rsidR="00CB7000" w:rsidRPr="00CB7000" w14:paraId="6EBB2DF8" w14:textId="77777777" w:rsidTr="00EC7A1B">
        <w:trPr>
          <w:trHeight w:val="300"/>
        </w:trPr>
        <w:tc>
          <w:tcPr>
            <w:tcW w:w="692" w:type="dxa"/>
            <w:tcBorders>
              <w:top w:val="nil"/>
              <w:left w:val="nil"/>
              <w:bottom w:val="nil"/>
              <w:right w:val="nil"/>
            </w:tcBorders>
            <w:shd w:val="clear" w:color="auto" w:fill="auto"/>
            <w:noWrap/>
            <w:vAlign w:val="center"/>
            <w:hideMark/>
          </w:tcPr>
          <w:p w14:paraId="6EA4A0D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3CBC1A73" w14:textId="3BFBB777" w:rsidR="00CB7000" w:rsidRPr="00CB7000" w:rsidRDefault="005056CD"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Pairwise comparison a</w:t>
            </w:r>
            <w:r w:rsidR="00CB7000" w:rsidRPr="00CB7000">
              <w:rPr>
                <w:rFonts w:ascii="Calibri" w:eastAsia="Times New Roman" w:hAnsi="Calibri" w:cs="Times New Roman"/>
                <w:color w:val="000000"/>
                <w:lang w:eastAsia="en-US"/>
              </w:rPr>
              <w:t>pproach</w:t>
            </w:r>
          </w:p>
        </w:tc>
        <w:tc>
          <w:tcPr>
            <w:tcW w:w="757" w:type="dxa"/>
            <w:tcBorders>
              <w:top w:val="nil"/>
              <w:left w:val="nil"/>
              <w:bottom w:val="nil"/>
              <w:right w:val="nil"/>
            </w:tcBorders>
            <w:shd w:val="clear" w:color="auto" w:fill="auto"/>
            <w:noWrap/>
            <w:vAlign w:val="center"/>
            <w:hideMark/>
          </w:tcPr>
          <w:p w14:paraId="174F717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DBFB05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DDD3E4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BAB95A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9937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79F8C32F" w14:textId="77777777" w:rsidTr="00EC7A1B">
        <w:trPr>
          <w:trHeight w:val="300"/>
        </w:trPr>
        <w:tc>
          <w:tcPr>
            <w:tcW w:w="692" w:type="dxa"/>
            <w:tcBorders>
              <w:top w:val="nil"/>
              <w:left w:val="nil"/>
              <w:bottom w:val="nil"/>
              <w:right w:val="nil"/>
            </w:tcBorders>
            <w:shd w:val="clear" w:color="auto" w:fill="auto"/>
            <w:noWrap/>
            <w:vAlign w:val="center"/>
            <w:hideMark/>
          </w:tcPr>
          <w:p w14:paraId="1DDF78F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301E3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nil"/>
              <w:right w:val="nil"/>
            </w:tcBorders>
            <w:shd w:val="clear" w:color="auto" w:fill="auto"/>
            <w:noWrap/>
            <w:vAlign w:val="center"/>
            <w:hideMark/>
          </w:tcPr>
          <w:p w14:paraId="4E038A8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78E559F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1BA4B0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2DD18C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70D080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3C69424"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64E473" w14:textId="4DB57DCF" w:rsidR="00CB7000" w:rsidRPr="00CB7000" w:rsidRDefault="00CB7000"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vMerge w:val="restart"/>
            <w:tcBorders>
              <w:top w:val="nil"/>
              <w:left w:val="single" w:sz="8" w:space="0" w:color="auto"/>
              <w:bottom w:val="single" w:sz="8" w:space="0" w:color="000000"/>
              <w:right w:val="nil"/>
            </w:tcBorders>
            <w:shd w:val="clear" w:color="auto" w:fill="auto"/>
            <w:noWrap/>
            <w:vAlign w:val="center"/>
            <w:hideMark/>
          </w:tcPr>
          <w:p w14:paraId="549CEBB7" w14:textId="131BB74C" w:rsidR="00CB7000" w:rsidRPr="00CB7000" w:rsidRDefault="00CB7000" w:rsidP="00CB7000">
            <w:pPr>
              <w:spacing w:after="0" w:line="240" w:lineRule="auto"/>
              <w:jc w:val="center"/>
              <w:rPr>
                <w:rFonts w:ascii="Calibri" w:eastAsia="Times New Roman" w:hAnsi="Calibri" w:cs="Times New Roman"/>
                <w:color w:val="000000"/>
                <w:vertAlign w:val="subscript"/>
                <w:lang w:eastAsia="en-US"/>
              </w:rPr>
            </w:pPr>
            <w:r w:rsidRPr="00CB7000">
              <w:rPr>
                <w:rFonts w:ascii="Calibri" w:eastAsia="Times New Roman" w:hAnsi="Calibri" w:cs="Times New Roman"/>
                <w:color w:val="000000"/>
                <w:lang w:eastAsia="en-US"/>
              </w:rPr>
              <w:t> </w:t>
            </w:r>
            <w:r w:rsidR="00111E81">
              <w:rPr>
                <w:rFonts w:ascii="Calibri" w:eastAsia="Times New Roman" w:hAnsi="Calibri" w:cs="Times New Roman"/>
                <w:color w:val="000000"/>
                <w:lang w:eastAsia="en-US"/>
              </w:rPr>
              <w:t>H</w:t>
            </w:r>
            <w:r w:rsidR="00111E81">
              <w:rPr>
                <w:rFonts w:ascii="Calibri" w:eastAsia="Times New Roman" w:hAnsi="Calibri" w:cs="Times New Roman"/>
                <w:color w:val="000000"/>
                <w:vertAlign w:val="subscript"/>
                <w:lang w:eastAsia="en-US"/>
              </w:rPr>
              <w:t>00</w:t>
            </w:r>
          </w:p>
        </w:tc>
        <w:tc>
          <w:tcPr>
            <w:tcW w:w="718" w:type="dxa"/>
            <w:vMerge w:val="restart"/>
            <w:tcBorders>
              <w:top w:val="nil"/>
              <w:left w:val="nil"/>
              <w:bottom w:val="single" w:sz="8" w:space="0" w:color="000000"/>
              <w:right w:val="nil"/>
            </w:tcBorders>
            <w:shd w:val="clear" w:color="auto" w:fill="auto"/>
            <w:noWrap/>
            <w:vAlign w:val="center"/>
            <w:hideMark/>
          </w:tcPr>
          <w:p w14:paraId="230BA074" w14:textId="101C279D" w:rsidR="00CB7000" w:rsidRPr="00CB7000" w:rsidRDefault="00111E81"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w:t>
            </w:r>
            <w:r>
              <w:rPr>
                <w:rFonts w:ascii="Calibri" w:eastAsia="Times New Roman" w:hAnsi="Calibri" w:cs="Times New Roman"/>
                <w:color w:val="000000"/>
                <w:vertAlign w:val="subscript"/>
                <w:lang w:eastAsia="en-US"/>
              </w:rPr>
              <w:t>01</w:t>
            </w:r>
            <w:r w:rsidR="00CB7000" w:rsidRPr="00CB7000">
              <w:rPr>
                <w:rFonts w:ascii="Calibri" w:eastAsia="Times New Roman" w:hAnsi="Calibri" w:cs="Times New Roman"/>
                <w:color w:val="000000"/>
                <w:lang w:eastAsia="en-US"/>
              </w:rPr>
              <w:t> </w:t>
            </w:r>
          </w:p>
        </w:tc>
        <w:tc>
          <w:tcPr>
            <w:tcW w:w="718" w:type="dxa"/>
            <w:vMerge w:val="restart"/>
            <w:tcBorders>
              <w:top w:val="nil"/>
              <w:left w:val="nil"/>
              <w:bottom w:val="single" w:sz="8" w:space="0" w:color="000000"/>
              <w:right w:val="nil"/>
            </w:tcBorders>
            <w:shd w:val="clear" w:color="auto" w:fill="auto"/>
            <w:noWrap/>
            <w:vAlign w:val="center"/>
            <w:hideMark/>
          </w:tcPr>
          <w:p w14:paraId="101734DF" w14:textId="61C50D80" w:rsidR="00CB7000" w:rsidRPr="00CB7000" w:rsidRDefault="00CB7000" w:rsidP="00CB7000">
            <w:pPr>
              <w:spacing w:after="0" w:line="240" w:lineRule="auto"/>
              <w:jc w:val="center"/>
              <w:rPr>
                <w:rFonts w:ascii="Calibri" w:eastAsia="Times New Roman" w:hAnsi="Calibri" w:cs="Times New Roman"/>
                <w:color w:val="000000"/>
                <w:vertAlign w:val="subscript"/>
                <w:lang w:eastAsia="en-US"/>
              </w:rPr>
            </w:pPr>
            <w:r w:rsidRPr="00CB7000">
              <w:rPr>
                <w:rFonts w:ascii="Calibri" w:eastAsia="Times New Roman" w:hAnsi="Calibri" w:cs="Times New Roman"/>
                <w:color w:val="000000"/>
                <w:lang w:eastAsia="en-US"/>
              </w:rPr>
              <w:t> </w:t>
            </w:r>
            <w:r w:rsidR="00111E81">
              <w:rPr>
                <w:rFonts w:ascii="Calibri" w:eastAsia="Times New Roman" w:hAnsi="Calibri" w:cs="Times New Roman"/>
                <w:color w:val="000000"/>
                <w:lang w:eastAsia="en-US"/>
              </w:rPr>
              <w:t>H</w:t>
            </w:r>
            <w:r w:rsidR="00111E81">
              <w:rPr>
                <w:rFonts w:ascii="Calibri" w:eastAsia="Times New Roman" w:hAnsi="Calibri" w:cs="Times New Roman"/>
                <w:color w:val="000000"/>
                <w:vertAlign w:val="subscript"/>
                <w:lang w:eastAsia="en-US"/>
              </w:rPr>
              <w:t>02</w:t>
            </w:r>
          </w:p>
        </w:tc>
        <w:tc>
          <w:tcPr>
            <w:tcW w:w="790" w:type="dxa"/>
            <w:vMerge w:val="restart"/>
            <w:tcBorders>
              <w:top w:val="nil"/>
              <w:left w:val="nil"/>
              <w:bottom w:val="single" w:sz="8" w:space="0" w:color="000000"/>
              <w:right w:val="single" w:sz="8" w:space="0" w:color="auto"/>
            </w:tcBorders>
            <w:shd w:val="clear" w:color="auto" w:fill="auto"/>
            <w:noWrap/>
            <w:vAlign w:val="center"/>
            <w:hideMark/>
          </w:tcPr>
          <w:p w14:paraId="1CA622D1" w14:textId="77777777" w:rsidR="00B55D9A" w:rsidRDefault="00111E81"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Reject</w:t>
            </w:r>
          </w:p>
          <w:p w14:paraId="6554015D" w14:textId="0ADAD09F" w:rsidR="00CB7000" w:rsidRPr="00CB7000" w:rsidRDefault="00B55D9A" w:rsidP="00CB700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All</w:t>
            </w:r>
            <w:r w:rsidR="00CB7000" w:rsidRPr="00CB7000">
              <w:rPr>
                <w:rFonts w:ascii="Calibri" w:eastAsia="Times New Roman" w:hAnsi="Calibri" w:cs="Times New Roman"/>
                <w:color w:val="000000"/>
                <w:lang w:eastAsia="en-US"/>
              </w:rPr>
              <w:t> </w:t>
            </w:r>
          </w:p>
        </w:tc>
        <w:tc>
          <w:tcPr>
            <w:tcW w:w="757" w:type="dxa"/>
            <w:tcBorders>
              <w:top w:val="nil"/>
              <w:left w:val="nil"/>
              <w:bottom w:val="nil"/>
              <w:right w:val="nil"/>
            </w:tcBorders>
            <w:shd w:val="clear" w:color="auto" w:fill="auto"/>
            <w:noWrap/>
            <w:vAlign w:val="center"/>
            <w:hideMark/>
          </w:tcPr>
          <w:p w14:paraId="62C5290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0C395A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A513D0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99E033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DEE232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1A0D382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742DD2CF"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1386" w:type="dxa"/>
            <w:vMerge/>
            <w:tcBorders>
              <w:top w:val="nil"/>
              <w:left w:val="single" w:sz="8" w:space="0" w:color="auto"/>
              <w:bottom w:val="single" w:sz="8" w:space="0" w:color="000000"/>
              <w:right w:val="nil"/>
            </w:tcBorders>
            <w:vAlign w:val="center"/>
            <w:hideMark/>
          </w:tcPr>
          <w:p w14:paraId="1CFD5613"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DDBC895"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3AAC004"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90" w:type="dxa"/>
            <w:vMerge/>
            <w:tcBorders>
              <w:top w:val="nil"/>
              <w:left w:val="nil"/>
              <w:bottom w:val="single" w:sz="8" w:space="0" w:color="000000"/>
              <w:right w:val="single" w:sz="8" w:space="0" w:color="auto"/>
            </w:tcBorders>
            <w:vAlign w:val="center"/>
            <w:hideMark/>
          </w:tcPr>
          <w:p w14:paraId="389522A9" w14:textId="77777777" w:rsidR="00CB7000" w:rsidRPr="00CB7000" w:rsidRDefault="00CB7000" w:rsidP="00CB7000">
            <w:pPr>
              <w:spacing w:after="0" w:line="240" w:lineRule="auto"/>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C5F72A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4BD5E0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FCD470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12B980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073804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2E2E654A"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082FFC8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nil"/>
              <w:left w:val="single" w:sz="8" w:space="0" w:color="auto"/>
              <w:bottom w:val="nil"/>
              <w:right w:val="nil"/>
            </w:tcBorders>
            <w:shd w:val="clear" w:color="auto" w:fill="auto"/>
            <w:noWrap/>
            <w:vAlign w:val="center"/>
            <w:hideMark/>
          </w:tcPr>
          <w:p w14:paraId="33F757A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w:t>
            </w:r>
          </w:p>
        </w:tc>
        <w:tc>
          <w:tcPr>
            <w:tcW w:w="718" w:type="dxa"/>
            <w:tcBorders>
              <w:top w:val="nil"/>
              <w:left w:val="nil"/>
              <w:bottom w:val="nil"/>
              <w:right w:val="nil"/>
            </w:tcBorders>
            <w:shd w:val="clear" w:color="auto" w:fill="auto"/>
            <w:noWrap/>
            <w:vAlign w:val="center"/>
            <w:hideMark/>
          </w:tcPr>
          <w:p w14:paraId="32EB6E2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0.56</w:t>
            </w:r>
          </w:p>
        </w:tc>
        <w:tc>
          <w:tcPr>
            <w:tcW w:w="718" w:type="dxa"/>
            <w:tcBorders>
              <w:top w:val="nil"/>
              <w:left w:val="nil"/>
              <w:bottom w:val="nil"/>
              <w:right w:val="nil"/>
            </w:tcBorders>
            <w:shd w:val="clear" w:color="auto" w:fill="auto"/>
            <w:noWrap/>
            <w:vAlign w:val="center"/>
            <w:hideMark/>
          </w:tcPr>
          <w:p w14:paraId="0CEC992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0.435</w:t>
            </w:r>
          </w:p>
        </w:tc>
        <w:tc>
          <w:tcPr>
            <w:tcW w:w="790" w:type="dxa"/>
            <w:tcBorders>
              <w:top w:val="single" w:sz="8" w:space="0" w:color="auto"/>
              <w:left w:val="nil"/>
              <w:bottom w:val="nil"/>
              <w:right w:val="single" w:sz="8" w:space="0" w:color="auto"/>
            </w:tcBorders>
            <w:shd w:val="clear" w:color="000000" w:fill="FCF6F9"/>
            <w:noWrap/>
            <w:vAlign w:val="center"/>
            <w:hideMark/>
          </w:tcPr>
          <w:p w14:paraId="6BBBD9E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0.04</w:t>
            </w:r>
          </w:p>
        </w:tc>
        <w:tc>
          <w:tcPr>
            <w:tcW w:w="757" w:type="dxa"/>
            <w:tcBorders>
              <w:top w:val="nil"/>
              <w:left w:val="nil"/>
              <w:bottom w:val="nil"/>
              <w:right w:val="nil"/>
            </w:tcBorders>
            <w:shd w:val="clear" w:color="auto" w:fill="auto"/>
            <w:noWrap/>
            <w:vAlign w:val="center"/>
            <w:hideMark/>
          </w:tcPr>
          <w:p w14:paraId="20A3A5B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11886C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4F7C72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FFFD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527427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28CA261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44F0A45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auto" w:fill="auto"/>
            <w:noWrap/>
            <w:vAlign w:val="center"/>
            <w:hideMark/>
          </w:tcPr>
          <w:p w14:paraId="5EDDA35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0.255</w:t>
            </w:r>
          </w:p>
        </w:tc>
        <w:tc>
          <w:tcPr>
            <w:tcW w:w="718" w:type="dxa"/>
            <w:tcBorders>
              <w:top w:val="nil"/>
              <w:left w:val="nil"/>
              <w:bottom w:val="nil"/>
              <w:right w:val="nil"/>
            </w:tcBorders>
            <w:shd w:val="clear" w:color="auto" w:fill="auto"/>
            <w:noWrap/>
            <w:vAlign w:val="center"/>
            <w:hideMark/>
          </w:tcPr>
          <w:p w14:paraId="77D0964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0.705</w:t>
            </w:r>
          </w:p>
        </w:tc>
        <w:tc>
          <w:tcPr>
            <w:tcW w:w="718" w:type="dxa"/>
            <w:tcBorders>
              <w:top w:val="nil"/>
              <w:left w:val="nil"/>
              <w:bottom w:val="nil"/>
              <w:right w:val="nil"/>
            </w:tcBorders>
            <w:shd w:val="clear" w:color="auto" w:fill="auto"/>
            <w:noWrap/>
            <w:vAlign w:val="center"/>
            <w:hideMark/>
          </w:tcPr>
          <w:p w14:paraId="1822E35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0.665</w:t>
            </w:r>
          </w:p>
        </w:tc>
        <w:tc>
          <w:tcPr>
            <w:tcW w:w="790" w:type="dxa"/>
            <w:tcBorders>
              <w:top w:val="nil"/>
              <w:left w:val="nil"/>
              <w:bottom w:val="nil"/>
              <w:right w:val="single" w:sz="8" w:space="0" w:color="auto"/>
            </w:tcBorders>
            <w:shd w:val="clear" w:color="000000" w:fill="FCDBDE"/>
            <w:noWrap/>
            <w:vAlign w:val="center"/>
            <w:hideMark/>
          </w:tcPr>
          <w:p w14:paraId="0D7737B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0.195</w:t>
            </w:r>
          </w:p>
        </w:tc>
        <w:tc>
          <w:tcPr>
            <w:tcW w:w="757" w:type="dxa"/>
            <w:tcBorders>
              <w:top w:val="nil"/>
              <w:left w:val="nil"/>
              <w:bottom w:val="nil"/>
              <w:right w:val="nil"/>
            </w:tcBorders>
            <w:shd w:val="clear" w:color="auto" w:fill="auto"/>
            <w:noWrap/>
            <w:vAlign w:val="center"/>
            <w:hideMark/>
          </w:tcPr>
          <w:p w14:paraId="31A18EDF"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1DF2D29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7867D1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D79D41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5C95B8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310B570B"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E23E91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auto" w:fill="auto"/>
            <w:noWrap/>
            <w:vAlign w:val="center"/>
            <w:hideMark/>
          </w:tcPr>
          <w:p w14:paraId="72B2F68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56A919D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w:t>
            </w:r>
          </w:p>
        </w:tc>
        <w:tc>
          <w:tcPr>
            <w:tcW w:w="718" w:type="dxa"/>
            <w:tcBorders>
              <w:top w:val="nil"/>
              <w:left w:val="nil"/>
              <w:bottom w:val="nil"/>
              <w:right w:val="nil"/>
            </w:tcBorders>
            <w:shd w:val="clear" w:color="auto" w:fill="auto"/>
            <w:noWrap/>
            <w:vAlign w:val="center"/>
            <w:hideMark/>
          </w:tcPr>
          <w:p w14:paraId="305079B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0.86</w:t>
            </w:r>
          </w:p>
        </w:tc>
        <w:tc>
          <w:tcPr>
            <w:tcW w:w="790" w:type="dxa"/>
            <w:tcBorders>
              <w:top w:val="nil"/>
              <w:left w:val="nil"/>
              <w:bottom w:val="nil"/>
              <w:right w:val="single" w:sz="8" w:space="0" w:color="auto"/>
            </w:tcBorders>
            <w:shd w:val="clear" w:color="000000" w:fill="FA9C9E"/>
            <w:noWrap/>
            <w:vAlign w:val="center"/>
            <w:hideMark/>
          </w:tcPr>
          <w:p w14:paraId="1A5A0E9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0.55</w:t>
            </w:r>
          </w:p>
        </w:tc>
        <w:tc>
          <w:tcPr>
            <w:tcW w:w="757" w:type="dxa"/>
            <w:tcBorders>
              <w:top w:val="nil"/>
              <w:left w:val="nil"/>
              <w:bottom w:val="nil"/>
              <w:right w:val="nil"/>
            </w:tcBorders>
            <w:shd w:val="clear" w:color="auto" w:fill="auto"/>
            <w:noWrap/>
            <w:vAlign w:val="center"/>
            <w:hideMark/>
          </w:tcPr>
          <w:p w14:paraId="0BEE77A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671B988"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3E76B2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0067B5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3B710C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3D02E39"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17160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auto" w:fill="auto"/>
            <w:noWrap/>
            <w:vAlign w:val="center"/>
            <w:hideMark/>
          </w:tcPr>
          <w:p w14:paraId="5FB55DB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0.805</w:t>
            </w:r>
          </w:p>
        </w:tc>
        <w:tc>
          <w:tcPr>
            <w:tcW w:w="718" w:type="dxa"/>
            <w:tcBorders>
              <w:top w:val="nil"/>
              <w:left w:val="nil"/>
              <w:bottom w:val="nil"/>
              <w:right w:val="nil"/>
            </w:tcBorders>
            <w:shd w:val="clear" w:color="auto" w:fill="auto"/>
            <w:noWrap/>
            <w:vAlign w:val="center"/>
            <w:hideMark/>
          </w:tcPr>
          <w:p w14:paraId="4BD823E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18" w:type="dxa"/>
            <w:tcBorders>
              <w:top w:val="nil"/>
              <w:left w:val="nil"/>
              <w:bottom w:val="nil"/>
              <w:right w:val="nil"/>
            </w:tcBorders>
            <w:shd w:val="clear" w:color="auto" w:fill="auto"/>
            <w:noWrap/>
            <w:vAlign w:val="center"/>
            <w:hideMark/>
          </w:tcPr>
          <w:p w14:paraId="3DE5E4C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90" w:type="dxa"/>
            <w:tcBorders>
              <w:top w:val="nil"/>
              <w:left w:val="nil"/>
              <w:bottom w:val="nil"/>
              <w:right w:val="single" w:sz="8" w:space="0" w:color="auto"/>
            </w:tcBorders>
            <w:shd w:val="clear" w:color="000000" w:fill="F98688"/>
            <w:noWrap/>
            <w:vAlign w:val="center"/>
            <w:hideMark/>
          </w:tcPr>
          <w:p w14:paraId="378779CB"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57" w:type="dxa"/>
            <w:tcBorders>
              <w:top w:val="nil"/>
              <w:left w:val="nil"/>
              <w:bottom w:val="nil"/>
              <w:right w:val="nil"/>
            </w:tcBorders>
            <w:shd w:val="clear" w:color="auto" w:fill="auto"/>
            <w:noWrap/>
            <w:vAlign w:val="center"/>
            <w:hideMark/>
          </w:tcPr>
          <w:p w14:paraId="63583B1C"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AE07D4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1322FE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D63C1F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71460BF"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7518BA44"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489E1F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auto" w:fill="auto"/>
            <w:noWrap/>
            <w:vAlign w:val="center"/>
            <w:hideMark/>
          </w:tcPr>
          <w:p w14:paraId="18AF002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18" w:type="dxa"/>
            <w:tcBorders>
              <w:top w:val="nil"/>
              <w:left w:val="nil"/>
              <w:bottom w:val="nil"/>
              <w:right w:val="nil"/>
            </w:tcBorders>
            <w:shd w:val="clear" w:color="auto" w:fill="auto"/>
            <w:noWrap/>
            <w:vAlign w:val="center"/>
            <w:hideMark/>
          </w:tcPr>
          <w:p w14:paraId="0CA6755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18" w:type="dxa"/>
            <w:tcBorders>
              <w:top w:val="nil"/>
              <w:left w:val="nil"/>
              <w:bottom w:val="nil"/>
              <w:right w:val="nil"/>
            </w:tcBorders>
            <w:shd w:val="clear" w:color="auto" w:fill="auto"/>
            <w:noWrap/>
            <w:vAlign w:val="center"/>
            <w:hideMark/>
          </w:tcPr>
          <w:p w14:paraId="68F0973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0.875</w:t>
            </w:r>
          </w:p>
        </w:tc>
        <w:tc>
          <w:tcPr>
            <w:tcW w:w="790" w:type="dxa"/>
            <w:tcBorders>
              <w:top w:val="nil"/>
              <w:left w:val="nil"/>
              <w:bottom w:val="nil"/>
              <w:right w:val="single" w:sz="8" w:space="0" w:color="auto"/>
            </w:tcBorders>
            <w:shd w:val="clear" w:color="000000" w:fill="F97F81"/>
            <w:noWrap/>
            <w:vAlign w:val="center"/>
            <w:hideMark/>
          </w:tcPr>
          <w:p w14:paraId="70E7236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0.715</w:t>
            </w:r>
          </w:p>
        </w:tc>
        <w:tc>
          <w:tcPr>
            <w:tcW w:w="757" w:type="dxa"/>
            <w:tcBorders>
              <w:top w:val="nil"/>
              <w:left w:val="nil"/>
              <w:bottom w:val="nil"/>
              <w:right w:val="nil"/>
            </w:tcBorders>
            <w:shd w:val="clear" w:color="auto" w:fill="auto"/>
            <w:noWrap/>
            <w:vAlign w:val="center"/>
            <w:hideMark/>
          </w:tcPr>
          <w:p w14:paraId="6E460640"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F6AAB6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A3D71E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24726D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EAB1A3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635ED3DE"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0AEB53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auto" w:fill="auto"/>
            <w:noWrap/>
            <w:vAlign w:val="center"/>
            <w:hideMark/>
          </w:tcPr>
          <w:p w14:paraId="596A079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0.84</w:t>
            </w:r>
          </w:p>
        </w:tc>
        <w:tc>
          <w:tcPr>
            <w:tcW w:w="718" w:type="dxa"/>
            <w:tcBorders>
              <w:top w:val="nil"/>
              <w:left w:val="nil"/>
              <w:bottom w:val="nil"/>
              <w:right w:val="nil"/>
            </w:tcBorders>
            <w:shd w:val="clear" w:color="auto" w:fill="auto"/>
            <w:noWrap/>
            <w:vAlign w:val="center"/>
            <w:hideMark/>
          </w:tcPr>
          <w:p w14:paraId="53B32B0A"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w:t>
            </w:r>
          </w:p>
        </w:tc>
        <w:tc>
          <w:tcPr>
            <w:tcW w:w="718" w:type="dxa"/>
            <w:tcBorders>
              <w:top w:val="nil"/>
              <w:left w:val="nil"/>
              <w:bottom w:val="nil"/>
              <w:right w:val="nil"/>
            </w:tcBorders>
            <w:shd w:val="clear" w:color="auto" w:fill="auto"/>
            <w:noWrap/>
            <w:vAlign w:val="center"/>
            <w:hideMark/>
          </w:tcPr>
          <w:p w14:paraId="1B86F50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0.855</w:t>
            </w:r>
          </w:p>
        </w:tc>
        <w:tc>
          <w:tcPr>
            <w:tcW w:w="790" w:type="dxa"/>
            <w:tcBorders>
              <w:top w:val="nil"/>
              <w:left w:val="nil"/>
              <w:bottom w:val="nil"/>
              <w:right w:val="single" w:sz="8" w:space="0" w:color="auto"/>
            </w:tcBorders>
            <w:shd w:val="clear" w:color="000000" w:fill="F98284"/>
            <w:noWrap/>
            <w:vAlign w:val="center"/>
            <w:hideMark/>
          </w:tcPr>
          <w:p w14:paraId="2372D19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0.695</w:t>
            </w:r>
          </w:p>
        </w:tc>
        <w:tc>
          <w:tcPr>
            <w:tcW w:w="757" w:type="dxa"/>
            <w:tcBorders>
              <w:top w:val="nil"/>
              <w:left w:val="nil"/>
              <w:bottom w:val="nil"/>
              <w:right w:val="nil"/>
            </w:tcBorders>
            <w:shd w:val="clear" w:color="auto" w:fill="auto"/>
            <w:noWrap/>
            <w:vAlign w:val="center"/>
            <w:hideMark/>
          </w:tcPr>
          <w:p w14:paraId="06DEF1E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31F334A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5A37258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A6D355"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B0614F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0F9A096D"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47F2D5F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auto" w:fill="auto"/>
            <w:noWrap/>
            <w:vAlign w:val="center"/>
            <w:hideMark/>
          </w:tcPr>
          <w:p w14:paraId="4A0781A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0.85</w:t>
            </w:r>
          </w:p>
        </w:tc>
        <w:tc>
          <w:tcPr>
            <w:tcW w:w="718" w:type="dxa"/>
            <w:tcBorders>
              <w:top w:val="nil"/>
              <w:left w:val="nil"/>
              <w:bottom w:val="single" w:sz="8" w:space="0" w:color="auto"/>
              <w:right w:val="nil"/>
            </w:tcBorders>
            <w:shd w:val="clear" w:color="auto" w:fill="auto"/>
            <w:noWrap/>
            <w:vAlign w:val="center"/>
            <w:hideMark/>
          </w:tcPr>
          <w:p w14:paraId="1D04E4F7"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0.84</w:t>
            </w:r>
          </w:p>
        </w:tc>
        <w:tc>
          <w:tcPr>
            <w:tcW w:w="718" w:type="dxa"/>
            <w:tcBorders>
              <w:top w:val="nil"/>
              <w:left w:val="nil"/>
              <w:bottom w:val="single" w:sz="8" w:space="0" w:color="auto"/>
              <w:right w:val="nil"/>
            </w:tcBorders>
            <w:shd w:val="clear" w:color="auto" w:fill="auto"/>
            <w:noWrap/>
            <w:vAlign w:val="center"/>
            <w:hideMark/>
          </w:tcPr>
          <w:p w14:paraId="5FD0ABA6"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0.89</w:t>
            </w:r>
          </w:p>
        </w:tc>
        <w:tc>
          <w:tcPr>
            <w:tcW w:w="790" w:type="dxa"/>
            <w:tcBorders>
              <w:top w:val="nil"/>
              <w:left w:val="nil"/>
              <w:bottom w:val="single" w:sz="8" w:space="0" w:color="auto"/>
              <w:right w:val="single" w:sz="8" w:space="0" w:color="auto"/>
            </w:tcBorders>
            <w:shd w:val="clear" w:color="000000" w:fill="F98183"/>
            <w:noWrap/>
            <w:vAlign w:val="center"/>
            <w:hideMark/>
          </w:tcPr>
          <w:p w14:paraId="6355E9ED"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0.705</w:t>
            </w:r>
          </w:p>
        </w:tc>
        <w:tc>
          <w:tcPr>
            <w:tcW w:w="757" w:type="dxa"/>
            <w:tcBorders>
              <w:top w:val="nil"/>
              <w:left w:val="nil"/>
              <w:bottom w:val="nil"/>
              <w:right w:val="nil"/>
            </w:tcBorders>
            <w:shd w:val="clear" w:color="auto" w:fill="auto"/>
            <w:noWrap/>
            <w:vAlign w:val="center"/>
            <w:hideMark/>
          </w:tcPr>
          <w:p w14:paraId="71FC152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6EC4036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70C48ED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FA7CB81"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336FD24"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r>
      <w:tr w:rsidR="00CB7000" w:rsidRPr="00CB7000" w14:paraId="3FBD18AA" w14:textId="77777777" w:rsidTr="00EC7A1B">
        <w:trPr>
          <w:trHeight w:val="300"/>
        </w:trPr>
        <w:tc>
          <w:tcPr>
            <w:tcW w:w="692" w:type="dxa"/>
            <w:tcBorders>
              <w:top w:val="nil"/>
              <w:left w:val="nil"/>
              <w:bottom w:val="nil"/>
              <w:right w:val="nil"/>
            </w:tcBorders>
            <w:shd w:val="clear" w:color="auto" w:fill="auto"/>
            <w:noWrap/>
            <w:vAlign w:val="center"/>
            <w:hideMark/>
          </w:tcPr>
          <w:p w14:paraId="236848A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B909E2" w14:textId="4A941FFD"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p>
        </w:tc>
      </w:tr>
      <w:tr w:rsidR="00CB7000" w:rsidRPr="00CB7000" w14:paraId="704EA6DE" w14:textId="77777777" w:rsidTr="00EC7A1B">
        <w:trPr>
          <w:trHeight w:val="300"/>
        </w:trPr>
        <w:tc>
          <w:tcPr>
            <w:tcW w:w="692" w:type="dxa"/>
            <w:tcBorders>
              <w:top w:val="nil"/>
              <w:left w:val="nil"/>
              <w:bottom w:val="nil"/>
              <w:right w:val="nil"/>
            </w:tcBorders>
            <w:shd w:val="clear" w:color="auto" w:fill="auto"/>
            <w:noWrap/>
            <w:vAlign w:val="center"/>
            <w:hideMark/>
          </w:tcPr>
          <w:p w14:paraId="54680B72"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8BFE83"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AFC939"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C75D2E" w14:textId="77777777" w:rsidR="00CB7000" w:rsidRPr="00CB7000" w:rsidRDefault="00CB7000"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45ED9AE2"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6487EA" w14:textId="2E31B1F8" w:rsidR="00B55D9A" w:rsidRPr="00CB7000" w:rsidRDefault="00B55D9A"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6FBED9D2" w14:textId="1241A141"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718" w:type="dxa"/>
            <w:tcBorders>
              <w:top w:val="nil"/>
              <w:left w:val="nil"/>
              <w:bottom w:val="nil"/>
              <w:right w:val="nil"/>
            </w:tcBorders>
            <w:shd w:val="clear" w:color="auto" w:fill="auto"/>
            <w:noWrap/>
            <w:vAlign w:val="bottom"/>
            <w:hideMark/>
          </w:tcPr>
          <w:p w14:paraId="07B747E0" w14:textId="2FA6B6E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p>
        </w:tc>
        <w:tc>
          <w:tcPr>
            <w:tcW w:w="718" w:type="dxa"/>
            <w:tcBorders>
              <w:top w:val="nil"/>
              <w:left w:val="nil"/>
              <w:bottom w:val="nil"/>
              <w:right w:val="nil"/>
            </w:tcBorders>
            <w:shd w:val="clear" w:color="auto" w:fill="auto"/>
            <w:noWrap/>
            <w:vAlign w:val="bottom"/>
            <w:hideMark/>
          </w:tcPr>
          <w:p w14:paraId="1D4D1626" w14:textId="6E751EA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p>
        </w:tc>
        <w:tc>
          <w:tcPr>
            <w:tcW w:w="790" w:type="dxa"/>
            <w:tcBorders>
              <w:top w:val="nil"/>
              <w:left w:val="single" w:sz="8" w:space="0" w:color="auto"/>
              <w:bottom w:val="nil"/>
              <w:right w:val="nil"/>
            </w:tcBorders>
            <w:shd w:val="clear" w:color="auto" w:fill="auto"/>
            <w:noWrap/>
            <w:vAlign w:val="bottom"/>
            <w:hideMark/>
          </w:tcPr>
          <w:p w14:paraId="31576501" w14:textId="31392A8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p>
        </w:tc>
        <w:tc>
          <w:tcPr>
            <w:tcW w:w="757" w:type="dxa"/>
            <w:tcBorders>
              <w:top w:val="nil"/>
              <w:left w:val="nil"/>
              <w:bottom w:val="nil"/>
              <w:right w:val="nil"/>
            </w:tcBorders>
            <w:shd w:val="clear" w:color="auto" w:fill="auto"/>
            <w:noWrap/>
            <w:vAlign w:val="bottom"/>
            <w:hideMark/>
          </w:tcPr>
          <w:p w14:paraId="00CAAFDC" w14:textId="16D6F427"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p>
        </w:tc>
        <w:tc>
          <w:tcPr>
            <w:tcW w:w="757" w:type="dxa"/>
            <w:tcBorders>
              <w:top w:val="nil"/>
              <w:left w:val="nil"/>
              <w:bottom w:val="nil"/>
              <w:right w:val="single" w:sz="8" w:space="0" w:color="auto"/>
            </w:tcBorders>
            <w:shd w:val="clear" w:color="auto" w:fill="auto"/>
            <w:noWrap/>
            <w:vAlign w:val="bottom"/>
            <w:hideMark/>
          </w:tcPr>
          <w:p w14:paraId="7AC92BE3" w14:textId="61927A66"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p>
        </w:tc>
        <w:tc>
          <w:tcPr>
            <w:tcW w:w="804" w:type="dxa"/>
            <w:tcBorders>
              <w:top w:val="nil"/>
              <w:left w:val="nil"/>
              <w:bottom w:val="nil"/>
              <w:right w:val="nil"/>
            </w:tcBorders>
            <w:shd w:val="clear" w:color="auto" w:fill="auto"/>
            <w:noWrap/>
            <w:vAlign w:val="bottom"/>
            <w:hideMark/>
          </w:tcPr>
          <w:p w14:paraId="12A5A0AD" w14:textId="6CC2CA9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p>
        </w:tc>
        <w:tc>
          <w:tcPr>
            <w:tcW w:w="867" w:type="dxa"/>
            <w:tcBorders>
              <w:top w:val="nil"/>
              <w:left w:val="nil"/>
              <w:bottom w:val="nil"/>
              <w:right w:val="nil"/>
            </w:tcBorders>
            <w:shd w:val="clear" w:color="auto" w:fill="auto"/>
            <w:noWrap/>
            <w:vAlign w:val="bottom"/>
            <w:hideMark/>
          </w:tcPr>
          <w:p w14:paraId="7711B994" w14:textId="30516AA3"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p>
        </w:tc>
        <w:tc>
          <w:tcPr>
            <w:tcW w:w="867" w:type="dxa"/>
            <w:tcBorders>
              <w:top w:val="nil"/>
              <w:left w:val="nil"/>
              <w:bottom w:val="nil"/>
              <w:right w:val="single" w:sz="8" w:space="0" w:color="auto"/>
            </w:tcBorders>
            <w:shd w:val="clear" w:color="auto" w:fill="auto"/>
            <w:noWrap/>
            <w:vAlign w:val="bottom"/>
            <w:hideMark/>
          </w:tcPr>
          <w:p w14:paraId="7E094D76" w14:textId="21888D4E"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p>
        </w:tc>
      </w:tr>
      <w:tr w:rsidR="00B55D9A" w:rsidRPr="00CB7000" w14:paraId="3E7C1553"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475BA30C"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218AE0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67C4DA2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05F202A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305C9D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6C1339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389A62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15C458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287D4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692B55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30369AF2"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94AD45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EDF0"/>
            <w:noWrap/>
            <w:vAlign w:val="center"/>
            <w:hideMark/>
          </w:tcPr>
          <w:p w14:paraId="06C1CB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0.09</w:t>
            </w:r>
          </w:p>
        </w:tc>
        <w:tc>
          <w:tcPr>
            <w:tcW w:w="718" w:type="dxa"/>
            <w:tcBorders>
              <w:top w:val="nil"/>
              <w:left w:val="nil"/>
              <w:bottom w:val="nil"/>
              <w:right w:val="nil"/>
            </w:tcBorders>
            <w:shd w:val="clear" w:color="auto" w:fill="auto"/>
            <w:noWrap/>
            <w:vAlign w:val="center"/>
            <w:hideMark/>
          </w:tcPr>
          <w:p w14:paraId="5395A95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F8DA5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w:t>
            </w:r>
          </w:p>
        </w:tc>
        <w:tc>
          <w:tcPr>
            <w:tcW w:w="790" w:type="dxa"/>
            <w:tcBorders>
              <w:top w:val="single" w:sz="8" w:space="0" w:color="auto"/>
              <w:left w:val="single" w:sz="8" w:space="0" w:color="auto"/>
              <w:bottom w:val="nil"/>
              <w:right w:val="nil"/>
            </w:tcBorders>
            <w:shd w:val="clear" w:color="000000" w:fill="FCEDF0"/>
            <w:noWrap/>
            <w:vAlign w:val="center"/>
            <w:hideMark/>
          </w:tcPr>
          <w:p w14:paraId="680C48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0.09</w:t>
            </w:r>
          </w:p>
        </w:tc>
        <w:tc>
          <w:tcPr>
            <w:tcW w:w="757" w:type="dxa"/>
            <w:tcBorders>
              <w:top w:val="nil"/>
              <w:left w:val="nil"/>
              <w:bottom w:val="nil"/>
              <w:right w:val="nil"/>
            </w:tcBorders>
            <w:shd w:val="clear" w:color="auto" w:fill="auto"/>
            <w:noWrap/>
            <w:vAlign w:val="center"/>
            <w:hideMark/>
          </w:tcPr>
          <w:p w14:paraId="3A4B1C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0.944</w:t>
            </w:r>
          </w:p>
        </w:tc>
        <w:tc>
          <w:tcPr>
            <w:tcW w:w="757" w:type="dxa"/>
            <w:tcBorders>
              <w:top w:val="nil"/>
              <w:left w:val="nil"/>
              <w:bottom w:val="nil"/>
              <w:right w:val="single" w:sz="8" w:space="0" w:color="auto"/>
            </w:tcBorders>
            <w:shd w:val="clear" w:color="auto" w:fill="auto"/>
            <w:noWrap/>
            <w:vAlign w:val="center"/>
            <w:hideMark/>
          </w:tcPr>
          <w:p w14:paraId="6E8DAC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0.915</w:t>
            </w:r>
          </w:p>
        </w:tc>
        <w:tc>
          <w:tcPr>
            <w:tcW w:w="804" w:type="dxa"/>
            <w:tcBorders>
              <w:top w:val="single" w:sz="8" w:space="0" w:color="auto"/>
              <w:left w:val="nil"/>
              <w:bottom w:val="nil"/>
              <w:right w:val="nil"/>
            </w:tcBorders>
            <w:shd w:val="clear" w:color="000000" w:fill="FCFBFE"/>
            <w:noWrap/>
            <w:vAlign w:val="center"/>
            <w:hideMark/>
          </w:tcPr>
          <w:p w14:paraId="4C1BD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0.015</w:t>
            </w:r>
          </w:p>
        </w:tc>
        <w:tc>
          <w:tcPr>
            <w:tcW w:w="867" w:type="dxa"/>
            <w:tcBorders>
              <w:top w:val="nil"/>
              <w:left w:val="nil"/>
              <w:bottom w:val="nil"/>
              <w:right w:val="nil"/>
            </w:tcBorders>
            <w:shd w:val="clear" w:color="auto" w:fill="auto"/>
            <w:noWrap/>
            <w:vAlign w:val="center"/>
            <w:hideMark/>
          </w:tcPr>
          <w:p w14:paraId="6325C75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0.667</w:t>
            </w:r>
          </w:p>
        </w:tc>
        <w:tc>
          <w:tcPr>
            <w:tcW w:w="867" w:type="dxa"/>
            <w:tcBorders>
              <w:top w:val="nil"/>
              <w:left w:val="nil"/>
              <w:bottom w:val="nil"/>
              <w:right w:val="single" w:sz="8" w:space="0" w:color="auto"/>
            </w:tcBorders>
            <w:shd w:val="clear" w:color="auto" w:fill="auto"/>
            <w:noWrap/>
            <w:vAlign w:val="center"/>
            <w:hideMark/>
          </w:tcPr>
          <w:p w14:paraId="3B5E6AD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0.795</w:t>
            </w:r>
          </w:p>
        </w:tc>
      </w:tr>
      <w:tr w:rsidR="00B55D9A" w:rsidRPr="00CB7000" w14:paraId="1CA3A931"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9E2F6A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000000" w:fill="FBCBCE"/>
            <w:noWrap/>
            <w:vAlign w:val="center"/>
            <w:hideMark/>
          </w:tcPr>
          <w:p w14:paraId="531D3C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0.285</w:t>
            </w:r>
          </w:p>
        </w:tc>
        <w:tc>
          <w:tcPr>
            <w:tcW w:w="718" w:type="dxa"/>
            <w:tcBorders>
              <w:top w:val="nil"/>
              <w:left w:val="nil"/>
              <w:bottom w:val="nil"/>
              <w:right w:val="nil"/>
            </w:tcBorders>
            <w:shd w:val="clear" w:color="auto" w:fill="auto"/>
            <w:noWrap/>
            <w:vAlign w:val="center"/>
            <w:hideMark/>
          </w:tcPr>
          <w:p w14:paraId="2397D70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13215E7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0.985</w:t>
            </w:r>
          </w:p>
        </w:tc>
        <w:tc>
          <w:tcPr>
            <w:tcW w:w="790" w:type="dxa"/>
            <w:tcBorders>
              <w:top w:val="nil"/>
              <w:left w:val="single" w:sz="8" w:space="0" w:color="auto"/>
              <w:bottom w:val="nil"/>
              <w:right w:val="nil"/>
            </w:tcBorders>
            <w:shd w:val="clear" w:color="000000" w:fill="FBCED1"/>
            <w:noWrap/>
            <w:vAlign w:val="center"/>
            <w:hideMark/>
          </w:tcPr>
          <w:p w14:paraId="0230FDA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0.265</w:t>
            </w:r>
          </w:p>
        </w:tc>
        <w:tc>
          <w:tcPr>
            <w:tcW w:w="757" w:type="dxa"/>
            <w:tcBorders>
              <w:top w:val="nil"/>
              <w:left w:val="nil"/>
              <w:bottom w:val="nil"/>
              <w:right w:val="nil"/>
            </w:tcBorders>
            <w:shd w:val="clear" w:color="auto" w:fill="auto"/>
            <w:noWrap/>
            <w:vAlign w:val="center"/>
            <w:hideMark/>
          </w:tcPr>
          <w:p w14:paraId="2C7FB90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AE9EE5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w:t>
            </w:r>
          </w:p>
        </w:tc>
        <w:tc>
          <w:tcPr>
            <w:tcW w:w="804" w:type="dxa"/>
            <w:tcBorders>
              <w:top w:val="nil"/>
              <w:left w:val="nil"/>
              <w:bottom w:val="nil"/>
              <w:right w:val="nil"/>
            </w:tcBorders>
            <w:shd w:val="clear" w:color="000000" w:fill="FCE5E7"/>
            <w:noWrap/>
            <w:vAlign w:val="center"/>
            <w:hideMark/>
          </w:tcPr>
          <w:p w14:paraId="3B69D50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0.14</w:t>
            </w:r>
          </w:p>
        </w:tc>
        <w:tc>
          <w:tcPr>
            <w:tcW w:w="867" w:type="dxa"/>
            <w:tcBorders>
              <w:top w:val="nil"/>
              <w:left w:val="nil"/>
              <w:bottom w:val="nil"/>
              <w:right w:val="nil"/>
            </w:tcBorders>
            <w:shd w:val="clear" w:color="auto" w:fill="auto"/>
            <w:noWrap/>
            <w:vAlign w:val="center"/>
            <w:hideMark/>
          </w:tcPr>
          <w:p w14:paraId="661D46D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0C33071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0.905</w:t>
            </w:r>
          </w:p>
        </w:tc>
      </w:tr>
      <w:tr w:rsidR="00B55D9A" w:rsidRPr="00CB7000" w14:paraId="6007FAC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4D9E7A3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98284"/>
            <w:noWrap/>
            <w:vAlign w:val="center"/>
            <w:hideMark/>
          </w:tcPr>
          <w:p w14:paraId="53C4744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0.695</w:t>
            </w:r>
          </w:p>
        </w:tc>
        <w:tc>
          <w:tcPr>
            <w:tcW w:w="718" w:type="dxa"/>
            <w:tcBorders>
              <w:top w:val="nil"/>
              <w:left w:val="nil"/>
              <w:bottom w:val="nil"/>
              <w:right w:val="nil"/>
            </w:tcBorders>
            <w:shd w:val="clear" w:color="auto" w:fill="auto"/>
            <w:noWrap/>
            <w:vAlign w:val="center"/>
            <w:hideMark/>
          </w:tcPr>
          <w:p w14:paraId="32AD231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37278FF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486"/>
            <w:noWrap/>
            <w:vAlign w:val="center"/>
            <w:hideMark/>
          </w:tcPr>
          <w:p w14:paraId="03CA6DB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0.685</w:t>
            </w:r>
          </w:p>
        </w:tc>
        <w:tc>
          <w:tcPr>
            <w:tcW w:w="757" w:type="dxa"/>
            <w:tcBorders>
              <w:top w:val="nil"/>
              <w:left w:val="nil"/>
              <w:bottom w:val="nil"/>
              <w:right w:val="nil"/>
            </w:tcBorders>
            <w:shd w:val="clear" w:color="auto" w:fill="auto"/>
            <w:noWrap/>
            <w:vAlign w:val="center"/>
            <w:hideMark/>
          </w:tcPr>
          <w:p w14:paraId="07E0CD4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563083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A9AC"/>
            <w:noWrap/>
            <w:vAlign w:val="center"/>
            <w:hideMark/>
          </w:tcPr>
          <w:p w14:paraId="1E3A23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0.475</w:t>
            </w:r>
          </w:p>
        </w:tc>
        <w:tc>
          <w:tcPr>
            <w:tcW w:w="867" w:type="dxa"/>
            <w:tcBorders>
              <w:top w:val="nil"/>
              <w:left w:val="nil"/>
              <w:bottom w:val="nil"/>
              <w:right w:val="nil"/>
            </w:tcBorders>
            <w:shd w:val="clear" w:color="auto" w:fill="auto"/>
            <w:noWrap/>
            <w:vAlign w:val="center"/>
            <w:hideMark/>
          </w:tcPr>
          <w:p w14:paraId="375DAC3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FA38A9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6FFEC054"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2D2C61D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7476"/>
            <w:noWrap/>
            <w:vAlign w:val="center"/>
            <w:hideMark/>
          </w:tcPr>
          <w:p w14:paraId="1AB120E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0.775</w:t>
            </w:r>
          </w:p>
        </w:tc>
        <w:tc>
          <w:tcPr>
            <w:tcW w:w="718" w:type="dxa"/>
            <w:tcBorders>
              <w:top w:val="nil"/>
              <w:left w:val="nil"/>
              <w:bottom w:val="nil"/>
              <w:right w:val="nil"/>
            </w:tcBorders>
            <w:shd w:val="clear" w:color="auto" w:fill="auto"/>
            <w:noWrap/>
            <w:vAlign w:val="center"/>
            <w:hideMark/>
          </w:tcPr>
          <w:p w14:paraId="184854E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9EDD5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577"/>
            <w:noWrap/>
            <w:vAlign w:val="center"/>
            <w:hideMark/>
          </w:tcPr>
          <w:p w14:paraId="2428F4F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w:t>
            </w:r>
          </w:p>
        </w:tc>
        <w:tc>
          <w:tcPr>
            <w:tcW w:w="757" w:type="dxa"/>
            <w:tcBorders>
              <w:top w:val="nil"/>
              <w:left w:val="nil"/>
              <w:bottom w:val="nil"/>
              <w:right w:val="nil"/>
            </w:tcBorders>
            <w:shd w:val="clear" w:color="auto" w:fill="auto"/>
            <w:noWrap/>
            <w:vAlign w:val="center"/>
            <w:hideMark/>
          </w:tcPr>
          <w:p w14:paraId="524AE7D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1EAD3F2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989B"/>
            <w:noWrap/>
            <w:vAlign w:val="center"/>
            <w:hideMark/>
          </w:tcPr>
          <w:p w14:paraId="775DAF4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0.57</w:t>
            </w:r>
          </w:p>
        </w:tc>
        <w:tc>
          <w:tcPr>
            <w:tcW w:w="867" w:type="dxa"/>
            <w:tcBorders>
              <w:top w:val="nil"/>
              <w:left w:val="nil"/>
              <w:bottom w:val="nil"/>
              <w:right w:val="nil"/>
            </w:tcBorders>
            <w:shd w:val="clear" w:color="auto" w:fill="auto"/>
            <w:noWrap/>
            <w:vAlign w:val="center"/>
            <w:hideMark/>
          </w:tcPr>
          <w:p w14:paraId="6019783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4C262FA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5209BA2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254C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8696B"/>
            <w:noWrap/>
            <w:vAlign w:val="center"/>
            <w:hideMark/>
          </w:tcPr>
          <w:p w14:paraId="00EA34B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0.835</w:t>
            </w:r>
          </w:p>
        </w:tc>
        <w:tc>
          <w:tcPr>
            <w:tcW w:w="718" w:type="dxa"/>
            <w:tcBorders>
              <w:top w:val="nil"/>
              <w:left w:val="nil"/>
              <w:bottom w:val="nil"/>
              <w:right w:val="nil"/>
            </w:tcBorders>
            <w:shd w:val="clear" w:color="auto" w:fill="auto"/>
            <w:noWrap/>
            <w:vAlign w:val="center"/>
            <w:hideMark/>
          </w:tcPr>
          <w:p w14:paraId="33F4728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43DA3AB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6B6D"/>
            <w:noWrap/>
            <w:vAlign w:val="center"/>
            <w:hideMark/>
          </w:tcPr>
          <w:p w14:paraId="260AB6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0.825</w:t>
            </w:r>
          </w:p>
        </w:tc>
        <w:tc>
          <w:tcPr>
            <w:tcW w:w="757" w:type="dxa"/>
            <w:tcBorders>
              <w:top w:val="nil"/>
              <w:left w:val="nil"/>
              <w:bottom w:val="nil"/>
              <w:right w:val="nil"/>
            </w:tcBorders>
            <w:shd w:val="clear" w:color="auto" w:fill="auto"/>
            <w:noWrap/>
            <w:vAlign w:val="center"/>
            <w:hideMark/>
          </w:tcPr>
          <w:p w14:paraId="0419D9E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ECA3BC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9093"/>
            <w:noWrap/>
            <w:vAlign w:val="center"/>
            <w:hideMark/>
          </w:tcPr>
          <w:p w14:paraId="5F64239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0.615</w:t>
            </w:r>
          </w:p>
        </w:tc>
        <w:tc>
          <w:tcPr>
            <w:tcW w:w="867" w:type="dxa"/>
            <w:tcBorders>
              <w:top w:val="nil"/>
              <w:left w:val="nil"/>
              <w:bottom w:val="nil"/>
              <w:right w:val="nil"/>
            </w:tcBorders>
            <w:shd w:val="clear" w:color="auto" w:fill="auto"/>
            <w:noWrap/>
            <w:vAlign w:val="center"/>
            <w:hideMark/>
          </w:tcPr>
          <w:p w14:paraId="1FB68A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38E8B23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67E5665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A38342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6E70"/>
            <w:noWrap/>
            <w:vAlign w:val="center"/>
            <w:hideMark/>
          </w:tcPr>
          <w:p w14:paraId="393593E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0.81</w:t>
            </w:r>
          </w:p>
        </w:tc>
        <w:tc>
          <w:tcPr>
            <w:tcW w:w="718" w:type="dxa"/>
            <w:tcBorders>
              <w:top w:val="nil"/>
              <w:left w:val="nil"/>
              <w:bottom w:val="nil"/>
              <w:right w:val="nil"/>
            </w:tcBorders>
            <w:shd w:val="clear" w:color="auto" w:fill="auto"/>
            <w:noWrap/>
            <w:vAlign w:val="center"/>
            <w:hideMark/>
          </w:tcPr>
          <w:p w14:paraId="5778200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367139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6F71"/>
            <w:noWrap/>
            <w:vAlign w:val="center"/>
            <w:hideMark/>
          </w:tcPr>
          <w:p w14:paraId="30B7F3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0.805</w:t>
            </w:r>
          </w:p>
        </w:tc>
        <w:tc>
          <w:tcPr>
            <w:tcW w:w="757" w:type="dxa"/>
            <w:tcBorders>
              <w:top w:val="nil"/>
              <w:left w:val="nil"/>
              <w:bottom w:val="nil"/>
              <w:right w:val="nil"/>
            </w:tcBorders>
            <w:shd w:val="clear" w:color="auto" w:fill="auto"/>
            <w:noWrap/>
            <w:vAlign w:val="center"/>
            <w:hideMark/>
          </w:tcPr>
          <w:p w14:paraId="1C17060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A4DFB7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A8F91"/>
            <w:noWrap/>
            <w:vAlign w:val="center"/>
            <w:hideMark/>
          </w:tcPr>
          <w:p w14:paraId="5CB54A1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0.625</w:t>
            </w:r>
          </w:p>
        </w:tc>
        <w:tc>
          <w:tcPr>
            <w:tcW w:w="867" w:type="dxa"/>
            <w:tcBorders>
              <w:top w:val="nil"/>
              <w:left w:val="nil"/>
              <w:bottom w:val="nil"/>
              <w:right w:val="nil"/>
            </w:tcBorders>
            <w:shd w:val="clear" w:color="auto" w:fill="auto"/>
            <w:noWrap/>
            <w:vAlign w:val="center"/>
            <w:hideMark/>
          </w:tcPr>
          <w:p w14:paraId="31E92FB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9D8A9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0E6489E6"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6693FB7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7174"/>
            <w:noWrap/>
            <w:vAlign w:val="center"/>
            <w:hideMark/>
          </w:tcPr>
          <w:p w14:paraId="5623A2C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0.79</w:t>
            </w:r>
          </w:p>
        </w:tc>
        <w:tc>
          <w:tcPr>
            <w:tcW w:w="718" w:type="dxa"/>
            <w:tcBorders>
              <w:top w:val="nil"/>
              <w:left w:val="nil"/>
              <w:bottom w:val="single" w:sz="8" w:space="0" w:color="auto"/>
              <w:right w:val="nil"/>
            </w:tcBorders>
            <w:shd w:val="clear" w:color="auto" w:fill="auto"/>
            <w:noWrap/>
            <w:vAlign w:val="center"/>
            <w:hideMark/>
          </w:tcPr>
          <w:p w14:paraId="3027B6B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7E99FD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7577"/>
            <w:noWrap/>
            <w:vAlign w:val="center"/>
            <w:hideMark/>
          </w:tcPr>
          <w:p w14:paraId="74B2063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w:t>
            </w:r>
          </w:p>
        </w:tc>
        <w:tc>
          <w:tcPr>
            <w:tcW w:w="757" w:type="dxa"/>
            <w:tcBorders>
              <w:top w:val="nil"/>
              <w:left w:val="nil"/>
              <w:bottom w:val="single" w:sz="8" w:space="0" w:color="auto"/>
              <w:right w:val="nil"/>
            </w:tcBorders>
            <w:shd w:val="clear" w:color="auto" w:fill="auto"/>
            <w:noWrap/>
            <w:vAlign w:val="center"/>
            <w:hideMark/>
          </w:tcPr>
          <w:p w14:paraId="6CA5391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198BB10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A9597"/>
            <w:noWrap/>
            <w:vAlign w:val="center"/>
            <w:hideMark/>
          </w:tcPr>
          <w:p w14:paraId="1F12F7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0.59</w:t>
            </w:r>
          </w:p>
        </w:tc>
        <w:tc>
          <w:tcPr>
            <w:tcW w:w="867" w:type="dxa"/>
            <w:tcBorders>
              <w:top w:val="nil"/>
              <w:left w:val="nil"/>
              <w:bottom w:val="single" w:sz="8" w:space="0" w:color="auto"/>
              <w:right w:val="nil"/>
            </w:tcBorders>
            <w:shd w:val="clear" w:color="auto" w:fill="auto"/>
            <w:noWrap/>
            <w:vAlign w:val="center"/>
            <w:hideMark/>
          </w:tcPr>
          <w:p w14:paraId="35A5AF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305D82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015AB0F2" w14:textId="77777777" w:rsidTr="00EC7A1B">
        <w:trPr>
          <w:trHeight w:val="300"/>
        </w:trPr>
        <w:tc>
          <w:tcPr>
            <w:tcW w:w="692" w:type="dxa"/>
            <w:tcBorders>
              <w:top w:val="nil"/>
              <w:left w:val="nil"/>
              <w:bottom w:val="nil"/>
              <w:right w:val="nil"/>
            </w:tcBorders>
            <w:shd w:val="clear" w:color="auto" w:fill="auto"/>
            <w:noWrap/>
            <w:vAlign w:val="center"/>
            <w:hideMark/>
          </w:tcPr>
          <w:p w14:paraId="420AF9C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1CE3C4" w14:textId="6DC972D2"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without 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Pr>
                <w:rFonts w:ascii="Calibri" w:eastAsia="Times New Roman" w:hAnsi="Calibri" w:cs="Times New Roman"/>
                <w:color w:val="000000"/>
                <w:lang w:eastAsia="en-US"/>
              </w:rPr>
              <w:t>, using one reference</w:t>
            </w:r>
          </w:p>
        </w:tc>
      </w:tr>
      <w:tr w:rsidR="00B55D9A" w:rsidRPr="00CB7000" w14:paraId="2E16A465" w14:textId="77777777" w:rsidTr="00EC7A1B">
        <w:trPr>
          <w:trHeight w:val="300"/>
        </w:trPr>
        <w:tc>
          <w:tcPr>
            <w:tcW w:w="692" w:type="dxa"/>
            <w:tcBorders>
              <w:top w:val="nil"/>
              <w:left w:val="nil"/>
              <w:bottom w:val="nil"/>
              <w:right w:val="nil"/>
            </w:tcBorders>
            <w:shd w:val="clear" w:color="auto" w:fill="auto"/>
            <w:noWrap/>
            <w:vAlign w:val="center"/>
            <w:hideMark/>
          </w:tcPr>
          <w:p w14:paraId="0F42E6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82DB3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B2011B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855C94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4F4161A3"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5AD921B" w14:textId="168BFEBB" w:rsidR="00B55D9A" w:rsidRPr="00CB7000" w:rsidRDefault="00B55D9A"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5ECAE05C" w14:textId="17D1809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p>
        </w:tc>
        <w:tc>
          <w:tcPr>
            <w:tcW w:w="718" w:type="dxa"/>
            <w:tcBorders>
              <w:top w:val="nil"/>
              <w:left w:val="nil"/>
              <w:bottom w:val="nil"/>
              <w:right w:val="nil"/>
            </w:tcBorders>
            <w:shd w:val="clear" w:color="auto" w:fill="auto"/>
            <w:noWrap/>
            <w:vAlign w:val="bottom"/>
            <w:hideMark/>
          </w:tcPr>
          <w:p w14:paraId="280E1F5C" w14:textId="369848A0"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p>
        </w:tc>
        <w:tc>
          <w:tcPr>
            <w:tcW w:w="718" w:type="dxa"/>
            <w:tcBorders>
              <w:top w:val="nil"/>
              <w:left w:val="nil"/>
              <w:bottom w:val="nil"/>
              <w:right w:val="nil"/>
            </w:tcBorders>
            <w:shd w:val="clear" w:color="auto" w:fill="auto"/>
            <w:noWrap/>
            <w:vAlign w:val="bottom"/>
            <w:hideMark/>
          </w:tcPr>
          <w:p w14:paraId="40D5E284" w14:textId="705B12E2"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p>
        </w:tc>
        <w:tc>
          <w:tcPr>
            <w:tcW w:w="790" w:type="dxa"/>
            <w:tcBorders>
              <w:top w:val="nil"/>
              <w:left w:val="single" w:sz="8" w:space="0" w:color="auto"/>
              <w:bottom w:val="nil"/>
              <w:right w:val="nil"/>
            </w:tcBorders>
            <w:shd w:val="clear" w:color="auto" w:fill="auto"/>
            <w:noWrap/>
            <w:vAlign w:val="bottom"/>
            <w:hideMark/>
          </w:tcPr>
          <w:p w14:paraId="685FB07A" w14:textId="51FB08CA"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p>
        </w:tc>
        <w:tc>
          <w:tcPr>
            <w:tcW w:w="757" w:type="dxa"/>
            <w:tcBorders>
              <w:top w:val="nil"/>
              <w:left w:val="nil"/>
              <w:bottom w:val="nil"/>
              <w:right w:val="nil"/>
            </w:tcBorders>
            <w:shd w:val="clear" w:color="auto" w:fill="auto"/>
            <w:noWrap/>
            <w:vAlign w:val="bottom"/>
            <w:hideMark/>
          </w:tcPr>
          <w:p w14:paraId="3A021FF2" w14:textId="0BEAA0E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p>
        </w:tc>
        <w:tc>
          <w:tcPr>
            <w:tcW w:w="757" w:type="dxa"/>
            <w:tcBorders>
              <w:top w:val="nil"/>
              <w:left w:val="nil"/>
              <w:bottom w:val="nil"/>
              <w:right w:val="single" w:sz="8" w:space="0" w:color="auto"/>
            </w:tcBorders>
            <w:shd w:val="clear" w:color="auto" w:fill="auto"/>
            <w:noWrap/>
            <w:vAlign w:val="bottom"/>
            <w:hideMark/>
          </w:tcPr>
          <w:p w14:paraId="7E9068C4" w14:textId="097591D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p>
        </w:tc>
        <w:tc>
          <w:tcPr>
            <w:tcW w:w="804" w:type="dxa"/>
            <w:tcBorders>
              <w:top w:val="nil"/>
              <w:left w:val="nil"/>
              <w:bottom w:val="nil"/>
              <w:right w:val="nil"/>
            </w:tcBorders>
            <w:shd w:val="clear" w:color="auto" w:fill="auto"/>
            <w:noWrap/>
            <w:vAlign w:val="bottom"/>
            <w:hideMark/>
          </w:tcPr>
          <w:p w14:paraId="05102FF4" w14:textId="24F0921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p>
        </w:tc>
        <w:tc>
          <w:tcPr>
            <w:tcW w:w="867" w:type="dxa"/>
            <w:tcBorders>
              <w:top w:val="nil"/>
              <w:left w:val="nil"/>
              <w:bottom w:val="nil"/>
              <w:right w:val="nil"/>
            </w:tcBorders>
            <w:shd w:val="clear" w:color="auto" w:fill="auto"/>
            <w:noWrap/>
            <w:vAlign w:val="bottom"/>
            <w:hideMark/>
          </w:tcPr>
          <w:p w14:paraId="590C43C9" w14:textId="6F4C223C"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p>
        </w:tc>
        <w:tc>
          <w:tcPr>
            <w:tcW w:w="867" w:type="dxa"/>
            <w:tcBorders>
              <w:top w:val="nil"/>
              <w:left w:val="nil"/>
              <w:bottom w:val="nil"/>
              <w:right w:val="single" w:sz="8" w:space="0" w:color="auto"/>
            </w:tcBorders>
            <w:shd w:val="clear" w:color="auto" w:fill="auto"/>
            <w:noWrap/>
            <w:vAlign w:val="bottom"/>
            <w:hideMark/>
          </w:tcPr>
          <w:p w14:paraId="46914CF0" w14:textId="2965A35B"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p>
        </w:tc>
      </w:tr>
      <w:tr w:rsidR="00B55D9A" w:rsidRPr="00CB7000" w14:paraId="2D86623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1A4B8AE0"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5F1B72F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3B1735E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047C425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2E094EB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361D467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1C249BA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4374CC8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72D850D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6FA1CEC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4D95901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7729B3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ECEF"/>
            <w:noWrap/>
            <w:vAlign w:val="center"/>
            <w:hideMark/>
          </w:tcPr>
          <w:p w14:paraId="22B87E0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0.1</w:t>
            </w:r>
          </w:p>
        </w:tc>
        <w:tc>
          <w:tcPr>
            <w:tcW w:w="718" w:type="dxa"/>
            <w:tcBorders>
              <w:top w:val="nil"/>
              <w:left w:val="nil"/>
              <w:bottom w:val="nil"/>
              <w:right w:val="nil"/>
            </w:tcBorders>
            <w:shd w:val="clear" w:color="auto" w:fill="auto"/>
            <w:noWrap/>
            <w:vAlign w:val="center"/>
            <w:hideMark/>
          </w:tcPr>
          <w:p w14:paraId="1AC749C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0.95</w:t>
            </w:r>
          </w:p>
        </w:tc>
        <w:tc>
          <w:tcPr>
            <w:tcW w:w="718" w:type="dxa"/>
            <w:tcBorders>
              <w:top w:val="nil"/>
              <w:left w:val="nil"/>
              <w:bottom w:val="nil"/>
              <w:right w:val="nil"/>
            </w:tcBorders>
            <w:shd w:val="clear" w:color="auto" w:fill="auto"/>
            <w:noWrap/>
            <w:vAlign w:val="center"/>
            <w:hideMark/>
          </w:tcPr>
          <w:p w14:paraId="6A66277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w:t>
            </w:r>
          </w:p>
        </w:tc>
        <w:tc>
          <w:tcPr>
            <w:tcW w:w="790" w:type="dxa"/>
            <w:tcBorders>
              <w:top w:val="single" w:sz="8" w:space="0" w:color="auto"/>
              <w:left w:val="single" w:sz="8" w:space="0" w:color="auto"/>
              <w:bottom w:val="nil"/>
              <w:right w:val="nil"/>
            </w:tcBorders>
            <w:shd w:val="clear" w:color="000000" w:fill="FCF0F3"/>
            <w:noWrap/>
            <w:vAlign w:val="center"/>
            <w:hideMark/>
          </w:tcPr>
          <w:p w14:paraId="6C04E7B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0.075</w:t>
            </w:r>
          </w:p>
        </w:tc>
        <w:tc>
          <w:tcPr>
            <w:tcW w:w="757" w:type="dxa"/>
            <w:tcBorders>
              <w:top w:val="nil"/>
              <w:left w:val="nil"/>
              <w:bottom w:val="nil"/>
              <w:right w:val="nil"/>
            </w:tcBorders>
            <w:shd w:val="clear" w:color="auto" w:fill="auto"/>
            <w:noWrap/>
            <w:vAlign w:val="center"/>
            <w:hideMark/>
          </w:tcPr>
          <w:p w14:paraId="1339DEA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E2057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0.925</w:t>
            </w:r>
          </w:p>
        </w:tc>
        <w:tc>
          <w:tcPr>
            <w:tcW w:w="804" w:type="dxa"/>
            <w:tcBorders>
              <w:top w:val="single" w:sz="8" w:space="0" w:color="auto"/>
              <w:left w:val="nil"/>
              <w:bottom w:val="nil"/>
              <w:right w:val="nil"/>
            </w:tcBorders>
            <w:shd w:val="clear" w:color="000000" w:fill="FCFCFF"/>
            <w:noWrap/>
            <w:vAlign w:val="center"/>
            <w:hideMark/>
          </w:tcPr>
          <w:p w14:paraId="29BA92D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0.005</w:t>
            </w:r>
          </w:p>
        </w:tc>
        <w:tc>
          <w:tcPr>
            <w:tcW w:w="867" w:type="dxa"/>
            <w:tcBorders>
              <w:top w:val="nil"/>
              <w:left w:val="nil"/>
              <w:bottom w:val="nil"/>
              <w:right w:val="nil"/>
            </w:tcBorders>
            <w:shd w:val="clear" w:color="auto" w:fill="auto"/>
            <w:noWrap/>
            <w:vAlign w:val="center"/>
            <w:hideMark/>
          </w:tcPr>
          <w:p w14:paraId="75A0B28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30EEA0A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0.83</w:t>
            </w:r>
          </w:p>
        </w:tc>
      </w:tr>
      <w:tr w:rsidR="00B55D9A" w:rsidRPr="00CB7000" w14:paraId="63B2F44F"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DC68EE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lastRenderedPageBreak/>
              <w:t>2</w:t>
            </w:r>
          </w:p>
        </w:tc>
        <w:tc>
          <w:tcPr>
            <w:tcW w:w="1386" w:type="dxa"/>
            <w:tcBorders>
              <w:top w:val="nil"/>
              <w:left w:val="single" w:sz="8" w:space="0" w:color="auto"/>
              <w:bottom w:val="nil"/>
              <w:right w:val="nil"/>
            </w:tcBorders>
            <w:shd w:val="clear" w:color="000000" w:fill="FBD3D6"/>
            <w:noWrap/>
            <w:vAlign w:val="center"/>
            <w:hideMark/>
          </w:tcPr>
          <w:p w14:paraId="456478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w:t>
            </w:r>
          </w:p>
        </w:tc>
        <w:tc>
          <w:tcPr>
            <w:tcW w:w="718" w:type="dxa"/>
            <w:tcBorders>
              <w:top w:val="nil"/>
              <w:left w:val="nil"/>
              <w:bottom w:val="nil"/>
              <w:right w:val="nil"/>
            </w:tcBorders>
            <w:shd w:val="clear" w:color="auto" w:fill="auto"/>
            <w:noWrap/>
            <w:vAlign w:val="center"/>
            <w:hideMark/>
          </w:tcPr>
          <w:p w14:paraId="3A80DE1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7CD3F93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0.975</w:t>
            </w:r>
          </w:p>
        </w:tc>
        <w:tc>
          <w:tcPr>
            <w:tcW w:w="790" w:type="dxa"/>
            <w:tcBorders>
              <w:top w:val="nil"/>
              <w:left w:val="single" w:sz="8" w:space="0" w:color="auto"/>
              <w:bottom w:val="nil"/>
              <w:right w:val="nil"/>
            </w:tcBorders>
            <w:shd w:val="clear" w:color="000000" w:fill="FCDADD"/>
            <w:noWrap/>
            <w:vAlign w:val="center"/>
            <w:hideMark/>
          </w:tcPr>
          <w:p w14:paraId="6B0C479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w:t>
            </w:r>
          </w:p>
        </w:tc>
        <w:tc>
          <w:tcPr>
            <w:tcW w:w="757" w:type="dxa"/>
            <w:tcBorders>
              <w:top w:val="nil"/>
              <w:left w:val="nil"/>
              <w:bottom w:val="nil"/>
              <w:right w:val="nil"/>
            </w:tcBorders>
            <w:shd w:val="clear" w:color="auto" w:fill="auto"/>
            <w:noWrap/>
            <w:vAlign w:val="center"/>
            <w:hideMark/>
          </w:tcPr>
          <w:p w14:paraId="51231D8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B30D4B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0.98</w:t>
            </w:r>
          </w:p>
        </w:tc>
        <w:tc>
          <w:tcPr>
            <w:tcW w:w="804" w:type="dxa"/>
            <w:tcBorders>
              <w:top w:val="nil"/>
              <w:left w:val="nil"/>
              <w:bottom w:val="nil"/>
              <w:right w:val="nil"/>
            </w:tcBorders>
            <w:shd w:val="clear" w:color="000000" w:fill="FCF0F3"/>
            <w:noWrap/>
            <w:vAlign w:val="center"/>
            <w:hideMark/>
          </w:tcPr>
          <w:p w14:paraId="2B5DDA1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0.075</w:t>
            </w:r>
          </w:p>
        </w:tc>
        <w:tc>
          <w:tcPr>
            <w:tcW w:w="867" w:type="dxa"/>
            <w:tcBorders>
              <w:top w:val="nil"/>
              <w:left w:val="nil"/>
              <w:bottom w:val="nil"/>
              <w:right w:val="nil"/>
            </w:tcBorders>
            <w:shd w:val="clear" w:color="auto" w:fill="auto"/>
            <w:noWrap/>
            <w:vAlign w:val="center"/>
            <w:hideMark/>
          </w:tcPr>
          <w:p w14:paraId="4A85254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70F4357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0.945</w:t>
            </w:r>
          </w:p>
        </w:tc>
      </w:tr>
      <w:tr w:rsidR="00B55D9A" w:rsidRPr="00CB7000" w14:paraId="67F0CAEF"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35366D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A9395"/>
            <w:noWrap/>
            <w:vAlign w:val="center"/>
            <w:hideMark/>
          </w:tcPr>
          <w:p w14:paraId="119C644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w:t>
            </w:r>
          </w:p>
        </w:tc>
        <w:tc>
          <w:tcPr>
            <w:tcW w:w="718" w:type="dxa"/>
            <w:tcBorders>
              <w:top w:val="nil"/>
              <w:left w:val="nil"/>
              <w:bottom w:val="nil"/>
              <w:right w:val="nil"/>
            </w:tcBorders>
            <w:shd w:val="clear" w:color="auto" w:fill="auto"/>
            <w:noWrap/>
            <w:vAlign w:val="center"/>
            <w:hideMark/>
          </w:tcPr>
          <w:p w14:paraId="37BEBC8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B5423C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A9B9D"/>
            <w:noWrap/>
            <w:vAlign w:val="center"/>
            <w:hideMark/>
          </w:tcPr>
          <w:p w14:paraId="55ED1F6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0.555</w:t>
            </w:r>
          </w:p>
        </w:tc>
        <w:tc>
          <w:tcPr>
            <w:tcW w:w="757" w:type="dxa"/>
            <w:tcBorders>
              <w:top w:val="nil"/>
              <w:left w:val="nil"/>
              <w:bottom w:val="nil"/>
              <w:right w:val="nil"/>
            </w:tcBorders>
            <w:shd w:val="clear" w:color="auto" w:fill="auto"/>
            <w:noWrap/>
            <w:vAlign w:val="center"/>
            <w:hideMark/>
          </w:tcPr>
          <w:p w14:paraId="04DA55F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71F8F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D2D5"/>
            <w:noWrap/>
            <w:vAlign w:val="center"/>
            <w:hideMark/>
          </w:tcPr>
          <w:p w14:paraId="20CD83F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0.245</w:t>
            </w:r>
          </w:p>
        </w:tc>
        <w:tc>
          <w:tcPr>
            <w:tcW w:w="867" w:type="dxa"/>
            <w:tcBorders>
              <w:top w:val="nil"/>
              <w:left w:val="nil"/>
              <w:bottom w:val="nil"/>
              <w:right w:val="nil"/>
            </w:tcBorders>
            <w:shd w:val="clear" w:color="auto" w:fill="auto"/>
            <w:noWrap/>
            <w:vAlign w:val="center"/>
            <w:hideMark/>
          </w:tcPr>
          <w:p w14:paraId="074C65E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8ED701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4422460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1BA62AB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8587"/>
            <w:noWrap/>
            <w:vAlign w:val="center"/>
            <w:hideMark/>
          </w:tcPr>
          <w:p w14:paraId="50C153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w:t>
            </w:r>
          </w:p>
        </w:tc>
        <w:tc>
          <w:tcPr>
            <w:tcW w:w="718" w:type="dxa"/>
            <w:tcBorders>
              <w:top w:val="nil"/>
              <w:left w:val="nil"/>
              <w:bottom w:val="nil"/>
              <w:right w:val="nil"/>
            </w:tcBorders>
            <w:shd w:val="clear" w:color="auto" w:fill="auto"/>
            <w:noWrap/>
            <w:vAlign w:val="center"/>
            <w:hideMark/>
          </w:tcPr>
          <w:p w14:paraId="23AFDE8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CF7EC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688"/>
            <w:noWrap/>
            <w:vAlign w:val="center"/>
            <w:hideMark/>
          </w:tcPr>
          <w:p w14:paraId="3E2E667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57" w:type="dxa"/>
            <w:tcBorders>
              <w:top w:val="nil"/>
              <w:left w:val="nil"/>
              <w:bottom w:val="nil"/>
              <w:right w:val="nil"/>
            </w:tcBorders>
            <w:shd w:val="clear" w:color="auto" w:fill="auto"/>
            <w:noWrap/>
            <w:vAlign w:val="center"/>
            <w:hideMark/>
          </w:tcPr>
          <w:p w14:paraId="151D53E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12762C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8CB"/>
            <w:noWrap/>
            <w:vAlign w:val="center"/>
            <w:hideMark/>
          </w:tcPr>
          <w:p w14:paraId="7F058B8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w:t>
            </w:r>
          </w:p>
        </w:tc>
        <w:tc>
          <w:tcPr>
            <w:tcW w:w="867" w:type="dxa"/>
            <w:tcBorders>
              <w:top w:val="nil"/>
              <w:left w:val="nil"/>
              <w:bottom w:val="nil"/>
              <w:right w:val="nil"/>
            </w:tcBorders>
            <w:shd w:val="clear" w:color="auto" w:fill="auto"/>
            <w:noWrap/>
            <w:vAlign w:val="center"/>
            <w:hideMark/>
          </w:tcPr>
          <w:p w14:paraId="12C6204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5D0BE5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1B4620C6"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1E5462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98082"/>
            <w:noWrap/>
            <w:vAlign w:val="center"/>
            <w:hideMark/>
          </w:tcPr>
          <w:p w14:paraId="03C0DDD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190B909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6BB6EAF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385"/>
            <w:noWrap/>
            <w:vAlign w:val="center"/>
            <w:hideMark/>
          </w:tcPr>
          <w:p w14:paraId="6361C89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0.69</w:t>
            </w:r>
          </w:p>
        </w:tc>
        <w:tc>
          <w:tcPr>
            <w:tcW w:w="757" w:type="dxa"/>
            <w:tcBorders>
              <w:top w:val="nil"/>
              <w:left w:val="nil"/>
              <w:bottom w:val="nil"/>
              <w:right w:val="nil"/>
            </w:tcBorders>
            <w:shd w:val="clear" w:color="auto" w:fill="auto"/>
            <w:noWrap/>
            <w:vAlign w:val="center"/>
            <w:hideMark/>
          </w:tcPr>
          <w:p w14:paraId="3959639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354E28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BCBE"/>
            <w:noWrap/>
            <w:vAlign w:val="center"/>
            <w:hideMark/>
          </w:tcPr>
          <w:p w14:paraId="126E69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0.37</w:t>
            </w:r>
          </w:p>
        </w:tc>
        <w:tc>
          <w:tcPr>
            <w:tcW w:w="867" w:type="dxa"/>
            <w:tcBorders>
              <w:top w:val="nil"/>
              <w:left w:val="nil"/>
              <w:bottom w:val="nil"/>
              <w:right w:val="nil"/>
            </w:tcBorders>
            <w:shd w:val="clear" w:color="auto" w:fill="auto"/>
            <w:noWrap/>
            <w:vAlign w:val="center"/>
            <w:hideMark/>
          </w:tcPr>
          <w:p w14:paraId="30E348A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A67CD9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F2679DC"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C64116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8082"/>
            <w:noWrap/>
            <w:vAlign w:val="center"/>
            <w:hideMark/>
          </w:tcPr>
          <w:p w14:paraId="55FBEB6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w:t>
            </w:r>
          </w:p>
        </w:tc>
        <w:tc>
          <w:tcPr>
            <w:tcW w:w="718" w:type="dxa"/>
            <w:tcBorders>
              <w:top w:val="nil"/>
              <w:left w:val="nil"/>
              <w:bottom w:val="nil"/>
              <w:right w:val="nil"/>
            </w:tcBorders>
            <w:shd w:val="clear" w:color="auto" w:fill="auto"/>
            <w:noWrap/>
            <w:vAlign w:val="center"/>
            <w:hideMark/>
          </w:tcPr>
          <w:p w14:paraId="3C83237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DF3690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789"/>
            <w:noWrap/>
            <w:vAlign w:val="center"/>
            <w:hideMark/>
          </w:tcPr>
          <w:p w14:paraId="4E1166F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57" w:type="dxa"/>
            <w:tcBorders>
              <w:top w:val="nil"/>
              <w:left w:val="nil"/>
              <w:bottom w:val="nil"/>
              <w:right w:val="nil"/>
            </w:tcBorders>
            <w:shd w:val="clear" w:color="auto" w:fill="auto"/>
            <w:noWrap/>
            <w:vAlign w:val="center"/>
            <w:hideMark/>
          </w:tcPr>
          <w:p w14:paraId="0CA7223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02D94D3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9CC"/>
            <w:noWrap/>
            <w:vAlign w:val="center"/>
            <w:hideMark/>
          </w:tcPr>
          <w:p w14:paraId="6573DC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0.295</w:t>
            </w:r>
          </w:p>
        </w:tc>
        <w:tc>
          <w:tcPr>
            <w:tcW w:w="867" w:type="dxa"/>
            <w:tcBorders>
              <w:top w:val="nil"/>
              <w:left w:val="nil"/>
              <w:bottom w:val="nil"/>
              <w:right w:val="nil"/>
            </w:tcBorders>
            <w:shd w:val="clear" w:color="auto" w:fill="auto"/>
            <w:noWrap/>
            <w:vAlign w:val="center"/>
            <w:hideMark/>
          </w:tcPr>
          <w:p w14:paraId="28D714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5E3EED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0C348C1"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721DC6E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8688"/>
            <w:noWrap/>
            <w:vAlign w:val="center"/>
            <w:hideMark/>
          </w:tcPr>
          <w:p w14:paraId="7B64B84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0.675</w:t>
            </w:r>
          </w:p>
        </w:tc>
        <w:tc>
          <w:tcPr>
            <w:tcW w:w="718" w:type="dxa"/>
            <w:tcBorders>
              <w:top w:val="nil"/>
              <w:left w:val="nil"/>
              <w:bottom w:val="single" w:sz="8" w:space="0" w:color="auto"/>
              <w:right w:val="nil"/>
            </w:tcBorders>
            <w:shd w:val="clear" w:color="auto" w:fill="auto"/>
            <w:noWrap/>
            <w:vAlign w:val="center"/>
            <w:hideMark/>
          </w:tcPr>
          <w:p w14:paraId="61FD66C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515C15E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8B8D"/>
            <w:noWrap/>
            <w:vAlign w:val="center"/>
            <w:hideMark/>
          </w:tcPr>
          <w:p w14:paraId="54C097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0.645</w:t>
            </w:r>
          </w:p>
        </w:tc>
        <w:tc>
          <w:tcPr>
            <w:tcW w:w="757" w:type="dxa"/>
            <w:tcBorders>
              <w:top w:val="nil"/>
              <w:left w:val="nil"/>
              <w:bottom w:val="single" w:sz="8" w:space="0" w:color="auto"/>
              <w:right w:val="nil"/>
            </w:tcBorders>
            <w:shd w:val="clear" w:color="auto" w:fill="auto"/>
            <w:noWrap/>
            <w:vAlign w:val="center"/>
            <w:hideMark/>
          </w:tcPr>
          <w:p w14:paraId="7B811B3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22FEB1C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BC6C9"/>
            <w:noWrap/>
            <w:vAlign w:val="center"/>
            <w:hideMark/>
          </w:tcPr>
          <w:p w14:paraId="1FF7D9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0.31</w:t>
            </w:r>
          </w:p>
        </w:tc>
        <w:tc>
          <w:tcPr>
            <w:tcW w:w="867" w:type="dxa"/>
            <w:tcBorders>
              <w:top w:val="nil"/>
              <w:left w:val="nil"/>
              <w:bottom w:val="single" w:sz="8" w:space="0" w:color="auto"/>
              <w:right w:val="nil"/>
            </w:tcBorders>
            <w:shd w:val="clear" w:color="auto" w:fill="auto"/>
            <w:noWrap/>
            <w:vAlign w:val="center"/>
            <w:hideMark/>
          </w:tcPr>
          <w:p w14:paraId="02645B9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5F1982F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956877F" w14:textId="77777777" w:rsidTr="00EC7A1B">
        <w:trPr>
          <w:trHeight w:val="300"/>
        </w:trPr>
        <w:tc>
          <w:tcPr>
            <w:tcW w:w="692" w:type="dxa"/>
            <w:tcBorders>
              <w:top w:val="nil"/>
              <w:left w:val="nil"/>
              <w:bottom w:val="nil"/>
              <w:right w:val="nil"/>
            </w:tcBorders>
            <w:shd w:val="clear" w:color="auto" w:fill="auto"/>
            <w:noWrap/>
            <w:vAlign w:val="center"/>
            <w:hideMark/>
          </w:tcPr>
          <w:p w14:paraId="0ECAF5F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4B0DA1" w14:textId="27D9FF93"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 xml:space="preserve">The methods without </w:t>
            </w:r>
            <w:r w:rsidRPr="000504A4">
              <w:rPr>
                <w:rFonts w:ascii="Calibri" w:eastAsia="Times New Roman" w:hAnsi="Calibri" w:cs="Times New Roman"/>
                <w:color w:val="000000"/>
                <w:lang w:eastAsia="en-US"/>
              </w:rPr>
              <w:t xml:space="preserve">assuming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Pr>
                <w:rFonts w:ascii="Calibri" w:eastAsia="Times New Roman" w:hAnsi="Calibri" w:cs="Times New Roman"/>
                <w:color w:val="000000"/>
                <w:lang w:eastAsia="en-US"/>
              </w:rPr>
              <w:t>, using two references</w:t>
            </w:r>
          </w:p>
        </w:tc>
      </w:tr>
      <w:tr w:rsidR="00B55D9A" w:rsidRPr="00CB7000" w14:paraId="13BAC581" w14:textId="77777777" w:rsidTr="00EC7A1B">
        <w:trPr>
          <w:trHeight w:val="300"/>
        </w:trPr>
        <w:tc>
          <w:tcPr>
            <w:tcW w:w="692" w:type="dxa"/>
            <w:tcBorders>
              <w:top w:val="nil"/>
              <w:left w:val="nil"/>
              <w:bottom w:val="nil"/>
              <w:right w:val="nil"/>
            </w:tcBorders>
            <w:shd w:val="clear" w:color="auto" w:fill="auto"/>
            <w:noWrap/>
            <w:vAlign w:val="center"/>
            <w:hideMark/>
          </w:tcPr>
          <w:p w14:paraId="7798DAD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106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original version</w:t>
            </w:r>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5D115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The integrated version</w:t>
            </w:r>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1375B6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Least favorable version</w:t>
            </w:r>
          </w:p>
        </w:tc>
      </w:tr>
      <w:tr w:rsidR="00B55D9A" w:rsidRPr="00CB7000" w14:paraId="37506084" w14:textId="77777777" w:rsidTr="00EC7A1B">
        <w:trPr>
          <w:trHeight w:val="280"/>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F37B116" w14:textId="38D15A14" w:rsidR="00B55D9A" w:rsidRPr="00CB7000" w:rsidRDefault="00B55D9A" w:rsidP="00CB7000">
            <w:pPr>
              <w:spacing w:after="0" w:line="240" w:lineRule="auto"/>
              <w:jc w:val="center"/>
              <w:rPr>
                <w:rFonts w:ascii="Calibri" w:eastAsia="Times New Roman" w:hAnsi="Calibri" w:cs="Times New Roman"/>
                <w:color w:val="000000"/>
                <w:lang w:eastAsia="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m:oMathPara>
          </w:p>
        </w:tc>
        <w:tc>
          <w:tcPr>
            <w:tcW w:w="1386" w:type="dxa"/>
            <w:tcBorders>
              <w:top w:val="nil"/>
              <w:left w:val="nil"/>
              <w:bottom w:val="nil"/>
              <w:right w:val="nil"/>
            </w:tcBorders>
            <w:shd w:val="clear" w:color="auto" w:fill="auto"/>
            <w:noWrap/>
            <w:vAlign w:val="bottom"/>
            <w:hideMark/>
          </w:tcPr>
          <w:p w14:paraId="1691A749" w14:textId="2ED34F99"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p>
        </w:tc>
        <w:tc>
          <w:tcPr>
            <w:tcW w:w="718" w:type="dxa"/>
            <w:tcBorders>
              <w:top w:val="nil"/>
              <w:left w:val="nil"/>
              <w:bottom w:val="nil"/>
              <w:right w:val="nil"/>
            </w:tcBorders>
            <w:shd w:val="clear" w:color="auto" w:fill="auto"/>
            <w:noWrap/>
            <w:vAlign w:val="bottom"/>
            <w:hideMark/>
          </w:tcPr>
          <w:p w14:paraId="6CCB4C98" w14:textId="7B73A563"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p>
        </w:tc>
        <w:tc>
          <w:tcPr>
            <w:tcW w:w="718" w:type="dxa"/>
            <w:tcBorders>
              <w:top w:val="nil"/>
              <w:left w:val="nil"/>
              <w:bottom w:val="nil"/>
              <w:right w:val="nil"/>
            </w:tcBorders>
            <w:shd w:val="clear" w:color="auto" w:fill="auto"/>
            <w:noWrap/>
            <w:vAlign w:val="bottom"/>
            <w:hideMark/>
          </w:tcPr>
          <w:p w14:paraId="4E466272" w14:textId="7D9D64DE"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p>
        </w:tc>
        <w:tc>
          <w:tcPr>
            <w:tcW w:w="790" w:type="dxa"/>
            <w:tcBorders>
              <w:top w:val="nil"/>
              <w:left w:val="single" w:sz="8" w:space="0" w:color="auto"/>
              <w:bottom w:val="nil"/>
              <w:right w:val="nil"/>
            </w:tcBorders>
            <w:shd w:val="clear" w:color="auto" w:fill="auto"/>
            <w:noWrap/>
            <w:vAlign w:val="bottom"/>
            <w:hideMark/>
          </w:tcPr>
          <w:p w14:paraId="7D3B99BC" w14:textId="47AF9E0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p>
        </w:tc>
        <w:tc>
          <w:tcPr>
            <w:tcW w:w="757" w:type="dxa"/>
            <w:tcBorders>
              <w:top w:val="nil"/>
              <w:left w:val="nil"/>
              <w:bottom w:val="nil"/>
              <w:right w:val="nil"/>
            </w:tcBorders>
            <w:shd w:val="clear" w:color="auto" w:fill="auto"/>
            <w:noWrap/>
            <w:vAlign w:val="bottom"/>
            <w:hideMark/>
          </w:tcPr>
          <w:p w14:paraId="7285B7D5" w14:textId="721D4975"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p>
        </w:tc>
        <w:tc>
          <w:tcPr>
            <w:tcW w:w="757" w:type="dxa"/>
            <w:tcBorders>
              <w:top w:val="nil"/>
              <w:left w:val="nil"/>
              <w:bottom w:val="nil"/>
              <w:right w:val="single" w:sz="8" w:space="0" w:color="auto"/>
            </w:tcBorders>
            <w:shd w:val="clear" w:color="auto" w:fill="auto"/>
            <w:noWrap/>
            <w:vAlign w:val="bottom"/>
            <w:hideMark/>
          </w:tcPr>
          <w:p w14:paraId="0EEA4E02" w14:textId="2D300078"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p>
        </w:tc>
        <w:tc>
          <w:tcPr>
            <w:tcW w:w="804" w:type="dxa"/>
            <w:tcBorders>
              <w:top w:val="nil"/>
              <w:left w:val="nil"/>
              <w:bottom w:val="nil"/>
              <w:right w:val="nil"/>
            </w:tcBorders>
            <w:shd w:val="clear" w:color="auto" w:fill="auto"/>
            <w:noWrap/>
            <w:vAlign w:val="bottom"/>
            <w:hideMark/>
          </w:tcPr>
          <w:p w14:paraId="4DBF5E4B" w14:textId="71FE07BF"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p>
        </w:tc>
        <w:tc>
          <w:tcPr>
            <w:tcW w:w="867" w:type="dxa"/>
            <w:tcBorders>
              <w:top w:val="nil"/>
              <w:left w:val="nil"/>
              <w:bottom w:val="nil"/>
              <w:right w:val="nil"/>
            </w:tcBorders>
            <w:shd w:val="clear" w:color="auto" w:fill="auto"/>
            <w:noWrap/>
            <w:vAlign w:val="bottom"/>
            <w:hideMark/>
          </w:tcPr>
          <w:p w14:paraId="41914C98" w14:textId="68F9B15D"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p>
        </w:tc>
        <w:tc>
          <w:tcPr>
            <w:tcW w:w="867" w:type="dxa"/>
            <w:tcBorders>
              <w:top w:val="nil"/>
              <w:left w:val="nil"/>
              <w:bottom w:val="nil"/>
              <w:right w:val="single" w:sz="8" w:space="0" w:color="auto"/>
            </w:tcBorders>
            <w:shd w:val="clear" w:color="auto" w:fill="auto"/>
            <w:noWrap/>
            <w:vAlign w:val="bottom"/>
            <w:hideMark/>
          </w:tcPr>
          <w:p w14:paraId="7E344BE4" w14:textId="45DB2B55" w:rsidR="00B55D9A" w:rsidRPr="00CB7000" w:rsidRDefault="00B55D9A" w:rsidP="00CB7000">
            <w:pPr>
              <w:spacing w:after="0" w:line="240" w:lineRule="auto"/>
              <w:jc w:val="center"/>
              <w:rPr>
                <w:rFonts w:ascii="Calibri" w:eastAsia="Times New Roman" w:hAnsi="Calibri" w:cs="Times New Roman"/>
                <w:color w:val="000000"/>
                <w:lang w:eastAsia="en-US"/>
              </w:rPr>
            </w:pPr>
            <w:r w:rsidRPr="00562CAB">
              <w:rPr>
                <w:rFonts w:eastAsia="Times New Roman" w:cs="Times New Roman"/>
                <w:color w:val="000000"/>
                <w:sz w:val="20"/>
                <w:szCs w:val="20"/>
                <w:lang w:eastAsia="en-US"/>
              </w:rPr>
              <w:t>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p>
        </w:tc>
      </w:tr>
      <w:tr w:rsidR="00B55D9A" w:rsidRPr="00CB7000" w14:paraId="46FD2737" w14:textId="77777777" w:rsidTr="00EC7A1B">
        <w:trPr>
          <w:trHeight w:val="300"/>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21937701" w14:textId="77777777" w:rsidR="00B55D9A" w:rsidRPr="00CB7000" w:rsidRDefault="00B55D9A" w:rsidP="00CB7000">
            <w:pPr>
              <w:spacing w:after="0" w:line="240" w:lineRule="auto"/>
              <w:rPr>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31492D0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18" w:type="dxa"/>
            <w:tcBorders>
              <w:top w:val="nil"/>
              <w:left w:val="nil"/>
              <w:bottom w:val="single" w:sz="8" w:space="0" w:color="auto"/>
              <w:right w:val="nil"/>
            </w:tcBorders>
            <w:shd w:val="clear" w:color="auto" w:fill="auto"/>
            <w:noWrap/>
            <w:vAlign w:val="center"/>
            <w:hideMark/>
          </w:tcPr>
          <w:p w14:paraId="5F51C40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18" w:type="dxa"/>
            <w:tcBorders>
              <w:top w:val="nil"/>
              <w:left w:val="nil"/>
              <w:bottom w:val="single" w:sz="8" w:space="0" w:color="auto"/>
              <w:right w:val="nil"/>
            </w:tcBorders>
            <w:shd w:val="clear" w:color="auto" w:fill="auto"/>
            <w:noWrap/>
            <w:vAlign w:val="center"/>
            <w:hideMark/>
          </w:tcPr>
          <w:p w14:paraId="5ED93F5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90" w:type="dxa"/>
            <w:tcBorders>
              <w:top w:val="nil"/>
              <w:left w:val="single" w:sz="8" w:space="0" w:color="auto"/>
              <w:bottom w:val="single" w:sz="8" w:space="0" w:color="auto"/>
              <w:right w:val="nil"/>
            </w:tcBorders>
            <w:shd w:val="clear" w:color="auto" w:fill="auto"/>
            <w:noWrap/>
            <w:vAlign w:val="center"/>
            <w:hideMark/>
          </w:tcPr>
          <w:p w14:paraId="4F60CD4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757" w:type="dxa"/>
            <w:tcBorders>
              <w:top w:val="nil"/>
              <w:left w:val="nil"/>
              <w:bottom w:val="single" w:sz="8" w:space="0" w:color="auto"/>
              <w:right w:val="nil"/>
            </w:tcBorders>
            <w:shd w:val="clear" w:color="auto" w:fill="auto"/>
            <w:noWrap/>
            <w:vAlign w:val="center"/>
            <w:hideMark/>
          </w:tcPr>
          <w:p w14:paraId="4FB08F6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757" w:type="dxa"/>
            <w:tcBorders>
              <w:top w:val="nil"/>
              <w:left w:val="nil"/>
              <w:bottom w:val="single" w:sz="8" w:space="0" w:color="auto"/>
              <w:right w:val="single" w:sz="8" w:space="0" w:color="auto"/>
            </w:tcBorders>
            <w:shd w:val="clear" w:color="auto" w:fill="auto"/>
            <w:noWrap/>
            <w:vAlign w:val="center"/>
            <w:hideMark/>
          </w:tcPr>
          <w:p w14:paraId="437A8ED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04" w:type="dxa"/>
            <w:tcBorders>
              <w:top w:val="nil"/>
              <w:left w:val="nil"/>
              <w:bottom w:val="single" w:sz="8" w:space="0" w:color="auto"/>
              <w:right w:val="nil"/>
            </w:tcBorders>
            <w:shd w:val="clear" w:color="auto" w:fill="auto"/>
            <w:noWrap/>
            <w:vAlign w:val="center"/>
            <w:hideMark/>
          </w:tcPr>
          <w:p w14:paraId="4FC6332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Power</w:t>
            </w:r>
          </w:p>
        </w:tc>
        <w:tc>
          <w:tcPr>
            <w:tcW w:w="867" w:type="dxa"/>
            <w:tcBorders>
              <w:top w:val="nil"/>
              <w:left w:val="nil"/>
              <w:bottom w:val="single" w:sz="8" w:space="0" w:color="auto"/>
              <w:right w:val="nil"/>
            </w:tcBorders>
            <w:shd w:val="clear" w:color="auto" w:fill="auto"/>
            <w:noWrap/>
            <w:vAlign w:val="center"/>
            <w:hideMark/>
          </w:tcPr>
          <w:p w14:paraId="01A46A3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c>
          <w:tcPr>
            <w:tcW w:w="867" w:type="dxa"/>
            <w:tcBorders>
              <w:top w:val="nil"/>
              <w:left w:val="nil"/>
              <w:bottom w:val="single" w:sz="8" w:space="0" w:color="auto"/>
              <w:right w:val="single" w:sz="8" w:space="0" w:color="auto"/>
            </w:tcBorders>
            <w:shd w:val="clear" w:color="auto" w:fill="auto"/>
            <w:noWrap/>
            <w:vAlign w:val="center"/>
            <w:hideMark/>
          </w:tcPr>
          <w:p w14:paraId="1B8B38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CR</w:t>
            </w:r>
          </w:p>
        </w:tc>
      </w:tr>
      <w:tr w:rsidR="00B55D9A" w:rsidRPr="00CB7000" w14:paraId="697140F7"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78D644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2/1.5</w:t>
            </w:r>
          </w:p>
        </w:tc>
        <w:tc>
          <w:tcPr>
            <w:tcW w:w="1386" w:type="dxa"/>
            <w:tcBorders>
              <w:top w:val="single" w:sz="8" w:space="0" w:color="auto"/>
              <w:left w:val="single" w:sz="8" w:space="0" w:color="auto"/>
              <w:bottom w:val="nil"/>
              <w:right w:val="nil"/>
            </w:tcBorders>
            <w:shd w:val="clear" w:color="000000" w:fill="FCF2F5"/>
            <w:noWrap/>
            <w:vAlign w:val="center"/>
            <w:hideMark/>
          </w:tcPr>
          <w:p w14:paraId="4F0EF10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0.065</w:t>
            </w:r>
          </w:p>
        </w:tc>
        <w:tc>
          <w:tcPr>
            <w:tcW w:w="718" w:type="dxa"/>
            <w:tcBorders>
              <w:top w:val="nil"/>
              <w:left w:val="nil"/>
              <w:bottom w:val="nil"/>
              <w:right w:val="nil"/>
            </w:tcBorders>
            <w:shd w:val="clear" w:color="auto" w:fill="auto"/>
            <w:noWrap/>
            <w:vAlign w:val="center"/>
            <w:hideMark/>
          </w:tcPr>
          <w:p w14:paraId="0B40EC8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54BE310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0.935</w:t>
            </w:r>
          </w:p>
        </w:tc>
        <w:tc>
          <w:tcPr>
            <w:tcW w:w="790" w:type="dxa"/>
            <w:tcBorders>
              <w:top w:val="single" w:sz="8" w:space="0" w:color="auto"/>
              <w:left w:val="single" w:sz="8" w:space="0" w:color="auto"/>
              <w:bottom w:val="nil"/>
              <w:right w:val="nil"/>
            </w:tcBorders>
            <w:shd w:val="clear" w:color="000000" w:fill="FCEFF2"/>
            <w:noWrap/>
            <w:vAlign w:val="center"/>
            <w:hideMark/>
          </w:tcPr>
          <w:p w14:paraId="1F6CF3A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0.08</w:t>
            </w:r>
          </w:p>
        </w:tc>
        <w:tc>
          <w:tcPr>
            <w:tcW w:w="757" w:type="dxa"/>
            <w:tcBorders>
              <w:top w:val="nil"/>
              <w:left w:val="nil"/>
              <w:bottom w:val="nil"/>
              <w:right w:val="nil"/>
            </w:tcBorders>
            <w:shd w:val="clear" w:color="auto" w:fill="auto"/>
            <w:noWrap/>
            <w:vAlign w:val="center"/>
            <w:hideMark/>
          </w:tcPr>
          <w:p w14:paraId="31CB1F8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0.938</w:t>
            </w:r>
          </w:p>
        </w:tc>
        <w:tc>
          <w:tcPr>
            <w:tcW w:w="757" w:type="dxa"/>
            <w:tcBorders>
              <w:top w:val="nil"/>
              <w:left w:val="nil"/>
              <w:bottom w:val="nil"/>
              <w:right w:val="single" w:sz="8" w:space="0" w:color="auto"/>
            </w:tcBorders>
            <w:shd w:val="clear" w:color="auto" w:fill="auto"/>
            <w:noWrap/>
            <w:vAlign w:val="center"/>
            <w:hideMark/>
          </w:tcPr>
          <w:p w14:paraId="58859F8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0.915</w:t>
            </w:r>
          </w:p>
        </w:tc>
        <w:tc>
          <w:tcPr>
            <w:tcW w:w="804" w:type="dxa"/>
            <w:tcBorders>
              <w:top w:val="single" w:sz="8" w:space="0" w:color="auto"/>
              <w:left w:val="nil"/>
              <w:bottom w:val="nil"/>
              <w:right w:val="nil"/>
            </w:tcBorders>
            <w:shd w:val="clear" w:color="000000" w:fill="FCFCFF"/>
            <w:noWrap/>
            <w:vAlign w:val="center"/>
            <w:hideMark/>
          </w:tcPr>
          <w:p w14:paraId="19454F2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0.005</w:t>
            </w:r>
          </w:p>
        </w:tc>
        <w:tc>
          <w:tcPr>
            <w:tcW w:w="867" w:type="dxa"/>
            <w:tcBorders>
              <w:top w:val="nil"/>
              <w:left w:val="nil"/>
              <w:bottom w:val="nil"/>
              <w:right w:val="nil"/>
            </w:tcBorders>
            <w:shd w:val="clear" w:color="auto" w:fill="auto"/>
            <w:noWrap/>
            <w:vAlign w:val="center"/>
            <w:hideMark/>
          </w:tcPr>
          <w:p w14:paraId="12F9D6C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w:t>
            </w:r>
          </w:p>
        </w:tc>
        <w:tc>
          <w:tcPr>
            <w:tcW w:w="867" w:type="dxa"/>
            <w:tcBorders>
              <w:top w:val="nil"/>
              <w:left w:val="nil"/>
              <w:bottom w:val="nil"/>
              <w:right w:val="single" w:sz="8" w:space="0" w:color="auto"/>
            </w:tcBorders>
            <w:shd w:val="clear" w:color="auto" w:fill="auto"/>
            <w:noWrap/>
            <w:vAlign w:val="center"/>
            <w:hideMark/>
          </w:tcPr>
          <w:p w14:paraId="15B204D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0.995</w:t>
            </w:r>
          </w:p>
        </w:tc>
      </w:tr>
      <w:tr w:rsidR="00B55D9A" w:rsidRPr="00CB7000" w14:paraId="7FBF2382"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38D62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2</w:t>
            </w:r>
          </w:p>
        </w:tc>
        <w:tc>
          <w:tcPr>
            <w:tcW w:w="1386" w:type="dxa"/>
            <w:tcBorders>
              <w:top w:val="nil"/>
              <w:left w:val="single" w:sz="8" w:space="0" w:color="auto"/>
              <w:bottom w:val="nil"/>
              <w:right w:val="nil"/>
            </w:tcBorders>
            <w:shd w:val="clear" w:color="000000" w:fill="FBD6D8"/>
            <w:noWrap/>
            <w:vAlign w:val="center"/>
            <w:hideMark/>
          </w:tcPr>
          <w:p w14:paraId="0A27D0F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0.225</w:t>
            </w:r>
          </w:p>
        </w:tc>
        <w:tc>
          <w:tcPr>
            <w:tcW w:w="718" w:type="dxa"/>
            <w:tcBorders>
              <w:top w:val="nil"/>
              <w:left w:val="nil"/>
              <w:bottom w:val="nil"/>
              <w:right w:val="nil"/>
            </w:tcBorders>
            <w:shd w:val="clear" w:color="auto" w:fill="auto"/>
            <w:noWrap/>
            <w:vAlign w:val="center"/>
            <w:hideMark/>
          </w:tcPr>
          <w:p w14:paraId="3488E36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289E04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0.995</w:t>
            </w:r>
          </w:p>
        </w:tc>
        <w:tc>
          <w:tcPr>
            <w:tcW w:w="790" w:type="dxa"/>
            <w:tcBorders>
              <w:top w:val="nil"/>
              <w:left w:val="single" w:sz="8" w:space="0" w:color="auto"/>
              <w:bottom w:val="nil"/>
              <w:right w:val="nil"/>
            </w:tcBorders>
            <w:shd w:val="clear" w:color="000000" w:fill="FBCFD2"/>
            <w:noWrap/>
            <w:vAlign w:val="center"/>
            <w:hideMark/>
          </w:tcPr>
          <w:p w14:paraId="7E6E048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0.26</w:t>
            </w:r>
          </w:p>
        </w:tc>
        <w:tc>
          <w:tcPr>
            <w:tcW w:w="757" w:type="dxa"/>
            <w:tcBorders>
              <w:top w:val="nil"/>
              <w:left w:val="nil"/>
              <w:bottom w:val="nil"/>
              <w:right w:val="nil"/>
            </w:tcBorders>
            <w:shd w:val="clear" w:color="auto" w:fill="auto"/>
            <w:noWrap/>
            <w:vAlign w:val="center"/>
            <w:hideMark/>
          </w:tcPr>
          <w:p w14:paraId="5DB03E6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4D56EF5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0.975</w:t>
            </w:r>
          </w:p>
        </w:tc>
        <w:tc>
          <w:tcPr>
            <w:tcW w:w="804" w:type="dxa"/>
            <w:tcBorders>
              <w:top w:val="nil"/>
              <w:left w:val="nil"/>
              <w:bottom w:val="nil"/>
              <w:right w:val="nil"/>
            </w:tcBorders>
            <w:shd w:val="clear" w:color="000000" w:fill="FCF2F5"/>
            <w:noWrap/>
            <w:vAlign w:val="center"/>
            <w:hideMark/>
          </w:tcPr>
          <w:p w14:paraId="1B28314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0.065</w:t>
            </w:r>
          </w:p>
        </w:tc>
        <w:tc>
          <w:tcPr>
            <w:tcW w:w="867" w:type="dxa"/>
            <w:tcBorders>
              <w:top w:val="nil"/>
              <w:left w:val="nil"/>
              <w:bottom w:val="nil"/>
              <w:right w:val="nil"/>
            </w:tcBorders>
            <w:shd w:val="clear" w:color="auto" w:fill="auto"/>
            <w:noWrap/>
            <w:vAlign w:val="center"/>
            <w:hideMark/>
          </w:tcPr>
          <w:p w14:paraId="6FF80AE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9C6EEA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5FA1B589"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62C2291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4</w:t>
            </w:r>
          </w:p>
        </w:tc>
        <w:tc>
          <w:tcPr>
            <w:tcW w:w="1386" w:type="dxa"/>
            <w:tcBorders>
              <w:top w:val="nil"/>
              <w:left w:val="single" w:sz="8" w:space="0" w:color="auto"/>
              <w:bottom w:val="nil"/>
              <w:right w:val="nil"/>
            </w:tcBorders>
            <w:shd w:val="clear" w:color="000000" w:fill="FA9A9D"/>
            <w:noWrap/>
            <w:vAlign w:val="center"/>
            <w:hideMark/>
          </w:tcPr>
          <w:p w14:paraId="4DAE27F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0.56</w:t>
            </w:r>
          </w:p>
        </w:tc>
        <w:tc>
          <w:tcPr>
            <w:tcW w:w="718" w:type="dxa"/>
            <w:tcBorders>
              <w:top w:val="nil"/>
              <w:left w:val="nil"/>
              <w:bottom w:val="nil"/>
              <w:right w:val="nil"/>
            </w:tcBorders>
            <w:shd w:val="clear" w:color="auto" w:fill="auto"/>
            <w:noWrap/>
            <w:vAlign w:val="center"/>
            <w:hideMark/>
          </w:tcPr>
          <w:p w14:paraId="2D3F66A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7451D22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8B8D"/>
            <w:noWrap/>
            <w:vAlign w:val="center"/>
            <w:hideMark/>
          </w:tcPr>
          <w:p w14:paraId="01F933C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0.645</w:t>
            </w:r>
          </w:p>
        </w:tc>
        <w:tc>
          <w:tcPr>
            <w:tcW w:w="757" w:type="dxa"/>
            <w:tcBorders>
              <w:top w:val="nil"/>
              <w:left w:val="nil"/>
              <w:bottom w:val="nil"/>
              <w:right w:val="nil"/>
            </w:tcBorders>
            <w:shd w:val="clear" w:color="auto" w:fill="auto"/>
            <w:noWrap/>
            <w:vAlign w:val="center"/>
            <w:hideMark/>
          </w:tcPr>
          <w:p w14:paraId="5044704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C94077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D2D5"/>
            <w:noWrap/>
            <w:vAlign w:val="center"/>
            <w:hideMark/>
          </w:tcPr>
          <w:p w14:paraId="05F06A5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0.245</w:t>
            </w:r>
          </w:p>
        </w:tc>
        <w:tc>
          <w:tcPr>
            <w:tcW w:w="867" w:type="dxa"/>
            <w:tcBorders>
              <w:top w:val="nil"/>
              <w:left w:val="nil"/>
              <w:bottom w:val="nil"/>
              <w:right w:val="nil"/>
            </w:tcBorders>
            <w:shd w:val="clear" w:color="auto" w:fill="auto"/>
            <w:noWrap/>
            <w:vAlign w:val="center"/>
            <w:hideMark/>
          </w:tcPr>
          <w:p w14:paraId="732CE90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1CF434F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37CEC0D"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59BE2AA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6</w:t>
            </w:r>
          </w:p>
        </w:tc>
        <w:tc>
          <w:tcPr>
            <w:tcW w:w="1386" w:type="dxa"/>
            <w:tcBorders>
              <w:top w:val="nil"/>
              <w:left w:val="single" w:sz="8" w:space="0" w:color="auto"/>
              <w:bottom w:val="nil"/>
              <w:right w:val="nil"/>
            </w:tcBorders>
            <w:shd w:val="clear" w:color="000000" w:fill="F98789"/>
            <w:noWrap/>
            <w:vAlign w:val="center"/>
            <w:hideMark/>
          </w:tcPr>
          <w:p w14:paraId="6F761E81"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18" w:type="dxa"/>
            <w:tcBorders>
              <w:top w:val="nil"/>
              <w:left w:val="nil"/>
              <w:bottom w:val="nil"/>
              <w:right w:val="nil"/>
            </w:tcBorders>
            <w:shd w:val="clear" w:color="auto" w:fill="auto"/>
            <w:noWrap/>
            <w:vAlign w:val="center"/>
            <w:hideMark/>
          </w:tcPr>
          <w:p w14:paraId="217D27A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59674E57"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F81"/>
            <w:noWrap/>
            <w:vAlign w:val="center"/>
            <w:hideMark/>
          </w:tcPr>
          <w:p w14:paraId="6B35588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0.715</w:t>
            </w:r>
          </w:p>
        </w:tc>
        <w:tc>
          <w:tcPr>
            <w:tcW w:w="757" w:type="dxa"/>
            <w:tcBorders>
              <w:top w:val="nil"/>
              <w:left w:val="nil"/>
              <w:bottom w:val="nil"/>
              <w:right w:val="nil"/>
            </w:tcBorders>
            <w:shd w:val="clear" w:color="auto" w:fill="auto"/>
            <w:noWrap/>
            <w:vAlign w:val="center"/>
            <w:hideMark/>
          </w:tcPr>
          <w:p w14:paraId="7892866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283B7A1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4C6"/>
            <w:noWrap/>
            <w:vAlign w:val="center"/>
            <w:hideMark/>
          </w:tcPr>
          <w:p w14:paraId="0CC74EE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0.325</w:t>
            </w:r>
          </w:p>
        </w:tc>
        <w:tc>
          <w:tcPr>
            <w:tcW w:w="867" w:type="dxa"/>
            <w:tcBorders>
              <w:top w:val="nil"/>
              <w:left w:val="nil"/>
              <w:bottom w:val="nil"/>
              <w:right w:val="nil"/>
            </w:tcBorders>
            <w:shd w:val="clear" w:color="auto" w:fill="auto"/>
            <w:noWrap/>
            <w:vAlign w:val="center"/>
            <w:hideMark/>
          </w:tcPr>
          <w:p w14:paraId="552B7EA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00A70BD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F02CF4C"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0A787F2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8</w:t>
            </w:r>
          </w:p>
        </w:tc>
        <w:tc>
          <w:tcPr>
            <w:tcW w:w="1386" w:type="dxa"/>
            <w:tcBorders>
              <w:top w:val="nil"/>
              <w:left w:val="single" w:sz="8" w:space="0" w:color="auto"/>
              <w:bottom w:val="nil"/>
              <w:right w:val="nil"/>
            </w:tcBorders>
            <w:shd w:val="clear" w:color="000000" w:fill="F98184"/>
            <w:noWrap/>
            <w:vAlign w:val="center"/>
            <w:hideMark/>
          </w:tcPr>
          <w:p w14:paraId="4BB1A9C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w:t>
            </w:r>
          </w:p>
        </w:tc>
        <w:tc>
          <w:tcPr>
            <w:tcW w:w="718" w:type="dxa"/>
            <w:tcBorders>
              <w:top w:val="nil"/>
              <w:left w:val="nil"/>
              <w:bottom w:val="nil"/>
              <w:right w:val="nil"/>
            </w:tcBorders>
            <w:shd w:val="clear" w:color="auto" w:fill="auto"/>
            <w:noWrap/>
            <w:vAlign w:val="center"/>
            <w:hideMark/>
          </w:tcPr>
          <w:p w14:paraId="79CB33D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03916B1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476"/>
            <w:noWrap/>
            <w:vAlign w:val="center"/>
            <w:hideMark/>
          </w:tcPr>
          <w:p w14:paraId="7CC742D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0.775</w:t>
            </w:r>
          </w:p>
        </w:tc>
        <w:tc>
          <w:tcPr>
            <w:tcW w:w="757" w:type="dxa"/>
            <w:tcBorders>
              <w:top w:val="nil"/>
              <w:left w:val="nil"/>
              <w:bottom w:val="nil"/>
              <w:right w:val="nil"/>
            </w:tcBorders>
            <w:shd w:val="clear" w:color="auto" w:fill="auto"/>
            <w:noWrap/>
            <w:vAlign w:val="center"/>
            <w:hideMark/>
          </w:tcPr>
          <w:p w14:paraId="035B8C32"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6A1E113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4C6"/>
            <w:noWrap/>
            <w:vAlign w:val="center"/>
            <w:hideMark/>
          </w:tcPr>
          <w:p w14:paraId="1E88180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0.325</w:t>
            </w:r>
          </w:p>
        </w:tc>
        <w:tc>
          <w:tcPr>
            <w:tcW w:w="867" w:type="dxa"/>
            <w:tcBorders>
              <w:top w:val="nil"/>
              <w:left w:val="nil"/>
              <w:bottom w:val="nil"/>
              <w:right w:val="nil"/>
            </w:tcBorders>
            <w:shd w:val="clear" w:color="auto" w:fill="auto"/>
            <w:noWrap/>
            <w:vAlign w:val="center"/>
            <w:hideMark/>
          </w:tcPr>
          <w:p w14:paraId="660F316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6FE6A989"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7E371A55" w14:textId="77777777" w:rsidTr="00EC7A1B">
        <w:trPr>
          <w:trHeight w:val="280"/>
        </w:trPr>
        <w:tc>
          <w:tcPr>
            <w:tcW w:w="692" w:type="dxa"/>
            <w:tcBorders>
              <w:top w:val="nil"/>
              <w:left w:val="single" w:sz="8" w:space="0" w:color="auto"/>
              <w:bottom w:val="nil"/>
              <w:right w:val="nil"/>
            </w:tcBorders>
            <w:shd w:val="clear" w:color="auto" w:fill="auto"/>
            <w:noWrap/>
            <w:vAlign w:val="center"/>
            <w:hideMark/>
          </w:tcPr>
          <w:p w14:paraId="29D7916B"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10</w:t>
            </w:r>
          </w:p>
        </w:tc>
        <w:tc>
          <w:tcPr>
            <w:tcW w:w="1386" w:type="dxa"/>
            <w:tcBorders>
              <w:top w:val="nil"/>
              <w:left w:val="single" w:sz="8" w:space="0" w:color="auto"/>
              <w:bottom w:val="nil"/>
              <w:right w:val="nil"/>
            </w:tcBorders>
            <w:shd w:val="clear" w:color="000000" w:fill="F98789"/>
            <w:noWrap/>
            <w:vAlign w:val="center"/>
            <w:hideMark/>
          </w:tcPr>
          <w:p w14:paraId="4DF2849F"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0.67</w:t>
            </w:r>
          </w:p>
        </w:tc>
        <w:tc>
          <w:tcPr>
            <w:tcW w:w="718" w:type="dxa"/>
            <w:tcBorders>
              <w:top w:val="nil"/>
              <w:left w:val="nil"/>
              <w:bottom w:val="nil"/>
              <w:right w:val="nil"/>
            </w:tcBorders>
            <w:shd w:val="clear" w:color="auto" w:fill="auto"/>
            <w:noWrap/>
            <w:vAlign w:val="center"/>
            <w:hideMark/>
          </w:tcPr>
          <w:p w14:paraId="6BD69DE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nil"/>
              <w:right w:val="nil"/>
            </w:tcBorders>
            <w:shd w:val="clear" w:color="auto" w:fill="auto"/>
            <w:noWrap/>
            <w:vAlign w:val="center"/>
            <w:hideMark/>
          </w:tcPr>
          <w:p w14:paraId="237588F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nil"/>
              <w:right w:val="nil"/>
            </w:tcBorders>
            <w:shd w:val="clear" w:color="000000" w:fill="F97C7E"/>
            <w:noWrap/>
            <w:vAlign w:val="center"/>
            <w:hideMark/>
          </w:tcPr>
          <w:p w14:paraId="6F13DC3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0.73</w:t>
            </w:r>
          </w:p>
        </w:tc>
        <w:tc>
          <w:tcPr>
            <w:tcW w:w="757" w:type="dxa"/>
            <w:tcBorders>
              <w:top w:val="nil"/>
              <w:left w:val="nil"/>
              <w:bottom w:val="nil"/>
              <w:right w:val="nil"/>
            </w:tcBorders>
            <w:shd w:val="clear" w:color="auto" w:fill="auto"/>
            <w:noWrap/>
            <w:vAlign w:val="center"/>
            <w:hideMark/>
          </w:tcPr>
          <w:p w14:paraId="67F4398A"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nil"/>
              <w:right w:val="single" w:sz="8" w:space="0" w:color="auto"/>
            </w:tcBorders>
            <w:shd w:val="clear" w:color="auto" w:fill="auto"/>
            <w:noWrap/>
            <w:vAlign w:val="center"/>
            <w:hideMark/>
          </w:tcPr>
          <w:p w14:paraId="1F50643D"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nil"/>
              <w:right w:val="nil"/>
            </w:tcBorders>
            <w:shd w:val="clear" w:color="000000" w:fill="FBC9CC"/>
            <w:noWrap/>
            <w:vAlign w:val="center"/>
            <w:hideMark/>
          </w:tcPr>
          <w:p w14:paraId="6A222A5C"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0.295</w:t>
            </w:r>
          </w:p>
        </w:tc>
        <w:tc>
          <w:tcPr>
            <w:tcW w:w="867" w:type="dxa"/>
            <w:tcBorders>
              <w:top w:val="nil"/>
              <w:left w:val="nil"/>
              <w:bottom w:val="nil"/>
              <w:right w:val="nil"/>
            </w:tcBorders>
            <w:shd w:val="clear" w:color="auto" w:fill="auto"/>
            <w:noWrap/>
            <w:vAlign w:val="center"/>
            <w:hideMark/>
          </w:tcPr>
          <w:p w14:paraId="3BC0001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nil"/>
              <w:right w:val="single" w:sz="8" w:space="0" w:color="auto"/>
            </w:tcBorders>
            <w:shd w:val="clear" w:color="auto" w:fill="auto"/>
            <w:noWrap/>
            <w:vAlign w:val="center"/>
            <w:hideMark/>
          </w:tcPr>
          <w:p w14:paraId="4FD01EB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r w:rsidR="00B55D9A" w:rsidRPr="00CB7000" w14:paraId="2E1BE7DC" w14:textId="77777777" w:rsidTr="00EC7A1B">
        <w:trPr>
          <w:trHeight w:val="300"/>
        </w:trPr>
        <w:tc>
          <w:tcPr>
            <w:tcW w:w="692" w:type="dxa"/>
            <w:tcBorders>
              <w:top w:val="nil"/>
              <w:left w:val="single" w:sz="8" w:space="0" w:color="auto"/>
              <w:bottom w:val="single" w:sz="8" w:space="0" w:color="auto"/>
              <w:right w:val="nil"/>
            </w:tcBorders>
            <w:shd w:val="clear" w:color="auto" w:fill="auto"/>
            <w:noWrap/>
            <w:vAlign w:val="center"/>
            <w:hideMark/>
          </w:tcPr>
          <w:p w14:paraId="22FA368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12</w:t>
            </w:r>
          </w:p>
        </w:tc>
        <w:tc>
          <w:tcPr>
            <w:tcW w:w="1386" w:type="dxa"/>
            <w:tcBorders>
              <w:top w:val="nil"/>
              <w:left w:val="single" w:sz="8" w:space="0" w:color="auto"/>
              <w:bottom w:val="single" w:sz="8" w:space="0" w:color="auto"/>
              <w:right w:val="nil"/>
            </w:tcBorders>
            <w:shd w:val="clear" w:color="000000" w:fill="F98486"/>
            <w:noWrap/>
            <w:vAlign w:val="center"/>
            <w:hideMark/>
          </w:tcPr>
          <w:p w14:paraId="74099DA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0.685</w:t>
            </w:r>
          </w:p>
        </w:tc>
        <w:tc>
          <w:tcPr>
            <w:tcW w:w="718" w:type="dxa"/>
            <w:tcBorders>
              <w:top w:val="nil"/>
              <w:left w:val="nil"/>
              <w:bottom w:val="single" w:sz="8" w:space="0" w:color="auto"/>
              <w:right w:val="nil"/>
            </w:tcBorders>
            <w:shd w:val="clear" w:color="auto" w:fill="auto"/>
            <w:noWrap/>
            <w:vAlign w:val="center"/>
            <w:hideMark/>
          </w:tcPr>
          <w:p w14:paraId="2FF1B84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18" w:type="dxa"/>
            <w:tcBorders>
              <w:top w:val="nil"/>
              <w:left w:val="nil"/>
              <w:bottom w:val="single" w:sz="8" w:space="0" w:color="auto"/>
              <w:right w:val="nil"/>
            </w:tcBorders>
            <w:shd w:val="clear" w:color="auto" w:fill="auto"/>
            <w:noWrap/>
            <w:vAlign w:val="center"/>
            <w:hideMark/>
          </w:tcPr>
          <w:p w14:paraId="67376703"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90" w:type="dxa"/>
            <w:tcBorders>
              <w:top w:val="nil"/>
              <w:left w:val="single" w:sz="8" w:space="0" w:color="auto"/>
              <w:bottom w:val="single" w:sz="8" w:space="0" w:color="auto"/>
              <w:right w:val="nil"/>
            </w:tcBorders>
            <w:shd w:val="clear" w:color="000000" w:fill="F97B7D"/>
            <w:noWrap/>
            <w:vAlign w:val="center"/>
            <w:hideMark/>
          </w:tcPr>
          <w:p w14:paraId="5377DB85"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0.735</w:t>
            </w:r>
          </w:p>
        </w:tc>
        <w:tc>
          <w:tcPr>
            <w:tcW w:w="757" w:type="dxa"/>
            <w:tcBorders>
              <w:top w:val="nil"/>
              <w:left w:val="nil"/>
              <w:bottom w:val="single" w:sz="8" w:space="0" w:color="auto"/>
              <w:right w:val="nil"/>
            </w:tcBorders>
            <w:shd w:val="clear" w:color="auto" w:fill="auto"/>
            <w:noWrap/>
            <w:vAlign w:val="center"/>
            <w:hideMark/>
          </w:tcPr>
          <w:p w14:paraId="382D59B4"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757" w:type="dxa"/>
            <w:tcBorders>
              <w:top w:val="nil"/>
              <w:left w:val="nil"/>
              <w:bottom w:val="single" w:sz="8" w:space="0" w:color="auto"/>
              <w:right w:val="single" w:sz="8" w:space="0" w:color="auto"/>
            </w:tcBorders>
            <w:shd w:val="clear" w:color="auto" w:fill="auto"/>
            <w:noWrap/>
            <w:vAlign w:val="center"/>
            <w:hideMark/>
          </w:tcPr>
          <w:p w14:paraId="3ED726CE"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04" w:type="dxa"/>
            <w:tcBorders>
              <w:top w:val="nil"/>
              <w:left w:val="nil"/>
              <w:bottom w:val="single" w:sz="8" w:space="0" w:color="auto"/>
              <w:right w:val="nil"/>
            </w:tcBorders>
            <w:shd w:val="clear" w:color="000000" w:fill="FBC2C5"/>
            <w:noWrap/>
            <w:vAlign w:val="center"/>
            <w:hideMark/>
          </w:tcPr>
          <w:p w14:paraId="5EF89390"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0.335</w:t>
            </w:r>
          </w:p>
        </w:tc>
        <w:tc>
          <w:tcPr>
            <w:tcW w:w="867" w:type="dxa"/>
            <w:tcBorders>
              <w:top w:val="nil"/>
              <w:left w:val="nil"/>
              <w:bottom w:val="single" w:sz="8" w:space="0" w:color="auto"/>
              <w:right w:val="nil"/>
            </w:tcBorders>
            <w:shd w:val="clear" w:color="auto" w:fill="auto"/>
            <w:noWrap/>
            <w:vAlign w:val="center"/>
            <w:hideMark/>
          </w:tcPr>
          <w:p w14:paraId="0141D648"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c>
          <w:tcPr>
            <w:tcW w:w="867" w:type="dxa"/>
            <w:tcBorders>
              <w:top w:val="nil"/>
              <w:left w:val="nil"/>
              <w:bottom w:val="single" w:sz="8" w:space="0" w:color="auto"/>
              <w:right w:val="single" w:sz="8" w:space="0" w:color="auto"/>
            </w:tcBorders>
            <w:shd w:val="clear" w:color="auto" w:fill="auto"/>
            <w:noWrap/>
            <w:vAlign w:val="center"/>
            <w:hideMark/>
          </w:tcPr>
          <w:p w14:paraId="55C628E6" w14:textId="77777777" w:rsidR="00B55D9A" w:rsidRPr="00CB7000" w:rsidRDefault="00B55D9A" w:rsidP="00CB7000">
            <w:pPr>
              <w:spacing w:after="0" w:line="240" w:lineRule="auto"/>
              <w:jc w:val="center"/>
              <w:rPr>
                <w:rFonts w:ascii="Calibri" w:eastAsia="Times New Roman" w:hAnsi="Calibri" w:cs="Times New Roman"/>
                <w:color w:val="000000"/>
                <w:lang w:eastAsia="en-US"/>
              </w:rPr>
            </w:pPr>
            <w:r w:rsidRPr="00CB7000">
              <w:rPr>
                <w:rFonts w:ascii="Calibri" w:eastAsia="Times New Roman" w:hAnsi="Calibri" w:cs="Times New Roman"/>
                <w:color w:val="000000"/>
                <w:lang w:eastAsia="en-US"/>
              </w:rPr>
              <w:t>1</w:t>
            </w:r>
          </w:p>
        </w:tc>
      </w:tr>
    </w:tbl>
    <w:p w14:paraId="69375ECE" w14:textId="77777777" w:rsidR="00F424BF" w:rsidRDefault="00F424BF" w:rsidP="00744B93">
      <w:pPr>
        <w:spacing w:after="0" w:line="240" w:lineRule="auto"/>
        <w:jc w:val="both"/>
        <w:rPr>
          <w:rFonts w:ascii="Times New Roman" w:eastAsia="Times New Roman" w:hAnsi="Times New Roman" w:cs="Times New Roman"/>
          <w:sz w:val="24"/>
          <w:szCs w:val="24"/>
        </w:rPr>
      </w:pPr>
    </w:p>
    <w:p w14:paraId="0A03F020" w14:textId="541FA489" w:rsidR="00A13CBB" w:rsidRDefault="00147819"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simulation studies, two proposed </w:t>
      </w:r>
      <w:proofErr w:type="gramStart"/>
      <w:r>
        <w:rPr>
          <w:rFonts w:ascii="Times New Roman" w:eastAsia="Times New Roman" w:hAnsi="Times New Roman" w:cs="Times New Roman"/>
          <w:sz w:val="24"/>
          <w:szCs w:val="24"/>
        </w:rPr>
        <w:t>methods,</w:t>
      </w:r>
      <w:proofErr w:type="gramEnd"/>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BE0F0C">
        <w:rPr>
          <w:rFonts w:ascii="Times New Roman" w:eastAsia="Times New Roman" w:hAnsi="Times New Roman" w:cs="Times New Roman"/>
          <w:sz w:val="24"/>
          <w:szCs w:val="24"/>
        </w:rPr>
        <w:t xml:space="preserve"> and</w:t>
      </w:r>
      <w:r>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have the </w:t>
      </w:r>
      <w:r w:rsidR="0024313C">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performances</w:t>
      </w:r>
      <w:r w:rsidR="0024313C">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has slightly larger power</w:t>
      </w:r>
      <w:r>
        <w:rPr>
          <w:rFonts w:ascii="Times New Roman" w:eastAsia="Times New Roman" w:hAnsi="Times New Roman" w:cs="Times New Roman"/>
          <w:sz w:val="24"/>
          <w:szCs w:val="24"/>
        </w:rPr>
        <w:t xml:space="preserve">. </w:t>
      </w:r>
      <w:r w:rsidR="0024313C">
        <w:rPr>
          <w:rFonts w:ascii="Times New Roman" w:eastAsia="Times New Roman" w:hAnsi="Times New Roman" w:cs="Times New Roman"/>
          <w:sz w:val="24"/>
          <w:szCs w:val="24"/>
        </w:rPr>
        <w:t>Thus for the</w:t>
      </w:r>
      <w:r w:rsidR="003505BF">
        <w:rPr>
          <w:rFonts w:ascii="Times New Roman" w:eastAsia="Times New Roman" w:hAnsi="Times New Roman" w:cs="Times New Roman"/>
          <w:sz w:val="24"/>
          <w:szCs w:val="24"/>
        </w:rPr>
        <w:t xml:space="preserve"> numerical example, we use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and the corresponding </w:t>
      </w:r>
      <w:r w:rsidR="003505BF">
        <w:rPr>
          <w:rFonts w:ascii="Times New Roman" w:eastAsia="Times New Roman" w:hAnsi="Times New Roman" w:cs="Times New Roman"/>
          <w:sz w:val="24"/>
          <w:szCs w:val="24"/>
        </w:rPr>
        <w:t>simultaneous confidence intervals,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3505BF">
        <w:rPr>
          <w:rFonts w:ascii="Times New Roman" w:eastAsia="Times New Roman" w:hAnsi="Times New Roman" w:cs="Times New Roman"/>
          <w:sz w:val="24"/>
          <w:szCs w:val="24"/>
        </w:rPr>
        <w:t>) and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3505BF">
        <w:rPr>
          <w:rFonts w:ascii="Times New Roman" w:eastAsia="Times New Roman" w:hAnsi="Times New Roman" w:cs="Times New Roman"/>
          <w:sz w:val="24"/>
          <w:szCs w:val="24"/>
        </w:rPr>
        <w:t>).</w:t>
      </w:r>
      <w:r w:rsidR="00593E40">
        <w:rPr>
          <w:rFonts w:ascii="Times New Roman" w:eastAsia="Times New Roman" w:hAnsi="Times New Roman" w:cs="Times New Roman"/>
          <w:sz w:val="24"/>
          <w:szCs w:val="24"/>
        </w:rPr>
        <w:t xml:space="preserve"> Specifically, the </w:t>
      </w:r>
      <w:r w:rsidR="002254C8">
        <w:rPr>
          <w:rFonts w:ascii="Times New Roman" w:eastAsia="Times New Roman" w:hAnsi="Times New Roman" w:cs="Times New Roman"/>
          <w:sz w:val="24"/>
          <w:szCs w:val="24"/>
        </w:rPr>
        <w:t xml:space="preserve">first version of fiducial probability for rejecting the </w:t>
      </w:r>
      <w:r w:rsidR="00BD2518">
        <w:rPr>
          <w:rFonts w:ascii="Times New Roman" w:eastAsia="Times New Roman" w:hAnsi="Times New Roman" w:cs="Times New Roman"/>
          <w:sz w:val="24"/>
          <w:szCs w:val="24"/>
        </w:rPr>
        <w:t>three hypotheses is 92.7%, with</w:t>
      </w:r>
      <w:r w:rsidR="002254C8">
        <w:rPr>
          <w:rFonts w:ascii="Times New Roman" w:eastAsia="Times New Roman" w:hAnsi="Times New Roman" w:cs="Times New Roman"/>
          <w:sz w:val="24"/>
          <w:szCs w:val="24"/>
        </w:rPr>
        <w:t xml:space="preserve"> the corresponding Type I restricted simultaneous CI as (-10.116, 10.116) and Type II restricted simultaneous CI as (-10.792, 10.792).</w:t>
      </w:r>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69155A46" w:rsidR="00EB63DE" w:rsidRPr="00A13CBB"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2BAA0F20" w14:textId="77777777" w:rsidR="00FE22F3" w:rsidRPr="00A13CBB" w:rsidRDefault="00FE22F3" w:rsidP="00744B93">
      <w:pPr>
        <w:spacing w:after="0" w:line="240" w:lineRule="auto"/>
        <w:jc w:val="both"/>
        <w:rPr>
          <w:rFonts w:ascii="Times New Roman" w:eastAsia="Times New Roman" w:hAnsi="Times New Roman" w:cs="Times New Roman"/>
          <w:b/>
          <w:sz w:val="24"/>
          <w:szCs w:val="24"/>
        </w:rPr>
      </w:pPr>
    </w:p>
    <w:p w14:paraId="3612FC84" w14:textId="1C71A76D" w:rsidR="00FE22F3" w:rsidRPr="00E579CF" w:rsidRDefault="00A13CBB" w:rsidP="00744B93">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For the application of the proposed methods, required sample size</w:t>
      </w:r>
      <w:r w:rsidR="00E579CF" w:rsidRPr="00A13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ob</w:t>
      </w:r>
      <w:r w:rsidR="005001AE">
        <w:rPr>
          <w:rFonts w:ascii="Times New Roman" w:eastAsia="Times New Roman" w:hAnsi="Times New Roman" w:cs="Times New Roman"/>
          <w:sz w:val="24"/>
          <w:szCs w:val="24"/>
        </w:rPr>
        <w:t>tained by numerical simulation.</w:t>
      </w:r>
      <w:r w:rsidR="00E73463">
        <w:rPr>
          <w:rFonts w:ascii="Times New Roman" w:eastAsia="Times New Roman" w:hAnsi="Times New Roman" w:cs="Times New Roman"/>
          <w:sz w:val="24"/>
          <w:szCs w:val="24"/>
        </w:rPr>
        <w:t xml:space="preserve"> </w:t>
      </w:r>
      <w:r w:rsidR="00D8223F">
        <w:rPr>
          <w:rFonts w:ascii="Times New Roman" w:eastAsia="Times New Roman" w:hAnsi="Times New Roman" w:cs="Times New Roman"/>
          <w:sz w:val="24"/>
          <w:szCs w:val="24"/>
        </w:rPr>
        <w:t>The simulation studies showed that the proposed first version of fiducial probability</w:t>
      </w:r>
      <w:r w:rsidR="00222B69">
        <w:rPr>
          <w:rFonts w:ascii="Times New Roman" w:eastAsia="Times New Roman" w:hAnsi="Times New Roman" w:cs="Times New Roman"/>
          <w:sz w:val="24"/>
          <w:szCs w:val="24"/>
        </w:rPr>
        <w:t xml:space="preserve"> and the corresponding restricted simultaneous CIs perform well</w:t>
      </w:r>
      <w:r w:rsidR="00481ACB">
        <w:rPr>
          <w:rFonts w:ascii="Times New Roman" w:eastAsia="Times New Roman" w:hAnsi="Times New Roman" w:cs="Times New Roman"/>
          <w:sz w:val="24"/>
          <w:szCs w:val="24"/>
        </w:rPr>
        <w:t xml:space="preserve"> with larger power compared to the pairwise comparison approach</w:t>
      </w:r>
      <w:r w:rsidR="00222B69">
        <w:rPr>
          <w:rFonts w:ascii="Times New Roman" w:eastAsia="Times New Roman" w:hAnsi="Times New Roman" w:cs="Times New Roman"/>
          <w:sz w:val="24"/>
          <w:szCs w:val="24"/>
        </w:rPr>
        <w:t>.</w:t>
      </w:r>
      <w:r w:rsidR="00A24966">
        <w:rPr>
          <w:rFonts w:ascii="Times New Roman" w:eastAsia="Times New Roman" w:hAnsi="Times New Roman" w:cs="Times New Roman"/>
          <w:sz w:val="24"/>
          <w:szCs w:val="24"/>
        </w:rPr>
        <w:t xml:space="preserve"> </w:t>
      </w:r>
      <w:r w:rsidR="00222B69">
        <w:rPr>
          <w:rFonts w:ascii="Times New Roman" w:eastAsia="Times New Roman" w:hAnsi="Times New Roman" w:cs="Times New Roman"/>
          <w:sz w:val="24"/>
          <w:szCs w:val="24"/>
        </w:rPr>
        <w:t xml:space="preserve"> </w:t>
      </w: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FDA (2017).</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Guidance for Industry – Statistical Approaches to Evaluate Analytical Similarity.</w:t>
      </w:r>
      <w:proofErr w:type="gramEnd"/>
      <w:r>
        <w:rPr>
          <w:rFonts w:ascii="Times New Roman" w:eastAsia="Times New Roman" w:hAnsi="Times New Roman" w:cs="Times New Roman"/>
          <w:color w:val="000000"/>
          <w:sz w:val="24"/>
          <w:szCs w:val="24"/>
        </w:rPr>
        <w:t xml:space="preserve"> Food and Drug Administration, Silver Spring, Maryland, </w:t>
      </w:r>
      <w:proofErr w:type="gramStart"/>
      <w:r>
        <w:rPr>
          <w:rFonts w:ascii="Times New Roman" w:eastAsia="Times New Roman" w:hAnsi="Times New Roman" w:cs="Times New Roman"/>
          <w:color w:val="000000"/>
          <w:sz w:val="24"/>
          <w:szCs w:val="24"/>
        </w:rPr>
        <w:t>September,</w:t>
      </w:r>
      <w:proofErr w:type="gramEnd"/>
      <w:r>
        <w:rPr>
          <w:rFonts w:ascii="Times New Roman" w:eastAsia="Times New Roman" w:hAnsi="Times New Roman" w:cs="Times New Roman"/>
          <w:color w:val="000000"/>
          <w:sz w:val="24"/>
          <w:szCs w:val="24"/>
        </w:rPr>
        <w:t xml:space="preserve">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 xml:space="preserve">Fisher RA. </w:t>
      </w:r>
      <w:proofErr w:type="gramStart"/>
      <w:r w:rsidRPr="00552F35">
        <w:rPr>
          <w:rFonts w:ascii="Times New Roman" w:eastAsia="Times New Roman" w:hAnsi="Times New Roman" w:cs="Times New Roman"/>
          <w:color w:val="000000"/>
          <w:sz w:val="24"/>
          <w:szCs w:val="24"/>
        </w:rPr>
        <w:t>The fiducial argument in statistical inference.</w:t>
      </w:r>
      <w:proofErr w:type="gramEnd"/>
      <w:r w:rsidRPr="00552F35">
        <w:rPr>
          <w:rFonts w:ascii="Times New Roman" w:eastAsia="Times New Roman" w:hAnsi="Times New Roman" w:cs="Times New Roman"/>
          <w:color w:val="000000"/>
          <w:sz w:val="24"/>
          <w:szCs w:val="24"/>
        </w:rPr>
        <w:t xml:space="preserve"> Annals of Human Genetics 1935; 6(4)</w:t>
      </w:r>
      <w:proofErr w:type="gramStart"/>
      <w:r w:rsidRPr="00552F35">
        <w:rPr>
          <w:rFonts w:ascii="Times New Roman" w:eastAsia="Times New Roman" w:hAnsi="Times New Roman" w:cs="Times New Roman"/>
          <w:color w:val="000000"/>
          <w:sz w:val="24"/>
          <w:szCs w:val="24"/>
        </w:rPr>
        <w:t>:391</w:t>
      </w:r>
      <w:proofErr w:type="gramEnd"/>
      <w:r w:rsidRPr="00552F35">
        <w:rPr>
          <w:rFonts w:ascii="Times New Roman" w:eastAsia="Times New Roman" w:hAnsi="Times New Roman" w:cs="Times New Roman"/>
          <w:color w:val="000000"/>
          <w:sz w:val="24"/>
          <w:szCs w:val="24"/>
        </w:rPr>
        <w:t>–398.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Shein</w:t>
      </w:r>
      <w:proofErr w:type="spellEnd"/>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proofErr w:type="spellStart"/>
      <w:r w:rsidRPr="00C47F7C">
        <w:rPr>
          <w:rFonts w:ascii="Times New Roman" w:eastAsia="Times New Roman" w:hAnsi="Times New Roman" w:cs="Times New Roman"/>
          <w:color w:val="000000"/>
          <w:sz w:val="24"/>
          <w:szCs w:val="24"/>
        </w:rPr>
        <w:t>Mengdie</w:t>
      </w:r>
      <w:proofErr w:type="spellEnd"/>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69331" w14:textId="77777777" w:rsidR="00D8223F" w:rsidRDefault="00D8223F" w:rsidP="00843B89">
      <w:pPr>
        <w:spacing w:after="0" w:line="240" w:lineRule="auto"/>
      </w:pPr>
      <w:r>
        <w:separator/>
      </w:r>
    </w:p>
  </w:endnote>
  <w:endnote w:type="continuationSeparator" w:id="0">
    <w:p w14:paraId="141150A3" w14:textId="77777777" w:rsidR="00D8223F" w:rsidRDefault="00D8223F"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1692A" w14:textId="77777777" w:rsidR="00D8223F" w:rsidRDefault="00D8223F" w:rsidP="00843B89">
      <w:pPr>
        <w:spacing w:after="0" w:line="240" w:lineRule="auto"/>
      </w:pPr>
      <w:r>
        <w:separator/>
      </w:r>
    </w:p>
  </w:footnote>
  <w:footnote w:type="continuationSeparator" w:id="0">
    <w:p w14:paraId="23E1F337" w14:textId="77777777" w:rsidR="00D8223F" w:rsidRDefault="00D8223F" w:rsidP="00843B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4533"/>
    <w:rsid w:val="0000458F"/>
    <w:rsid w:val="000057C2"/>
    <w:rsid w:val="00006DDC"/>
    <w:rsid w:val="00016D7F"/>
    <w:rsid w:val="00021CBE"/>
    <w:rsid w:val="00030E10"/>
    <w:rsid w:val="000454EB"/>
    <w:rsid w:val="000504A4"/>
    <w:rsid w:val="00050941"/>
    <w:rsid w:val="00060359"/>
    <w:rsid w:val="00064FC6"/>
    <w:rsid w:val="00067FFC"/>
    <w:rsid w:val="00070099"/>
    <w:rsid w:val="00072F93"/>
    <w:rsid w:val="000740FB"/>
    <w:rsid w:val="00091732"/>
    <w:rsid w:val="00095E24"/>
    <w:rsid w:val="000A0CD5"/>
    <w:rsid w:val="000A2165"/>
    <w:rsid w:val="000A2899"/>
    <w:rsid w:val="000A317B"/>
    <w:rsid w:val="000A4908"/>
    <w:rsid w:val="000B031F"/>
    <w:rsid w:val="000B53B4"/>
    <w:rsid w:val="000B7438"/>
    <w:rsid w:val="000C50D0"/>
    <w:rsid w:val="000C643C"/>
    <w:rsid w:val="000C71B7"/>
    <w:rsid w:val="000D25A3"/>
    <w:rsid w:val="000D2D76"/>
    <w:rsid w:val="000D4DB6"/>
    <w:rsid w:val="000D77FD"/>
    <w:rsid w:val="000E23F6"/>
    <w:rsid w:val="000E5E25"/>
    <w:rsid w:val="000E6AA3"/>
    <w:rsid w:val="000F262C"/>
    <w:rsid w:val="000F35CF"/>
    <w:rsid w:val="0010128F"/>
    <w:rsid w:val="00103498"/>
    <w:rsid w:val="0010560C"/>
    <w:rsid w:val="00111E81"/>
    <w:rsid w:val="0011432A"/>
    <w:rsid w:val="00116A05"/>
    <w:rsid w:val="0012511F"/>
    <w:rsid w:val="00130D25"/>
    <w:rsid w:val="00134C7F"/>
    <w:rsid w:val="001413BD"/>
    <w:rsid w:val="00141A94"/>
    <w:rsid w:val="00144260"/>
    <w:rsid w:val="00147819"/>
    <w:rsid w:val="00152BE3"/>
    <w:rsid w:val="001548A8"/>
    <w:rsid w:val="00154DCB"/>
    <w:rsid w:val="00156200"/>
    <w:rsid w:val="0016286E"/>
    <w:rsid w:val="0016357B"/>
    <w:rsid w:val="001816CA"/>
    <w:rsid w:val="0018407A"/>
    <w:rsid w:val="001860B8"/>
    <w:rsid w:val="00196539"/>
    <w:rsid w:val="001A35EE"/>
    <w:rsid w:val="001A5338"/>
    <w:rsid w:val="001A546B"/>
    <w:rsid w:val="001B0842"/>
    <w:rsid w:val="001B247A"/>
    <w:rsid w:val="001C63FF"/>
    <w:rsid w:val="001C7536"/>
    <w:rsid w:val="001D2FA3"/>
    <w:rsid w:val="001D399C"/>
    <w:rsid w:val="001D64F0"/>
    <w:rsid w:val="001E7172"/>
    <w:rsid w:val="001F2663"/>
    <w:rsid w:val="002026AC"/>
    <w:rsid w:val="00206D12"/>
    <w:rsid w:val="0021021F"/>
    <w:rsid w:val="00215DFE"/>
    <w:rsid w:val="002166CC"/>
    <w:rsid w:val="002213EB"/>
    <w:rsid w:val="00221D4C"/>
    <w:rsid w:val="00222311"/>
    <w:rsid w:val="00222B69"/>
    <w:rsid w:val="00224CF9"/>
    <w:rsid w:val="002254C8"/>
    <w:rsid w:val="0023026D"/>
    <w:rsid w:val="00235617"/>
    <w:rsid w:val="00240E0D"/>
    <w:rsid w:val="00242A00"/>
    <w:rsid w:val="0024313C"/>
    <w:rsid w:val="002458D6"/>
    <w:rsid w:val="002539F4"/>
    <w:rsid w:val="00253F5D"/>
    <w:rsid w:val="0025446D"/>
    <w:rsid w:val="0025737E"/>
    <w:rsid w:val="00257F3E"/>
    <w:rsid w:val="00263130"/>
    <w:rsid w:val="00273E74"/>
    <w:rsid w:val="00280023"/>
    <w:rsid w:val="0028299F"/>
    <w:rsid w:val="00284081"/>
    <w:rsid w:val="00287CB2"/>
    <w:rsid w:val="00287D0C"/>
    <w:rsid w:val="00297E65"/>
    <w:rsid w:val="002A2972"/>
    <w:rsid w:val="002B4903"/>
    <w:rsid w:val="002B716C"/>
    <w:rsid w:val="002C231D"/>
    <w:rsid w:val="002C2A60"/>
    <w:rsid w:val="002C4CC1"/>
    <w:rsid w:val="002D3100"/>
    <w:rsid w:val="002E0E3C"/>
    <w:rsid w:val="002E1F26"/>
    <w:rsid w:val="002E22BB"/>
    <w:rsid w:val="002F078D"/>
    <w:rsid w:val="002F07C7"/>
    <w:rsid w:val="002F1134"/>
    <w:rsid w:val="002F1D85"/>
    <w:rsid w:val="002F5B2D"/>
    <w:rsid w:val="00300372"/>
    <w:rsid w:val="00302DDA"/>
    <w:rsid w:val="00322CB7"/>
    <w:rsid w:val="00325C18"/>
    <w:rsid w:val="00326DF1"/>
    <w:rsid w:val="00340287"/>
    <w:rsid w:val="00342B99"/>
    <w:rsid w:val="00345014"/>
    <w:rsid w:val="003505BF"/>
    <w:rsid w:val="003521F7"/>
    <w:rsid w:val="00355694"/>
    <w:rsid w:val="003620A8"/>
    <w:rsid w:val="0036406A"/>
    <w:rsid w:val="00370E2E"/>
    <w:rsid w:val="0037144D"/>
    <w:rsid w:val="003735D2"/>
    <w:rsid w:val="00374ACF"/>
    <w:rsid w:val="00374D4B"/>
    <w:rsid w:val="003776B8"/>
    <w:rsid w:val="00380A0D"/>
    <w:rsid w:val="0038568B"/>
    <w:rsid w:val="00386171"/>
    <w:rsid w:val="00393681"/>
    <w:rsid w:val="00395983"/>
    <w:rsid w:val="003A1F6F"/>
    <w:rsid w:val="003A3E0B"/>
    <w:rsid w:val="003A7D8D"/>
    <w:rsid w:val="003B34AA"/>
    <w:rsid w:val="003B5370"/>
    <w:rsid w:val="003B6BE9"/>
    <w:rsid w:val="003C09AE"/>
    <w:rsid w:val="003C1CA8"/>
    <w:rsid w:val="003C31C0"/>
    <w:rsid w:val="003C43E6"/>
    <w:rsid w:val="003C4FB5"/>
    <w:rsid w:val="003C59D1"/>
    <w:rsid w:val="003C68F2"/>
    <w:rsid w:val="003D06CE"/>
    <w:rsid w:val="003D1F32"/>
    <w:rsid w:val="003D5133"/>
    <w:rsid w:val="003D6523"/>
    <w:rsid w:val="003D6935"/>
    <w:rsid w:val="003E2791"/>
    <w:rsid w:val="003E4887"/>
    <w:rsid w:val="003F0D74"/>
    <w:rsid w:val="003F40D6"/>
    <w:rsid w:val="003F6282"/>
    <w:rsid w:val="003F62B3"/>
    <w:rsid w:val="003F68A3"/>
    <w:rsid w:val="00402B25"/>
    <w:rsid w:val="004058CE"/>
    <w:rsid w:val="00407799"/>
    <w:rsid w:val="00421DA4"/>
    <w:rsid w:val="004227D9"/>
    <w:rsid w:val="004257B4"/>
    <w:rsid w:val="00425881"/>
    <w:rsid w:val="00427B97"/>
    <w:rsid w:val="00431B72"/>
    <w:rsid w:val="00435461"/>
    <w:rsid w:val="0043569C"/>
    <w:rsid w:val="004379C7"/>
    <w:rsid w:val="00442DE1"/>
    <w:rsid w:val="00444CD2"/>
    <w:rsid w:val="0044612E"/>
    <w:rsid w:val="0044697F"/>
    <w:rsid w:val="00447236"/>
    <w:rsid w:val="00452281"/>
    <w:rsid w:val="00461C19"/>
    <w:rsid w:val="00462431"/>
    <w:rsid w:val="00465A94"/>
    <w:rsid w:val="00465B38"/>
    <w:rsid w:val="00474E78"/>
    <w:rsid w:val="00476D4B"/>
    <w:rsid w:val="004772D0"/>
    <w:rsid w:val="00481ACB"/>
    <w:rsid w:val="004824BC"/>
    <w:rsid w:val="00482BFD"/>
    <w:rsid w:val="00482D8A"/>
    <w:rsid w:val="004842CE"/>
    <w:rsid w:val="004A0E40"/>
    <w:rsid w:val="004A3769"/>
    <w:rsid w:val="004C0D06"/>
    <w:rsid w:val="004C3E9D"/>
    <w:rsid w:val="004C45FC"/>
    <w:rsid w:val="004D145E"/>
    <w:rsid w:val="004D1BEA"/>
    <w:rsid w:val="004D34CB"/>
    <w:rsid w:val="004D50A6"/>
    <w:rsid w:val="004D5676"/>
    <w:rsid w:val="004E0CD5"/>
    <w:rsid w:val="004E3A46"/>
    <w:rsid w:val="004E575F"/>
    <w:rsid w:val="004F0DBA"/>
    <w:rsid w:val="004F2CD9"/>
    <w:rsid w:val="005001AE"/>
    <w:rsid w:val="005056CD"/>
    <w:rsid w:val="00506CD7"/>
    <w:rsid w:val="00511A43"/>
    <w:rsid w:val="005205DE"/>
    <w:rsid w:val="0052226F"/>
    <w:rsid w:val="005256DF"/>
    <w:rsid w:val="00525844"/>
    <w:rsid w:val="0053038F"/>
    <w:rsid w:val="005304D0"/>
    <w:rsid w:val="005319DB"/>
    <w:rsid w:val="00537B31"/>
    <w:rsid w:val="00540CE8"/>
    <w:rsid w:val="00541F52"/>
    <w:rsid w:val="0054514D"/>
    <w:rsid w:val="00545983"/>
    <w:rsid w:val="00552F35"/>
    <w:rsid w:val="00555F41"/>
    <w:rsid w:val="005570F6"/>
    <w:rsid w:val="00557DE5"/>
    <w:rsid w:val="00560CE0"/>
    <w:rsid w:val="00562CAB"/>
    <w:rsid w:val="00564CE4"/>
    <w:rsid w:val="00565A3F"/>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E0888"/>
    <w:rsid w:val="005E0F3D"/>
    <w:rsid w:val="005E21EB"/>
    <w:rsid w:val="005E2C6A"/>
    <w:rsid w:val="005E4496"/>
    <w:rsid w:val="005E599A"/>
    <w:rsid w:val="005F24B8"/>
    <w:rsid w:val="005F7863"/>
    <w:rsid w:val="00600003"/>
    <w:rsid w:val="00606EE5"/>
    <w:rsid w:val="006120F7"/>
    <w:rsid w:val="00612EED"/>
    <w:rsid w:val="006223F5"/>
    <w:rsid w:val="00626389"/>
    <w:rsid w:val="00631DA7"/>
    <w:rsid w:val="00646890"/>
    <w:rsid w:val="00652A89"/>
    <w:rsid w:val="00652E9A"/>
    <w:rsid w:val="00654F36"/>
    <w:rsid w:val="00655EB4"/>
    <w:rsid w:val="00660579"/>
    <w:rsid w:val="00661A2D"/>
    <w:rsid w:val="00664533"/>
    <w:rsid w:val="0067406A"/>
    <w:rsid w:val="0067411A"/>
    <w:rsid w:val="006741AA"/>
    <w:rsid w:val="006746EC"/>
    <w:rsid w:val="00674D79"/>
    <w:rsid w:val="006754DF"/>
    <w:rsid w:val="0067620A"/>
    <w:rsid w:val="00682156"/>
    <w:rsid w:val="006824FB"/>
    <w:rsid w:val="00685796"/>
    <w:rsid w:val="00685E20"/>
    <w:rsid w:val="00693CEB"/>
    <w:rsid w:val="006968A7"/>
    <w:rsid w:val="00696C9D"/>
    <w:rsid w:val="006A161A"/>
    <w:rsid w:val="006A20B2"/>
    <w:rsid w:val="006A654F"/>
    <w:rsid w:val="006A7DB4"/>
    <w:rsid w:val="006B5DCC"/>
    <w:rsid w:val="006C5115"/>
    <w:rsid w:val="006C5349"/>
    <w:rsid w:val="006D08B8"/>
    <w:rsid w:val="006D1C79"/>
    <w:rsid w:val="006D28AE"/>
    <w:rsid w:val="006D4705"/>
    <w:rsid w:val="006E1A99"/>
    <w:rsid w:val="006E3CBF"/>
    <w:rsid w:val="006E5AB1"/>
    <w:rsid w:val="006E64EA"/>
    <w:rsid w:val="006F1310"/>
    <w:rsid w:val="006F1582"/>
    <w:rsid w:val="006F235E"/>
    <w:rsid w:val="006F5BA5"/>
    <w:rsid w:val="006F77C4"/>
    <w:rsid w:val="0070470B"/>
    <w:rsid w:val="007055C4"/>
    <w:rsid w:val="00716997"/>
    <w:rsid w:val="00716BD0"/>
    <w:rsid w:val="007176D4"/>
    <w:rsid w:val="00717C41"/>
    <w:rsid w:val="00724217"/>
    <w:rsid w:val="00724682"/>
    <w:rsid w:val="00725707"/>
    <w:rsid w:val="00735D59"/>
    <w:rsid w:val="00736702"/>
    <w:rsid w:val="00737331"/>
    <w:rsid w:val="00737864"/>
    <w:rsid w:val="0073789B"/>
    <w:rsid w:val="00743072"/>
    <w:rsid w:val="00744491"/>
    <w:rsid w:val="00744B93"/>
    <w:rsid w:val="007473AD"/>
    <w:rsid w:val="00754603"/>
    <w:rsid w:val="007547FC"/>
    <w:rsid w:val="00757542"/>
    <w:rsid w:val="00757657"/>
    <w:rsid w:val="00762378"/>
    <w:rsid w:val="00763F09"/>
    <w:rsid w:val="007649E9"/>
    <w:rsid w:val="0076764C"/>
    <w:rsid w:val="0077020F"/>
    <w:rsid w:val="00776D3D"/>
    <w:rsid w:val="00784F47"/>
    <w:rsid w:val="00786203"/>
    <w:rsid w:val="00795A5E"/>
    <w:rsid w:val="007979A5"/>
    <w:rsid w:val="007A1618"/>
    <w:rsid w:val="007A2F10"/>
    <w:rsid w:val="007A31FC"/>
    <w:rsid w:val="007B1F30"/>
    <w:rsid w:val="007B3C71"/>
    <w:rsid w:val="007B62CD"/>
    <w:rsid w:val="007C30E6"/>
    <w:rsid w:val="007C749D"/>
    <w:rsid w:val="007C7B1E"/>
    <w:rsid w:val="007D1A46"/>
    <w:rsid w:val="007D3DE4"/>
    <w:rsid w:val="007D47C4"/>
    <w:rsid w:val="007D5B4B"/>
    <w:rsid w:val="007E620A"/>
    <w:rsid w:val="007F1817"/>
    <w:rsid w:val="007F35CB"/>
    <w:rsid w:val="007F52AC"/>
    <w:rsid w:val="008002EF"/>
    <w:rsid w:val="00807DB6"/>
    <w:rsid w:val="00807E82"/>
    <w:rsid w:val="00810B62"/>
    <w:rsid w:val="00826A66"/>
    <w:rsid w:val="00826B42"/>
    <w:rsid w:val="0083233F"/>
    <w:rsid w:val="008352E0"/>
    <w:rsid w:val="008373CF"/>
    <w:rsid w:val="00840961"/>
    <w:rsid w:val="00841BBB"/>
    <w:rsid w:val="00842A56"/>
    <w:rsid w:val="00843190"/>
    <w:rsid w:val="00843B89"/>
    <w:rsid w:val="00845D46"/>
    <w:rsid w:val="00850347"/>
    <w:rsid w:val="008520ED"/>
    <w:rsid w:val="00856DBC"/>
    <w:rsid w:val="00857BA6"/>
    <w:rsid w:val="00871DE8"/>
    <w:rsid w:val="008724BB"/>
    <w:rsid w:val="008832F4"/>
    <w:rsid w:val="00891453"/>
    <w:rsid w:val="00891EBA"/>
    <w:rsid w:val="00894C70"/>
    <w:rsid w:val="00896291"/>
    <w:rsid w:val="00897DB8"/>
    <w:rsid w:val="008A4915"/>
    <w:rsid w:val="008A4E44"/>
    <w:rsid w:val="008A547B"/>
    <w:rsid w:val="008A6EDA"/>
    <w:rsid w:val="008B08EE"/>
    <w:rsid w:val="008B51AE"/>
    <w:rsid w:val="008C1639"/>
    <w:rsid w:val="008C5D7B"/>
    <w:rsid w:val="008D132B"/>
    <w:rsid w:val="008D6D58"/>
    <w:rsid w:val="008F1731"/>
    <w:rsid w:val="008F5E9F"/>
    <w:rsid w:val="00902BFB"/>
    <w:rsid w:val="0092359A"/>
    <w:rsid w:val="00926ECD"/>
    <w:rsid w:val="00927D64"/>
    <w:rsid w:val="00930102"/>
    <w:rsid w:val="00932A85"/>
    <w:rsid w:val="009368AB"/>
    <w:rsid w:val="00943681"/>
    <w:rsid w:val="0094596B"/>
    <w:rsid w:val="00946AAE"/>
    <w:rsid w:val="00947D78"/>
    <w:rsid w:val="0095157F"/>
    <w:rsid w:val="00955803"/>
    <w:rsid w:val="009572B5"/>
    <w:rsid w:val="009601CC"/>
    <w:rsid w:val="0096023D"/>
    <w:rsid w:val="00961CC2"/>
    <w:rsid w:val="00962B63"/>
    <w:rsid w:val="00971CAD"/>
    <w:rsid w:val="00973598"/>
    <w:rsid w:val="0097457B"/>
    <w:rsid w:val="00974CDC"/>
    <w:rsid w:val="00983D32"/>
    <w:rsid w:val="00984D34"/>
    <w:rsid w:val="009934DB"/>
    <w:rsid w:val="00994725"/>
    <w:rsid w:val="009A5B81"/>
    <w:rsid w:val="009A7F6A"/>
    <w:rsid w:val="009B2EF2"/>
    <w:rsid w:val="009C0E7C"/>
    <w:rsid w:val="009C6492"/>
    <w:rsid w:val="009D57BF"/>
    <w:rsid w:val="009D7B28"/>
    <w:rsid w:val="009E2C8D"/>
    <w:rsid w:val="009E3854"/>
    <w:rsid w:val="009E738F"/>
    <w:rsid w:val="009E76BA"/>
    <w:rsid w:val="009F1B40"/>
    <w:rsid w:val="009F2691"/>
    <w:rsid w:val="00A008A4"/>
    <w:rsid w:val="00A0104C"/>
    <w:rsid w:val="00A018B9"/>
    <w:rsid w:val="00A01A7A"/>
    <w:rsid w:val="00A0324C"/>
    <w:rsid w:val="00A10908"/>
    <w:rsid w:val="00A12541"/>
    <w:rsid w:val="00A13B55"/>
    <w:rsid w:val="00A13CBB"/>
    <w:rsid w:val="00A1539D"/>
    <w:rsid w:val="00A22C9A"/>
    <w:rsid w:val="00A24966"/>
    <w:rsid w:val="00A269F3"/>
    <w:rsid w:val="00A30AF9"/>
    <w:rsid w:val="00A3244D"/>
    <w:rsid w:val="00A333A6"/>
    <w:rsid w:val="00A33C82"/>
    <w:rsid w:val="00A449E0"/>
    <w:rsid w:val="00A51778"/>
    <w:rsid w:val="00A53B7B"/>
    <w:rsid w:val="00A64250"/>
    <w:rsid w:val="00A67D8D"/>
    <w:rsid w:val="00A705E7"/>
    <w:rsid w:val="00A7542A"/>
    <w:rsid w:val="00A816E6"/>
    <w:rsid w:val="00A82808"/>
    <w:rsid w:val="00A839BC"/>
    <w:rsid w:val="00A85184"/>
    <w:rsid w:val="00A875BC"/>
    <w:rsid w:val="00AA0C45"/>
    <w:rsid w:val="00AA1C05"/>
    <w:rsid w:val="00AA3ADF"/>
    <w:rsid w:val="00AA53F2"/>
    <w:rsid w:val="00AA60C2"/>
    <w:rsid w:val="00AB27CB"/>
    <w:rsid w:val="00AB4D06"/>
    <w:rsid w:val="00AC14C7"/>
    <w:rsid w:val="00AD12BD"/>
    <w:rsid w:val="00AE3A1F"/>
    <w:rsid w:val="00AE4CB7"/>
    <w:rsid w:val="00AE5A13"/>
    <w:rsid w:val="00AE680F"/>
    <w:rsid w:val="00AF0A24"/>
    <w:rsid w:val="00AF1A77"/>
    <w:rsid w:val="00AF50BE"/>
    <w:rsid w:val="00B005FF"/>
    <w:rsid w:val="00B02D8D"/>
    <w:rsid w:val="00B02E69"/>
    <w:rsid w:val="00B06922"/>
    <w:rsid w:val="00B10213"/>
    <w:rsid w:val="00B10807"/>
    <w:rsid w:val="00B12875"/>
    <w:rsid w:val="00B16C3F"/>
    <w:rsid w:val="00B171C0"/>
    <w:rsid w:val="00B17538"/>
    <w:rsid w:val="00B21952"/>
    <w:rsid w:val="00B219C1"/>
    <w:rsid w:val="00B23905"/>
    <w:rsid w:val="00B268C9"/>
    <w:rsid w:val="00B27BCE"/>
    <w:rsid w:val="00B338CA"/>
    <w:rsid w:val="00B371D0"/>
    <w:rsid w:val="00B4044E"/>
    <w:rsid w:val="00B42BD6"/>
    <w:rsid w:val="00B434C0"/>
    <w:rsid w:val="00B45972"/>
    <w:rsid w:val="00B45D82"/>
    <w:rsid w:val="00B46A03"/>
    <w:rsid w:val="00B47136"/>
    <w:rsid w:val="00B47BBB"/>
    <w:rsid w:val="00B517E2"/>
    <w:rsid w:val="00B51FC2"/>
    <w:rsid w:val="00B55D9A"/>
    <w:rsid w:val="00B65DFB"/>
    <w:rsid w:val="00B66B47"/>
    <w:rsid w:val="00B6711B"/>
    <w:rsid w:val="00B723C2"/>
    <w:rsid w:val="00B745EB"/>
    <w:rsid w:val="00B76CBA"/>
    <w:rsid w:val="00B77970"/>
    <w:rsid w:val="00B822FF"/>
    <w:rsid w:val="00B8300E"/>
    <w:rsid w:val="00B84784"/>
    <w:rsid w:val="00B8699F"/>
    <w:rsid w:val="00B869FF"/>
    <w:rsid w:val="00B940D0"/>
    <w:rsid w:val="00B96934"/>
    <w:rsid w:val="00B96A63"/>
    <w:rsid w:val="00BA448C"/>
    <w:rsid w:val="00BA6B7C"/>
    <w:rsid w:val="00BB2B43"/>
    <w:rsid w:val="00BB4EDD"/>
    <w:rsid w:val="00BC0D04"/>
    <w:rsid w:val="00BC22D5"/>
    <w:rsid w:val="00BC5A0A"/>
    <w:rsid w:val="00BC726A"/>
    <w:rsid w:val="00BC7FC7"/>
    <w:rsid w:val="00BD2518"/>
    <w:rsid w:val="00BD2D71"/>
    <w:rsid w:val="00BD32A4"/>
    <w:rsid w:val="00BE0F0C"/>
    <w:rsid w:val="00BE160D"/>
    <w:rsid w:val="00BE5334"/>
    <w:rsid w:val="00BE6773"/>
    <w:rsid w:val="00BE689E"/>
    <w:rsid w:val="00BF54CA"/>
    <w:rsid w:val="00BF57CF"/>
    <w:rsid w:val="00BF5ECA"/>
    <w:rsid w:val="00BF6AE7"/>
    <w:rsid w:val="00C0766F"/>
    <w:rsid w:val="00C112C1"/>
    <w:rsid w:val="00C12073"/>
    <w:rsid w:val="00C1485D"/>
    <w:rsid w:val="00C161DF"/>
    <w:rsid w:val="00C17E25"/>
    <w:rsid w:val="00C210EE"/>
    <w:rsid w:val="00C221E2"/>
    <w:rsid w:val="00C24A20"/>
    <w:rsid w:val="00C25FEA"/>
    <w:rsid w:val="00C31689"/>
    <w:rsid w:val="00C3195D"/>
    <w:rsid w:val="00C3649A"/>
    <w:rsid w:val="00C37315"/>
    <w:rsid w:val="00C373FA"/>
    <w:rsid w:val="00C46F2C"/>
    <w:rsid w:val="00C47F7C"/>
    <w:rsid w:val="00C53EC9"/>
    <w:rsid w:val="00C71F55"/>
    <w:rsid w:val="00C736E7"/>
    <w:rsid w:val="00C74355"/>
    <w:rsid w:val="00C75CD7"/>
    <w:rsid w:val="00C80443"/>
    <w:rsid w:val="00C82D24"/>
    <w:rsid w:val="00C85D62"/>
    <w:rsid w:val="00C91557"/>
    <w:rsid w:val="00C935F1"/>
    <w:rsid w:val="00CA0F7F"/>
    <w:rsid w:val="00CA1B77"/>
    <w:rsid w:val="00CA210B"/>
    <w:rsid w:val="00CB5B7B"/>
    <w:rsid w:val="00CB7000"/>
    <w:rsid w:val="00CC2000"/>
    <w:rsid w:val="00CC5AC3"/>
    <w:rsid w:val="00CC62AB"/>
    <w:rsid w:val="00CC6A7D"/>
    <w:rsid w:val="00CD3A2C"/>
    <w:rsid w:val="00CE3436"/>
    <w:rsid w:val="00CE4955"/>
    <w:rsid w:val="00CF6DA0"/>
    <w:rsid w:val="00CF7247"/>
    <w:rsid w:val="00D05D46"/>
    <w:rsid w:val="00D070A6"/>
    <w:rsid w:val="00D227C4"/>
    <w:rsid w:val="00D25AC6"/>
    <w:rsid w:val="00D26C4A"/>
    <w:rsid w:val="00D31715"/>
    <w:rsid w:val="00D31AE5"/>
    <w:rsid w:val="00D36574"/>
    <w:rsid w:val="00D37E6F"/>
    <w:rsid w:val="00D41859"/>
    <w:rsid w:val="00D443AC"/>
    <w:rsid w:val="00D44934"/>
    <w:rsid w:val="00D465D6"/>
    <w:rsid w:val="00D53CFE"/>
    <w:rsid w:val="00D604A5"/>
    <w:rsid w:val="00D60E77"/>
    <w:rsid w:val="00D61CE9"/>
    <w:rsid w:val="00D6702C"/>
    <w:rsid w:val="00D67FA4"/>
    <w:rsid w:val="00D70D32"/>
    <w:rsid w:val="00D72471"/>
    <w:rsid w:val="00D74CA5"/>
    <w:rsid w:val="00D75017"/>
    <w:rsid w:val="00D8223F"/>
    <w:rsid w:val="00D8767E"/>
    <w:rsid w:val="00D91F4A"/>
    <w:rsid w:val="00D94B9F"/>
    <w:rsid w:val="00D95548"/>
    <w:rsid w:val="00DA0383"/>
    <w:rsid w:val="00DA0639"/>
    <w:rsid w:val="00DA24C2"/>
    <w:rsid w:val="00DA4D00"/>
    <w:rsid w:val="00DA5646"/>
    <w:rsid w:val="00DA7937"/>
    <w:rsid w:val="00DB178D"/>
    <w:rsid w:val="00DB37D1"/>
    <w:rsid w:val="00DB4E66"/>
    <w:rsid w:val="00DC0978"/>
    <w:rsid w:val="00DC283D"/>
    <w:rsid w:val="00DC3EDD"/>
    <w:rsid w:val="00DD00BD"/>
    <w:rsid w:val="00DD13E7"/>
    <w:rsid w:val="00DE1D43"/>
    <w:rsid w:val="00DE1E6E"/>
    <w:rsid w:val="00DE50EA"/>
    <w:rsid w:val="00DE50EC"/>
    <w:rsid w:val="00DE7FDD"/>
    <w:rsid w:val="00DF3E76"/>
    <w:rsid w:val="00E01570"/>
    <w:rsid w:val="00E0283E"/>
    <w:rsid w:val="00E050F8"/>
    <w:rsid w:val="00E07146"/>
    <w:rsid w:val="00E21F35"/>
    <w:rsid w:val="00E22A97"/>
    <w:rsid w:val="00E31F50"/>
    <w:rsid w:val="00E4019E"/>
    <w:rsid w:val="00E45C74"/>
    <w:rsid w:val="00E55FAC"/>
    <w:rsid w:val="00E57520"/>
    <w:rsid w:val="00E579CF"/>
    <w:rsid w:val="00E6152A"/>
    <w:rsid w:val="00E63776"/>
    <w:rsid w:val="00E66326"/>
    <w:rsid w:val="00E73463"/>
    <w:rsid w:val="00E75061"/>
    <w:rsid w:val="00E80451"/>
    <w:rsid w:val="00E80906"/>
    <w:rsid w:val="00E82D53"/>
    <w:rsid w:val="00E8555A"/>
    <w:rsid w:val="00E92142"/>
    <w:rsid w:val="00EA0BBD"/>
    <w:rsid w:val="00EB47A0"/>
    <w:rsid w:val="00EB63DE"/>
    <w:rsid w:val="00EC0345"/>
    <w:rsid w:val="00EC6BE9"/>
    <w:rsid w:val="00EC70EB"/>
    <w:rsid w:val="00EC7A1B"/>
    <w:rsid w:val="00ED00C5"/>
    <w:rsid w:val="00ED00DB"/>
    <w:rsid w:val="00ED3B82"/>
    <w:rsid w:val="00ED4E22"/>
    <w:rsid w:val="00ED64E0"/>
    <w:rsid w:val="00ED71B7"/>
    <w:rsid w:val="00EE130A"/>
    <w:rsid w:val="00EE3849"/>
    <w:rsid w:val="00EE632A"/>
    <w:rsid w:val="00EF05F9"/>
    <w:rsid w:val="00EF479E"/>
    <w:rsid w:val="00EF795D"/>
    <w:rsid w:val="00F219F5"/>
    <w:rsid w:val="00F24998"/>
    <w:rsid w:val="00F2616D"/>
    <w:rsid w:val="00F273E1"/>
    <w:rsid w:val="00F338FD"/>
    <w:rsid w:val="00F34288"/>
    <w:rsid w:val="00F424BF"/>
    <w:rsid w:val="00F44310"/>
    <w:rsid w:val="00F5140A"/>
    <w:rsid w:val="00F61BE5"/>
    <w:rsid w:val="00F6264A"/>
    <w:rsid w:val="00F65716"/>
    <w:rsid w:val="00F6671D"/>
    <w:rsid w:val="00F67590"/>
    <w:rsid w:val="00F70E13"/>
    <w:rsid w:val="00F71A52"/>
    <w:rsid w:val="00F72314"/>
    <w:rsid w:val="00F72578"/>
    <w:rsid w:val="00F75722"/>
    <w:rsid w:val="00F90A78"/>
    <w:rsid w:val="00F92E6C"/>
    <w:rsid w:val="00F94E3A"/>
    <w:rsid w:val="00F953C4"/>
    <w:rsid w:val="00F97066"/>
    <w:rsid w:val="00F97BA6"/>
    <w:rsid w:val="00FA0759"/>
    <w:rsid w:val="00FB64CB"/>
    <w:rsid w:val="00FC0914"/>
    <w:rsid w:val="00FC573A"/>
    <w:rsid w:val="00FD55EB"/>
    <w:rsid w:val="00FE0409"/>
    <w:rsid w:val="00FE22F3"/>
    <w:rsid w:val="00FE4D1E"/>
    <w:rsid w:val="00FF389C"/>
    <w:rsid w:val="00FF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70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3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148D1-C048-4545-BBBF-D2098620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7193</Words>
  <Characters>41006</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48103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Jiayin Zheng</cp:lastModifiedBy>
  <cp:revision>48</cp:revision>
  <dcterms:created xsi:type="dcterms:W3CDTF">2018-04-01T18:47:00Z</dcterms:created>
  <dcterms:modified xsi:type="dcterms:W3CDTF">2018-04-02T03:22:00Z</dcterms:modified>
</cp:coreProperties>
</file>