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Discussion on live translation and AI note generation</w:t>
      </w:r>
    </w:p>
    <w:p>
      <w:pPr>
        <w:spacing w:after="20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3/4/2026, 11:18:15 PM</w:t>
      </w:r>
    </w:p>
    <w:p>
      <w:pPr>
        <w:pBdr>
          <w:bottom w:val="single" w:color="CCCCCC" w:sz="6"/>
        </w:pBdr>
        <w:spacing w:after="300"/>
      </w:pP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Overview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meeting opened with a check on whether the laptop screen was properly displaying the meeting interface, prompting broader discussion on visibility and setup reliability.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participant confirmed the laptop display was working, which led into examples of prior demos involving multilingual audiences.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team reflected on a demo context where Vietnamese and English were spoken interchangeably, and a direct on-screen translation removed the need for a human interpreter, which attendees appreciated.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There was an exploration of how real-time translation handles accents and mixed-language turns, acknowledging practical complexities in multilingual sessions.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Accuracy was discussed with the observation that mistakes tend to be limited to a few words and improve daily, similar to chat interactions where minor errors are tolerated.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AI capabilities beyond translation were highlighted, including segmenting content, orienting roles, and generating meeting notes for downstream use.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Laptop display and meeting visibility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participant asked whether the laptop screen at that moment still showed the meeting interface, raising concerns about real-time visibility during sessions.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It was asked if the meeting actually appears on the screen or if it is considered low priority and therefore not given attention.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Another participant confirmed the laptop screen does show the meeting, alleviating the immediate concern about display readiness.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Multilingual demo and on-screen translation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discussion moved to a scenario where Vietnamese and English were used interchangeably during a demo, illustrating a real-world multilingual environment.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team noted that direct translation was shown on a large screen so that when a Vietnamese speaker talked, the audience could immediately see the translated content without needing a human interpreter, which was well received.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Interpreting vs. direct translation and accent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One participant mentioned the idea of arranging separate interpreting, implying a full-service translation setup as an alternative to automated solutions. 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It was observed that accent variability is not necessarily a problem, as some accents are easier for the system to handle, reducing the need for manual intervention.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Complexity of mixed-language turns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group acknowledged that at times the spoken content is not in English and can become muddled across languages, reflecting the messy reality of multilingual interactions.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Accuracy, error patterns, and improvement trajectory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participant compared translation accuracy to everyday chat: occasional mistakes happen, typically just one or two words, and the system improves daily, making errors less consequential over time.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AI-driven structuring and note generation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It was noted that AI is used to further process the session: segmenting content, orienting roles or sections, and then generating notes; the generated notes were described as serving downstream needs (referenced as “Samurai”).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Access and 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question was raised about whether someone was able to join successfully, highlighting participation and access as practical concerns during live sessions.</w:t>
      </w:r>
    </w:p>
    <w:p>
      <w:pPr>
        <w:spacing w:after="120"/>
      </w:pP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Closing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There was no explicit resolution on access/joining status, leaving a minor open item regarding participation logistics for future sessions.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Discussion on live translation and AI note generation</dc:title>
  <dc:creator>Doraverse Meeting Notes</dc:creator>
  <cp:lastModifiedBy>Un-named</cp:lastModifiedBy>
  <cp:revision>1</cp:revision>
  <dcterms:created xsi:type="dcterms:W3CDTF">2026-03-17T10:06:19.055Z</dcterms:created>
  <dcterms:modified xsi:type="dcterms:W3CDTF">2026-03-17T10:06:19.055Z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