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 xml:space="preserve">Đầu việc B01: Phân tích dữ liệu nghiên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6978"/>
      </w:tblGrid>
      <w:tr>
        <w:trPr>
          <w:tblHeader/>
        </w:trPr>
        <w:tc>
          <w:tcPr>
            <w:tcW w:type="dxa" w:w="20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697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B – Phân tích &amp; xác định yêu cầu</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B01 – 06/10/2026 (21:00 giờ Việt Nam)</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Thống kê có mẫu số; nhóm chủ đề; trích dẫn; nhu cầu và tiêu chí chọn nơi nghỉ</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v1.4 – 11/10/2026 – hộp minh bạch dữ liệu; trỏ tới B02 (hành trình lưu trú) và A08 – Người cập nhật: Đỗ Duy Quân – Người rà soát: ……………… – Kết luận duyệt: ☐ Đạt  ☐ Đạt có điều kiện  ☐ Chưa đạt</w:t>
            </w:r>
          </w:p>
        </w:tc>
      </w:tr>
    </w:tbl>
    <w:p>
      <w:pPr>
        <w:spacing w:after="120"/>
      </w:pP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LƯU Ý PHÂN LOẠI DỮ LIỆU: toàn bộ dữ liệu phân tích trong B01 là DỮ LIỆU THỨ CẤP (khảo sát đã công bố, số liệu hành chính, ca báo chí). Khảo sát và phỏng vấn sơ cấp chưa thực hiện; khi có, kết quả sơ cấp sẽ được trình bày ở mục riêng, ghi rõ các điểm trái chiều với kết luận dưới đây. Trọng tâm phân tích được đặt lại vào hành trình lưu trú (gián đoạn → quyết định lưu trú → tìm và xác nhận phòng → quay lại sân bay) và 13 điểm bối cảnh Việt Nam – xem B02; số liệu nguồn cung lưu trú thực tế quanh Nội Bài, Tân Sơn Nhất – xem A08.</w:t>
      </w:r>
    </w:p>
    <w:p>
      <w:pPr>
        <w:pStyle w:val="Heading1"/>
        <w:spacing w:after="160" w:before="320"/>
      </w:pPr>
      <w:r>
        <w:rPr>
          <w:rFonts w:ascii="Times New Roman" w:cs="Times New Roman" w:eastAsia="Times New Roman" w:hAnsi="Times New Roman"/>
        </w:rPr>
        <w:t>Hộp minh bạch dữ liệu (theo góp ý lần 2)</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
        <w:gridCol w:w="4268"/>
        <w:gridCol w:w="2667"/>
        <w:gridCol w:w="1603"/>
      </w:tblGrid>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Mục</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Nội dung</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và ngày thu thập</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A06 (thứ cấp), A07 (ca báo chí), A08 (bộ dữ liệu lưu trú 11/10/2026), A05, A02; hành trình và bối cảnh Việt Nam chi tiết ở B02.</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Tiêu chí chọn mẫu</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Như A06, A07; A08 lấy toàn bộ cơ sở Booking.com liệt kê ở trang sân bay HAN/SGN, không chọn lọc chủ quan.</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Cách làm sạch</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cộng gộp tỷ lệ giữa các khảo sát khác thiết kế; mọi tỷ lệ kèm mẫu số và quốc gia; tần suất x/13 ghi rõ là trong tập bài báo.</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Dữ liệu mô phỏng</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có dữ liệu mô phỏng trong tài liệu này. Dữ liệu mô phỏng chỉ nằm trong prototype (B03, B04) và được gắn nhãn [Mô phỏng]; giá trị tham khảo lấy từ A08.</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Giới hạn suy rộng</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Mọi kết luận về nhu cầu người dùng là giả thuyết từ dữ liệu thứ cấp, chờ kiểm chứng bằng khảo sát 50–80 phản hồi (≥20–30 người từng bị chậm/huỷ tại Việt Nam) và 6–10 phỏng vấn theo tiêu chí góp ý lần 2.</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Khảo sát / phỏng vấn sơ cấp</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CHƯA thực hiện. Bảng hỏi A03 (35 câu), kịch bản phỏng vấn, mẫu đồng ý và script xử lý (A06_lam_sach_khao_sat.py, B01_thong_ke_khao_sat.py) đã sẵn sàng; Google Form dựng bằng A03_tao_google_form.gs.</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bl>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 xml:space="preserve">Dữ liệu phân tích:</w:t>
      </w:r>
      <w:r>
        <w:rPr>
          <w:rFonts w:ascii="Times New Roman" w:cs="Times New Roman" w:eastAsia="Times New Roman" w:hAnsi="Times New Roman"/>
          <w:sz w:val="24"/>
          <w:szCs w:val="24"/>
        </w:rPr>
        <w:t xml:space="preserve"> (1) bảng chỉ số thứ cấp đã làm sạch ở A06 – 23 nguồn, trong đó các khảo sát có N công bố; (2) 13 phiếu phân tích trường hợp từ báo chí tại Việt Nam và 3 ca quốc tế ở A07 (dữ liệu thứ cấp, không phải phỏng vấn); (3) phân tích sản phẩm A05; (4) tài liệu A02. Khi có khảo sát/phỏng vấn sơ cấp (giai đoạn 2), chạy `B01_thong_ke_khao_sat.py` và đối chiếu với các kết luận dưới đây.</w:t>
      </w:r>
    </w:p>
    <w:p>
      <w:pPr>
        <w:pStyle w:val="Heading1"/>
        <w:spacing w:after="160" w:before="320"/>
      </w:pPr>
      <w:r>
        <w:rPr>
          <w:rFonts w:ascii="Times New Roman" w:cs="Times New Roman" w:eastAsia="Times New Roman" w:hAnsi="Times New Roman"/>
        </w:rPr>
        <w:t xml:space="preserve">1. Dữ liệu đầu vào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8"/>
        <w:gridCol w:w="3628"/>
        <w:gridCol w:w="3025"/>
      </w:tblGrid>
      <w:tr>
        <w:trPr>
          <w:tblHeader/>
        </w:trPr>
        <w:tc>
          <w:tcPr>
            <w:tcW w:type="dxa" w:w="241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w:t>
            </w:r>
          </w:p>
        </w:tc>
        <w:tc>
          <w:tcPr>
            <w:tcW w:type="dxa" w:w="36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Mô tả</w:t>
            </w:r>
          </w:p>
        </w:tc>
        <w:tc>
          <w:tcPr>
            <w:tcW w:type="dxa" w:w="302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Dùng để trả lời</w:t>
            </w:r>
          </w:p>
        </w:tc>
      </w:tr>
      <w:tr>
        <w:trPr>
          <w:cantSplit w:val="false"/>
        </w:trPr>
        <w:tc>
          <w:tcPr>
            <w:tcW w:type="dxa" w:w="2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A06 – Chỉ số thứ cấp đã làm sạch</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23 nguồn (D01–D23): CAA Anh N=2.105, CAA Anh 2025 N=3.500, CMAC N=1.100, AirHelp N=3.100, Perk N=4.000, Expedia N=11.000…; số liệu Cục HKVN</w:t>
            </w:r>
          </w:p>
        </w:tc>
        <w:tc>
          <w:tcPr>
            <w:tcW w:type="dxa" w:w="30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 (quy mô, tần suất khó khăn, tiêu chí chọn chỗ nghỉ)</w:t>
            </w:r>
          </w:p>
        </w:tc>
      </w:tr>
      <w:tr>
        <w:trPr>
          <w:cantSplit w:val="false"/>
        </w:trPr>
        <w:tc>
          <w:tcPr>
            <w:tcW w:type="dxa" w:w="2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A07 – Phiếu phân tích trường hợp (báo chí, thứ cấp)</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13 ca Việt Nam (CS01–CS13) + 3 ca quốc tế</w:t>
            </w:r>
          </w:p>
        </w:tc>
        <w:tc>
          <w:tcPr>
            <w:tcW w:type="dxa" w:w="30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 (bối cảnh, hành vi, cảm xúc), RQ2 (thông tin cần có)</w:t>
            </w:r>
          </w:p>
        </w:tc>
      </w:tr>
      <w:tr>
        <w:trPr>
          <w:cantSplit w:val="false"/>
        </w:trPr>
        <w:tc>
          <w:tcPr>
            <w:tcW w:type="dxa" w:w="2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A05 – Sản phẩm</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Ma trận 7 sản phẩm, khoảng trống G1–G7</w:t>
            </w:r>
          </w:p>
        </w:tc>
        <w:tc>
          <w:tcPr>
            <w:tcW w:type="dxa" w:w="30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r>
      <w:tr>
        <w:trPr>
          <w:cantSplit w:val="false"/>
        </w:trPr>
        <w:tc>
          <w:tcPr>
            <w:tcW w:type="dxa" w:w="2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A02 – Tài liệu</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106 nguồn; quy định, học thuật</w:t>
            </w:r>
          </w:p>
        </w:tc>
        <w:tc>
          <w:tcPr>
            <w:tcW w:type="dxa" w:w="30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Đối chiếu, giải thích</w:t>
            </w:r>
          </w:p>
        </w:tc>
      </w:tr>
    </w:tbl>
    <w:p>
      <w:pPr>
        <w:spacing w:after="120"/>
      </w:pPr>
    </w:p>
    <w:p>
      <w:pPr>
        <w:pStyle w:val="Heading1"/>
        <w:spacing w:after="160" w:before="320"/>
      </w:pPr>
      <w:r>
        <w:rPr>
          <w:rFonts w:ascii="Times New Roman" w:cs="Times New Roman" w:eastAsia="Times New Roman" w:hAnsi="Times New Roman"/>
        </w:rPr>
        <w:t xml:space="preserve">2. Phân tích định lượng</w:t>
      </w:r>
    </w:p>
    <w:p>
      <w:pPr>
        <w:pStyle w:val="Heading2"/>
        <w:spacing w:after="120" w:before="240"/>
      </w:pPr>
      <w:r>
        <w:rPr>
          <w:rFonts w:ascii="Times New Roman" w:cs="Times New Roman" w:eastAsia="Times New Roman" w:hAnsi="Times New Roman"/>
        </w:rPr>
        <w:t xml:space="preserve">2.1. Nguyên tắc</w:t>
      </w:r>
    </w:p>
    <w:p>
      <w:pPr>
        <w:pStyle w:val="ListParagraph"/>
        <w:numPr>
          <w:ilvl w:val="0"/>
          <w:numId w:val="2"/>
        </w:numPr>
        <w:spacing w:after="60" w:line="300"/>
        <w:jc w:val="both"/>
      </w:pPr>
      <w:r>
        <w:rPr>
          <w:rFonts w:ascii="Times New Roman" w:cs="Times New Roman" w:eastAsia="Times New Roman" w:hAnsi="Times New Roman"/>
        </w:rPr>
        <w:t xml:space="preserve">Mọi tỷ lệ trình bày kèm </w:t>
      </w:r>
      <w:r>
        <w:rPr>
          <w:rFonts w:ascii="Times New Roman" w:cs="Times New Roman" w:eastAsia="Times New Roman" w:hAnsi="Times New Roman"/>
          <w:b/>
          <w:bCs/>
        </w:rPr>
        <w:t xml:space="preserve">mẫu số</w:t>
      </w:r>
      <w:r>
        <w:rPr>
          <w:rFonts w:ascii="Times New Roman" w:cs="Times New Roman" w:eastAsia="Times New Roman" w:hAnsi="Times New Roman"/>
        </w:rPr>
        <w:t xml:space="preserve">: n/N (%), KTC Wilson 95% khi nguồn công bố base; n ước tính = % × N.</w:t>
      </w:r>
    </w:p>
    <w:p>
      <w:pPr>
        <w:pStyle w:val="ListParagraph"/>
        <w:numPr>
          <w:ilvl w:val="0"/>
          <w:numId w:val="2"/>
        </w:numPr>
        <w:spacing w:after="60" w:line="300"/>
        <w:jc w:val="both"/>
      </w:pPr>
      <w:r>
        <w:rPr>
          <w:rFonts w:ascii="Times New Roman" w:cs="Times New Roman" w:eastAsia="Times New Roman" w:hAnsi="Times New Roman"/>
        </w:rPr>
        <w:t xml:space="preserve">Không cộng gộp tỷ lệ giữa các khảo sát khác thiết kế; chỉ so sánh định hướng và tìm điểm hội tụ.</w:t>
      </w:r>
    </w:p>
    <w:p>
      <w:pPr>
        <w:pStyle w:val="ListParagraph"/>
        <w:numPr>
          <w:ilvl w:val="0"/>
          <w:numId w:val="2"/>
        </w:numPr>
        <w:spacing w:after="60" w:line="300"/>
        <w:jc w:val="both"/>
      </w:pPr>
      <w:r>
        <w:rPr>
          <w:rFonts w:ascii="Times New Roman" w:cs="Times New Roman" w:eastAsia="Times New Roman" w:hAnsi="Times New Roman"/>
        </w:rPr>
        <w:t>Ghi rõ quốc gia khảo sát – phần lớn là Anh/Mỹ/châu Âu; dữ liệu Việt Nam là số liệu khai thác và ca thực tế. Nguồn D23 (CAA Anh 2025) được thêm ở bản v1.2: bảng số liệu có trọng số, n ước tính = % × N không trọng số.</w:t>
      </w:r>
    </w:p>
    <w:p>
      <w:pPr>
        <w:pStyle w:val="Heading2"/>
        <w:spacing w:after="120" w:before="240"/>
      </w:pPr>
      <w:r>
        <w:rPr>
          <w:rFonts w:ascii="Times New Roman" w:cs="Times New Roman" w:eastAsia="Times New Roman" w:hAnsi="Times New Roman"/>
        </w:rPr>
        <w:t xml:space="preserve">2.2. Quy mô vấn đề tại Việt Nam</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70"/>
        <w:gridCol w:w="3106"/>
        <w:gridCol w:w="995"/>
      </w:tblGrid>
      <w:tr>
        <w:trPr>
          <w:tblHeader/>
        </w:trPr>
        <w:tc>
          <w:tcPr>
            <w:tcW w:type="dxa" w:w="497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Chỉ số</w:t>
            </w:r>
          </w:p>
        </w:tc>
        <w:tc>
          <w:tcPr>
            <w:tcW w:type="dxa" w:w="31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Kết quả</w:t>
            </w:r>
          </w:p>
        </w:tc>
        <w:tc>
          <w:tcPr>
            <w:tcW w:type="dxa" w:w="99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w:t>
            </w:r>
          </w:p>
        </w:tc>
      </w:tr>
      <w:tr>
        <w:trPr>
          <w:cantSplit w:val="false"/>
        </w:trPr>
        <w:tc>
          <w:tcPr>
            <w:tcW w:type="dxa" w:w="49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bị chậm, 10 tháng 2025</w:t>
            </w:r>
          </w:p>
        </w:tc>
        <w:tc>
          <w:tcPr>
            <w:tcW w:type="dxa" w:w="3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≈81.165/231.239 (35,1%; KTC95% 34,9–35,3%)</w:t>
            </w:r>
          </w:p>
        </w:tc>
        <w:tc>
          <w:tcPr>
            <w:tcW w:type="dxa" w:w="9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D20</w:t>
            </w:r>
          </w:p>
        </w:tc>
      </w:tr>
      <w:tr>
        <w:trPr>
          <w:cantSplit w:val="false"/>
        </w:trPr>
        <w:tc>
          <w:tcPr>
            <w:tcW w:type="dxa" w:w="49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đúng giờ, cả năm 2025 (giảm 7,5 điểm % so với 2024)</w:t>
            </w:r>
          </w:p>
        </w:tc>
        <w:tc>
          <w:tcPr>
            <w:tcW w:type="dxa" w:w="3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≈181.112/275.246 (65,8%; KTC95% 65,6–66,0%)</w:t>
            </w:r>
          </w:p>
        </w:tc>
        <w:tc>
          <w:tcPr>
            <w:tcW w:type="dxa" w:w="9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D19</w:t>
            </w:r>
          </w:p>
        </w:tc>
      </w:tr>
      <w:tr>
        <w:trPr>
          <w:cantSplit w:val="false"/>
        </w:trPr>
        <w:tc>
          <w:tcPr>
            <w:tcW w:type="dxa" w:w="49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bị huỷ, cả năm 2025</w:t>
            </w:r>
          </w:p>
        </w:tc>
        <w:tc>
          <w:tcPr>
            <w:tcW w:type="dxa" w:w="3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1.740/275.246 (0,6%)</w:t>
            </w:r>
          </w:p>
        </w:tc>
        <w:tc>
          <w:tcPr>
            <w:tcW w:type="dxa" w:w="9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D19</w:t>
            </w:r>
          </w:p>
        </w:tc>
      </w:tr>
      <w:tr>
        <w:trPr>
          <w:cantSplit w:val="false"/>
        </w:trPr>
        <w:tc>
          <w:tcPr>
            <w:tcW w:type="dxa" w:w="49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bị chậm, tháng 6/2026</w:t>
            </w:r>
          </w:p>
        </w:tc>
        <w:tc>
          <w:tcPr>
            <w:tcW w:type="dxa" w:w="3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6.231/25.613 (24,3%)</w:t>
            </w:r>
          </w:p>
        </w:tc>
        <w:tc>
          <w:tcPr>
            <w:tcW w:type="dxa" w:w="9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S15</w:t>
            </w:r>
          </w:p>
        </w:tc>
      </w:tr>
      <w:tr>
        <w:trPr>
          <w:cantSplit w:val="false"/>
        </w:trPr>
        <w:tc>
          <w:tcPr>
            <w:tcW w:type="dxa" w:w="49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Nguyên nhân “tàu bay về muộn” trong số chuyến chậm, tháng 6/2026</w:t>
            </w:r>
          </w:p>
        </w:tc>
        <w:tc>
          <w:tcPr>
            <w:tcW w:type="dxa" w:w="3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3.711/6.231 (≈59,6%)</w:t>
            </w:r>
          </w:p>
        </w:tc>
        <w:tc>
          <w:tcPr>
            <w:tcW w:type="dxa" w:w="9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S15</w:t>
            </w:r>
          </w:p>
        </w:tc>
      </w:tr>
    </w:tbl>
    <w:p>
      <w:pPr>
        <w:spacing w:after="120"/>
      </w:pPr>
    </w:p>
    <w:p>
      <w:pPr>
        <w:spacing w:after="120" w:line="312"/>
        <w:jc w:val="both"/>
      </w:pPr>
      <w:r>
        <w:rPr>
          <w:rFonts w:ascii="Times New Roman" w:cs="Times New Roman" w:eastAsia="Times New Roman" w:hAnsi="Times New Roman"/>
          <w:b/>
          <w:bCs/>
        </w:rPr>
        <w:t xml:space="preserve">Nhận xét:</w:t>
      </w:r>
      <w:r>
        <w:rPr>
          <w:rFonts w:ascii="Times New Roman" w:cs="Times New Roman" w:eastAsia="Times New Roman" w:hAnsi="Times New Roman"/>
        </w:rPr>
        <w:t xml:space="preserve"> khoảng 1/4 đến 1/3 số chuyến bay nội địa bị chậm; nguyên nhân chủ yếu là chậm dây chuyền nên giờ bay mới thường bị dời nhiều lần – khớp với chủ đề T1 xuất hiện ở 10/13 ca Việt Nam.</w:t>
      </w:r>
    </w:p>
    <w:p>
      <w:pPr>
        <w:pStyle w:val="Heading2"/>
        <w:spacing w:after="120" w:before="240"/>
      </w:pPr>
      <w:r>
        <w:rPr>
          <w:rFonts w:ascii="Times New Roman" w:cs="Times New Roman" w:eastAsia="Times New Roman" w:hAnsi="Times New Roman"/>
        </w:rPr>
        <w:t xml:space="preserve">2.3. Trải nghiệm khi bị gián đoạn: ở qua đêm, chi phí, thông tin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4"/>
        <w:gridCol w:w="3628"/>
        <w:gridCol w:w="1089"/>
      </w:tblGrid>
      <w:tr>
        <w:trPr>
          <w:tblHeader/>
        </w:trPr>
        <w:tc>
          <w:tcPr>
            <w:tcW w:type="dxa" w:w="435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Chỉ số</w:t>
            </w:r>
          </w:p>
        </w:tc>
        <w:tc>
          <w:tcPr>
            <w:tcW w:type="dxa" w:w="36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n/N (%; KTC95%)</w:t>
            </w:r>
          </w:p>
        </w:tc>
        <w:tc>
          <w:tcPr>
            <w:tcW w:type="dxa" w:w="108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Bị huỷ chuyến trong ngày phải tự sắp xếp chỗ ở qua đêm</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≈145/724 (20%; KTC95% 17,2–23,1%)</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 (Anh)</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Phải ngủ đêm tại sân bay</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≈140/2.005 (7%; KTC95% 6,0–8,2%)</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công tác phải ở lại qua đêm</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≈920/4.000 (23%; KTC95% 21,7–24,3%)</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D04 (4 nước)</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Phát sinh chi phí khách sạn/phí đổi vé (khách công tác)</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≈1.600/4.000 (40%; KTC95% 38,5–41,5%)</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D04</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chi tiền khách sạn, ăn uống, đi lại</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42% (base nhóm bị gián đoạn không nêu)</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 (Mỹ)</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chậm không được cấp chỗ ở hay voucher ăn</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85% (mẫu tự nguyện ~9.000)</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D05 (Úc)</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nhận được bất kỳ thông tin nào</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≈231/1.100 (21%; KTC95% 18,7–23,5%)</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 (Anh)</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Hài lòng với tần suất cập nhật</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≈682/2.005 (34%; KTC95% 32,0–36,1%)</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Muốn được cập nhật mỗi 30 phút / mỗi 15 phút</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43% / 27% (N=2.005)</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Muốn nhận thông báo đầu tiên qua SMS</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≈1.283/2.005 (64%; KTC95% 61,9–66,1%)</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Sau &gt;2 giờ vẫn chưa quyết được bước tiếp theo</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43% (nhóm bị gián đoạn)</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Cảm thấy được thông tin đầy đủ về quyền lợi</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≈201/2.005 (10%; KTC95% 8,8–11,4%)</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Xác định đúng khi nào được bồi thường</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≈651/3.100 (21%; KTC95% 19,6–22,5%)</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D06 (toàn cầu)</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Bị mất ngủ / căng thẳng tăng</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≈275/1.100 (25%; KTC95% 22,5–27,6%) / ≈363/1.100 (33%; KTC95% 30,3–35,8%)</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Không được hãng/sân bay thông báo quyền lợi khi gặp sự cố</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≈640/1.186 (54%; KTC95% 51,1–56,8%)</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 (Anh, 2025)</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Chậm từ 2 giờ nhưng không nhận voucher lẫn hoàn chi phí phát sinh</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≈40/94 (43%; KTC95% 33,0–52,6%)</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Biết đúng là được hoàn tiền khi tự trả tiền ăn, ở, đi lại lúc chậm chuyến</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≈49/132 (37%; KTC95% 29,4–45,6%)</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Được báo chậm/huỷ đầu tiên qua màn hình sân bay / email / app / SMS; không được báo</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34% / 16% / 15% / 15%; 4% (N=505)</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Hài lòng với thông tin về bồi thường, hoàn tiền (NET), so với truyền thông chung</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≈163/466 (35%; KTC95% 30,8–39,4%) so với 57%</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r>
      <w:tr>
        <w:trPr>
          <w:cantSplit w:val="false"/>
        </w:trPr>
        <w:tc>
          <w:tcPr>
            <w:tcW w:type="dxa" w:w="43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Đã đòi hoàn chi phí phát sinh/bồi thường sau sự cố</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≈142/1.186 (12%; KTC95% 10,2–13,9%)</w:t>
            </w:r>
          </w:p>
        </w:tc>
        <w:tc>
          <w:tcPr>
            <w:tcW w:type="dxa" w:w="10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r>
    </w:tbl>
    <w:p>
      <w:pPr>
        <w:spacing w:after="120"/>
      </w:pPr>
    </w:p>
    <w:p>
      <w:pPr>
        <w:pStyle w:val="Heading2"/>
        <w:spacing w:after="120" w:before="240"/>
      </w:pPr>
      <w:r>
        <w:rPr>
          <w:rFonts w:ascii="Times New Roman" w:cs="Times New Roman" w:eastAsia="Times New Roman" w:hAnsi="Times New Roman"/>
        </w:rPr>
        <w:t xml:space="preserve">2.4. Thông tin hành khách cần nhất (D01, N=2.005)</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84"/>
        <w:gridCol w:w="2093"/>
        <w:gridCol w:w="2094"/>
      </w:tblGrid>
      <w:tr>
        <w:trPr>
          <w:tblHeader/>
        </w:trPr>
        <w:tc>
          <w:tcPr>
            <w:tcW w:type="dxa" w:w="488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Loại thông tin</w:t>
            </w:r>
          </w:p>
        </w:tc>
        <w:tc>
          <w:tcPr>
            <w:tcW w:type="dxa" w:w="20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Xếp hạng 1</w:t>
            </w:r>
          </w:p>
        </w:tc>
        <w:tc>
          <w:tcPr>
            <w:tcW w:type="dxa" w:w="209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Nằm trong top 5</w:t>
            </w:r>
          </w:p>
        </w:tc>
      </w:tr>
      <w:tr>
        <w:trPr>
          <w:cantSplit w:val="false"/>
        </w:trPr>
        <w:tc>
          <w:tcPr>
            <w:tcW w:type="dxa" w:w="48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trễ / giờ bay mới</w:t>
            </w:r>
          </w:p>
        </w:tc>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44%</w:t>
            </w:r>
          </w:p>
        </w:tc>
        <w:tc>
          <w:tcPr>
            <w:tcW w:type="dxa" w:w="20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w:t>
            </w:r>
          </w:p>
        </w:tc>
      </w:tr>
      <w:tr>
        <w:trPr>
          <w:cantSplit w:val="false"/>
        </w:trPr>
        <w:tc>
          <w:tcPr>
            <w:tcW w:type="dxa" w:w="48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Lý do chậm/huỷ</w:t>
            </w:r>
          </w:p>
        </w:tc>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13%</w:t>
            </w:r>
          </w:p>
        </w:tc>
        <w:tc>
          <w:tcPr>
            <w:tcW w:type="dxa" w:w="20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61%</w:t>
            </w:r>
          </w:p>
        </w:tc>
      </w:tr>
      <w:tr>
        <w:trPr>
          <w:cantSplit w:val="false"/>
        </w:trPr>
        <w:tc>
          <w:tcPr>
            <w:tcW w:type="dxa" w:w="48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Phương án đổi chuyến</w:t>
            </w:r>
          </w:p>
        </w:tc>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w:t>
            </w:r>
          </w:p>
        </w:tc>
        <w:tc>
          <w:tcPr>
            <w:tcW w:type="dxa" w:w="20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50%</w:t>
            </w:r>
          </w:p>
        </w:tc>
      </w:tr>
      <w:tr>
        <w:trPr>
          <w:cantSplit w:val="false"/>
        </w:trPr>
        <w:tc>
          <w:tcPr>
            <w:tcW w:type="dxa" w:w="488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Điều kiện hoàn tiền / bồi thường</w:t>
            </w:r>
          </w:p>
        </w:tc>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209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49%</w:t>
            </w:r>
          </w:p>
        </w:tc>
      </w:tr>
    </w:tbl>
    <w:p>
      <w:pPr>
        <w:spacing w:after="120"/>
      </w:pPr>
    </w:p>
    <w:p>
      <w:pPr>
        <w:spacing w:after="120" w:line="312"/>
        <w:jc w:val="both"/>
      </w:pPr>
      <w:r>
        <w:rPr>
          <w:rFonts w:ascii="Times New Roman" w:cs="Times New Roman" w:eastAsia="Times New Roman" w:hAnsi="Times New Roman"/>
          <w:b/>
          <w:bCs/>
        </w:rPr>
        <w:t xml:space="preserve">Nhận xét:</w:t>
      </w:r>
      <w:r>
        <w:rPr>
          <w:rFonts w:ascii="Times New Roman" w:cs="Times New Roman" w:eastAsia="Times New Roman" w:hAnsi="Times New Roman"/>
        </w:rPr>
        <w:t xml:space="preserve"> giờ bay mới là thông tin số 1, quyền lợi nằm trong top 5 của gần một nửa hành khách. Thứ tự này định hướng bố cục màn hình M1 ở B03: trạng thái chuyến bay trước, quyền lợi ngay sau.</w:t>
      </w:r>
    </w:p>
    <w:p>
      <w:pPr>
        <w:pStyle w:val="Heading2"/>
        <w:spacing w:after="120" w:before="240"/>
      </w:pPr>
      <w:r>
        <w:rPr>
          <w:rFonts w:ascii="Times New Roman" w:cs="Times New Roman" w:eastAsia="Times New Roman" w:hAnsi="Times New Roman"/>
        </w:rPr>
        <w:t xml:space="preserve">2.5. Tiêu chí chọn chỗ nghỉ – xếp hạng tổng hợp</w:t>
      </w:r>
    </w:p>
    <w:p>
      <w:pPr>
        <w:spacing w:after="120" w:line="312"/>
        <w:jc w:val="both"/>
      </w:pPr>
      <w:r>
        <w:rPr>
          <w:rFonts w:ascii="Times New Roman" w:cs="Times New Roman" w:eastAsia="Times New Roman" w:hAnsi="Times New Roman"/>
        </w:rPr>
        <w:t xml:space="preserve">Do không có khảo sát nào đo trực tiếp “chỗ nghỉ khẩn cấp khi bị gián đoạn”, xếp hạng dưới đây tổng hợp từ khảo sát chọn khách sạn nói chung (D08, D09, D12, D13), khảo sát an toàn (D10, D11) và bằng chứng gián đoạn (D01–D05, ca A07). Hạng được xếp theo mức độ hội tụ của bằng chứng.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2"/>
        <w:gridCol w:w="1961"/>
        <w:gridCol w:w="2941"/>
        <w:gridCol w:w="2451"/>
        <w:gridCol w:w="1106"/>
      </w:tblGrid>
      <w:tr>
        <w:trPr>
          <w:tblHeader/>
        </w:trPr>
        <w:tc>
          <w:tcPr>
            <w:tcW w:type="dxa" w:w="61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Hạng</w:t>
            </w:r>
          </w:p>
        </w:tc>
        <w:tc>
          <w:tcPr>
            <w:tcW w:type="dxa" w:w="196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w:t>
            </w:r>
          </w:p>
        </w:tc>
        <w:tc>
          <w:tcPr>
            <w:tcW w:type="dxa" w:w="294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Bằng chứng định lượng</w:t>
            </w:r>
          </w:p>
        </w:tc>
        <w:tc>
          <w:tcPr>
            <w:tcW w:type="dxa" w:w="245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Bằng chứng ca/khác</w:t>
            </w:r>
          </w:p>
        </w:tc>
        <w:tc>
          <w:tcPr>
            <w:tcW w:type="dxa" w:w="11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Kano (gần đúng)</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Vị trí / thời gian đến sân bay</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Vị trí là ưu tiên: ≈1.480/2.000 (74%; KTC95% 72,0–75,9%) (D09)</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 lỡ chuyến: CS02, CS07, CS08, CS12; di chuyển: 6/13 ca</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Còn phòng &amp; nhận khách ngay (lễ tân 24h)</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Nhân viên 24/7: ≈1.140/2.000 (57%; KTC95% 54,8–59,2%) (D11); 35% phụ nữ Pháp xếp số 1 (D10)</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T3 khó tìm nơi nhận khách đêm: CS01, CS03, CS09, CS14 (hết phòng)</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miễn phí / linh hoạt</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≈870/1.000 (87%; KTC95% 84,8–88,9%) coi trọng (D03); ≈840/2.000 (42%; KTC95% 39,9–44,2%) ưu tiên, 35% coi là bắt buộc (D09)</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bay dời nhiều lần: 10/13 ca</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&amp; minh bạch ai chi trả</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Mối lo chi phí ≈722/2.005 (36%; KTC95% 33,9–38,1%) (D01); giá thấp là ưu tiên số 1 của 18% (D08)</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T4: 7/13 ca; giá tăng ~3 lần gần sân bay (D22)</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ảnh thật, tin cậy</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Review là ưu tiên ≈1.080/2.000 (54%; KTC95% 51,8–56,2%) (D09); yếu tố mạnh nhất tại Đà Nẵng, Huế (D12, D13)</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T10: CS05, CS08, CS09</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 ninh, an toàn ban đêm</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62–63% phụ nữ bất an khi ra ngoài một mình ban đêm (D10)</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CS03 (phải ở chung phòng lúc 1h sáng)</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Thanh toán linh hoạt (không cần thẻ tín dụng)</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≈18% người trưởng thành VN có thẻ tín dụng (D18); 86,97% có tài khoản ngân hàng (D17)</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 đình phải mượn thẻ người thân để đặt khách sạn (D01 – định tính)</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 với người Việt</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Phù hợp trẻ em/người cao tuổi</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T7: 5/13 ca (CS01, CS04, CS05, CS07, CS08)</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chiều</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xe đưa đón / hướng dẫn đi lại</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T5: CS01, CS02, CS03, CS09, CS10, CS11</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r>
      <w:tr>
        <w:trPr>
          <w:cantSplit w:val="false"/>
        </w:trPr>
        <w:tc>
          <w:tcPr>
            <w:tcW w:type="dxa" w:w="6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w:t>
            </w:r>
          </w:p>
        </w:tc>
        <w:tc>
          <w:tcPr>
            <w:tcW w:type="dxa" w:w="19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Thuê theo giờ</w:t>
            </w:r>
          </w:p>
        </w:tc>
        <w:tc>
          <w:tcPr>
            <w:tcW w:type="dxa" w:w="294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2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Khoảng chờ 5–13 giờ (CS02, CS07, CS09); hộp ngủ Nội Bài tính theo giờ (S21)</w:t>
            </w:r>
          </w:p>
        </w:tc>
        <w:tc>
          <w:tcPr>
            <w:tcW w:type="dxa" w:w="11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Hấp dẫn</w:t>
            </w:r>
          </w:p>
        </w:tc>
      </w:tr>
    </w:tbl>
    <w:p>
      <w:pPr>
        <w:spacing w:after="120"/>
      </w:pPr>
    </w:p>
    <w:p>
      <w:pPr>
        <w:pStyle w:val="Heading1"/>
        <w:spacing w:after="160" w:before="320"/>
      </w:pPr>
      <w:r>
        <w:rPr>
          <w:rFonts w:ascii="Times New Roman" w:cs="Times New Roman" w:eastAsia="Times New Roman" w:hAnsi="Times New Roman"/>
        </w:rPr>
        <w:t>3. Phân tích định tính – chủ đề từ các ca gián đoạn trên báo chí (thứ cấp)</w:t>
      </w:r>
    </w:p>
    <w:p>
      <w:pPr>
        <w:pStyle w:val="Heading2"/>
        <w:spacing w:after="120" w:before="240"/>
      </w:pPr>
      <w:r>
        <w:rPr>
          <w:rFonts w:ascii="Times New Roman" w:cs="Times New Roman" w:eastAsia="Times New Roman" w:hAnsi="Times New Roman"/>
        </w:rPr>
        <w:t xml:space="preserve">3.1. Quy trình</w:t>
      </w:r>
    </w:p>
    <w:p>
      <w:pPr>
        <w:spacing w:after="120" w:line="312"/>
        <w:jc w:val="both"/>
      </w:pPr>
      <w:r>
        <w:rPr>
          <w:rFonts w:ascii="Times New Roman" w:cs="Times New Roman" w:eastAsia="Times New Roman" w:hAnsi="Times New Roman"/>
        </w:rPr>
        <w:t>Áp dụng 6 bước của Braun và Clarke (2006): đọc toàn bộ 16 phiếu phân tích trường hợp → gán mã theo sổ mã khởi đầu T1–T10 (rút từ tài liệu) và kiểm tra mã mới → gom chủ đề → rà soát → định nghĩa → viết kết quả. Tần suất dưới đây tính trên 13 ca Việt Nam; ca quốc tế chỉ dùng đối chiếu. Các tỷ lệ x/13 là tần suất chủ đề xuất hiện trong 13 bài báo được chọn, KHÔNG phải tỷ lệ hành khách và không được suy rộng cho quần thể hành khách Việt Nam.</w:t>
      </w:r>
    </w:p>
    <w:p>
      <w:pPr>
        <w:pStyle w:val="Heading2"/>
        <w:spacing w:after="120" w:before="240"/>
      </w:pPr>
      <w:r>
        <w:rPr>
          <w:rFonts w:ascii="Times New Roman" w:cs="Times New Roman" w:eastAsia="Times New Roman" w:hAnsi="Times New Roman"/>
        </w:rPr>
        <w:t xml:space="preserve">3.2. Sổ mã</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7"/>
        <w:gridCol w:w="1971"/>
        <w:gridCol w:w="3418"/>
        <w:gridCol w:w="920"/>
        <w:gridCol w:w="2105"/>
      </w:tblGrid>
      <w:tr>
        <w:trPr>
          <w:tblHeader/>
        </w:trPr>
        <w:tc>
          <w:tcPr>
            <w:tcW w:type="dxa" w:w="6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7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Tên</w:t>
            </w:r>
          </w:p>
        </w:tc>
        <w:tc>
          <w:tcPr>
            <w:tcW w:type="dxa" w:w="341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Định nghĩa</w:t>
            </w:r>
          </w:p>
        </w:tc>
        <w:tc>
          <w:tcPr>
            <w:tcW w:type="dxa" w:w="92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Số ca VN (trong 13 bài báo)</w:t>
            </w:r>
          </w:p>
        </w:tc>
        <w:tc>
          <w:tcPr>
            <w:tcW w:type="dxa" w:w="210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Các ca</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Bất định giờ bay</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biết hoặc liên tục bị đổi giờ khởi hành mới</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CS04, CS05, CS06, CS07, CS08, CS09, CS11, CS12, CS13</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T2</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Thiếu thông tin quyền lợi/hướng dẫn</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được giải thích lý do, quyền lợi, bước tiếp theo; không có đầu mối hỏi</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CS02, CS04, CS05, CS06, CS07, CS09, CS12, CS13</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T3</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tìm nơi nhận khách ban đêm</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có/không tìm được nơi còn nhận khách trong đêm, hoặc chỗ ở không đạt khi đến nửa đêm</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CS03, CS09</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T4</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 &amp; ai chi trả</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Phải tự chi, không rõ ai trả, tranh cãi trách nhiệm, bồi thường không rõ</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CS02, CS06, CS07, CS08, CS09, CS11</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T5</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Di chuyển sân bay ↔ nơi nghỉ</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 hoặc phụ thuộc phương tiện giữa sân bay và nơi nghỉ</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CS02, CS03, CS09, CS10, CS11</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T6</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 lỡ chuyến bay mới/chuyến nối</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 hoặc đã lỡ chuyến bay mới/chuyến nối</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CS02, CS07, CS08, CS12</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T7</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đi cùng cần chăm sóc</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trẻ nhỏ, người cao tuổi làm tăng yêu cầu chăm sóc</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CS04, CS05, CS07, CS08</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T8</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Cảm xúc tiêu cực, kiệt sức</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Mệt mỏi, bực tức, lo lắng, cảm giác không được tôn trọng</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CS02, CS03, CS04, CS05, CS06, CS07, CS08, CS09, CS13</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T9</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Ở lại/ngủ tại nhà ga</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Ngồi/ngủ lại nhà ga</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CS02, CS04, CS05, CS07, CS08, CS09, CS12</w:t>
            </w:r>
          </w:p>
        </w:tc>
      </w:tr>
      <w:tr>
        <w:trPr>
          <w:cantSplit w:val="false"/>
        </w:trPr>
        <w:tc>
          <w:tcPr>
            <w:tcW w:type="dxa" w:w="6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T10</w:t>
            </w:r>
          </w:p>
        </w:tc>
        <w:tc>
          <w:tcPr>
            <w:tcW w:type="dxa" w:w="1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Tin cậy &amp; kiểm chứng thông tin</w:t>
            </w:r>
          </w:p>
        </w:tc>
        <w:tc>
          <w:tcPr>
            <w:tcW w:type="dxa" w:w="34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 mâu thuẫn, liên tục nhảy giờ, bỏ sót email, không tin vào thông báo</w:t>
            </w:r>
          </w:p>
        </w:tc>
        <w:tc>
          <w:tcPr>
            <w:tcW w:type="dxa" w:w="9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3/13</w:t>
            </w:r>
          </w:p>
        </w:tc>
        <w:tc>
          <w:tcPr>
            <w:tcW w:type="dxa" w:w="210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CS05, CS08, CS09</w:t>
            </w:r>
          </w:p>
        </w:tc>
      </w:tr>
    </w:tbl>
    <w:p>
      <w:pPr>
        <w:spacing w:after="120"/>
      </w:pPr>
    </w:p>
    <w:p>
      <w:pPr>
        <w:pStyle w:val="Heading2"/>
        <w:spacing w:after="120" w:before="240"/>
      </w:pPr>
      <w:r>
        <w:rPr>
          <w:rFonts w:ascii="Times New Roman" w:cs="Times New Roman" w:eastAsia="Times New Roman" w:hAnsi="Times New Roman"/>
        </w:rPr>
        <w:t xml:space="preserve">3.3. Chủ đề chính, trích dẫn và hàm ý thiết kế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9"/>
        <w:gridCol w:w="2015"/>
        <w:gridCol w:w="1007"/>
        <w:gridCol w:w="2575"/>
        <w:gridCol w:w="1795"/>
      </w:tblGrid>
      <w:tr>
        <w:trPr>
          <w:tblHeader/>
        </w:trPr>
        <w:tc>
          <w:tcPr>
            <w:tcW w:type="dxa" w:w="167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Chủ đề</w:t>
            </w:r>
          </w:p>
        </w:tc>
        <w:tc>
          <w:tcPr>
            <w:tcW w:type="dxa" w:w="20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Mô tả</w:t>
            </w:r>
          </w:p>
        </w:tc>
        <w:tc>
          <w:tcPr>
            <w:tcW w:type="dxa" w:w="100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Tần suất (trong 13 ca báo chí, không suy rộng)</w:t>
            </w:r>
          </w:p>
        </w:tc>
        <w:tc>
          <w:tcPr>
            <w:tcW w:type="dxa" w:w="257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Trích dẫn tiêu biểu</w:t>
            </w:r>
          </w:p>
        </w:tc>
        <w:tc>
          <w:tcPr>
            <w:tcW w:type="dxa" w:w="179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Hàm ý thiết kế</w:t>
            </w:r>
          </w:p>
        </w:tc>
      </w:tr>
      <w:tr>
        <w:trPr>
          <w:cantSplit w:val="false"/>
        </w:trPr>
        <w:tc>
          <w:tcPr>
            <w:tcW w:type="dxa" w:w="16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C1. “Không biết bao giờ bay” (T1, T10)</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bay bị dời nhiều lần hoặc “chưa xác định”, khiến khách không dám rời sân bay và không lập được kế hoạch nghỉ.</w:t>
            </w:r>
          </w:p>
        </w:tc>
        <w:tc>
          <w:tcPr>
            <w:tcW w:type="dxa" w:w="100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10/13; T10: 3/13</w:t>
            </w:r>
          </w:p>
        </w:tc>
        <w:tc>
          <w:tcPr>
            <w:tcW w:type="dxa" w:w="25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chưa xác định giờ bay mai về làm sao đi làm.” (CS05, chị T.); “vẫn không chắc có tàu bay đâu anh chị ạ” (CS09, nhân viên mặt đất)</w:t>
            </w:r>
          </w:p>
        </w:tc>
        <w:tc>
          <w:tcPr>
            <w:tcW w:type="dxa" w:w="17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Thẻ trạng thái + thời điểm cập nhật; cảnh báo khi đổi giờ; gợi ý ở lại/đi nghỉ (FR-03, FR-05)</w:t>
            </w:r>
          </w:p>
        </w:tc>
      </w:tr>
      <w:tr>
        <w:trPr>
          <w:cantSplit w:val="false"/>
        </w:trPr>
        <w:tc>
          <w:tcPr>
            <w:tcW w:type="dxa" w:w="16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C2. “Không ai giải thích” (T2)</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Thiếu thông tin quyền lợi và đầu mối hỗ trợ; tổng đài không liên lạc được.</w:t>
            </w:r>
          </w:p>
        </w:tc>
        <w:tc>
          <w:tcPr>
            <w:tcW w:type="dxa" w:w="100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T2: 8/13</w:t>
            </w:r>
          </w:p>
        </w:tc>
        <w:tc>
          <w:tcPr>
            <w:tcW w:type="dxa" w:w="25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“Gọi điện để đổi vé nhưng không tài nào liên hệ được với nhân viên hỗ trợ.” (CS06); “Hãng hàng không cần hỗ trợ và thông tin rõ ràng hơn…” (CS13, chị V.)</w:t>
            </w:r>
          </w:p>
        </w:tc>
        <w:tc>
          <w:tcPr>
            <w:tcW w:type="dxa" w:w="17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“Quyền lợi của bạn”; nút hỗ trợ 24/7 (FR-04, FR-16)</w:t>
            </w:r>
          </w:p>
        </w:tc>
      </w:tr>
      <w:tr>
        <w:trPr>
          <w:cantSplit w:val="false"/>
        </w:trPr>
        <w:tc>
          <w:tcPr>
            <w:tcW w:type="dxa" w:w="16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C3. “Ngủ lại nhà ga” (T9, T3)</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không có chỗ, đặc biệt ban đêm và ở thành phố khác, khách ngủ trên sàn nhà ga hoặc tự đi thuê khách sạn.</w:t>
            </w:r>
          </w:p>
        </w:tc>
        <w:tc>
          <w:tcPr>
            <w:tcW w:type="dxa" w:w="100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T9: 8/13; T3: 3/13</w:t>
            </w:r>
          </w:p>
        </w:tc>
        <w:tc>
          <w:tcPr>
            <w:tcW w:type="dxa" w:w="25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“trải khăn, vải xuống nền nhà ga sân bay Phù Cát để ngủ” (CS01, mô tả của báo); “…1 đêm vạ vật ở sân bay Đà Nẵng” (CS09, chị M.T.)</w:t>
            </w:r>
          </w:p>
        </w:tc>
        <w:tc>
          <w:tcPr>
            <w:tcW w:type="dxa" w:w="17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Danh sách “nhận khách ngay”; nhánh tiện ích nhà ga (FR-06, FR-15)</w:t>
            </w:r>
          </w:p>
        </w:tc>
      </w:tr>
      <w:tr>
        <w:trPr>
          <w:cantSplit w:val="false"/>
        </w:trPr>
        <w:tc>
          <w:tcPr>
            <w:tcW w:type="dxa" w:w="16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C4. “Ai trả tiền?” (T4)</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Tranh cãi trách nhiệm (hãng viện dẫn bất khả kháng), tự chi khách sạn và vé mới, bồi thường không rõ.</w:t>
            </w:r>
          </w:p>
        </w:tc>
        <w:tc>
          <w:tcPr>
            <w:tcW w:type="dxa" w:w="100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T4: 7/13</w:t>
            </w:r>
          </w:p>
        </w:tc>
        <w:tc>
          <w:tcPr>
            <w:tcW w:type="dxa" w:w="25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(Hãng) “…theo quy định, hãng không phải chịu trách nhiệm việc lo nơi nghỉ ngơi của khách” (CS01)</w:t>
            </w:r>
          </w:p>
        </w:tc>
        <w:tc>
          <w:tcPr>
            <w:tcW w:type="dxa" w:w="17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Giải thích điều kiện miễn trừ; lưu chứng từ (FR-04, FR-17)</w:t>
            </w:r>
          </w:p>
        </w:tc>
      </w:tr>
      <w:tr>
        <w:trPr>
          <w:cantSplit w:val="false"/>
        </w:trPr>
        <w:tc>
          <w:tcPr>
            <w:tcW w:type="dxa" w:w="16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C5. “Kiệt sức, nhất là khi có con nhỏ” (T8, T7)</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lâu với trẻ nhỏ, người già gây mệt mỏi và cảm giác không được tôn trọng.</w:t>
            </w:r>
          </w:p>
        </w:tc>
        <w:tc>
          <w:tcPr>
            <w:tcW w:type="dxa" w:w="100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T8: 10/13; T7: 5/13</w:t>
            </w:r>
          </w:p>
        </w:tc>
        <w:tc>
          <w:tcPr>
            <w:tcW w:type="dxa" w:w="25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“Nhà đông trẻ con nên chờ đợi rất mệt mỏi” (CS08, chị L.); “…nhiều nhà có con nhỏ, người già vậy mà phải chờ mấy tiếng đồng hồ…” (CS07)</w:t>
            </w:r>
          </w:p>
        </w:tc>
        <w:tc>
          <w:tcPr>
            <w:tcW w:type="dxa" w:w="17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Giao diện ít bước, chữ to; lọc phù hợp gia đình (NFR-07, FR-08)</w:t>
            </w:r>
          </w:p>
        </w:tc>
      </w:tr>
      <w:tr>
        <w:trPr>
          <w:cantSplit w:val="false"/>
        </w:trPr>
        <w:tc>
          <w:tcPr>
            <w:tcW w:type="dxa" w:w="16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C6. “Sợ lỡ chuyến tiếp theo” (T6, T5)</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 lỡ chuyến nối hoặc chuyến được xếp sớm; phụ thuộc xe đưa đón.</w:t>
            </w:r>
          </w:p>
        </w:tc>
        <w:tc>
          <w:tcPr>
            <w:tcW w:type="dxa" w:w="100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T6: 4/13; T5: 6/13</w:t>
            </w:r>
          </w:p>
        </w:tc>
        <w:tc>
          <w:tcPr>
            <w:tcW w:type="dxa" w:w="25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không kiểm tra mail thông báo dời chuyến bay của hãng nên bị lỡ giờ bay” (CS08, anh S.)</w:t>
            </w:r>
          </w:p>
        </w:tc>
        <w:tc>
          <w:tcPr>
            <w:tcW w:type="dxa" w:w="17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Nhắc giờ quay lại sân bay; thời gian di chuyển (FR-07, FR-13)</w:t>
            </w:r>
          </w:p>
        </w:tc>
      </w:tr>
    </w:tbl>
    <w:p>
      <w:pPr>
        <w:spacing w:after="120"/>
      </w:pPr>
    </w:p>
    <w:p>
      <w:pPr>
        <w:pStyle w:val="Heading1"/>
        <w:spacing w:after="160" w:before="320"/>
      </w:pPr>
      <w:r>
        <w:rPr>
          <w:rFonts w:ascii="Times New Roman" w:cs="Times New Roman" w:eastAsia="Times New Roman" w:hAnsi="Times New Roman"/>
        </w:rPr>
        <w:t xml:space="preserve">4. Tổng hợp tam giác</w:t>
      </w:r>
    </w:p>
    <w:p>
      <w:pPr>
        <w:spacing w:after="120" w:line="312"/>
        <w:jc w:val="both"/>
      </w:pPr>
      <w:r>
        <w:rPr>
          <w:rFonts w:ascii="Times New Roman" w:cs="Times New Roman" w:eastAsia="Times New Roman" w:hAnsi="Times New Roman"/>
        </w:rPr>
        <w:t xml:space="preserve">Mức vững: </w:t>
      </w:r>
      <w:r>
        <w:rPr>
          <w:rFonts w:ascii="Times New Roman" w:cs="Times New Roman" w:eastAsia="Times New Roman" w:hAnsi="Times New Roman"/>
          <w:b/>
          <w:bCs/>
        </w:rPr>
        <w:t xml:space="preserve">Mạnh</w:t>
      </w:r>
      <w:r>
        <w:rPr>
          <w:rFonts w:ascii="Times New Roman" w:cs="Times New Roman" w:eastAsia="Times New Roman" w:hAnsi="Times New Roman"/>
        </w:rPr>
        <w:t xml:space="preserve"> = ≥3 loại nguồn nhất quán; </w:t>
      </w:r>
      <w:r>
        <w:rPr>
          <w:rFonts w:ascii="Times New Roman" w:cs="Times New Roman" w:eastAsia="Times New Roman" w:hAnsi="Times New Roman"/>
          <w:b/>
          <w:bCs/>
        </w:rPr>
        <w:t xml:space="preserve">Trung bình</w:t>
      </w:r>
      <w:r>
        <w:rPr>
          <w:rFonts w:ascii="Times New Roman" w:cs="Times New Roman" w:eastAsia="Times New Roman" w:hAnsi="Times New Roman"/>
        </w:rPr>
        <w:t xml:space="preserve"> = 2 loại; </w:t>
      </w:r>
      <w:r>
        <w:rPr>
          <w:rFonts w:ascii="Times New Roman" w:cs="Times New Roman" w:eastAsia="Times New Roman" w:hAnsi="Times New Roman"/>
          <w:b/>
          <w:bCs/>
        </w:rPr>
        <w:t xml:space="preserve">Yếu</w:t>
      </w:r>
      <w:r>
        <w:rPr>
          <w:rFonts w:ascii="Times New Roman" w:cs="Times New Roman" w:eastAsia="Times New Roman" w:hAnsi="Times New Roman"/>
        </w:rPr>
        <w:t xml:space="preserve"> = 1 loại.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2506"/>
        <w:gridCol w:w="1193"/>
        <w:gridCol w:w="1432"/>
        <w:gridCol w:w="954"/>
        <w:gridCol w:w="957"/>
      </w:tblGrid>
      <w:tr>
        <w:trPr>
          <w:tblHeader/>
        </w:trPr>
        <w:tc>
          <w:tcPr>
            <w:tcW w:type="dxa" w:w="202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Phát hiện</w:t>
            </w:r>
          </w:p>
        </w:tc>
        <w:tc>
          <w:tcPr>
            <w:tcW w:type="dxa" w:w="25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Định lượng (A06)</w:t>
            </w:r>
          </w:p>
        </w:tc>
        <w:tc>
          <w:tcPr>
            <w:tcW w:type="dxa" w:w="11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Ca thực tế (A07)</w:t>
            </w:r>
          </w:p>
        </w:tc>
        <w:tc>
          <w:tcPr>
            <w:tcW w:type="dxa" w:w="143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Tài liệu (A02)</w:t>
            </w:r>
          </w:p>
        </w:tc>
        <w:tc>
          <w:tcPr>
            <w:tcW w:type="dxa" w:w="95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Sản phẩm (A05)</w:t>
            </w:r>
          </w:p>
        </w:tc>
        <w:tc>
          <w:tcPr>
            <w:tcW w:type="dxa" w:w="9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Mức vững</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F1 Không biết giờ bay mới → khó quyết định đi nghỉ</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bay mới là thông tin số 1: 44% (D01); 43% chưa có phương án sau &gt;2h (D03)</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10/13</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S14, S15 (chậm dây chuyền); Taylor 1994</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G1</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Mạnh</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F2 Không rõ quyền lợi / ai trả tiền</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10% thấy đủ thông tin (D01); 21% biết khi nào được bồi thường (D06); 54% không được báo quyền lợi, 37% biết đúng được hoàn tiền (D23)</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T2 8/13, T4 7/13</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S03, S04 (mốc 6h), S10 (miễn trừ thời tiết)</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G4</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Mạnh</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F3 Một phần đáng kể phải tự lo chỗ ở qua đêm</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 người bị huỷ trong ngày (D01); 23% khách công tác (D04); 85% không được cấp chỗ ở (D05); 43% người chậm từ 2 giờ không nhận hỗ trợ nào (D23)</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T3 3/13, T9 8/13</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S17, S18</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G2, G6</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Mạnh</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F4 Vị trí/thời gian di chuyển là tiêu chí hàng đầu</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Vị trí 74% (D09)</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T5 6/13, T6 4/13</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EU261 Đ9(1)(c)</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G3</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Mạnh</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F5 Cần huỷ/thanh toán linh hoạt</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linh hoạt 87% (D03); thẻ tín dụng ≈18% (D18)</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(giờ đổi liên tục) 10/13</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S32, S36</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P4 (không hoàn huỷ)</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Mạnh</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F6 Thiết bị chính là điện thoại</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Đêm phòng qua app “mid-50%” (D15); 84,2% dân số dùng internet (D16)</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nhận email/SMS khi đang ở sân bay (CS06, CS08)</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S38</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Trung bình</w:t>
            </w:r>
          </w:p>
        </w:tc>
      </w:tr>
      <w:tr>
        <w:trPr>
          <w:cantSplit w:val="false"/>
        </w:trPr>
        <w:tc>
          <w:tcPr>
            <w:tcW w:type="dxa" w:w="202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F7 Cần kênh thông báo chủ động (SMS)</w:t>
            </w:r>
          </w:p>
        </w:tc>
        <w:tc>
          <w:tcPr>
            <w:tcW w:type="dxa" w:w="25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SMS 64% (D01); 21% không nhận thông tin (D02); màn hình sân bay 34%, SMS 15%, không được báo 4% (D23)</w:t>
            </w:r>
          </w:p>
        </w:tc>
        <w:tc>
          <w:tcPr>
            <w:tcW w:type="dxa" w:w="11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CS04, CS08 (biết tin muộn/bỏ sót email)</w:t>
            </w:r>
          </w:p>
        </w:tc>
        <w:tc>
          <w:tcPr>
            <w:tcW w:type="dxa" w:w="14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S29</w:t>
            </w:r>
          </w:p>
        </w:tc>
        <w:tc>
          <w:tcPr>
            <w:tcW w:type="dxa" w:w="9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Mạnh</w:t>
            </w:r>
          </w:p>
        </w:tc>
      </w:tr>
    </w:tbl>
    <w:p>
      <w:pPr>
        <w:spacing w:after="120"/>
      </w:pPr>
    </w:p>
    <w:p>
      <w:pPr>
        <w:pStyle w:val="Heading1"/>
        <w:spacing w:after="160" w:before="320"/>
      </w:pPr>
      <w:r>
        <w:rPr>
          <w:rFonts w:ascii="Times New Roman" w:cs="Times New Roman" w:eastAsia="Times New Roman" w:hAnsi="Times New Roman"/>
        </w:rPr>
        <w:t xml:space="preserve">5. Nhu cầu và tiêu chí chọn nơi nghỉ</w:t>
      </w:r>
    </w:p>
    <w:p>
      <w:pPr>
        <w:pStyle w:val="Heading2"/>
        <w:spacing w:after="120" w:before="240"/>
      </w:pPr>
      <w:r>
        <w:rPr>
          <w:rFonts w:ascii="Times New Roman" w:cs="Times New Roman" w:eastAsia="Times New Roman" w:hAnsi="Times New Roman"/>
        </w:rPr>
        <w:t xml:space="preserve">5.1. Danh sách nhu cầu đã đối chiếu bằng chứng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4112"/>
        <w:gridCol w:w="3023"/>
        <w:gridCol w:w="1332"/>
      </w:tblGrid>
      <w:tr>
        <w:trPr>
          <w:tblHeader/>
        </w:trPr>
        <w:tc>
          <w:tcPr>
            <w:tcW w:type="dxa" w:w="60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411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Nhu cầu (job story)</w:t>
            </w:r>
          </w:p>
        </w:tc>
        <w:tc>
          <w:tcPr>
            <w:tcW w:type="dxa" w:w="302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Bằng chứng</w:t>
            </w:r>
          </w:p>
        </w:tc>
        <w:tc>
          <w:tcPr>
            <w:tcW w:type="dxa" w:w="133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chuyến bay bị chậm/huỷ, tôi muốn biết ngay giờ bay mới và mức độ chắc chắn, để quyết định có rời sân bay đi nghỉ không.</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D01 (44% hạng 1); D03; T1 10/13; D23 (57% hài lòng truyền thông chung, 35% với thông tin bồi thường)</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 mạnh</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bị chậm lâu, tôi muốn biết hãng có nghĩa vụ bố trí chỗ nghỉ, ăn uống, bồi thường không, để không tự bỏ tiền oan.</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D01 (10%), D06 (21%), D07 (82% không được thông báo); T2, T4; D23 (54% không được báo quyền lợi; 37% biết đúng được hoàn tiền)</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 mạnh</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phải tìm chỗ nghỉ ban đêm, tôi muốn chỉ thấy nơi còn phòng và còn nhận khách ngay.</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 (20%), D04 (23%), D11 (57%); T3: CS01, CS03, CS09; CS14</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N04</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so sánh nơi nghỉ, tôi muốn thấy thời gian di chuyển và cách đi, để quay lại kịp chuyến.</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 (74% vị trí); T5, T6</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giờ bay có thể đổi, tôi muốn đặt chỗ huỷ miễn phí hoặc thuê theo giờ.</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 (87%), D09 (42%, 35% bắt buộc), D08 (13% hoàn tiền là ưu tiên số 1)</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 mạnh</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không có thẻ tín dụng/đang lo chi phí, tôi muốn thanh toán linh hoạt và biết tổng giá cuối.</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D18 (≈18% có thẻ tín dụng), D17, D01 (36% lo chi phí), D22 (giá tăng ~3 lần)</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N07</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đi cùng trẻ nhỏ/người cao tuổi, tôi muốn lọc nơi phù hợp.</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T7: CS01, CS04, CS05, CS07, CS08</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 (định tính)</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N08</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đã có chỗ nghỉ, tôi muốn được nhắc giờ quay lại sân bay theo giờ bay mới.</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D01 (64% muốn SMS; 43% muốn cập nhật mỗi 30 phút); CS08 (lỡ chuyến vì bỏ sót email); D23 (SMS 15%, màn hình sân bay 34%)</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N09</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chọn ở lại sân bay, tôi muốn biết chỗ nghỉ/tiện ích trong nhà ga.</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 (7% ngủ tại sân bay); T9 8/13</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N10</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gặp vấn đề, tôi muốn liên hệ được người hỗ trợ ngay.</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 (kỳ vọng &lt;1h, thực tế ~2h); CS06</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N11</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tự trả tiền chỗ nghỉ, tôi muốn lưu chứng từ để xin hoàn/bồi thường.</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D04 (40% phát sinh chi phí), D07 (72%); S05 (thời hạn yêu cầu); D23 (12% đã đòi hoàn chi phí; 43% người chậm từ 2 giờ không được hỗ trợ)</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r>
        <w:trPr>
          <w:cantSplit w:val="false"/>
        </w:trPr>
        <w:tc>
          <w:tcPr>
            <w:tcW w:type="dxa" w:w="60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N12</w:t>
            </w:r>
          </w:p>
        </w:tc>
        <w:tc>
          <w:tcPr>
            <w:tcW w:type="dxa" w:w="411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Khi đang căng thẳng, tôi muốn giao diện đơn giản, ít bước.</w:t>
            </w:r>
          </w:p>
        </w:tc>
        <w:tc>
          <w:tcPr>
            <w:tcW w:type="dxa" w:w="30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 (33% căng thẳng tăng, 25% mất ngủ); T8 10/13; S46, S69</w:t>
            </w:r>
          </w:p>
        </w:tc>
        <w:tc>
          <w:tcPr>
            <w:tcW w:type="dxa" w:w="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hỗ trợ</w:t>
            </w:r>
          </w:p>
        </w:tc>
      </w:tr>
    </w:tbl>
    <w:p>
      <w:pPr>
        <w:spacing w:after="120"/>
      </w:pPr>
    </w:p>
    <w:p>
      <w:pPr>
        <w:pStyle w:val="Heading2"/>
        <w:spacing w:after="120" w:before="240"/>
      </w:pPr>
      <w:r>
        <w:rPr>
          <w:rFonts w:ascii="Times New Roman" w:cs="Times New Roman" w:eastAsia="Times New Roman" w:hAnsi="Times New Roman"/>
        </w:rPr>
        <w:t xml:space="preserve">5.2. Tiêu chí chọn nơi nghỉ (kết luận)</w:t>
      </w:r>
    </w:p>
    <w:p>
      <w:pPr>
        <w:spacing w:after="120" w:line="312"/>
        <w:jc w:val="both"/>
      </w:pPr>
      <w:r>
        <w:rPr>
          <w:rFonts w:ascii="Times New Roman" w:cs="Times New Roman" w:eastAsia="Times New Roman" w:hAnsi="Times New Roman"/>
        </w:rPr>
        <w:t xml:space="preserve">Thứ tự ưu tiên dùng cho thiết kế (chi tiết bằng chứng ở mục 2.5): </w:t>
      </w:r>
      <w:r>
        <w:rPr>
          <w:rFonts w:ascii="Times New Roman" w:cs="Times New Roman" w:eastAsia="Times New Roman" w:hAnsi="Times New Roman"/>
          <w:b/>
          <w:bCs/>
        </w:rPr>
        <w:t xml:space="preserve">(1) gần/thời gian đến sân bay → (2) còn phòng, nhận khách ngay, lễ tân 24h → (3) huỷ miễn phí → (4) giá tổng minh bạch và ai chi trả → (5) đánh giá, ảnh thật → (6) an toàn ban đêm → (7) thanh toán không cần thẻ tín dụng → (8) phù hợp gia đình → (9) xe đưa đón → (10) thuê theo giờ.</w:t>
      </w:r>
      <w:r>
        <w:rPr>
          <w:rFonts w:ascii="Times New Roman" w:cs="Times New Roman" w:eastAsia="Times New Roman" w:hAnsi="Times New Roman"/>
        </w:rPr>
        <w:t xml:space="preserve"> Bốn tiêu chí đầu trở thành thông tin bắt buộc trên thẻ kết quả (FR-06, FR-07, FR-10).</w:t>
      </w:r>
    </w:p>
    <w:p>
      <w:pPr>
        <w:pStyle w:val="Heading1"/>
        <w:spacing w:after="160" w:before="320"/>
      </w:pPr>
      <w:r>
        <w:rPr>
          <w:rFonts w:ascii="Times New Roman" w:cs="Times New Roman" w:eastAsia="Times New Roman" w:hAnsi="Times New Roman"/>
        </w:rPr>
        <w:t>6. Proto-persona (dựa trên dữ liệu thứ cấp – chưa kiểm chứng)</w:t>
      </w: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Ba proto-persona dưới đây là giả thuyết thiết kế xây từ số liệu thứ cấp (A06) và ca báo chí (A07), không phải kết quả nghiên cứu người dùng trực tiếp. Chúng sẽ được kiểm chứng, điều chỉnh hoặc loại bỏ khi có khảo sát và phỏng vấn sơ cấp.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1"/>
        <w:gridCol w:w="2539"/>
        <w:gridCol w:w="2539"/>
        <w:gridCol w:w="2542"/>
      </w:tblGrid>
      <w:tr>
        <w:trPr>
          <w:tblHeader/>
        </w:trPr>
        <w:tc>
          <w:tcPr>
            <w:tcW w:type="dxa" w:w="145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p>
        </w:tc>
        <w:tc>
          <w:tcPr>
            <w:tcW w:type="dxa" w:w="253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P-A “Người đi công tác bị mắc kẹt”</w:t>
            </w:r>
          </w:p>
        </w:tc>
        <w:tc>
          <w:tcPr>
            <w:tcW w:type="dxa" w:w="253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P-B “Gia đình có con nhỏ”</w:t>
            </w:r>
          </w:p>
        </w:tc>
        <w:tc>
          <w:tcPr>
            <w:tcW w:type="dxa" w:w="25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P-C “Người chọn chờ tại sân bay”</w:t>
            </w:r>
          </w:p>
        </w:tc>
      </w:tr>
      <w:tr>
        <w:trPr>
          <w:cantSplit w:val="false"/>
        </w:trPr>
        <w:tc>
          <w:tcPr>
            <w:tcW w:type="dxa" w:w="1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Tình huống</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cuối ngày bị dời/huỷ ở thành phố khác, cần bay sáng hôm sau</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Chậm &gt;6h, đi cùng trẻ nhỏ, người già, hành lý nhiều</w:t>
            </w:r>
          </w:p>
        </w:tc>
        <w:tc>
          <w:tcPr>
            <w:tcW w:type="dxa" w:w="25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Chậm 4–6h hoặc không rõ giờ bay, ngại tốn tiền, sợ lỡ chuyến</w:t>
            </w:r>
          </w:p>
        </w:tc>
      </w:tr>
      <w:tr>
        <w:trPr>
          <w:cantSplit w:val="false"/>
        </w:trPr>
        <w:tc>
          <w:tcPr>
            <w:tcW w:type="dxa" w:w="1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tiêu</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Chỗ ngủ gần sân bay trong vài phút, hoá đơn để thanh toán công tác</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Nơi an toàn, phù hợp trẻ em, đi lại ít</w:t>
            </w:r>
          </w:p>
        </w:tc>
        <w:tc>
          <w:tcPr>
            <w:tcW w:type="dxa" w:w="25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Biết giờ bay mới, chỗ ngồi/hộp ngủ, sạc điện thoại</w:t>
            </w:r>
          </w:p>
        </w:tc>
      </w:tr>
      <w:tr>
        <w:trPr>
          <w:cantSplit w:val="false"/>
        </w:trPr>
        <w:tc>
          <w:tcPr>
            <w:tcW w:type="dxa" w:w="1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 chính</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T3, T4, T10</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T5, T7, T8</w:t>
            </w:r>
          </w:p>
        </w:tc>
        <w:tc>
          <w:tcPr>
            <w:tcW w:type="dxa" w:w="25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T6, T9</w:t>
            </w:r>
          </w:p>
        </w:tc>
      </w:tr>
      <w:tr>
        <w:trPr>
          <w:cantSplit w:val="false"/>
        </w:trPr>
        <w:tc>
          <w:tcPr>
            <w:tcW w:type="dxa" w:w="1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Nhu cầu</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N03, N04, N11</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 N04, N07, N12</w:t>
            </w:r>
          </w:p>
        </w:tc>
        <w:tc>
          <w:tcPr>
            <w:tcW w:type="dxa" w:w="25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N08, N09</w:t>
            </w:r>
          </w:p>
        </w:tc>
      </w:tr>
      <w:tr>
        <w:trPr>
          <w:cantSplit w:val="false"/>
        </w:trPr>
        <w:tc>
          <w:tcPr>
            <w:tcW w:type="dxa" w:w="14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hỗ trợ</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CS09 (đoàn công tác tự thuê khách sạn), CS02, CS06; D04 (23% khách công tác ở lại qua đêm)</w:t>
            </w:r>
          </w:p>
        </w:tc>
        <w:tc>
          <w:tcPr>
            <w:tcW w:type="dxa" w:w="253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 CS04, CS07, CS08; D01 (ca gia đình mượn thẻ người thân)</w:t>
            </w:r>
          </w:p>
        </w:tc>
        <w:tc>
          <w:tcPr>
            <w:tcW w:type="dxa" w:w="25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CS04, CS05, CS12; D01 (7% ngủ tại sân bay)</w:t>
            </w:r>
          </w:p>
        </w:tc>
      </w:tr>
    </w:tbl>
    <w:p>
      <w:pPr>
        <w:spacing w:after="120"/>
      </w:pPr>
    </w:p>
    <w:p>
      <w:pPr>
        <w:pStyle w:val="Heading1"/>
        <w:spacing w:after="160" w:before="320"/>
      </w:pPr>
      <w:r>
        <w:rPr>
          <w:rFonts w:ascii="Times New Roman" w:cs="Times New Roman" w:eastAsia="Times New Roman" w:hAnsi="Times New Roman"/>
        </w:rPr>
        <w:t xml:space="preserve">7. Đối chiếu đầu ra B01</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
        <w:gridCol w:w="4268"/>
        <w:gridCol w:w="2667"/>
        <w:gridCol w:w="1603"/>
      </w:tblGrid>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Thống kê có mẫu số</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2 (n/N, KTC Wilson 95%)</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 (dữ liệu thứ cấp)</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Nhóm chủ đề</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3 (sổ mã T1–T10, 6 chủ đề C1–C6)</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3.3 (nguyên văn từ báo chí, có mã ca)</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Nhu cầu và tiêu chí chọn nơi nghỉ</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5 (N01–N12 đã đối chiếu; 10 tiêu chí xếp hạng)</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bl>
    <w:p>
      <w:pPr>
        <w:spacing w:after="120"/>
      </w:pP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B01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B01 – Phân tích dữ liệu nghiên cứu</dc:title>
  <dc:creator>Sinh viên CNT421</dc:creator>
  <cp:lastModifiedBy>Un-named</cp:lastModifiedBy>
  <cp:revision>1</cp:revision>
  <dcterms:created xsi:type="dcterms:W3CDTF">2026-10-08T14:43:30.041Z</dcterms:created>
  <dcterms:modified xsi:type="dcterms:W3CDTF">2026-10-08T14:43:30.041Z</dcterms:modified>
</cp:coreProperties>
</file>

<file path=docProps/custom.xml><?xml version="1.0" encoding="utf-8"?>
<Properties xmlns="http://schemas.openxmlformats.org/officeDocument/2006/custom-properties" xmlns:vt="http://schemas.openxmlformats.org/officeDocument/2006/docPropsVTypes"/>
</file>