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GIẢI THUẬT &amp; HỆ THỐNG AI CHI TIẾT</w:t>
      </w:r>
    </w:p>
    <w:p>
      <w:pPr>
        <w:jc w:val="center"/>
      </w:pPr>
      <w:r>
        <w:t>Dự án: Model_AITRAFFIC | Version: 4.5 (Final)</w:t>
      </w:r>
    </w:p>
    <w:p>
      <w:pPr>
        <w:pStyle w:val="Heading1"/>
      </w:pPr>
      <w:r>
        <w:t>I. MÔ HÌNH NHẬN DIỆN YOLOv11 (ROBOFLOW)</w:t>
      </w:r>
    </w:p>
    <w:p>
      <w:r>
        <w:t>Hệ thống sử dụng kiến trúc YOLOv11 - thế hệ mới nhất của dòng thuật toán You Only Look Once. Mô hình được tối ưu hóa đặc biệt cho dữ liệu giao thông thực tế tại Việt Nam thông qua nền tảng Roboflow.</w:t>
      </w:r>
    </w:p>
    <w:p>
      <w:r>
        <w:rPr>
          <w:b/>
        </w:rPr>
        <w:t xml:space="preserve">1. Đặc điểm kỹ thuật: </w:t>
      </w:r>
      <w:r>
        <w:t>YOLOv11 sử dụng kiến trúc C3k2 và bộ mã hóa (Encoder) tiên tiến, giúp tăng độ chính xác trong việc nhận diện các phương tiện nhỏ và san sát nhau như xe máy (motorbikes).</w:t>
      </w:r>
    </w:p>
    <w:p>
      <w:r>
        <w:rPr>
          <w:b/>
        </w:rPr>
        <w:t xml:space="preserve">2. Quy trình Inference: </w:t>
      </w:r>
      <w:r>
        <w:t>Tích hợp qua Roboflow Inference SDK (HTTP Client). Ảnh được resize và chuẩn hóa trước khi gửi lên Cloud Server, giúp giảm tải trọng tính toán (CPU/GPU) cho máy chủ local nhưng vẫn đạt được thời gian đáp ứng (Latency) dưới 200ms.</w:t>
      </w:r>
    </w:p>
    <w:p>
      <w:pPr>
        <w:pStyle w:val="Heading1"/>
      </w:pPr>
      <w:r>
        <w:t>II. CÔNG THỨC TÍNH DIỆN TÍCH LÀN ĐƯỜNG (ROAD AREA)</w:t>
      </w:r>
    </w:p>
    <w:p>
      <w:r>
        <w:t>Để tính toán mật độ chính xác, hệ thống phải xác định được tổng diện tích lòng đường (vùng ROI) tính bằng đơn vị Pixel.</w:t>
      </w:r>
    </w:p>
    <w:p>
      <w:pPr>
        <w:pStyle w:val="Quote"/>
      </w:pPr>
      <w:r>
        <w:t>Sử dụng Công thức Diện tích Gauss (Shoelace Formula) cho đa giác n đỉnh:</w:t>
      </w:r>
    </w:p>
    <w:p>
      <w:pPr>
        <w:jc w:val="center"/>
      </w:pPr>
      <w:r>
        <w:rPr>
          <w:b/>
          <w:color w:val="C7254E"/>
          <w:sz w:val="24"/>
        </w:rPr>
        <w:t>A = 1/2 | Σ (xi * yi+1 - xi+1 * yi) |</w:t>
      </w:r>
    </w:p>
    <w:p>
      <w:r>
        <w:t>Trong đó (xi, yi) là tọa độ các đỉnh của vùng ROI. Công thức này cho phép hệ thống tự động tính toán diện tích lòng đường ngay cả khi người dùng thay đổi hình dạng đa giác để phù hợp với các góc quay camera khác nhau.</w:t>
      </w:r>
    </w:p>
    <w:p>
      <w:pPr>
        <w:pStyle w:val="Heading1"/>
      </w:pPr>
      <w:r>
        <w:t>III. CÔNG THỨC CHIA MẬT ĐỘ GIAO THÔNG (PCE)</w:t>
      </w:r>
    </w:p>
    <w:p>
      <w:r>
        <w:t>Hệ thống áp dụng trọng số Passenger Car Equivalent (PCE) để chuẩn hóa lưu lượng:</w:t>
      </w:r>
    </w:p>
    <w:tbl>
      <w:tblPr>
        <w:tblStyle w:val="TableGrid"/>
        <w:tblW w:type="auto" w:w="0"/>
        <w:tblLook w:firstColumn="1" w:firstRow="1" w:lastColumn="0" w:lastRow="0" w:noHBand="0" w:noVBand="1" w:val="04A0"/>
      </w:tblPr>
      <w:tblGrid>
        <w:gridCol w:w="4320"/>
        <w:gridCol w:w="4320"/>
      </w:tblGrid>
      <w:tr>
        <w:tc>
          <w:tcPr>
            <w:tcW w:type="dxa" w:w="4320"/>
          </w:tcPr>
          <w:p>
            <w:r>
              <w:t>Loại phương tiện</w:t>
            </w:r>
          </w:p>
        </w:tc>
        <w:tc>
          <w:tcPr>
            <w:tcW w:type="dxa" w:w="4320"/>
          </w:tcPr>
          <w:p>
            <w:r>
              <w:t>Hệ số PCE (wi)</w:t>
            </w:r>
          </w:p>
        </w:tc>
      </w:tr>
      <w:tr>
        <w:tc>
          <w:tcPr>
            <w:tcW w:type="dxa" w:w="4320"/>
          </w:tcPr>
          <w:p>
            <w:r>
              <w:t>Xe máy</w:t>
            </w:r>
          </w:p>
        </w:tc>
        <w:tc>
          <w:tcPr>
            <w:tcW w:type="dxa" w:w="4320"/>
          </w:tcPr>
          <w:p>
            <w:r>
              <w:t>0.5</w:t>
            </w:r>
          </w:p>
        </w:tc>
      </w:tr>
      <w:tr>
        <w:tc>
          <w:tcPr>
            <w:tcW w:type="dxa" w:w="4320"/>
          </w:tcPr>
          <w:p>
            <w:r>
              <w:t>Ô tô con</w:t>
            </w:r>
          </w:p>
        </w:tc>
        <w:tc>
          <w:tcPr>
            <w:tcW w:type="dxa" w:w="4320"/>
          </w:tcPr>
          <w:p>
            <w:r>
              <w:t>1.0</w:t>
            </w:r>
          </w:p>
        </w:tc>
      </w:tr>
      <w:tr>
        <w:tc>
          <w:tcPr>
            <w:tcW w:type="dxa" w:w="4320"/>
          </w:tcPr>
          <w:p>
            <w:r>
              <w:t>Xe tải</w:t>
            </w:r>
          </w:p>
        </w:tc>
        <w:tc>
          <w:tcPr>
            <w:tcW w:type="dxa" w:w="4320"/>
          </w:tcPr>
          <w:p>
            <w:r>
              <w:t>2.5</w:t>
            </w:r>
          </w:p>
        </w:tc>
      </w:tr>
      <w:tr>
        <w:tc>
          <w:tcPr>
            <w:tcW w:type="dxa" w:w="4320"/>
          </w:tcPr>
          <w:p>
            <w:r>
              <w:t>Xe khách/Bus</w:t>
            </w:r>
          </w:p>
        </w:tc>
        <w:tc>
          <w:tcPr>
            <w:tcW w:type="dxa" w:w="4320"/>
          </w:tcPr>
          <w:p>
            <w:r>
              <w:t>3.0</w:t>
            </w:r>
          </w:p>
        </w:tc>
      </w:tr>
    </w:tbl>
    <w:p>
      <w:r>
        <w:br/>
        <w:t>Công thức tính mật độ chuẩn hóa:</w:t>
      </w:r>
    </w:p>
    <w:p>
      <w:pPr>
        <w:jc w:val="center"/>
      </w:pPr>
      <w:r>
        <w:rPr>
          <w:b/>
          <w:color w:val="0D6EFD"/>
        </w:rPr>
        <w:t>Density (%) = (Σ (wi * 1200 px) / A_road) * 100%</w:t>
      </w:r>
    </w:p>
    <w:p>
      <w:pPr>
        <w:pStyle w:val="Heading1"/>
      </w:pPr>
      <w:r>
        <w:t>IV. THUẬT TOÁN TRUY VẾT DEEPSORT</w:t>
      </w:r>
    </w:p>
    <w:p>
      <w:r>
        <w:t>DeepSort kết hợp thông tin chuyển động (Kalman Filter) và thông tin diện mạo (CNN Embeddings) để giải quyết bài toán theo dõi phương tiện (Unique Counting).</w:t>
      </w:r>
    </w:p>
    <w:p>
      <w:r>
        <w:rPr>
          <w:b/>
        </w:rPr>
        <w:t xml:space="preserve">Cơ chế Unique ID: </w:t>
      </w:r>
      <w:r>
        <w:t>Mỗi phương tiện được gán một định danh duy nhất. Lưu lượng (Flow Rate) được tính dựa trên số lượng ID mới xuất hiện trong vùng ROI theo đơn vị thời gian (xe/phút).</w:t>
      </w:r>
    </w:p>
    <w:p>
      <w:pPr>
        <w:pStyle w:val="Heading1"/>
      </w:pPr>
      <w:r>
        <w:t>V. KẾ HOẠCH TRIỂN KHAI HỆ THỐNG</w:t>
      </w:r>
    </w:p>
    <w:p>
      <w:pPr>
        <w:pStyle w:val="ListBullet"/>
      </w:pPr>
      <w:r>
        <w:rPr>
          <w:b/>
        </w:rPr>
        <w:t xml:space="preserve">1. Calibration: </w:t>
      </w:r>
      <w:r>
        <w:t>Thiết lập thông số road_area_pixels cho từng camera.</w:t>
      </w:r>
    </w:p>
    <w:p>
      <w:pPr>
        <w:pStyle w:val="ListBullet"/>
      </w:pPr>
      <w:r>
        <w:rPr>
          <w:b/>
        </w:rPr>
        <w:t xml:space="preserve">2. AI Pipeline: </w:t>
      </w:r>
      <w:r>
        <w:t>Khởi chạy luồng cào ảnh -&gt; YOLO Detection -&gt; DeepSort Tracking.</w:t>
      </w:r>
    </w:p>
    <w:p>
      <w:pPr>
        <w:pStyle w:val="ListBullet"/>
      </w:pPr>
      <w:r>
        <w:rPr>
          <w:b/>
        </w:rPr>
        <w:t xml:space="preserve">3. API Sync: </w:t>
      </w:r>
      <w:r>
        <w:t>Đẩy dữ liệu thống kê về Django Database mỗi 60 giây.</w:t>
      </w:r>
    </w:p>
    <w:p>
      <w:pPr>
        <w:pStyle w:val="ListBullet"/>
      </w:pPr>
      <w:r>
        <w:rPr>
          <w:b/>
        </w:rPr>
        <w:t xml:space="preserve">4. Web Dashboard: </w:t>
      </w:r>
      <w:r>
        <w:t>Hiển thị biểu đồ 60 điểm và Live Heatmap cho người quản lý.</w:t>
      </w:r>
    </w:p>
    <w:p>
      <w:r>
        <w:br/>
        <w:t>------------------------------</w:t>
      </w:r>
    </w:p>
    <w:p>
      <w:pPr>
        <w:jc w:val="right"/>
      </w:pPr>
      <w:r>
        <w:t>Tài liệu kỹ thuật v4.5 | Ngày lập: 18/04/2026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